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A8E16F3">
      <w:pPr>
        <w:adjustRightInd w:val="0"/>
        <w:snapToGrid w:val="0"/>
        <w:spacing w:line="1200" w:lineRule="exact"/>
        <w:jc w:val="both"/>
        <w:rPr>
          <w:rFonts w:hint="eastAsia" w:ascii="宋体" w:eastAsia="宋体" w:cs="宋体"/>
          <w:b/>
          <w:bCs/>
          <w:color w:val="auto"/>
          <w:sz w:val="84"/>
          <w:szCs w:val="84"/>
          <w:highlight w:val="none"/>
          <w:lang w:val="en-US" w:eastAsia="zh-CN"/>
        </w:rPr>
      </w:pPr>
    </w:p>
    <w:p w14:paraId="62FEAFC5">
      <w:pPr>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台州湾新区小额工程</w:t>
      </w:r>
    </w:p>
    <w:p w14:paraId="743CF420">
      <w:pPr>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招 标 文 件</w:t>
      </w:r>
    </w:p>
    <w:p w14:paraId="2D113F5D">
      <w:pPr>
        <w:pStyle w:val="61"/>
        <w:rPr>
          <w:rFonts w:hint="eastAsia" w:ascii="宋体" w:hAnsi="宋体" w:eastAsia="宋体" w:cs="宋体"/>
          <w:b/>
          <w:color w:val="auto"/>
          <w:sz w:val="72"/>
          <w:szCs w:val="72"/>
          <w:highlight w:val="none"/>
        </w:rPr>
      </w:pPr>
    </w:p>
    <w:p w14:paraId="67CB4B6B">
      <w:pPr>
        <w:pStyle w:val="23"/>
        <w:ind w:left="0" w:leftChars="0"/>
        <w:jc w:val="center"/>
        <w:rPr>
          <w:rFonts w:hint="eastAsia" w:ascii="宋体" w:hAnsi="宋体" w:eastAsia="宋体" w:cs="宋体"/>
          <w:bCs/>
          <w:color w:val="auto"/>
          <w:sz w:val="36"/>
          <w:szCs w:val="32"/>
          <w:highlight w:val="none"/>
        </w:rPr>
      </w:pPr>
      <w:r>
        <w:rPr>
          <w:rFonts w:hint="eastAsia" w:ascii="宋体" w:hAnsi="宋体" w:eastAsia="宋体" w:cs="宋体"/>
          <w:bCs/>
          <w:color w:val="auto"/>
          <w:sz w:val="36"/>
          <w:szCs w:val="32"/>
          <w:highlight w:val="none"/>
        </w:rPr>
        <w:t>（项目编号：</w:t>
      </w:r>
      <w:r>
        <w:rPr>
          <w:rFonts w:hint="eastAsia" w:eastAsia="宋体" w:cs="宋体"/>
          <w:bCs/>
          <w:color w:val="auto"/>
          <w:sz w:val="36"/>
          <w:szCs w:val="32"/>
          <w:highlight w:val="none"/>
          <w:lang w:eastAsia="zh-CN"/>
        </w:rPr>
        <w:t>QBJ2024253</w:t>
      </w:r>
      <w:r>
        <w:rPr>
          <w:rFonts w:hint="eastAsia" w:ascii="宋体" w:hAnsi="宋体" w:eastAsia="宋体" w:cs="宋体"/>
          <w:bCs/>
          <w:color w:val="auto"/>
          <w:sz w:val="36"/>
          <w:szCs w:val="32"/>
          <w:highlight w:val="none"/>
        </w:rPr>
        <w:t>）</w:t>
      </w:r>
    </w:p>
    <w:p w14:paraId="39801668">
      <w:pPr>
        <w:pStyle w:val="11"/>
        <w:jc w:val="center"/>
        <w:rPr>
          <w:rFonts w:hint="eastAsia"/>
          <w:color w:val="auto"/>
          <w:highlight w:val="none"/>
        </w:rPr>
      </w:pPr>
    </w:p>
    <w:p w14:paraId="5154020B">
      <w:pPr>
        <w:pStyle w:val="28"/>
        <w:ind w:firstLine="0" w:firstLineChars="0"/>
        <w:rPr>
          <w:rFonts w:hint="eastAsia"/>
          <w:color w:val="auto"/>
          <w:highlight w:val="none"/>
        </w:rPr>
      </w:pPr>
    </w:p>
    <w:p w14:paraId="1787C75D">
      <w:pPr>
        <w:pStyle w:val="11"/>
        <w:jc w:val="center"/>
        <w:rPr>
          <w:color w:val="auto"/>
          <w:highlight w:val="none"/>
        </w:rPr>
      </w:pPr>
    </w:p>
    <w:p w14:paraId="3ADF5A7A">
      <w:pPr>
        <w:spacing w:line="480" w:lineRule="auto"/>
        <w:jc w:val="center"/>
        <w:rPr>
          <w:rFonts w:hint="default" w:ascii="宋体" w:hAnsi="宋体" w:eastAsia="宋体" w:cs="宋体"/>
          <w:b w:val="0"/>
          <w:bCs w:val="0"/>
          <w:color w:val="auto"/>
          <w:sz w:val="28"/>
          <w:highlight w:val="none"/>
          <w:u w:val="single"/>
          <w:lang w:val="en-US" w:eastAsia="zh-CN"/>
        </w:rPr>
      </w:pPr>
      <w:r>
        <w:rPr>
          <w:rFonts w:hint="eastAsia" w:ascii="宋体" w:hAnsi="宋体" w:eastAsia="宋体" w:cs="宋体"/>
          <w:b w:val="0"/>
          <w:bCs w:val="0"/>
          <w:color w:val="auto"/>
          <w:sz w:val="28"/>
          <w:highlight w:val="none"/>
          <w:lang w:val="en-US" w:eastAsia="zh-CN"/>
        </w:rPr>
        <w:t>项目名称：</w:t>
      </w:r>
      <w:r>
        <w:rPr>
          <w:rFonts w:hint="eastAsia" w:ascii="宋体" w:hAnsi="宋体" w:eastAsia="宋体" w:cs="宋体"/>
          <w:b w:val="0"/>
          <w:bCs w:val="0"/>
          <w:color w:val="auto"/>
          <w:sz w:val="28"/>
          <w:highlight w:val="none"/>
          <w:u w:val="single"/>
          <w:lang w:val="en-US" w:eastAsia="zh-CN"/>
        </w:rPr>
        <w:t>台州湾陆岛联动综合码头工程（一期）建筑工程一切险及安全生产责任险保险服务项目（重新招标）</w:t>
      </w:r>
    </w:p>
    <w:p w14:paraId="02C03A5F">
      <w:pPr>
        <w:spacing w:line="480" w:lineRule="auto"/>
        <w:ind w:firstLine="840" w:firstLineChars="300"/>
        <w:rPr>
          <w:rFonts w:hint="eastAsia" w:ascii="宋体" w:hAnsi="宋体" w:eastAsia="宋体" w:cs="宋体"/>
          <w:color w:val="auto"/>
          <w:sz w:val="28"/>
          <w:highlight w:val="none"/>
          <w:u w:val="single"/>
          <w:lang w:eastAsia="zh-CN"/>
        </w:rPr>
      </w:pPr>
      <w:r>
        <w:rPr>
          <w:rFonts w:hint="eastAsia" w:ascii="宋体" w:hAnsi="宋体" w:eastAsia="宋体" w:cs="宋体"/>
          <w:color w:val="auto"/>
          <w:sz w:val="28"/>
          <w:highlight w:val="none"/>
          <w:lang w:val="en-US" w:eastAsia="zh-CN"/>
        </w:rPr>
        <w:t>招标</w:t>
      </w:r>
      <w:r>
        <w:rPr>
          <w:rFonts w:hint="eastAsia" w:ascii="宋体" w:hAnsi="宋体" w:eastAsia="宋体" w:cs="宋体"/>
          <w:color w:val="auto"/>
          <w:sz w:val="28"/>
          <w:highlight w:val="none"/>
        </w:rPr>
        <w:t>人</w:t>
      </w:r>
      <w:r>
        <w:rPr>
          <w:rFonts w:hint="eastAsia" w:ascii="宋体" w:hAnsi="宋体" w:eastAsia="宋体" w:cs="宋体"/>
          <w:color w:val="auto"/>
          <w:sz w:val="28"/>
          <w:highlight w:val="none"/>
          <w:lang w:val="en-US" w:eastAsia="zh-CN"/>
        </w:rPr>
        <w:t>1</w:t>
      </w:r>
      <w:r>
        <w:rPr>
          <w:rFonts w:hint="eastAsia" w:ascii="宋体" w:hAnsi="宋体" w:eastAsia="宋体" w:cs="宋体"/>
          <w:color w:val="auto"/>
          <w:sz w:val="28"/>
          <w:highlight w:val="none"/>
        </w:rPr>
        <w:t>：</w:t>
      </w:r>
      <w:r>
        <w:rPr>
          <w:rFonts w:hint="eastAsia" w:ascii="宋体" w:hAnsi="宋体" w:eastAsia="宋体" w:cs="宋体"/>
          <w:color w:val="auto"/>
          <w:sz w:val="28"/>
          <w:highlight w:val="none"/>
          <w:u w:val="single"/>
          <w:lang w:eastAsia="zh-CN"/>
        </w:rPr>
        <w:t>台州西廊港口开发有限公司</w:t>
      </w:r>
      <w:r>
        <w:rPr>
          <w:rFonts w:hint="eastAsia" w:ascii="宋体" w:hAnsi="宋体" w:eastAsia="宋体" w:cs="宋体"/>
          <w:color w:val="auto"/>
          <w:sz w:val="28"/>
          <w:highlight w:val="none"/>
        </w:rPr>
        <w:t>（盖章）</w:t>
      </w:r>
    </w:p>
    <w:p w14:paraId="675D7AD1">
      <w:pPr>
        <w:spacing w:line="480" w:lineRule="auto"/>
        <w:ind w:firstLine="840" w:firstLineChars="300"/>
        <w:rPr>
          <w:rFonts w:hint="eastAsia" w:ascii="宋体" w:hAnsi="宋体" w:eastAsia="宋体" w:cs="宋体"/>
          <w:color w:val="auto"/>
          <w:sz w:val="28"/>
          <w:highlight w:val="none"/>
        </w:rPr>
      </w:pPr>
      <w:r>
        <w:rPr>
          <w:rFonts w:hint="eastAsia" w:ascii="宋体" w:hAnsi="宋体" w:eastAsia="宋体" w:cs="宋体"/>
          <w:color w:val="auto"/>
          <w:sz w:val="28"/>
          <w:highlight w:val="none"/>
          <w:lang w:val="en-US" w:eastAsia="zh-CN"/>
        </w:rPr>
        <w:t>招标</w:t>
      </w:r>
      <w:r>
        <w:rPr>
          <w:rFonts w:hint="eastAsia" w:ascii="宋体" w:hAnsi="宋体" w:eastAsia="宋体" w:cs="宋体"/>
          <w:color w:val="auto"/>
          <w:sz w:val="28"/>
          <w:highlight w:val="none"/>
        </w:rPr>
        <w:t>人</w:t>
      </w:r>
      <w:r>
        <w:rPr>
          <w:rFonts w:hint="eastAsia" w:ascii="宋体" w:hAnsi="宋体" w:eastAsia="宋体" w:cs="宋体"/>
          <w:color w:val="auto"/>
          <w:sz w:val="28"/>
          <w:highlight w:val="none"/>
          <w:lang w:val="en-US" w:eastAsia="zh-CN"/>
        </w:rPr>
        <w:t>2</w:t>
      </w:r>
      <w:r>
        <w:rPr>
          <w:rFonts w:hint="eastAsia" w:ascii="宋体" w:hAnsi="宋体" w:eastAsia="宋体" w:cs="宋体"/>
          <w:color w:val="auto"/>
          <w:sz w:val="28"/>
          <w:highlight w:val="none"/>
        </w:rPr>
        <w:t>：</w:t>
      </w:r>
      <w:r>
        <w:rPr>
          <w:rFonts w:hint="eastAsia" w:ascii="宋体" w:hAnsi="宋体" w:eastAsia="宋体" w:cs="宋体"/>
          <w:color w:val="auto"/>
          <w:sz w:val="28"/>
          <w:highlight w:val="none"/>
          <w:u w:val="single"/>
        </w:rPr>
        <w:t>中交第三航务工程局有限公司</w:t>
      </w:r>
      <w:r>
        <w:rPr>
          <w:rFonts w:hint="eastAsia" w:ascii="宋体" w:hAnsi="宋体" w:eastAsia="宋体" w:cs="宋体"/>
          <w:color w:val="auto"/>
          <w:sz w:val="28"/>
          <w:highlight w:val="none"/>
        </w:rPr>
        <w:t>（盖章）</w:t>
      </w:r>
    </w:p>
    <w:p w14:paraId="0C0AA493">
      <w:pPr>
        <w:spacing w:line="480" w:lineRule="auto"/>
        <w:ind w:firstLine="840" w:firstLineChars="300"/>
        <w:rPr>
          <w:rFonts w:hint="default" w:ascii="宋体" w:hAnsi="宋体" w:eastAsia="宋体" w:cs="宋体"/>
          <w:color w:val="auto"/>
          <w:sz w:val="28"/>
          <w:highlight w:val="none"/>
          <w:lang w:val="en-US" w:eastAsia="zh-CN"/>
        </w:rPr>
      </w:pPr>
      <w:r>
        <w:rPr>
          <w:rFonts w:hint="eastAsia" w:ascii="宋体" w:hAnsi="宋体" w:eastAsia="宋体" w:cs="宋体"/>
          <w:color w:val="auto"/>
          <w:sz w:val="28"/>
          <w:highlight w:val="none"/>
        </w:rPr>
        <w:t>联 系 人：</w:t>
      </w:r>
      <w:r>
        <w:rPr>
          <w:rFonts w:hint="eastAsia" w:ascii="宋体" w:hAnsi="宋体" w:eastAsia="宋体" w:cs="宋体"/>
          <w:color w:val="auto"/>
          <w:sz w:val="28"/>
          <w:highlight w:val="none"/>
          <w:u w:val="single"/>
          <w:lang w:val="en-US" w:eastAsia="zh-CN"/>
        </w:rPr>
        <w:t>李康德</w:t>
      </w:r>
      <w:r>
        <w:rPr>
          <w:rFonts w:hint="eastAsia" w:ascii="宋体" w:hAnsi="宋体" w:eastAsia="宋体" w:cs="宋体"/>
          <w:color w:val="auto"/>
          <w:sz w:val="28"/>
          <w:highlight w:val="none"/>
          <w:u w:val="single"/>
        </w:rPr>
        <w:t xml:space="preserve"> </w:t>
      </w:r>
      <w:r>
        <w:rPr>
          <w:rFonts w:hint="eastAsia" w:ascii="宋体" w:hAnsi="宋体" w:eastAsia="宋体" w:cs="宋体"/>
          <w:color w:val="auto"/>
          <w:sz w:val="28"/>
          <w:highlight w:val="none"/>
        </w:rPr>
        <w:t xml:space="preserve"> </w:t>
      </w:r>
      <w:r>
        <w:rPr>
          <w:rFonts w:hint="eastAsia" w:ascii="宋体" w:hAnsi="宋体" w:eastAsia="宋体" w:cs="宋体"/>
          <w:color w:val="auto"/>
          <w:sz w:val="28"/>
          <w:highlight w:val="none"/>
          <w:lang w:val="en-US" w:eastAsia="zh-CN"/>
        </w:rPr>
        <w:t xml:space="preserve"> </w:t>
      </w:r>
      <w:r>
        <w:rPr>
          <w:rFonts w:hint="eastAsia" w:ascii="宋体" w:hAnsi="宋体" w:eastAsia="宋体" w:cs="宋体"/>
          <w:color w:val="auto"/>
          <w:sz w:val="28"/>
          <w:highlight w:val="none"/>
        </w:rPr>
        <w:t>联系电话：</w:t>
      </w:r>
      <w:r>
        <w:rPr>
          <w:rFonts w:hint="eastAsia" w:ascii="宋体" w:hAnsi="宋体" w:eastAsia="宋体" w:cs="宋体"/>
          <w:color w:val="auto"/>
          <w:sz w:val="28"/>
          <w:highlight w:val="none"/>
          <w:u w:val="single"/>
          <w:lang w:val="en-US" w:eastAsia="zh-CN"/>
        </w:rPr>
        <w:t>13857688987</w:t>
      </w:r>
    </w:p>
    <w:p w14:paraId="1C117EAB">
      <w:pPr>
        <w:spacing w:line="480" w:lineRule="auto"/>
        <w:ind w:firstLine="840" w:firstLineChars="300"/>
        <w:rPr>
          <w:rFonts w:hint="eastAsia" w:ascii="宋体" w:hAnsi="宋体" w:eastAsia="宋体" w:cs="宋体"/>
          <w:color w:val="auto"/>
          <w:sz w:val="28"/>
          <w:highlight w:val="none"/>
        </w:rPr>
      </w:pPr>
      <w:r>
        <w:rPr>
          <w:rFonts w:hint="eastAsia" w:ascii="宋体" w:hAnsi="宋体" w:eastAsia="宋体" w:cs="宋体"/>
          <w:color w:val="auto"/>
          <w:sz w:val="28"/>
          <w:highlight w:val="none"/>
        </w:rPr>
        <w:t>招标代理：</w:t>
      </w:r>
      <w:r>
        <w:rPr>
          <w:rFonts w:hint="eastAsia" w:ascii="宋体" w:hAnsi="宋体" w:eastAsia="宋体" w:cs="宋体"/>
          <w:color w:val="auto"/>
          <w:sz w:val="28"/>
          <w:highlight w:val="none"/>
          <w:u w:val="single"/>
          <w:lang w:eastAsia="zh-CN"/>
        </w:rPr>
        <w:t>台州市建设咨询有限公司</w:t>
      </w:r>
      <w:r>
        <w:rPr>
          <w:rFonts w:hint="eastAsia" w:ascii="宋体" w:hAnsi="宋体" w:eastAsia="宋体" w:cs="宋体"/>
          <w:color w:val="auto"/>
          <w:sz w:val="28"/>
          <w:highlight w:val="none"/>
        </w:rPr>
        <w:t>（盖章）</w:t>
      </w:r>
    </w:p>
    <w:p w14:paraId="1D5B7F0C">
      <w:pPr>
        <w:spacing w:line="480" w:lineRule="auto"/>
        <w:ind w:firstLine="840" w:firstLineChars="300"/>
        <w:rPr>
          <w:rFonts w:hint="eastAsia" w:ascii="宋体" w:hAnsi="宋体" w:eastAsia="宋体" w:cs="宋体"/>
          <w:color w:val="auto"/>
          <w:sz w:val="28"/>
          <w:highlight w:val="none"/>
          <w:lang w:eastAsia="zh-CN"/>
        </w:rPr>
      </w:pPr>
      <w:r>
        <w:rPr>
          <w:rFonts w:hint="eastAsia" w:ascii="宋体" w:hAnsi="宋体" w:eastAsia="宋体" w:cs="宋体"/>
          <w:color w:val="auto"/>
          <w:sz w:val="28"/>
          <w:highlight w:val="none"/>
        </w:rPr>
        <w:t>联 系 人：</w:t>
      </w:r>
      <w:r>
        <w:rPr>
          <w:rFonts w:hint="eastAsia" w:ascii="宋体" w:hAnsi="宋体" w:eastAsia="宋体" w:cs="宋体"/>
          <w:color w:val="auto"/>
          <w:sz w:val="28"/>
          <w:highlight w:val="none"/>
          <w:u w:val="single"/>
          <w:lang w:val="en-US" w:eastAsia="zh-CN"/>
        </w:rPr>
        <w:t xml:space="preserve">葛俊 </w:t>
      </w:r>
      <w:r>
        <w:rPr>
          <w:rFonts w:hint="eastAsia" w:ascii="宋体" w:hAnsi="宋体" w:eastAsia="宋体" w:cs="宋体"/>
          <w:color w:val="auto"/>
          <w:sz w:val="28"/>
          <w:highlight w:val="none"/>
          <w:lang w:val="en-US" w:eastAsia="zh-CN"/>
        </w:rPr>
        <w:t xml:space="preserve">  </w:t>
      </w:r>
      <w:r>
        <w:rPr>
          <w:rFonts w:hint="eastAsia" w:ascii="宋体" w:hAnsi="宋体" w:eastAsia="宋体" w:cs="宋体"/>
          <w:color w:val="auto"/>
          <w:sz w:val="28"/>
          <w:highlight w:val="none"/>
        </w:rPr>
        <w:t>联系电话：</w:t>
      </w:r>
      <w:r>
        <w:rPr>
          <w:rFonts w:hint="eastAsia" w:ascii="宋体" w:hAnsi="宋体" w:eastAsia="宋体" w:cs="宋体"/>
          <w:color w:val="auto"/>
          <w:sz w:val="28"/>
          <w:highlight w:val="none"/>
          <w:u w:val="single"/>
        </w:rPr>
        <w:t>0576-8851778</w:t>
      </w:r>
      <w:r>
        <w:rPr>
          <w:rFonts w:hint="eastAsia" w:ascii="宋体" w:hAnsi="宋体" w:eastAsia="宋体" w:cs="宋体"/>
          <w:color w:val="auto"/>
          <w:sz w:val="28"/>
          <w:highlight w:val="none"/>
          <w:u w:val="single"/>
          <w:lang w:val="en-US" w:eastAsia="zh-CN"/>
        </w:rPr>
        <w:t>2</w:t>
      </w:r>
    </w:p>
    <w:p w14:paraId="00583751">
      <w:pPr>
        <w:pStyle w:val="11"/>
        <w:rPr>
          <w:rFonts w:hint="eastAsia"/>
          <w:color w:val="auto"/>
          <w:sz w:val="28"/>
          <w:highlight w:val="none"/>
          <w:u w:val="single"/>
        </w:rPr>
      </w:pPr>
    </w:p>
    <w:p w14:paraId="13670E2C">
      <w:pPr>
        <w:pStyle w:val="11"/>
        <w:rPr>
          <w:rFonts w:hint="eastAsia"/>
          <w:color w:val="auto"/>
          <w:sz w:val="28"/>
          <w:highlight w:val="none"/>
          <w:u w:val="single"/>
        </w:rPr>
      </w:pPr>
    </w:p>
    <w:p w14:paraId="2E1D5DC2">
      <w:pPr>
        <w:pStyle w:val="11"/>
        <w:rPr>
          <w:rFonts w:hint="eastAsia"/>
          <w:color w:val="auto"/>
          <w:sz w:val="28"/>
          <w:highlight w:val="none"/>
          <w:u w:val="single"/>
        </w:rPr>
      </w:pPr>
    </w:p>
    <w:p w14:paraId="5DA645F4">
      <w:pPr>
        <w:pStyle w:val="11"/>
        <w:rPr>
          <w:rFonts w:hint="eastAsia"/>
          <w:color w:val="auto"/>
          <w:sz w:val="28"/>
          <w:highlight w:val="none"/>
          <w:u w:val="single"/>
        </w:rPr>
      </w:pPr>
    </w:p>
    <w:p w14:paraId="24BC38DA">
      <w:pPr>
        <w:pStyle w:val="11"/>
        <w:rPr>
          <w:rFonts w:hint="eastAsia"/>
          <w:color w:val="auto"/>
          <w:sz w:val="28"/>
          <w:highlight w:val="none"/>
          <w:u w:val="single"/>
        </w:rPr>
      </w:pPr>
    </w:p>
    <w:p w14:paraId="2806024D">
      <w:pPr>
        <w:pStyle w:val="11"/>
        <w:jc w:val="both"/>
        <w:rPr>
          <w:rFonts w:hint="eastAsia"/>
          <w:color w:val="auto"/>
          <w:sz w:val="28"/>
          <w:highlight w:val="none"/>
          <w:u w:val="single"/>
        </w:rPr>
      </w:pPr>
    </w:p>
    <w:p w14:paraId="41A66476">
      <w:pPr>
        <w:pStyle w:val="11"/>
        <w:ind w:firstLine="3360" w:firstLineChars="1200"/>
        <w:jc w:val="both"/>
        <w:rPr>
          <w:color w:val="auto"/>
          <w:highlight w:val="none"/>
          <w:u w:val="none"/>
        </w:rPr>
      </w:pPr>
      <w:r>
        <w:rPr>
          <w:rFonts w:hint="eastAsia"/>
          <w:color w:val="auto"/>
          <w:sz w:val="28"/>
          <w:highlight w:val="none"/>
          <w:u w:val="none"/>
        </w:rPr>
        <w:t>20</w:t>
      </w:r>
      <w:r>
        <w:rPr>
          <w:rFonts w:hint="eastAsia"/>
          <w:color w:val="auto"/>
          <w:sz w:val="28"/>
          <w:highlight w:val="none"/>
          <w:u w:val="none"/>
          <w:lang w:val="en-US" w:eastAsia="zh-CN"/>
        </w:rPr>
        <w:t>24</w:t>
      </w:r>
      <w:r>
        <w:rPr>
          <w:rFonts w:hint="eastAsia"/>
          <w:color w:val="auto"/>
          <w:sz w:val="28"/>
          <w:highlight w:val="none"/>
          <w:u w:val="none"/>
        </w:rPr>
        <w:t>年</w:t>
      </w:r>
      <w:r>
        <w:rPr>
          <w:rFonts w:hint="eastAsia"/>
          <w:color w:val="auto"/>
          <w:sz w:val="28"/>
          <w:highlight w:val="none"/>
          <w:u w:val="none"/>
          <w:lang w:val="en-US" w:eastAsia="zh-CN"/>
        </w:rPr>
        <w:t>11</w:t>
      </w:r>
      <w:r>
        <w:rPr>
          <w:rFonts w:hint="eastAsia"/>
          <w:color w:val="auto"/>
          <w:sz w:val="28"/>
          <w:highlight w:val="none"/>
          <w:u w:val="none"/>
        </w:rPr>
        <w:t>月</w:t>
      </w:r>
    </w:p>
    <w:p w14:paraId="46DF032C">
      <w:pPr>
        <w:spacing w:line="360" w:lineRule="auto"/>
        <w:jc w:val="center"/>
        <w:rPr>
          <w:rFonts w:hint="eastAsia" w:ascii="宋体" w:cs="Arial"/>
          <w:b/>
          <w:bCs/>
          <w:color w:val="auto"/>
          <w:sz w:val="36"/>
          <w:szCs w:val="36"/>
          <w:highlight w:val="none"/>
        </w:rPr>
        <w:sectPr>
          <w:headerReference r:id="rId4" w:type="first"/>
          <w:headerReference r:id="rId3" w:type="default"/>
          <w:footerReference r:id="rId5" w:type="default"/>
          <w:pgSz w:w="11906" w:h="16838"/>
          <w:pgMar w:top="1134" w:right="1587" w:bottom="1134" w:left="1587" w:header="851" w:footer="850" w:gutter="0"/>
          <w:pgNumType w:fmt="numberInDash" w:start="1"/>
          <w:cols w:space="720" w:num="1"/>
          <w:titlePg/>
          <w:docGrid w:linePitch="312" w:charSpace="0"/>
        </w:sectPr>
      </w:pPr>
    </w:p>
    <w:p w14:paraId="0D36A81D">
      <w:pPr>
        <w:spacing w:line="360" w:lineRule="auto"/>
        <w:jc w:val="center"/>
        <w:rPr>
          <w:rFonts w:hint="eastAsia" w:ascii="宋体" w:cs="Arial"/>
          <w:b/>
          <w:bCs/>
          <w:color w:val="auto"/>
          <w:sz w:val="36"/>
          <w:szCs w:val="36"/>
          <w:highlight w:val="none"/>
        </w:rPr>
      </w:pPr>
    </w:p>
    <w:p w14:paraId="70D58561">
      <w:pPr>
        <w:spacing w:line="360" w:lineRule="auto"/>
        <w:jc w:val="center"/>
        <w:rPr>
          <w:rFonts w:hint="eastAsia" w:ascii="宋体" w:cs="Arial"/>
          <w:b/>
          <w:bCs/>
          <w:color w:val="auto"/>
          <w:sz w:val="36"/>
          <w:szCs w:val="36"/>
          <w:highlight w:val="none"/>
        </w:rPr>
      </w:pPr>
    </w:p>
    <w:p w14:paraId="3D07048A">
      <w:pPr>
        <w:spacing w:before="0" w:beforeLines="0" w:after="0" w:afterLines="0" w:line="240" w:lineRule="auto"/>
        <w:ind w:left="0" w:leftChars="0" w:right="0" w:rightChars="0" w:firstLine="0" w:firstLineChars="0"/>
        <w:jc w:val="center"/>
        <w:rPr>
          <w:b/>
          <w:bCs/>
          <w:color w:val="auto"/>
          <w:sz w:val="40"/>
          <w:szCs w:val="48"/>
          <w:highlight w:val="none"/>
        </w:rPr>
      </w:pPr>
      <w:bookmarkStart w:id="0" w:name="_Toc30240_WPSOffice_Type1"/>
      <w:r>
        <w:rPr>
          <w:rFonts w:ascii="宋体" w:hAnsi="宋体" w:eastAsia="宋体"/>
          <w:b/>
          <w:bCs/>
          <w:color w:val="auto"/>
          <w:sz w:val="40"/>
          <w:szCs w:val="48"/>
          <w:highlight w:val="none"/>
        </w:rPr>
        <w:t>目</w:t>
      </w:r>
      <w:r>
        <w:rPr>
          <w:rFonts w:hint="eastAsia" w:ascii="宋体" w:hAnsi="宋体" w:eastAsia="宋体"/>
          <w:b/>
          <w:bCs/>
          <w:color w:val="auto"/>
          <w:sz w:val="40"/>
          <w:szCs w:val="48"/>
          <w:highlight w:val="none"/>
          <w:lang w:val="en-US" w:eastAsia="zh-CN"/>
        </w:rPr>
        <w:t xml:space="preserve">  </w:t>
      </w:r>
      <w:r>
        <w:rPr>
          <w:rFonts w:ascii="宋体" w:hAnsi="宋体" w:eastAsia="宋体"/>
          <w:b/>
          <w:bCs/>
          <w:color w:val="auto"/>
          <w:sz w:val="40"/>
          <w:szCs w:val="48"/>
          <w:highlight w:val="none"/>
        </w:rPr>
        <w:t>录</w:t>
      </w:r>
    </w:p>
    <w:p w14:paraId="78162DA1">
      <w:pPr>
        <w:pStyle w:val="71"/>
        <w:keepNext w:val="0"/>
        <w:keepLines w:val="0"/>
        <w:pageBreakBefore w:val="0"/>
        <w:widowControl/>
        <w:tabs>
          <w:tab w:val="right" w:leader="dot" w:pos="8732"/>
        </w:tabs>
        <w:kinsoku/>
        <w:wordWrap/>
        <w:overflowPunct/>
        <w:topLinePunct w:val="0"/>
        <w:autoSpaceDE/>
        <w:autoSpaceDN/>
        <w:bidi w:val="0"/>
        <w:adjustRightInd/>
        <w:snapToGrid/>
        <w:spacing w:line="480" w:lineRule="auto"/>
        <w:textAlignment w:val="auto"/>
        <w:rPr>
          <w:color w:val="auto"/>
          <w:sz w:val="28"/>
          <w:szCs w:val="28"/>
          <w:highlight w:val="none"/>
        </w:rPr>
      </w:pPr>
    </w:p>
    <w:p w14:paraId="6DB93780">
      <w:pPr>
        <w:pStyle w:val="71"/>
        <w:keepNext w:val="0"/>
        <w:keepLines w:val="0"/>
        <w:pageBreakBefore w:val="0"/>
        <w:widowControl/>
        <w:tabs>
          <w:tab w:val="right" w:leader="dot" w:pos="8732"/>
        </w:tabs>
        <w:kinsoku/>
        <w:wordWrap/>
        <w:overflowPunct/>
        <w:topLinePunct w:val="0"/>
        <w:autoSpaceDE/>
        <w:autoSpaceDN/>
        <w:bidi w:val="0"/>
        <w:adjustRightInd/>
        <w:snapToGrid/>
        <w:spacing w:line="480" w:lineRule="auto"/>
        <w:textAlignment w:val="auto"/>
        <w:rPr>
          <w:color w:val="auto"/>
          <w:sz w:val="28"/>
          <w:szCs w:val="28"/>
          <w:highlight w:val="none"/>
        </w:rPr>
      </w:pPr>
    </w:p>
    <w:p w14:paraId="780EB17F">
      <w:pPr>
        <w:pStyle w:val="71"/>
        <w:keepNext w:val="0"/>
        <w:keepLines w:val="0"/>
        <w:pageBreakBefore w:val="0"/>
        <w:widowControl/>
        <w:tabs>
          <w:tab w:val="right" w:leader="dot" w:pos="8732"/>
        </w:tabs>
        <w:kinsoku/>
        <w:wordWrap/>
        <w:overflowPunct/>
        <w:topLinePunct w:val="0"/>
        <w:autoSpaceDE/>
        <w:autoSpaceDN/>
        <w:bidi w:val="0"/>
        <w:adjustRightInd/>
        <w:snapToGrid/>
        <w:spacing w:line="480" w:lineRule="auto"/>
        <w:textAlignment w:val="auto"/>
        <w:rPr>
          <w:color w:val="auto"/>
          <w:sz w:val="28"/>
          <w:szCs w:val="28"/>
          <w:highlight w:val="none"/>
        </w:rPr>
      </w:pPr>
    </w:p>
    <w:p w14:paraId="03A5F66F">
      <w:pPr>
        <w:pStyle w:val="71"/>
        <w:keepNext w:val="0"/>
        <w:keepLines w:val="0"/>
        <w:pageBreakBefore w:val="0"/>
        <w:widowControl/>
        <w:tabs>
          <w:tab w:val="right" w:leader="dot" w:pos="8732"/>
        </w:tabs>
        <w:kinsoku/>
        <w:wordWrap/>
        <w:overflowPunct/>
        <w:topLinePunct w:val="0"/>
        <w:autoSpaceDE/>
        <w:autoSpaceDN/>
        <w:bidi w:val="0"/>
        <w:adjustRightInd/>
        <w:snapToGrid/>
        <w:spacing w:line="480" w:lineRule="auto"/>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_Toc22387_WPSOffice_Level1 </w:instrText>
      </w:r>
      <w:r>
        <w:rPr>
          <w:color w:val="auto"/>
          <w:sz w:val="28"/>
          <w:szCs w:val="28"/>
          <w:highlight w:val="none"/>
        </w:rPr>
        <w:fldChar w:fldCharType="separate"/>
      </w:r>
      <w:r>
        <w:rPr>
          <w:rFonts w:hint="eastAsia" w:ascii="宋体"/>
          <w:color w:val="auto"/>
          <w:sz w:val="28"/>
          <w:szCs w:val="28"/>
          <w:highlight w:val="none"/>
        </w:rPr>
        <w:t>第一章 公开招标采购公告</w:t>
      </w:r>
      <w:r>
        <w:rPr>
          <w:color w:val="auto"/>
          <w:sz w:val="28"/>
          <w:szCs w:val="28"/>
          <w:highlight w:val="none"/>
        </w:rPr>
        <w:tab/>
      </w:r>
      <w:r>
        <w:rPr>
          <w:rFonts w:hint="eastAsia"/>
          <w:color w:val="auto"/>
          <w:sz w:val="28"/>
          <w:szCs w:val="28"/>
          <w:highlight w:val="none"/>
          <w:lang w:val="en-US" w:eastAsia="zh-CN"/>
        </w:rPr>
        <w:t>1</w:t>
      </w:r>
      <w:r>
        <w:rPr>
          <w:color w:val="auto"/>
          <w:sz w:val="28"/>
          <w:szCs w:val="28"/>
          <w:highlight w:val="none"/>
        </w:rPr>
        <w:fldChar w:fldCharType="end"/>
      </w:r>
    </w:p>
    <w:p w14:paraId="09AD762E">
      <w:pPr>
        <w:pStyle w:val="71"/>
        <w:keepNext w:val="0"/>
        <w:keepLines w:val="0"/>
        <w:pageBreakBefore w:val="0"/>
        <w:widowControl/>
        <w:tabs>
          <w:tab w:val="right" w:leader="dot" w:pos="8732"/>
        </w:tabs>
        <w:kinsoku/>
        <w:wordWrap/>
        <w:overflowPunct/>
        <w:topLinePunct w:val="0"/>
        <w:autoSpaceDE/>
        <w:autoSpaceDN/>
        <w:bidi w:val="0"/>
        <w:adjustRightInd/>
        <w:snapToGrid/>
        <w:spacing w:line="480" w:lineRule="auto"/>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_Toc30644_WPSOffice_Level1 </w:instrText>
      </w:r>
      <w:r>
        <w:rPr>
          <w:color w:val="auto"/>
          <w:sz w:val="28"/>
          <w:szCs w:val="28"/>
          <w:highlight w:val="none"/>
        </w:rPr>
        <w:fldChar w:fldCharType="separate"/>
      </w:r>
      <w:r>
        <w:rPr>
          <w:rFonts w:hint="eastAsia" w:ascii="宋体"/>
          <w:color w:val="auto"/>
          <w:sz w:val="28"/>
          <w:szCs w:val="28"/>
          <w:highlight w:val="none"/>
        </w:rPr>
        <w:t>第二章 投标人须知</w:t>
      </w:r>
      <w:r>
        <w:rPr>
          <w:color w:val="auto"/>
          <w:sz w:val="28"/>
          <w:szCs w:val="28"/>
          <w:highlight w:val="none"/>
        </w:rPr>
        <w:tab/>
      </w:r>
      <w:r>
        <w:rPr>
          <w:rFonts w:hint="eastAsia"/>
          <w:color w:val="auto"/>
          <w:sz w:val="28"/>
          <w:szCs w:val="28"/>
          <w:highlight w:val="none"/>
          <w:lang w:val="en-US" w:eastAsia="zh-CN"/>
        </w:rPr>
        <w:t>6</w:t>
      </w:r>
      <w:r>
        <w:rPr>
          <w:color w:val="auto"/>
          <w:sz w:val="28"/>
          <w:szCs w:val="28"/>
          <w:highlight w:val="none"/>
        </w:rPr>
        <w:fldChar w:fldCharType="end"/>
      </w:r>
    </w:p>
    <w:p w14:paraId="7D4142ED">
      <w:pPr>
        <w:pStyle w:val="71"/>
        <w:keepNext w:val="0"/>
        <w:keepLines w:val="0"/>
        <w:pageBreakBefore w:val="0"/>
        <w:widowControl/>
        <w:tabs>
          <w:tab w:val="right" w:leader="dot" w:pos="8732"/>
        </w:tabs>
        <w:kinsoku/>
        <w:wordWrap/>
        <w:overflowPunct/>
        <w:topLinePunct w:val="0"/>
        <w:autoSpaceDE/>
        <w:autoSpaceDN/>
        <w:bidi w:val="0"/>
        <w:adjustRightInd/>
        <w:snapToGrid/>
        <w:spacing w:line="480" w:lineRule="auto"/>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_Toc28048_WPSOffice_Level1 </w:instrText>
      </w:r>
      <w:r>
        <w:rPr>
          <w:color w:val="auto"/>
          <w:sz w:val="28"/>
          <w:szCs w:val="28"/>
          <w:highlight w:val="none"/>
        </w:rPr>
        <w:fldChar w:fldCharType="separate"/>
      </w:r>
      <w:r>
        <w:rPr>
          <w:rFonts w:hint="eastAsia" w:ascii="宋体" w:cs="Times New Roman"/>
          <w:color w:val="auto"/>
          <w:sz w:val="28"/>
          <w:szCs w:val="28"/>
          <w:highlight w:val="none"/>
        </w:rPr>
        <w:t xml:space="preserve">第三章 </w:t>
      </w:r>
      <w:r>
        <w:rPr>
          <w:rFonts w:hint="eastAsia" w:ascii="宋体"/>
          <w:color w:val="auto"/>
          <w:sz w:val="28"/>
          <w:szCs w:val="28"/>
          <w:highlight w:val="none"/>
        </w:rPr>
        <w:t>公开招标需求</w:t>
      </w:r>
      <w:r>
        <w:rPr>
          <w:color w:val="auto"/>
          <w:sz w:val="28"/>
          <w:szCs w:val="28"/>
          <w:highlight w:val="none"/>
        </w:rPr>
        <w:tab/>
      </w:r>
      <w:bookmarkStart w:id="1" w:name="_Toc28048_WPSOffice_Level1Page"/>
      <w:r>
        <w:rPr>
          <w:color w:val="auto"/>
          <w:sz w:val="28"/>
          <w:szCs w:val="28"/>
          <w:highlight w:val="none"/>
        </w:rPr>
        <w:t>2</w:t>
      </w:r>
      <w:bookmarkEnd w:id="1"/>
      <w:r>
        <w:rPr>
          <w:rFonts w:hint="eastAsia"/>
          <w:color w:val="auto"/>
          <w:sz w:val="28"/>
          <w:szCs w:val="28"/>
          <w:highlight w:val="none"/>
          <w:lang w:val="en-US" w:eastAsia="zh-CN"/>
        </w:rPr>
        <w:t>0</w:t>
      </w:r>
      <w:r>
        <w:rPr>
          <w:color w:val="auto"/>
          <w:sz w:val="28"/>
          <w:szCs w:val="28"/>
          <w:highlight w:val="none"/>
        </w:rPr>
        <w:fldChar w:fldCharType="end"/>
      </w:r>
    </w:p>
    <w:p w14:paraId="43891D20">
      <w:pPr>
        <w:pStyle w:val="71"/>
        <w:keepNext w:val="0"/>
        <w:keepLines w:val="0"/>
        <w:pageBreakBefore w:val="0"/>
        <w:widowControl/>
        <w:tabs>
          <w:tab w:val="right" w:leader="dot" w:pos="8732"/>
        </w:tabs>
        <w:kinsoku/>
        <w:wordWrap/>
        <w:overflowPunct/>
        <w:topLinePunct w:val="0"/>
        <w:autoSpaceDE/>
        <w:autoSpaceDN/>
        <w:bidi w:val="0"/>
        <w:adjustRightInd/>
        <w:snapToGrid/>
        <w:spacing w:line="480" w:lineRule="auto"/>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_Toc29458_WPSOffice_Level1 </w:instrText>
      </w:r>
      <w:r>
        <w:rPr>
          <w:color w:val="auto"/>
          <w:sz w:val="28"/>
          <w:szCs w:val="28"/>
          <w:highlight w:val="none"/>
        </w:rPr>
        <w:fldChar w:fldCharType="separate"/>
      </w:r>
      <w:r>
        <w:rPr>
          <w:rFonts w:hint="eastAsia" w:ascii="宋体" w:hAnsi="Times New Roman" w:eastAsia="宋体" w:cs="Times New Roman"/>
          <w:color w:val="auto"/>
          <w:sz w:val="28"/>
          <w:szCs w:val="28"/>
          <w:highlight w:val="none"/>
        </w:rPr>
        <w:t>第四章 评标办法及评分标准</w:t>
      </w:r>
      <w:r>
        <w:rPr>
          <w:color w:val="auto"/>
          <w:sz w:val="28"/>
          <w:szCs w:val="28"/>
          <w:highlight w:val="none"/>
        </w:rPr>
        <w:tab/>
      </w:r>
      <w:bookmarkStart w:id="2" w:name="_Toc29458_WPSOffice_Level1Page"/>
      <w:r>
        <w:rPr>
          <w:color w:val="auto"/>
          <w:sz w:val="28"/>
          <w:szCs w:val="28"/>
          <w:highlight w:val="none"/>
        </w:rPr>
        <w:t>2</w:t>
      </w:r>
      <w:bookmarkEnd w:id="2"/>
      <w:r>
        <w:rPr>
          <w:rFonts w:hint="eastAsia"/>
          <w:color w:val="auto"/>
          <w:sz w:val="28"/>
          <w:szCs w:val="28"/>
          <w:highlight w:val="none"/>
          <w:lang w:val="en-US" w:eastAsia="zh-CN"/>
        </w:rPr>
        <w:t>2</w:t>
      </w:r>
      <w:r>
        <w:rPr>
          <w:color w:val="auto"/>
          <w:sz w:val="28"/>
          <w:szCs w:val="28"/>
          <w:highlight w:val="none"/>
        </w:rPr>
        <w:fldChar w:fldCharType="end"/>
      </w:r>
    </w:p>
    <w:p w14:paraId="5957874C">
      <w:pPr>
        <w:pStyle w:val="71"/>
        <w:keepNext w:val="0"/>
        <w:keepLines w:val="0"/>
        <w:pageBreakBefore w:val="0"/>
        <w:widowControl/>
        <w:tabs>
          <w:tab w:val="right" w:leader="dot" w:pos="8732"/>
        </w:tabs>
        <w:kinsoku/>
        <w:wordWrap/>
        <w:overflowPunct/>
        <w:topLinePunct w:val="0"/>
        <w:autoSpaceDE/>
        <w:autoSpaceDN/>
        <w:bidi w:val="0"/>
        <w:adjustRightInd/>
        <w:snapToGrid/>
        <w:spacing w:line="480" w:lineRule="auto"/>
        <w:textAlignment w:val="auto"/>
        <w:rPr>
          <w:rFonts w:hint="eastAsia" w:eastAsia="宋体"/>
          <w:color w:val="auto"/>
          <w:sz w:val="28"/>
          <w:szCs w:val="28"/>
          <w:highlight w:val="none"/>
          <w:lang w:val="en-US" w:eastAsia="zh-CN"/>
        </w:rPr>
      </w:pPr>
      <w:r>
        <w:rPr>
          <w:rFonts w:hint="eastAsia"/>
          <w:color w:val="auto"/>
          <w:sz w:val="28"/>
          <w:szCs w:val="28"/>
          <w:highlight w:val="none"/>
          <w:lang w:val="en-US" w:eastAsia="zh-CN"/>
        </w:rPr>
        <w:t>第五章 合同条款</w:t>
      </w:r>
      <w:r>
        <w:rPr>
          <w:color w:val="auto"/>
          <w:sz w:val="28"/>
          <w:szCs w:val="28"/>
          <w:highlight w:val="none"/>
        </w:rPr>
        <w:tab/>
      </w:r>
      <w:r>
        <w:rPr>
          <w:color w:val="auto"/>
          <w:sz w:val="28"/>
          <w:szCs w:val="28"/>
          <w:highlight w:val="none"/>
        </w:rPr>
        <w:t>2</w:t>
      </w:r>
      <w:r>
        <w:rPr>
          <w:rFonts w:hint="eastAsia"/>
          <w:color w:val="auto"/>
          <w:sz w:val="28"/>
          <w:szCs w:val="28"/>
          <w:highlight w:val="none"/>
          <w:lang w:val="en-US" w:eastAsia="zh-CN"/>
        </w:rPr>
        <w:t>6</w:t>
      </w:r>
    </w:p>
    <w:p w14:paraId="3F201A6C">
      <w:pPr>
        <w:pStyle w:val="71"/>
        <w:keepNext w:val="0"/>
        <w:keepLines w:val="0"/>
        <w:pageBreakBefore w:val="0"/>
        <w:widowControl/>
        <w:tabs>
          <w:tab w:val="right" w:leader="dot" w:pos="8732"/>
        </w:tabs>
        <w:kinsoku/>
        <w:wordWrap/>
        <w:overflowPunct/>
        <w:topLinePunct w:val="0"/>
        <w:autoSpaceDE/>
        <w:autoSpaceDN/>
        <w:bidi w:val="0"/>
        <w:adjustRightInd/>
        <w:snapToGrid/>
        <w:spacing w:line="480" w:lineRule="auto"/>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_Toc17045_WPSOffice_Level1 </w:instrText>
      </w:r>
      <w:r>
        <w:rPr>
          <w:color w:val="auto"/>
          <w:sz w:val="28"/>
          <w:szCs w:val="28"/>
          <w:highlight w:val="none"/>
        </w:rPr>
        <w:fldChar w:fldCharType="separate"/>
      </w:r>
      <w:r>
        <w:rPr>
          <w:rFonts w:hint="eastAsia" w:ascii="宋体"/>
          <w:color w:val="auto"/>
          <w:sz w:val="28"/>
          <w:szCs w:val="28"/>
          <w:highlight w:val="none"/>
        </w:rPr>
        <w:t>第六章 投标文件格式</w:t>
      </w:r>
      <w:r>
        <w:rPr>
          <w:color w:val="auto"/>
          <w:sz w:val="28"/>
          <w:szCs w:val="28"/>
          <w:highlight w:val="none"/>
        </w:rPr>
        <w:tab/>
      </w:r>
      <w:bookmarkStart w:id="3" w:name="_Toc17045_WPSOffice_Level1Page"/>
      <w:r>
        <w:rPr>
          <w:color w:val="auto"/>
          <w:sz w:val="28"/>
          <w:szCs w:val="28"/>
          <w:highlight w:val="none"/>
        </w:rPr>
        <w:t>7</w:t>
      </w:r>
      <w:bookmarkEnd w:id="3"/>
      <w:r>
        <w:rPr>
          <w:rFonts w:hint="eastAsia"/>
          <w:color w:val="auto"/>
          <w:sz w:val="28"/>
          <w:szCs w:val="28"/>
          <w:highlight w:val="none"/>
          <w:lang w:val="en-US" w:eastAsia="zh-CN"/>
        </w:rPr>
        <w:t>5</w:t>
      </w:r>
      <w:r>
        <w:rPr>
          <w:color w:val="auto"/>
          <w:sz w:val="28"/>
          <w:szCs w:val="28"/>
          <w:highlight w:val="none"/>
        </w:rPr>
        <w:fldChar w:fldCharType="end"/>
      </w:r>
    </w:p>
    <w:bookmarkEnd w:id="0"/>
    <w:p w14:paraId="3DAA29D9">
      <w:pPr>
        <w:pStyle w:val="11"/>
        <w:jc w:val="center"/>
        <w:rPr>
          <w:color w:val="auto"/>
          <w:highlight w:val="none"/>
        </w:rPr>
      </w:pPr>
    </w:p>
    <w:p w14:paraId="2446129E">
      <w:pPr>
        <w:pStyle w:val="11"/>
        <w:jc w:val="center"/>
        <w:rPr>
          <w:color w:val="auto"/>
          <w:highlight w:val="none"/>
        </w:rPr>
      </w:pPr>
    </w:p>
    <w:p w14:paraId="4C0C97E6">
      <w:pPr>
        <w:pStyle w:val="11"/>
        <w:jc w:val="center"/>
        <w:rPr>
          <w:color w:val="auto"/>
          <w:highlight w:val="none"/>
        </w:rPr>
      </w:pPr>
    </w:p>
    <w:p w14:paraId="17BC0618">
      <w:pPr>
        <w:pStyle w:val="11"/>
        <w:jc w:val="center"/>
        <w:rPr>
          <w:color w:val="auto"/>
          <w:highlight w:val="none"/>
        </w:rPr>
      </w:pPr>
    </w:p>
    <w:p w14:paraId="0B8BD0DC">
      <w:pPr>
        <w:pStyle w:val="11"/>
        <w:jc w:val="center"/>
        <w:rPr>
          <w:color w:val="auto"/>
          <w:highlight w:val="none"/>
        </w:rPr>
      </w:pPr>
    </w:p>
    <w:p w14:paraId="402C5CA7">
      <w:pPr>
        <w:pStyle w:val="11"/>
        <w:jc w:val="center"/>
        <w:rPr>
          <w:color w:val="auto"/>
          <w:highlight w:val="none"/>
        </w:rPr>
      </w:pPr>
    </w:p>
    <w:p w14:paraId="39FC3AEF">
      <w:pPr>
        <w:pStyle w:val="11"/>
        <w:jc w:val="center"/>
        <w:rPr>
          <w:color w:val="auto"/>
          <w:highlight w:val="none"/>
        </w:rPr>
      </w:pPr>
    </w:p>
    <w:p w14:paraId="7F913636">
      <w:pPr>
        <w:pStyle w:val="11"/>
        <w:jc w:val="center"/>
        <w:rPr>
          <w:color w:val="auto"/>
          <w:highlight w:val="none"/>
        </w:rPr>
      </w:pPr>
    </w:p>
    <w:p w14:paraId="76281F68">
      <w:pPr>
        <w:pStyle w:val="11"/>
        <w:jc w:val="center"/>
        <w:rPr>
          <w:color w:val="auto"/>
          <w:highlight w:val="none"/>
        </w:rPr>
      </w:pPr>
    </w:p>
    <w:p w14:paraId="1EA62C33">
      <w:pPr>
        <w:pStyle w:val="11"/>
        <w:jc w:val="center"/>
        <w:rPr>
          <w:color w:val="auto"/>
          <w:highlight w:val="none"/>
        </w:rPr>
      </w:pPr>
    </w:p>
    <w:p w14:paraId="162CE6A9">
      <w:pPr>
        <w:pStyle w:val="11"/>
        <w:jc w:val="center"/>
        <w:rPr>
          <w:color w:val="auto"/>
          <w:highlight w:val="none"/>
        </w:rPr>
      </w:pPr>
    </w:p>
    <w:p w14:paraId="371CCBB9">
      <w:pPr>
        <w:pStyle w:val="11"/>
        <w:jc w:val="center"/>
        <w:rPr>
          <w:color w:val="auto"/>
          <w:highlight w:val="none"/>
        </w:rPr>
      </w:pPr>
    </w:p>
    <w:p w14:paraId="45F59B6D">
      <w:pPr>
        <w:pStyle w:val="11"/>
        <w:jc w:val="center"/>
        <w:rPr>
          <w:color w:val="auto"/>
          <w:highlight w:val="none"/>
        </w:rPr>
      </w:pPr>
    </w:p>
    <w:p w14:paraId="29EA4F5A">
      <w:pPr>
        <w:pStyle w:val="11"/>
        <w:jc w:val="center"/>
        <w:rPr>
          <w:color w:val="auto"/>
          <w:highlight w:val="none"/>
        </w:rPr>
      </w:pPr>
    </w:p>
    <w:p w14:paraId="2960C022">
      <w:pPr>
        <w:pStyle w:val="11"/>
        <w:jc w:val="center"/>
        <w:rPr>
          <w:color w:val="auto"/>
          <w:highlight w:val="none"/>
        </w:rPr>
      </w:pPr>
    </w:p>
    <w:p w14:paraId="42137BA3">
      <w:pPr>
        <w:pStyle w:val="11"/>
        <w:jc w:val="center"/>
        <w:rPr>
          <w:color w:val="auto"/>
          <w:highlight w:val="none"/>
        </w:rPr>
      </w:pPr>
    </w:p>
    <w:p w14:paraId="4B799B68">
      <w:pPr>
        <w:pStyle w:val="11"/>
        <w:jc w:val="center"/>
        <w:rPr>
          <w:color w:val="auto"/>
          <w:highlight w:val="none"/>
        </w:rPr>
      </w:pPr>
    </w:p>
    <w:p w14:paraId="041BAEAC">
      <w:pPr>
        <w:tabs>
          <w:tab w:val="left" w:pos="180"/>
          <w:tab w:val="left" w:pos="360"/>
          <w:tab w:val="left" w:pos="540"/>
          <w:tab w:val="left" w:pos="8280"/>
        </w:tabs>
        <w:autoSpaceDE w:val="0"/>
        <w:autoSpaceDN w:val="0"/>
        <w:adjustRightInd w:val="0"/>
        <w:spacing w:line="360" w:lineRule="auto"/>
        <w:ind w:right="23"/>
        <w:jc w:val="center"/>
        <w:rPr>
          <w:rFonts w:hint="eastAsia" w:ascii="宋体"/>
          <w:b/>
          <w:color w:val="auto"/>
          <w:kern w:val="0"/>
          <w:sz w:val="36"/>
          <w:szCs w:val="36"/>
          <w:highlight w:val="none"/>
        </w:rPr>
        <w:sectPr>
          <w:footerReference r:id="rId6" w:type="default"/>
          <w:pgSz w:w="11906" w:h="16838"/>
          <w:pgMar w:top="1134" w:right="1587" w:bottom="1134" w:left="1587" w:header="851" w:footer="850" w:gutter="0"/>
          <w:pgNumType w:fmt="numberInDash" w:start="1"/>
          <w:cols w:space="720" w:num="1"/>
          <w:docGrid w:linePitch="312" w:charSpace="0"/>
        </w:sectPr>
      </w:pPr>
      <w:bookmarkStart w:id="4" w:name="_Toc22387_WPSOffice_Level1"/>
    </w:p>
    <w:p w14:paraId="66FC0148">
      <w:pPr>
        <w:tabs>
          <w:tab w:val="left" w:pos="180"/>
          <w:tab w:val="left" w:pos="360"/>
          <w:tab w:val="left" w:pos="540"/>
          <w:tab w:val="left" w:pos="8280"/>
        </w:tabs>
        <w:autoSpaceDE w:val="0"/>
        <w:autoSpaceDN w:val="0"/>
        <w:adjustRightInd w:val="0"/>
        <w:spacing w:line="360" w:lineRule="auto"/>
        <w:ind w:right="23"/>
        <w:jc w:val="center"/>
        <w:rPr>
          <w:rFonts w:hint="eastAsia" w:ascii="宋体"/>
          <w:b/>
          <w:color w:val="auto"/>
          <w:kern w:val="0"/>
          <w:sz w:val="36"/>
          <w:szCs w:val="36"/>
          <w:highlight w:val="none"/>
        </w:rPr>
      </w:pPr>
      <w:r>
        <w:rPr>
          <w:rFonts w:hint="eastAsia" w:ascii="宋体"/>
          <w:b/>
          <w:color w:val="auto"/>
          <w:kern w:val="0"/>
          <w:sz w:val="36"/>
          <w:szCs w:val="36"/>
          <w:highlight w:val="none"/>
        </w:rPr>
        <w:t>第一章 公开</w:t>
      </w:r>
      <w:r>
        <w:rPr>
          <w:rFonts w:hint="eastAsia" w:ascii="宋体"/>
          <w:b/>
          <w:color w:val="auto"/>
          <w:sz w:val="36"/>
          <w:szCs w:val="36"/>
          <w:highlight w:val="none"/>
        </w:rPr>
        <w:t>招标采购公告</w:t>
      </w:r>
      <w:bookmarkEnd w:id="4"/>
    </w:p>
    <w:p w14:paraId="231C1237">
      <w:pPr>
        <w:spacing w:line="360" w:lineRule="auto"/>
        <w:ind w:firstLine="480" w:firstLineChars="200"/>
        <w:rPr>
          <w:rFonts w:hint="eastAsia" w:ascii="宋体" w:cs="宋体"/>
          <w:color w:val="auto"/>
          <w:sz w:val="24"/>
          <w:highlight w:val="none"/>
        </w:rPr>
      </w:pPr>
      <w:r>
        <w:rPr>
          <w:rFonts w:hint="eastAsia" w:ascii="宋体" w:cs="宋体"/>
          <w:color w:val="auto"/>
          <w:sz w:val="24"/>
          <w:highlight w:val="none"/>
        </w:rPr>
        <w:t>根据《中华人民共和国招标投标法》等相关法律、法规规定,受</w:t>
      </w:r>
      <w:r>
        <w:rPr>
          <w:rFonts w:hint="eastAsia" w:ascii="宋体" w:cs="宋体"/>
          <w:color w:val="auto"/>
          <w:sz w:val="24"/>
          <w:highlight w:val="none"/>
          <w:u w:val="single"/>
          <w:lang w:eastAsia="zh-CN"/>
        </w:rPr>
        <w:t>台州西廊港口开发有限公司、中交第三航务工程局有限公司</w:t>
      </w:r>
      <w:r>
        <w:rPr>
          <w:rFonts w:hint="eastAsia" w:ascii="宋体" w:cs="宋体"/>
          <w:color w:val="auto"/>
          <w:sz w:val="24"/>
          <w:highlight w:val="none"/>
        </w:rPr>
        <w:t>委托</w:t>
      </w:r>
      <w:r>
        <w:rPr>
          <w:rFonts w:hint="eastAsia" w:ascii="宋体" w:cs="宋体"/>
          <w:color w:val="auto"/>
          <w:sz w:val="24"/>
          <w:highlight w:val="none"/>
          <w:lang w:eastAsia="zh-CN"/>
        </w:rPr>
        <w:t>，</w:t>
      </w:r>
      <w:r>
        <w:rPr>
          <w:rFonts w:hint="eastAsia" w:ascii="宋体" w:cs="宋体"/>
          <w:color w:val="auto"/>
          <w:sz w:val="24"/>
          <w:highlight w:val="none"/>
          <w:lang w:val="en-US" w:eastAsia="zh-CN"/>
        </w:rPr>
        <w:t>现</w:t>
      </w:r>
      <w:r>
        <w:rPr>
          <w:rFonts w:hint="eastAsia" w:ascii="宋体" w:cs="宋体"/>
          <w:color w:val="auto"/>
          <w:sz w:val="24"/>
          <w:highlight w:val="none"/>
        </w:rPr>
        <w:t>就其</w:t>
      </w:r>
      <w:r>
        <w:rPr>
          <w:rFonts w:hint="eastAsia" w:ascii="宋体" w:cs="宋体"/>
          <w:color w:val="auto"/>
          <w:sz w:val="24"/>
          <w:highlight w:val="none"/>
          <w:u w:val="single"/>
          <w:lang w:eastAsia="zh-CN"/>
        </w:rPr>
        <w:t>台州湾陆岛联动综合码头工程（一期）建筑工程一切险及安全生产责任险保险服务项目（重新招标）</w:t>
      </w:r>
      <w:r>
        <w:rPr>
          <w:rFonts w:hint="eastAsia" w:ascii="宋体" w:cs="宋体"/>
          <w:color w:val="auto"/>
          <w:sz w:val="24"/>
          <w:highlight w:val="none"/>
        </w:rPr>
        <w:t>进行公开招标采购，欢迎合格</w:t>
      </w:r>
      <w:r>
        <w:rPr>
          <w:rFonts w:hint="eastAsia" w:ascii="宋体" w:cs="宋体"/>
          <w:color w:val="auto"/>
          <w:sz w:val="24"/>
          <w:highlight w:val="none"/>
          <w:lang w:eastAsia="zh-CN"/>
        </w:rPr>
        <w:t>的</w:t>
      </w:r>
      <w:r>
        <w:rPr>
          <w:rFonts w:hint="eastAsia" w:ascii="宋体" w:cs="宋体"/>
          <w:color w:val="auto"/>
          <w:sz w:val="24"/>
          <w:highlight w:val="none"/>
          <w:lang w:val="en-US" w:eastAsia="zh-CN"/>
        </w:rPr>
        <w:t>投标人</w:t>
      </w:r>
      <w:r>
        <w:rPr>
          <w:rFonts w:hint="eastAsia" w:ascii="宋体" w:cs="宋体"/>
          <w:color w:val="auto"/>
          <w:sz w:val="24"/>
          <w:highlight w:val="none"/>
        </w:rPr>
        <w:t>前来投标。</w:t>
      </w:r>
    </w:p>
    <w:p w14:paraId="1A342559">
      <w:pPr>
        <w:spacing w:line="360" w:lineRule="auto"/>
        <w:ind w:firstLine="480" w:firstLineChars="200"/>
        <w:rPr>
          <w:rFonts w:hint="default" w:ascii="宋体" w:eastAsia="宋体" w:cs="宋体"/>
          <w:b w:val="0"/>
          <w:bCs w:val="0"/>
          <w:color w:val="auto"/>
          <w:sz w:val="24"/>
          <w:highlight w:val="none"/>
          <w:lang w:val="en-US" w:eastAsia="zh-CN"/>
        </w:rPr>
      </w:pPr>
      <w:r>
        <w:rPr>
          <w:rFonts w:hint="eastAsia" w:ascii="宋体" w:cs="宋体"/>
          <w:b/>
          <w:bCs/>
          <w:color w:val="auto"/>
          <w:sz w:val="24"/>
          <w:highlight w:val="none"/>
        </w:rPr>
        <w:t>一、项目编号：</w:t>
      </w:r>
      <w:r>
        <w:rPr>
          <w:rFonts w:hint="eastAsia" w:ascii="宋体" w:cs="宋体"/>
          <w:b/>
          <w:bCs/>
          <w:color w:val="auto"/>
          <w:sz w:val="24"/>
          <w:highlight w:val="none"/>
          <w:lang w:eastAsia="zh-CN"/>
        </w:rPr>
        <w:t>QBJ2024253</w:t>
      </w:r>
      <w:r>
        <w:rPr>
          <w:rFonts w:hint="eastAsia" w:ascii="宋体" w:cs="宋体"/>
          <w:b/>
          <w:bCs/>
          <w:color w:val="auto"/>
          <w:sz w:val="24"/>
          <w:highlight w:val="none"/>
          <w:lang w:val="en-US" w:eastAsia="zh-CN"/>
        </w:rPr>
        <w:t xml:space="preserve"> </w:t>
      </w:r>
    </w:p>
    <w:p w14:paraId="18988DB2">
      <w:pPr>
        <w:snapToGrid w:val="0"/>
        <w:spacing w:line="360" w:lineRule="auto"/>
        <w:ind w:firstLine="480" w:firstLineChars="200"/>
        <w:rPr>
          <w:rFonts w:hint="eastAsia" w:ascii="宋体" w:hAnsi="宋体" w:cs="宋体"/>
          <w:color w:val="auto"/>
          <w:sz w:val="24"/>
          <w:szCs w:val="20"/>
          <w:highlight w:val="none"/>
        </w:rPr>
      </w:pPr>
      <w:r>
        <w:rPr>
          <w:rFonts w:hint="eastAsia" w:ascii="宋体" w:hAnsi="宋体" w:cs="宋体"/>
          <w:b/>
          <w:color w:val="auto"/>
          <w:sz w:val="24"/>
          <w:highlight w:val="none"/>
          <w:lang w:val="en-US" w:eastAsia="zh-CN"/>
        </w:rPr>
        <w:t>二</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招标</w:t>
      </w:r>
      <w:r>
        <w:rPr>
          <w:rFonts w:hint="eastAsia" w:ascii="宋体" w:hAnsi="宋体" w:cs="宋体"/>
          <w:b/>
          <w:color w:val="auto"/>
          <w:sz w:val="24"/>
          <w:highlight w:val="none"/>
        </w:rPr>
        <w:t>方式：</w:t>
      </w:r>
      <w:r>
        <w:rPr>
          <w:rFonts w:hint="eastAsia" w:ascii="宋体" w:hAnsi="宋体" w:cs="宋体"/>
          <w:color w:val="auto"/>
          <w:sz w:val="24"/>
          <w:highlight w:val="none"/>
        </w:rPr>
        <w:t>公开招标</w:t>
      </w:r>
    </w:p>
    <w:p w14:paraId="114A474C">
      <w:pPr>
        <w:spacing w:line="360" w:lineRule="auto"/>
        <w:ind w:firstLine="480" w:firstLineChars="200"/>
        <w:rPr>
          <w:rFonts w:hint="eastAsia" w:ascii="宋体" w:cs="宋体"/>
          <w:b/>
          <w:bCs/>
          <w:color w:val="auto"/>
          <w:sz w:val="24"/>
          <w:highlight w:val="none"/>
        </w:rPr>
      </w:pPr>
      <w:r>
        <w:rPr>
          <w:rFonts w:hint="eastAsia" w:ascii="宋体" w:cs="宋体"/>
          <w:b/>
          <w:bCs/>
          <w:color w:val="auto"/>
          <w:sz w:val="24"/>
          <w:highlight w:val="none"/>
          <w:lang w:val="en-US" w:eastAsia="zh-CN"/>
        </w:rPr>
        <w:t>三</w:t>
      </w:r>
      <w:r>
        <w:rPr>
          <w:rFonts w:hint="eastAsia" w:ascii="宋体" w:cs="宋体"/>
          <w:b/>
          <w:bCs/>
          <w:color w:val="auto"/>
          <w:sz w:val="24"/>
          <w:highlight w:val="none"/>
        </w:rPr>
        <w:t>、招标项目概况：</w:t>
      </w:r>
    </w:p>
    <w:tbl>
      <w:tblPr>
        <w:tblStyle w:val="30"/>
        <w:tblW w:w="8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712"/>
        <w:gridCol w:w="1364"/>
        <w:gridCol w:w="567"/>
        <w:gridCol w:w="550"/>
        <w:gridCol w:w="1731"/>
      </w:tblGrid>
      <w:tr w14:paraId="0A81B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804" w:type="dxa"/>
            <w:noWrap w:val="0"/>
            <w:vAlign w:val="center"/>
          </w:tcPr>
          <w:p w14:paraId="2317BB98">
            <w:pPr>
              <w:tabs>
                <w:tab w:val="left" w:pos="8280"/>
              </w:tabs>
              <w:autoSpaceDE w:val="0"/>
              <w:autoSpaceDN w:val="0"/>
              <w:adjustRightInd w:val="0"/>
              <w:spacing w:line="360" w:lineRule="auto"/>
              <w:ind w:right="25"/>
              <w:jc w:val="center"/>
              <w:rPr>
                <w:rFonts w:ascii="宋体" w:hAnsi="宋体"/>
                <w:b/>
                <w:color w:val="auto"/>
                <w:sz w:val="24"/>
                <w:highlight w:val="none"/>
              </w:rPr>
            </w:pPr>
            <w:r>
              <w:rPr>
                <w:rFonts w:hint="eastAsia" w:ascii="宋体" w:hAnsi="宋体"/>
                <w:b/>
                <w:color w:val="auto"/>
                <w:sz w:val="24"/>
                <w:highlight w:val="none"/>
                <w:lang w:val="en-US" w:eastAsia="zh-CN"/>
              </w:rPr>
              <w:t>序</w:t>
            </w:r>
            <w:r>
              <w:rPr>
                <w:rFonts w:hint="eastAsia" w:ascii="宋体" w:hAnsi="宋体"/>
                <w:b/>
                <w:color w:val="auto"/>
                <w:sz w:val="24"/>
                <w:highlight w:val="none"/>
              </w:rPr>
              <w:t>号</w:t>
            </w:r>
          </w:p>
        </w:tc>
        <w:tc>
          <w:tcPr>
            <w:tcW w:w="3712" w:type="dxa"/>
            <w:noWrap w:val="0"/>
            <w:vAlign w:val="center"/>
          </w:tcPr>
          <w:p w14:paraId="79E67882">
            <w:pPr>
              <w:tabs>
                <w:tab w:val="left" w:pos="8280"/>
              </w:tabs>
              <w:autoSpaceDE w:val="0"/>
              <w:autoSpaceDN w:val="0"/>
              <w:adjustRightInd w:val="0"/>
              <w:spacing w:line="360" w:lineRule="auto"/>
              <w:ind w:right="25"/>
              <w:jc w:val="center"/>
              <w:rPr>
                <w:rFonts w:hint="eastAsia" w:ascii="宋体" w:hAnsi="宋体"/>
                <w:b/>
                <w:color w:val="auto"/>
                <w:sz w:val="24"/>
                <w:highlight w:val="none"/>
              </w:rPr>
            </w:pPr>
            <w:r>
              <w:rPr>
                <w:rFonts w:hint="eastAsia" w:ascii="宋体" w:hAnsi="宋体"/>
                <w:b/>
                <w:color w:val="auto"/>
                <w:sz w:val="24"/>
                <w:highlight w:val="none"/>
              </w:rPr>
              <w:t>标项内容</w:t>
            </w:r>
          </w:p>
        </w:tc>
        <w:tc>
          <w:tcPr>
            <w:tcW w:w="1364" w:type="dxa"/>
            <w:noWrap w:val="0"/>
            <w:vAlign w:val="center"/>
          </w:tcPr>
          <w:p w14:paraId="5C3E3E13">
            <w:pPr>
              <w:tabs>
                <w:tab w:val="left" w:pos="8280"/>
              </w:tabs>
              <w:autoSpaceDE w:val="0"/>
              <w:autoSpaceDN w:val="0"/>
              <w:adjustRightInd w:val="0"/>
              <w:spacing w:line="360" w:lineRule="auto"/>
              <w:ind w:right="25"/>
              <w:jc w:val="center"/>
              <w:rPr>
                <w:rFonts w:ascii="宋体" w:hAnsi="宋体"/>
                <w:b/>
                <w:color w:val="auto"/>
                <w:sz w:val="24"/>
                <w:highlight w:val="none"/>
              </w:rPr>
            </w:pPr>
            <w:r>
              <w:rPr>
                <w:rFonts w:hint="eastAsia" w:ascii="宋体" w:hAnsi="宋体" w:cs="宋体"/>
                <w:b/>
                <w:color w:val="auto"/>
                <w:kern w:val="0"/>
                <w:sz w:val="24"/>
                <w:highlight w:val="none"/>
              </w:rPr>
              <w:t>简要技术要求</w:t>
            </w:r>
          </w:p>
        </w:tc>
        <w:tc>
          <w:tcPr>
            <w:tcW w:w="567" w:type="dxa"/>
            <w:noWrap w:val="0"/>
            <w:vAlign w:val="center"/>
          </w:tcPr>
          <w:p w14:paraId="75A78F3E">
            <w:pPr>
              <w:tabs>
                <w:tab w:val="left" w:pos="8280"/>
              </w:tabs>
              <w:autoSpaceDE w:val="0"/>
              <w:autoSpaceDN w:val="0"/>
              <w:adjustRightInd w:val="0"/>
              <w:spacing w:line="360" w:lineRule="auto"/>
              <w:ind w:right="25"/>
              <w:jc w:val="center"/>
              <w:rPr>
                <w:rFonts w:ascii="宋体" w:hAnsi="宋体"/>
                <w:b/>
                <w:color w:val="auto"/>
                <w:sz w:val="24"/>
                <w:highlight w:val="none"/>
              </w:rPr>
            </w:pPr>
            <w:r>
              <w:rPr>
                <w:rFonts w:hint="eastAsia" w:ascii="宋体" w:hAnsi="宋体"/>
                <w:b/>
                <w:color w:val="auto"/>
                <w:sz w:val="24"/>
                <w:highlight w:val="none"/>
              </w:rPr>
              <w:t>数量</w:t>
            </w:r>
          </w:p>
        </w:tc>
        <w:tc>
          <w:tcPr>
            <w:tcW w:w="550" w:type="dxa"/>
            <w:noWrap w:val="0"/>
            <w:vAlign w:val="center"/>
          </w:tcPr>
          <w:p w14:paraId="24FE111A">
            <w:pPr>
              <w:tabs>
                <w:tab w:val="left" w:pos="8280"/>
              </w:tabs>
              <w:autoSpaceDE w:val="0"/>
              <w:autoSpaceDN w:val="0"/>
              <w:adjustRightInd w:val="0"/>
              <w:spacing w:line="360" w:lineRule="auto"/>
              <w:ind w:right="25"/>
              <w:jc w:val="center"/>
              <w:rPr>
                <w:rFonts w:ascii="宋体" w:hAnsi="宋体"/>
                <w:b/>
                <w:color w:val="auto"/>
                <w:sz w:val="24"/>
                <w:highlight w:val="none"/>
              </w:rPr>
            </w:pPr>
            <w:r>
              <w:rPr>
                <w:rFonts w:hint="eastAsia" w:ascii="宋体" w:hAnsi="宋体"/>
                <w:b/>
                <w:color w:val="auto"/>
                <w:sz w:val="24"/>
                <w:highlight w:val="none"/>
              </w:rPr>
              <w:t>单位</w:t>
            </w:r>
          </w:p>
        </w:tc>
        <w:tc>
          <w:tcPr>
            <w:tcW w:w="1731" w:type="dxa"/>
            <w:noWrap w:val="0"/>
            <w:vAlign w:val="center"/>
          </w:tcPr>
          <w:p w14:paraId="76938F5F">
            <w:pPr>
              <w:tabs>
                <w:tab w:val="left" w:pos="8280"/>
              </w:tabs>
              <w:autoSpaceDE w:val="0"/>
              <w:autoSpaceDN w:val="0"/>
              <w:adjustRightInd w:val="0"/>
              <w:spacing w:line="360" w:lineRule="auto"/>
              <w:ind w:right="25"/>
              <w:jc w:val="center"/>
              <w:rPr>
                <w:rFonts w:hint="eastAsia" w:ascii="宋体" w:hAnsi="宋体"/>
                <w:b/>
                <w:color w:val="auto"/>
                <w:sz w:val="24"/>
                <w:highlight w:val="none"/>
              </w:rPr>
            </w:pPr>
            <w:r>
              <w:rPr>
                <w:rFonts w:hint="eastAsia" w:ascii="宋体" w:hAnsi="宋体"/>
                <w:b/>
                <w:color w:val="auto"/>
                <w:sz w:val="24"/>
                <w:highlight w:val="none"/>
              </w:rPr>
              <w:t>预算</w:t>
            </w:r>
          </w:p>
          <w:p w14:paraId="133A6C03">
            <w:pPr>
              <w:tabs>
                <w:tab w:val="left" w:pos="8280"/>
              </w:tabs>
              <w:autoSpaceDE w:val="0"/>
              <w:autoSpaceDN w:val="0"/>
              <w:adjustRightInd w:val="0"/>
              <w:spacing w:line="360" w:lineRule="auto"/>
              <w:ind w:right="25"/>
              <w:jc w:val="center"/>
              <w:rPr>
                <w:rFonts w:ascii="宋体" w:hAnsi="宋体"/>
                <w:b/>
                <w:color w:val="auto"/>
                <w:sz w:val="24"/>
                <w:highlight w:val="none"/>
              </w:rPr>
            </w:pPr>
            <w:r>
              <w:rPr>
                <w:rFonts w:hint="eastAsia" w:ascii="宋体" w:hAnsi="宋体"/>
                <w:b/>
                <w:color w:val="auto"/>
                <w:sz w:val="24"/>
                <w:highlight w:val="none"/>
              </w:rPr>
              <w:t>（万元）</w:t>
            </w:r>
          </w:p>
        </w:tc>
      </w:tr>
      <w:tr w14:paraId="5F46A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804" w:type="dxa"/>
            <w:noWrap w:val="0"/>
            <w:vAlign w:val="center"/>
          </w:tcPr>
          <w:p w14:paraId="6A158580">
            <w:pPr>
              <w:shd w:val="clear" w:color="auto" w:fill="auto"/>
              <w:tabs>
                <w:tab w:val="left" w:pos="8280"/>
              </w:tabs>
              <w:autoSpaceDE w:val="0"/>
              <w:autoSpaceDN w:val="0"/>
              <w:adjustRightInd w:val="0"/>
              <w:spacing w:line="360" w:lineRule="auto"/>
              <w:ind w:right="25"/>
              <w:jc w:val="center"/>
              <w:rPr>
                <w:rFonts w:ascii="宋体" w:hAnsi="宋体"/>
                <w:color w:val="auto"/>
                <w:sz w:val="24"/>
                <w:highlight w:val="none"/>
              </w:rPr>
            </w:pPr>
            <w:r>
              <w:rPr>
                <w:rFonts w:hint="eastAsia" w:ascii="宋体" w:hAnsi="宋体"/>
                <w:color w:val="auto"/>
                <w:sz w:val="24"/>
                <w:highlight w:val="none"/>
              </w:rPr>
              <w:t>1</w:t>
            </w:r>
          </w:p>
        </w:tc>
        <w:tc>
          <w:tcPr>
            <w:tcW w:w="3712" w:type="dxa"/>
            <w:noWrap w:val="0"/>
            <w:vAlign w:val="center"/>
          </w:tcPr>
          <w:p w14:paraId="7B67320A">
            <w:pPr>
              <w:shd w:val="clear" w:color="auto" w:fill="auto"/>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台州湾陆岛联动综合码头工程（一期）建筑工程一切险及安全生产责任险保险服务</w:t>
            </w:r>
          </w:p>
        </w:tc>
        <w:tc>
          <w:tcPr>
            <w:tcW w:w="1364" w:type="dxa"/>
            <w:noWrap w:val="0"/>
            <w:vAlign w:val="center"/>
          </w:tcPr>
          <w:p w14:paraId="332BB6B6">
            <w:pPr>
              <w:shd w:val="clear" w:color="auto" w:fill="auto"/>
              <w:spacing w:line="360" w:lineRule="auto"/>
              <w:jc w:val="center"/>
              <w:rPr>
                <w:rFonts w:ascii="宋体" w:hAnsi="宋体"/>
                <w:color w:val="auto"/>
                <w:sz w:val="24"/>
                <w:highlight w:val="none"/>
              </w:rPr>
            </w:pPr>
            <w:r>
              <w:rPr>
                <w:rFonts w:hint="eastAsia" w:ascii="宋体" w:hAnsi="宋体" w:cs="宋体"/>
                <w:color w:val="auto"/>
                <w:sz w:val="24"/>
                <w:highlight w:val="none"/>
              </w:rPr>
              <w:t>详见第</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章“公开招标需求”</w:t>
            </w:r>
          </w:p>
        </w:tc>
        <w:tc>
          <w:tcPr>
            <w:tcW w:w="567" w:type="dxa"/>
            <w:noWrap w:val="0"/>
            <w:vAlign w:val="center"/>
          </w:tcPr>
          <w:p w14:paraId="44605A73">
            <w:pPr>
              <w:widowControl/>
              <w:shd w:val="clear" w:color="auto" w:fill="auto"/>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550" w:type="dxa"/>
            <w:noWrap w:val="0"/>
            <w:vAlign w:val="center"/>
          </w:tcPr>
          <w:p w14:paraId="5C1695BB">
            <w:pPr>
              <w:widowControl/>
              <w:shd w:val="clear" w:color="auto" w:fill="auto"/>
              <w:spacing w:line="360" w:lineRule="auto"/>
              <w:jc w:val="center"/>
              <w:rPr>
                <w:rFonts w:ascii="宋体" w:hAnsi="宋体"/>
                <w:color w:val="auto"/>
                <w:sz w:val="24"/>
                <w:highlight w:val="none"/>
              </w:rPr>
            </w:pPr>
            <w:r>
              <w:rPr>
                <w:rFonts w:hint="eastAsia" w:ascii="宋体" w:hAnsi="宋体"/>
                <w:color w:val="auto"/>
                <w:sz w:val="24"/>
                <w:highlight w:val="none"/>
              </w:rPr>
              <w:t>项</w:t>
            </w:r>
          </w:p>
        </w:tc>
        <w:tc>
          <w:tcPr>
            <w:tcW w:w="1731" w:type="dxa"/>
            <w:noWrap w:val="0"/>
            <w:vAlign w:val="center"/>
          </w:tcPr>
          <w:p w14:paraId="5689F86A">
            <w:pPr>
              <w:shd w:val="clear" w:color="auto" w:fill="auto"/>
              <w:tabs>
                <w:tab w:val="left" w:pos="8280"/>
              </w:tabs>
              <w:autoSpaceDE w:val="0"/>
              <w:autoSpaceDN w:val="0"/>
              <w:adjustRightInd w:val="0"/>
              <w:spacing w:line="360" w:lineRule="auto"/>
              <w:ind w:right="25"/>
              <w:jc w:val="center"/>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407</w:t>
            </w:r>
            <w:r>
              <w:rPr>
                <w:rFonts w:hint="eastAsia" w:ascii="宋体" w:hAnsi="宋体" w:eastAsia="宋体"/>
                <w:color w:val="auto"/>
                <w:sz w:val="24"/>
                <w:highlight w:val="none"/>
                <w:lang w:val="en-US" w:eastAsia="zh-CN"/>
              </w:rPr>
              <w:t>.</w:t>
            </w:r>
            <w:r>
              <w:rPr>
                <w:rFonts w:hint="default" w:ascii="宋体" w:hAnsi="宋体" w:eastAsia="宋体"/>
                <w:color w:val="auto"/>
                <w:sz w:val="24"/>
                <w:highlight w:val="none"/>
                <w:lang w:val="en-US" w:eastAsia="zh-CN"/>
              </w:rPr>
              <w:t>9</w:t>
            </w:r>
            <w:r>
              <w:rPr>
                <w:rFonts w:hint="eastAsia" w:ascii="宋体" w:hAnsi="宋体" w:eastAsia="宋体"/>
                <w:color w:val="auto"/>
                <w:sz w:val="24"/>
                <w:highlight w:val="none"/>
                <w:lang w:val="en-US" w:eastAsia="zh-CN"/>
              </w:rPr>
              <w:t>462</w:t>
            </w:r>
          </w:p>
        </w:tc>
      </w:tr>
    </w:tbl>
    <w:p w14:paraId="19FF3B7B">
      <w:pPr>
        <w:spacing w:line="360" w:lineRule="auto"/>
        <w:ind w:firstLine="480" w:firstLineChars="200"/>
        <w:rPr>
          <w:rFonts w:hint="eastAsia" w:ascii="宋体" w:cs="宋体"/>
          <w:b/>
          <w:bCs/>
          <w:color w:val="auto"/>
          <w:sz w:val="24"/>
          <w:highlight w:val="none"/>
          <w:lang w:val="en-US" w:eastAsia="zh-CN"/>
        </w:rPr>
      </w:pPr>
      <w:r>
        <w:rPr>
          <w:rFonts w:hint="eastAsia" w:ascii="宋体" w:cs="宋体"/>
          <w:b/>
          <w:bCs/>
          <w:color w:val="auto"/>
          <w:sz w:val="24"/>
          <w:highlight w:val="none"/>
          <w:lang w:val="en-US" w:eastAsia="zh-CN"/>
        </w:rPr>
        <w:t>建筑工程一切险及安全生产责任险保险期限：</w:t>
      </w:r>
    </w:p>
    <w:p w14:paraId="6DB0E404">
      <w:pPr>
        <w:spacing w:line="360" w:lineRule="auto"/>
        <w:ind w:firstLine="480" w:firstLineChars="200"/>
        <w:rPr>
          <w:rFonts w:hint="eastAsia" w:ascii="宋体" w:hAnsi="Times New Roman" w:eastAsia="宋体" w:cs="宋体"/>
          <w:b/>
          <w:bCs/>
          <w:color w:val="auto"/>
          <w:sz w:val="24"/>
          <w:highlight w:val="none"/>
          <w:lang w:val="en-US" w:eastAsia="zh-CN"/>
        </w:rPr>
      </w:pPr>
      <w:r>
        <w:rPr>
          <w:rFonts w:hint="eastAsia" w:ascii="宋体" w:cs="宋体"/>
          <w:b/>
          <w:bCs/>
          <w:color w:val="auto"/>
          <w:sz w:val="24"/>
          <w:highlight w:val="none"/>
          <w:lang w:val="en-US" w:eastAsia="zh-CN"/>
        </w:rPr>
        <w:t>自本保险合同签订之日起至本工程竣工验收合格之日止，保险服务期为30个月。如遇工期延期，本保险期限将免费延期12个月，且不加收任何附加保险费，被保险人须提前30天通知保险人。如在免费延期12个月后仍未完工，投保人在缴纳本保险合同项下按日比例计算的保险费后，保险期限可以继续延长。超过12个月部分的保费=本项目建筑工程一切险保险金额（815892366元）×（建筑工程一切险保</w:t>
      </w:r>
      <w:r>
        <w:rPr>
          <w:rFonts w:hint="eastAsia" w:ascii="宋体" w:hAnsi="Times New Roman" w:eastAsia="宋体" w:cs="宋体"/>
          <w:b/>
          <w:bCs/>
          <w:color w:val="auto"/>
          <w:sz w:val="24"/>
          <w:highlight w:val="none"/>
          <w:lang w:val="en-US" w:eastAsia="zh-CN"/>
        </w:rPr>
        <w:t>险费率+安全生产责任险费率）×（延期时间-365天）/900天。</w:t>
      </w:r>
    </w:p>
    <w:p w14:paraId="46FC7E53">
      <w:pPr>
        <w:spacing w:line="360" w:lineRule="auto"/>
        <w:ind w:firstLine="482" w:firstLineChars="200"/>
        <w:rPr>
          <w:rFonts w:hint="eastAsia" w:ascii="宋体" w:hAnsi="Times New Roman" w:eastAsia="宋体" w:cs="宋体"/>
          <w:b/>
          <w:bCs/>
          <w:color w:val="auto"/>
          <w:sz w:val="24"/>
          <w:highlight w:val="none"/>
          <w:lang w:val="en-US" w:eastAsia="zh-CN"/>
        </w:rPr>
      </w:pPr>
      <w:r>
        <w:rPr>
          <w:rFonts w:hint="eastAsia" w:ascii="宋体" w:hAnsi="Times New Roman" w:eastAsia="宋体" w:cs="宋体"/>
          <w:b/>
          <w:bCs/>
          <w:color w:val="auto"/>
          <w:sz w:val="24"/>
          <w:highlight w:val="none"/>
          <w:lang w:val="en-US" w:eastAsia="zh-CN"/>
        </w:rPr>
        <w:t>建筑工程一切险及安全生产责任险保证期：</w:t>
      </w:r>
    </w:p>
    <w:p w14:paraId="161582D8">
      <w:pPr>
        <w:spacing w:line="360" w:lineRule="auto"/>
        <w:ind w:firstLine="482" w:firstLineChars="200"/>
        <w:rPr>
          <w:rFonts w:hint="eastAsia" w:ascii="宋体" w:hAnsi="Times New Roman" w:eastAsia="宋体" w:cs="宋体"/>
          <w:b/>
          <w:bCs/>
          <w:color w:val="auto"/>
          <w:sz w:val="24"/>
          <w:highlight w:val="none"/>
          <w:lang w:val="en-US" w:eastAsia="zh-CN"/>
        </w:rPr>
      </w:pPr>
      <w:r>
        <w:rPr>
          <w:rFonts w:hint="eastAsia" w:ascii="宋体" w:hAnsi="Times New Roman" w:eastAsia="宋体" w:cs="宋体"/>
          <w:b/>
          <w:bCs/>
          <w:color w:val="auto"/>
          <w:sz w:val="24"/>
          <w:szCs w:val="24"/>
          <w:highlight w:val="none"/>
        </w:rPr>
        <w:t>本工程竣工验收合格之日起至本工程缺陷责任期终止证书颁发之日止，预计</w:t>
      </w:r>
      <w:r>
        <w:rPr>
          <w:rFonts w:hint="eastAsia" w:ascii="宋体" w:hAnsi="Times New Roman" w:eastAsia="宋体" w:cs="宋体"/>
          <w:b/>
          <w:bCs/>
          <w:color w:val="auto"/>
          <w:sz w:val="24"/>
          <w:szCs w:val="24"/>
          <w:highlight w:val="none"/>
          <w:lang w:val="en-US" w:eastAsia="zh-CN"/>
        </w:rPr>
        <w:t>12</w:t>
      </w:r>
      <w:r>
        <w:rPr>
          <w:rFonts w:hint="eastAsia" w:ascii="宋体" w:hAnsi="Times New Roman" w:eastAsia="宋体" w:cs="宋体"/>
          <w:b/>
          <w:bCs/>
          <w:color w:val="auto"/>
          <w:sz w:val="24"/>
          <w:szCs w:val="24"/>
          <w:highlight w:val="none"/>
        </w:rPr>
        <w:t>个月。如遇工期延期，则保证期相应顺延。</w:t>
      </w:r>
    </w:p>
    <w:p w14:paraId="3266642E">
      <w:pPr>
        <w:spacing w:line="360" w:lineRule="auto"/>
        <w:ind w:firstLine="480" w:firstLineChars="200"/>
        <w:rPr>
          <w:rFonts w:hint="eastAsia" w:ascii="宋体" w:cs="宋体"/>
          <w:b/>
          <w:bCs/>
          <w:color w:val="auto"/>
          <w:sz w:val="24"/>
          <w:highlight w:val="none"/>
        </w:rPr>
      </w:pPr>
      <w:r>
        <w:rPr>
          <w:rFonts w:hint="eastAsia" w:ascii="宋体" w:cs="宋体"/>
          <w:b/>
          <w:bCs/>
          <w:color w:val="auto"/>
          <w:sz w:val="24"/>
          <w:highlight w:val="none"/>
          <w:lang w:val="en-US" w:eastAsia="zh-CN"/>
        </w:rPr>
        <w:t>四</w:t>
      </w:r>
      <w:r>
        <w:rPr>
          <w:rFonts w:hint="eastAsia" w:ascii="宋体" w:cs="宋体"/>
          <w:b/>
          <w:bCs/>
          <w:color w:val="auto"/>
          <w:sz w:val="24"/>
          <w:highlight w:val="none"/>
        </w:rPr>
        <w:t>、合格投标</w:t>
      </w:r>
      <w:r>
        <w:rPr>
          <w:rFonts w:hint="eastAsia" w:ascii="宋体" w:cs="宋体"/>
          <w:b/>
          <w:bCs/>
          <w:color w:val="auto"/>
          <w:sz w:val="24"/>
          <w:highlight w:val="none"/>
          <w:lang w:val="en-US" w:eastAsia="zh-CN"/>
        </w:rPr>
        <w:t>人</w:t>
      </w:r>
      <w:r>
        <w:rPr>
          <w:rFonts w:hint="eastAsia" w:ascii="宋体" w:cs="宋体"/>
          <w:b/>
          <w:bCs/>
          <w:color w:val="auto"/>
          <w:sz w:val="24"/>
          <w:highlight w:val="none"/>
        </w:rPr>
        <w:t>的资格条件：</w:t>
      </w:r>
    </w:p>
    <w:p w14:paraId="37D7D3EB">
      <w:pPr>
        <w:pStyle w:val="45"/>
        <w:spacing w:before="0" w:line="360" w:lineRule="auto"/>
        <w:ind w:left="0" w:right="0" w:firstLine="480" w:firstLineChars="200"/>
        <w:rPr>
          <w:rFonts w:hint="eastAsia" w:ascii="宋体" w:eastAsia="宋体" w:cs="宋体"/>
          <w:color w:val="auto"/>
          <w:sz w:val="24"/>
          <w:szCs w:val="24"/>
          <w:highlight w:val="none"/>
        </w:rPr>
      </w:pPr>
      <w:r>
        <w:rPr>
          <w:rFonts w:hint="eastAsia" w:ascii="宋体" w:eastAsia="宋体" w:cs="宋体"/>
          <w:color w:val="auto"/>
          <w:sz w:val="24"/>
          <w:szCs w:val="24"/>
          <w:highlight w:val="none"/>
        </w:rPr>
        <w:t>（一）具有独立法人资格或经其授权的省级分支机构（省级分支机构包含直辖市级别分支机构，下同）或经其授权的地市级分支机构【企业法人投标的提供企业法人营业执照；分支机构参与投标需同时提供总公司的企业法人营业执照、分支机构营业执照和总公司授权书，三者缺一不可，否则不予认可。同一总公司只允许自身或授权一家分支机构参加投标，否则均按否决投标处理】。</w:t>
      </w:r>
    </w:p>
    <w:p w14:paraId="75E81280">
      <w:pPr>
        <w:pStyle w:val="45"/>
        <w:spacing w:before="0" w:line="360" w:lineRule="auto"/>
        <w:ind w:left="0" w:right="0" w:firstLine="480" w:firstLineChars="200"/>
        <w:rPr>
          <w:rFonts w:hint="eastAsia" w:ascii="宋体" w:eastAsia="宋体" w:cs="宋体"/>
          <w:color w:val="auto"/>
          <w:sz w:val="24"/>
          <w:szCs w:val="24"/>
          <w:highlight w:val="none"/>
          <w:lang w:eastAsia="zh-CN"/>
        </w:rPr>
      </w:pPr>
      <w:r>
        <w:rPr>
          <w:rFonts w:hint="eastAsia" w:ascii="宋体" w:eastAsia="宋体" w:cs="宋体"/>
          <w:color w:val="auto"/>
          <w:sz w:val="24"/>
          <w:szCs w:val="24"/>
          <w:highlight w:val="none"/>
        </w:rPr>
        <w:t>（</w:t>
      </w:r>
      <w:r>
        <w:rPr>
          <w:rFonts w:hint="eastAsia" w:ascii="宋体" w:eastAsia="宋体" w:cs="宋体"/>
          <w:color w:val="auto"/>
          <w:sz w:val="24"/>
          <w:szCs w:val="24"/>
          <w:highlight w:val="none"/>
          <w:lang w:val="en-US" w:eastAsia="zh-CN"/>
        </w:rPr>
        <w:t>二</w:t>
      </w:r>
      <w:r>
        <w:rPr>
          <w:rFonts w:hint="eastAsia" w:ascii="宋体" w:eastAsia="宋体" w:cs="宋体"/>
          <w:color w:val="auto"/>
          <w:sz w:val="24"/>
          <w:szCs w:val="24"/>
          <w:highlight w:val="none"/>
        </w:rPr>
        <w:t>）投标人是企业法人或其授权的分支机构的须具有</w:t>
      </w:r>
      <w:r>
        <w:rPr>
          <w:rFonts w:hint="eastAsia" w:ascii="宋体" w:eastAsia="宋体" w:cs="宋体"/>
          <w:color w:val="auto"/>
          <w:sz w:val="24"/>
          <w:szCs w:val="24"/>
          <w:highlight w:val="none"/>
          <w:lang w:eastAsia="zh-CN"/>
        </w:rPr>
        <w:t>国家金融监督管理总局</w:t>
      </w:r>
      <w:r>
        <w:rPr>
          <w:rFonts w:hint="eastAsia" w:ascii="宋体" w:eastAsia="宋体" w:cs="宋体"/>
          <w:color w:val="auto"/>
          <w:sz w:val="24"/>
          <w:szCs w:val="24"/>
          <w:highlight w:val="none"/>
        </w:rPr>
        <w:t>颁发的《保险许可证》，许可证须在有效期内</w:t>
      </w:r>
      <w:r>
        <w:rPr>
          <w:rFonts w:hint="eastAsia" w:ascii="宋体" w:eastAsia="宋体" w:cs="宋体"/>
          <w:color w:val="auto"/>
          <w:sz w:val="24"/>
          <w:szCs w:val="24"/>
          <w:highlight w:val="none"/>
          <w:lang w:eastAsia="zh-CN"/>
        </w:rPr>
        <w:t>。</w:t>
      </w:r>
    </w:p>
    <w:p w14:paraId="7A33498C">
      <w:pPr>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三</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投标人业绩要求：投标人自2019年1月1日（以合同签订时间为准）以来，至少承担过一项保险（投保）金额5亿元及以上（或保险费金额200万元及以上）的</w:t>
      </w:r>
      <w:r>
        <w:rPr>
          <w:rFonts w:hint="eastAsia" w:ascii="宋体" w:hAnsi="宋体" w:eastAsia="宋体" w:cs="宋体"/>
          <w:color w:val="auto"/>
          <w:sz w:val="24"/>
          <w:szCs w:val="24"/>
          <w:highlight w:val="none"/>
          <w:lang w:val="en-US" w:eastAsia="zh-CN"/>
        </w:rPr>
        <w:t>交通基础设施建设项目</w:t>
      </w:r>
      <w:r>
        <w:rPr>
          <w:rFonts w:hint="eastAsia" w:ascii="宋体" w:hAnsi="宋体" w:cs="宋体"/>
          <w:color w:val="auto"/>
          <w:sz w:val="24"/>
          <w:highlight w:val="none"/>
          <w:lang w:val="en-US" w:eastAsia="zh-CN"/>
        </w:rPr>
        <w:t>建筑工程一切险保险服务。【①须提供能体现投标人与项目关系的保险合同或保险单。②认可总公司及其下属所有分支机构的承保服务业绩。③交通基础设施建设项目包含：公路、水运、铁路、轨道交通、机场等基础设施建设项目。】</w:t>
      </w:r>
    </w:p>
    <w:p w14:paraId="580C170F">
      <w:pPr>
        <w:snapToGrid w:val="0"/>
        <w:spacing w:line="360" w:lineRule="auto"/>
        <w:ind w:firstLine="480" w:firstLineChars="200"/>
        <w:rPr>
          <w:rFonts w:hint="eastAsia" w:ascii="宋体" w:hAnsi="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四）</w:t>
      </w:r>
      <w:r>
        <w:rPr>
          <w:rFonts w:hint="eastAsia" w:ascii="宋体" w:hAnsi="宋体" w:cs="宋体"/>
          <w:color w:val="auto"/>
          <w:sz w:val="24"/>
          <w:highlight w:val="none"/>
        </w:rPr>
        <w:t>本项目不接受联合体投标。</w:t>
      </w:r>
    </w:p>
    <w:p w14:paraId="34A7EDAC">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
          <w:color w:val="auto"/>
          <w:kern w:val="0"/>
          <w:sz w:val="24"/>
          <w:highlight w:val="none"/>
        </w:rPr>
      </w:pPr>
      <w:r>
        <w:rPr>
          <w:rFonts w:hint="eastAsia" w:ascii="宋体" w:cs="宋体"/>
          <w:b/>
          <w:bCs/>
          <w:color w:val="auto"/>
          <w:sz w:val="24"/>
          <w:highlight w:val="none"/>
          <w:lang w:val="en-US" w:eastAsia="zh-CN"/>
        </w:rPr>
        <w:t>五</w:t>
      </w:r>
      <w:r>
        <w:rPr>
          <w:rFonts w:hint="eastAsia" w:ascii="宋体" w:cs="宋体"/>
          <w:b/>
          <w:bCs/>
          <w:color w:val="auto"/>
          <w:sz w:val="24"/>
          <w:highlight w:val="none"/>
        </w:rPr>
        <w:t>、</w:t>
      </w:r>
      <w:r>
        <w:rPr>
          <w:rFonts w:hint="eastAsia" w:ascii="宋体" w:hAnsi="宋体" w:cs="宋体"/>
          <w:b/>
          <w:color w:val="auto"/>
          <w:kern w:val="0"/>
          <w:sz w:val="24"/>
          <w:highlight w:val="none"/>
        </w:rPr>
        <w:t>获取招标文件方式：</w:t>
      </w:r>
    </w:p>
    <w:p w14:paraId="0106F610">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网上下载-台州湾新区小额工程电子交易平台（</w:t>
      </w:r>
      <w:r>
        <w:rPr>
          <w:rFonts w:ascii="宋体" w:hAnsi="宋体" w:cs="宋体"/>
          <w:b/>
          <w:color w:val="auto"/>
          <w:kern w:val="0"/>
          <w:sz w:val="24"/>
          <w:highlight w:val="none"/>
        </w:rPr>
        <w:t>http://www.tzwztb.com/</w:t>
      </w:r>
      <w:r>
        <w:rPr>
          <w:rFonts w:hint="eastAsia" w:ascii="宋体" w:hAnsi="宋体" w:cs="宋体"/>
          <w:b/>
          <w:color w:val="auto"/>
          <w:kern w:val="0"/>
          <w:sz w:val="24"/>
          <w:highlight w:val="none"/>
        </w:rPr>
        <w:t>)</w:t>
      </w:r>
    </w:p>
    <w:p w14:paraId="572BAB5C">
      <w:pPr>
        <w:tabs>
          <w:tab w:val="left" w:pos="180"/>
          <w:tab w:val="left" w:pos="360"/>
          <w:tab w:val="left" w:pos="540"/>
          <w:tab w:val="left" w:pos="8280"/>
        </w:tabs>
        <w:autoSpaceDE w:val="0"/>
        <w:autoSpaceDN w:val="0"/>
        <w:spacing w:line="360" w:lineRule="auto"/>
        <w:ind w:firstLine="480" w:firstLineChars="200"/>
        <w:rPr>
          <w:rFonts w:hint="eastAsia" w:ascii="宋体" w:cs="宋体"/>
          <w:b/>
          <w:bCs/>
          <w:color w:val="auto"/>
          <w:sz w:val="24"/>
          <w:highlight w:val="none"/>
        </w:rPr>
      </w:pPr>
      <w:r>
        <w:rPr>
          <w:rFonts w:hint="eastAsia" w:ascii="宋体" w:cs="宋体"/>
          <w:b/>
          <w:bCs/>
          <w:color w:val="auto"/>
          <w:sz w:val="24"/>
          <w:highlight w:val="none"/>
          <w:lang w:val="en-US" w:eastAsia="zh-CN"/>
        </w:rPr>
        <w:t>六</w:t>
      </w:r>
      <w:r>
        <w:rPr>
          <w:rFonts w:hint="eastAsia" w:ascii="宋体" w:cs="宋体"/>
          <w:b/>
          <w:bCs/>
          <w:color w:val="auto"/>
          <w:sz w:val="24"/>
          <w:highlight w:val="none"/>
        </w:rPr>
        <w:t>、招标答疑会</w:t>
      </w:r>
    </w:p>
    <w:p w14:paraId="35F11086">
      <w:pPr>
        <w:tabs>
          <w:tab w:val="left" w:pos="180"/>
          <w:tab w:val="left" w:pos="360"/>
          <w:tab w:val="left" w:pos="540"/>
          <w:tab w:val="left" w:pos="8280"/>
        </w:tabs>
        <w:autoSpaceDE w:val="0"/>
        <w:autoSpaceDN w:val="0"/>
        <w:spacing w:line="360" w:lineRule="auto"/>
        <w:ind w:firstLine="480" w:firstLineChars="200"/>
        <w:rPr>
          <w:rFonts w:hint="eastAsia" w:ascii="宋体" w:cs="宋体"/>
          <w:color w:val="auto"/>
          <w:sz w:val="24"/>
          <w:highlight w:val="none"/>
        </w:rPr>
      </w:pPr>
      <w:r>
        <w:rPr>
          <w:rFonts w:hint="eastAsia" w:ascii="宋体" w:cs="宋体"/>
          <w:color w:val="auto"/>
          <w:sz w:val="24"/>
          <w:highlight w:val="none"/>
        </w:rPr>
        <w:t>不组织。</w:t>
      </w:r>
    </w:p>
    <w:p w14:paraId="3220F546">
      <w:pPr>
        <w:tabs>
          <w:tab w:val="left" w:pos="720"/>
          <w:tab w:val="left" w:pos="1260"/>
          <w:tab w:val="left" w:pos="2160"/>
          <w:tab w:val="left" w:pos="2880"/>
          <w:tab w:val="left" w:pos="3600"/>
          <w:tab w:val="left" w:pos="4320"/>
          <w:tab w:val="left" w:pos="5040"/>
          <w:tab w:val="left" w:pos="5760"/>
          <w:tab w:val="left" w:pos="8280"/>
        </w:tabs>
        <w:autoSpaceDE w:val="0"/>
        <w:autoSpaceDN w:val="0"/>
        <w:spacing w:line="360" w:lineRule="auto"/>
        <w:ind w:firstLine="480" w:firstLineChars="200"/>
        <w:rPr>
          <w:rFonts w:hint="eastAsia" w:ascii="宋体" w:cs="宋体"/>
          <w:b/>
          <w:color w:val="auto"/>
          <w:kern w:val="0"/>
          <w:sz w:val="24"/>
          <w:highlight w:val="none"/>
        </w:rPr>
      </w:pPr>
      <w:r>
        <w:rPr>
          <w:rFonts w:hint="eastAsia" w:ascii="宋体" w:cs="宋体"/>
          <w:b/>
          <w:color w:val="auto"/>
          <w:sz w:val="24"/>
          <w:highlight w:val="none"/>
          <w:lang w:val="en-US" w:eastAsia="zh-CN"/>
        </w:rPr>
        <w:t>七</w:t>
      </w:r>
      <w:r>
        <w:rPr>
          <w:rFonts w:hint="eastAsia" w:ascii="宋体" w:cs="宋体"/>
          <w:b/>
          <w:color w:val="auto"/>
          <w:sz w:val="24"/>
          <w:highlight w:val="none"/>
        </w:rPr>
        <w:t>、</w:t>
      </w:r>
      <w:r>
        <w:rPr>
          <w:rFonts w:hint="eastAsia" w:ascii="宋体" w:cs="宋体"/>
          <w:b/>
          <w:color w:val="auto"/>
          <w:kern w:val="0"/>
          <w:sz w:val="24"/>
          <w:highlight w:val="none"/>
        </w:rPr>
        <w:t>投标截止及开标时间、地点：</w:t>
      </w:r>
    </w:p>
    <w:p w14:paraId="1E84669B">
      <w:pPr>
        <w:spacing w:line="360" w:lineRule="auto"/>
        <w:ind w:firstLine="480" w:firstLineChars="200"/>
        <w:rPr>
          <w:rFonts w:hint="eastAsia" w:ascii="宋体" w:cs="宋体"/>
          <w:bCs/>
          <w:color w:val="auto"/>
          <w:kern w:val="0"/>
          <w:sz w:val="24"/>
          <w:highlight w:val="none"/>
        </w:rPr>
      </w:pPr>
      <w:r>
        <w:rPr>
          <w:rFonts w:hint="eastAsia" w:ascii="宋体" w:cs="宋体"/>
          <w:color w:val="auto"/>
          <w:sz w:val="24"/>
          <w:highlight w:val="none"/>
          <w:lang w:val="en-US" w:eastAsia="zh-CN"/>
        </w:rPr>
        <w:t>1）</w:t>
      </w:r>
      <w:r>
        <w:rPr>
          <w:rFonts w:hint="eastAsia" w:ascii="宋体" w:cs="宋体"/>
          <w:color w:val="auto"/>
          <w:sz w:val="24"/>
          <w:highlight w:val="none"/>
        </w:rPr>
        <w:t>投标人应于20</w:t>
      </w:r>
      <w:r>
        <w:rPr>
          <w:rFonts w:hint="eastAsia" w:ascii="宋体" w:cs="宋体"/>
          <w:color w:val="auto"/>
          <w:sz w:val="24"/>
          <w:highlight w:val="none"/>
          <w:lang w:val="en-US" w:eastAsia="zh-CN"/>
        </w:rPr>
        <w:t>24</w:t>
      </w:r>
      <w:r>
        <w:rPr>
          <w:rFonts w:hint="eastAsia" w:ascii="宋体" w:cs="宋体"/>
          <w:color w:val="auto"/>
          <w:sz w:val="24"/>
          <w:highlight w:val="none"/>
        </w:rPr>
        <w:t>年</w:t>
      </w:r>
      <w:r>
        <w:rPr>
          <w:rFonts w:hint="eastAsia" w:ascii="宋体" w:cs="宋体"/>
          <w:color w:val="auto"/>
          <w:sz w:val="24"/>
          <w:highlight w:val="none"/>
          <w:lang w:val="en-US" w:eastAsia="zh-CN"/>
        </w:rPr>
        <w:t>12</w:t>
      </w:r>
      <w:r>
        <w:rPr>
          <w:rFonts w:hint="eastAsia" w:ascii="宋体" w:cs="宋体"/>
          <w:color w:val="auto"/>
          <w:sz w:val="24"/>
          <w:highlight w:val="none"/>
        </w:rPr>
        <w:t>月</w:t>
      </w:r>
      <w:r>
        <w:rPr>
          <w:rFonts w:hint="eastAsia" w:ascii="宋体" w:cs="宋体"/>
          <w:color w:val="auto"/>
          <w:sz w:val="24"/>
          <w:highlight w:val="none"/>
          <w:lang w:val="en-US" w:eastAsia="zh-CN"/>
        </w:rPr>
        <w:t>10</w:t>
      </w:r>
      <w:r>
        <w:rPr>
          <w:rFonts w:hint="eastAsia" w:ascii="宋体" w:cs="宋体"/>
          <w:color w:val="auto"/>
          <w:sz w:val="24"/>
          <w:highlight w:val="none"/>
        </w:rPr>
        <w:t>日</w:t>
      </w:r>
      <w:r>
        <w:rPr>
          <w:rFonts w:hint="eastAsia" w:ascii="宋体" w:cs="宋体"/>
          <w:color w:val="auto"/>
          <w:sz w:val="24"/>
          <w:highlight w:val="none"/>
          <w:lang w:val="en-US" w:eastAsia="zh-CN"/>
        </w:rPr>
        <w:t>09时30分</w:t>
      </w:r>
      <w:r>
        <w:rPr>
          <w:rFonts w:hint="eastAsia" w:ascii="宋体" w:hAnsi="宋体" w:cs="宋体"/>
          <w:color w:val="auto"/>
          <w:sz w:val="24"/>
          <w:szCs w:val="24"/>
          <w:highlight w:val="none"/>
        </w:rPr>
        <w:t>（开标时间）之前将投标文件在台州湾新区小额工程电子交易平台（网址：</w:t>
      </w:r>
      <w:r>
        <w:rPr>
          <w:color w:val="auto"/>
          <w:sz w:val="24"/>
          <w:szCs w:val="24"/>
          <w:highlight w:val="none"/>
        </w:rPr>
        <w:t>http://www.tzwztb.com/</w:t>
      </w:r>
      <w:r>
        <w:rPr>
          <w:rFonts w:hint="eastAsia" w:ascii="宋体" w:hAnsi="宋体" w:cs="宋体"/>
          <w:color w:val="auto"/>
          <w:sz w:val="24"/>
          <w:szCs w:val="24"/>
          <w:highlight w:val="none"/>
        </w:rPr>
        <w:t>）进行在线提交；</w:t>
      </w:r>
    </w:p>
    <w:p w14:paraId="5FD95734">
      <w:pPr>
        <w:spacing w:line="360" w:lineRule="auto"/>
        <w:ind w:firstLine="480" w:firstLineChars="200"/>
        <w:rPr>
          <w:rFonts w:hint="eastAsia" w:ascii="宋体" w:hAnsi="宋体" w:cs="宋体"/>
          <w:b/>
          <w:color w:val="auto"/>
          <w:sz w:val="24"/>
          <w:highlight w:val="none"/>
          <w:u w:val="single"/>
        </w:rPr>
      </w:pPr>
      <w:r>
        <w:rPr>
          <w:rFonts w:hint="eastAsia" w:ascii="宋体" w:hAnsi="宋体" w:cs="宋体"/>
          <w:b/>
          <w:color w:val="auto"/>
          <w:sz w:val="24"/>
          <w:highlight w:val="none"/>
          <w:u w:val="single"/>
        </w:rPr>
        <w:t>投标人应在投标截止时间前缴纳保证金（或购买电子保函，电子保函截止时间为开标前一工作日下午16点前）。</w:t>
      </w:r>
    </w:p>
    <w:p w14:paraId="41AC1CE0">
      <w:pPr>
        <w:snapToGrid w:val="0"/>
        <w:spacing w:line="360" w:lineRule="auto"/>
        <w:ind w:firstLine="480" w:firstLineChars="200"/>
        <w:rPr>
          <w:rFonts w:hint="eastAsia" w:ascii="宋体" w:hAnsi="宋体" w:cs="宋体"/>
          <w:color w:val="auto"/>
          <w:sz w:val="24"/>
          <w:szCs w:val="20"/>
          <w:highlight w:val="none"/>
        </w:rPr>
      </w:pPr>
      <w:r>
        <w:rPr>
          <w:rFonts w:hint="eastAsia" w:ascii="宋体" w:hAnsi="宋体" w:cs="宋体"/>
          <w:b/>
          <w:bCs/>
          <w:color w:val="auto"/>
          <w:sz w:val="24"/>
          <w:highlight w:val="none"/>
          <w:lang w:val="en-US" w:eastAsia="zh-CN"/>
        </w:rPr>
        <w:t>八</w:t>
      </w:r>
      <w:r>
        <w:rPr>
          <w:rFonts w:hint="eastAsia" w:ascii="宋体" w:hAnsi="宋体" w:cs="宋体"/>
          <w:b/>
          <w:bCs/>
          <w:color w:val="auto"/>
          <w:sz w:val="24"/>
          <w:highlight w:val="none"/>
        </w:rPr>
        <w:t>、开标时间及地点</w:t>
      </w:r>
      <w:r>
        <w:rPr>
          <w:rFonts w:hint="eastAsia" w:ascii="宋体" w:hAnsi="宋体" w:cs="宋体"/>
          <w:color w:val="auto"/>
          <w:sz w:val="24"/>
          <w:highlight w:val="none"/>
        </w:rPr>
        <w:t>：</w:t>
      </w:r>
    </w:p>
    <w:p w14:paraId="1821A04C">
      <w:pPr>
        <w:spacing w:line="360" w:lineRule="auto"/>
        <w:ind w:firstLine="480" w:firstLineChars="200"/>
        <w:rPr>
          <w:rFonts w:hint="eastAsia"/>
          <w:color w:val="auto"/>
          <w:highlight w:val="none"/>
        </w:rPr>
      </w:pPr>
      <w:r>
        <w:rPr>
          <w:rFonts w:hint="eastAsia" w:ascii="宋体" w:hAnsi="宋体" w:cs="宋体"/>
          <w:bCs/>
          <w:color w:val="auto"/>
          <w:kern w:val="0"/>
          <w:sz w:val="24"/>
          <w:highlight w:val="none"/>
        </w:rPr>
        <w:t>开标时间与投标截止时间相同。（投标人代表一律不参加现场开标，开标过程中投标人、招标人可通过在线直播参与监督开标过程。直播网络地址：</w:t>
      </w:r>
      <w:r>
        <w:rPr>
          <w:color w:val="auto"/>
          <w:highlight w:val="none"/>
        </w:rPr>
        <w:fldChar w:fldCharType="begin"/>
      </w:r>
      <w:r>
        <w:rPr>
          <w:color w:val="auto"/>
          <w:highlight w:val="none"/>
        </w:rPr>
        <w:instrText xml:space="preserve"> HYPERLINK "http://www.tzwztb.com/live/" </w:instrText>
      </w:r>
      <w:r>
        <w:rPr>
          <w:color w:val="auto"/>
          <w:highlight w:val="none"/>
        </w:rPr>
        <w:fldChar w:fldCharType="separate"/>
      </w:r>
      <w:r>
        <w:rPr>
          <w:rStyle w:val="34"/>
          <w:color w:val="auto"/>
          <w:highlight w:val="none"/>
        </w:rPr>
        <w:t>www.tzwztb.com/live/</w:t>
      </w:r>
      <w:r>
        <w:rPr>
          <w:color w:val="auto"/>
          <w:highlight w:val="none"/>
        </w:rPr>
        <w:fldChar w:fldCharType="end"/>
      </w:r>
      <w:r>
        <w:rPr>
          <w:color w:val="auto"/>
          <w:highlight w:val="none"/>
        </w:rPr>
        <w:t xml:space="preserve"> </w:t>
      </w:r>
      <w:r>
        <w:rPr>
          <w:rFonts w:hint="eastAsia"/>
          <w:color w:val="auto"/>
          <w:highlight w:val="none"/>
        </w:rPr>
        <w:t>。</w:t>
      </w:r>
    </w:p>
    <w:p w14:paraId="731EB9AA">
      <w:pPr>
        <w:spacing w:line="360" w:lineRule="auto"/>
        <w:ind w:firstLine="480" w:firstLineChars="200"/>
        <w:rPr>
          <w:rFonts w:hint="eastAsia" w:ascii="宋体" w:cs="宋体"/>
          <w:bCs/>
          <w:color w:val="auto"/>
          <w:kern w:val="0"/>
          <w:sz w:val="24"/>
          <w:highlight w:val="none"/>
        </w:rPr>
      </w:pPr>
      <w:r>
        <w:rPr>
          <w:rFonts w:hint="eastAsia" w:ascii="宋体" w:cs="宋体"/>
          <w:b/>
          <w:color w:val="auto"/>
          <w:kern w:val="0"/>
          <w:sz w:val="24"/>
          <w:highlight w:val="none"/>
          <w:lang w:val="en-US" w:eastAsia="zh-CN"/>
        </w:rPr>
        <w:t>九</w:t>
      </w:r>
      <w:r>
        <w:rPr>
          <w:rFonts w:hint="eastAsia" w:ascii="宋体" w:cs="宋体"/>
          <w:b/>
          <w:color w:val="auto"/>
          <w:kern w:val="0"/>
          <w:sz w:val="24"/>
          <w:highlight w:val="none"/>
        </w:rPr>
        <w:t>、投标保证金：</w:t>
      </w:r>
    </w:p>
    <w:p w14:paraId="06BD3618">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1.投标保证金金额：</w:t>
      </w:r>
      <w:r>
        <w:rPr>
          <w:rFonts w:hint="eastAsia" w:ascii="宋体" w:hAnsi="宋体" w:eastAsia="宋体" w:cs="宋体"/>
          <w:bCs/>
          <w:color w:val="auto"/>
          <w:kern w:val="0"/>
          <w:sz w:val="24"/>
          <w:highlight w:val="none"/>
          <w:u w:val="single"/>
          <w:lang w:val="en-US" w:eastAsia="zh-CN"/>
        </w:rPr>
        <w:t xml:space="preserve"> 80000 </w:t>
      </w:r>
      <w:r>
        <w:rPr>
          <w:rFonts w:hint="eastAsia" w:ascii="宋体" w:hAnsi="宋体" w:eastAsia="宋体" w:cs="宋体"/>
          <w:bCs/>
          <w:color w:val="auto"/>
          <w:kern w:val="0"/>
          <w:sz w:val="24"/>
          <w:highlight w:val="none"/>
        </w:rPr>
        <w:t>元。</w:t>
      </w:r>
    </w:p>
    <w:p w14:paraId="16851A31">
      <w:pPr>
        <w:pStyle w:val="29"/>
        <w:ind w:left="0" w:leftChars="0" w:firstLine="480"/>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2.投标保证金缴纳方式：银行转账、银行保函、保险机构保证保险保单、融资担保公司保函。</w:t>
      </w:r>
    </w:p>
    <w:p w14:paraId="04C39BDA">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（1）现金转账</w:t>
      </w:r>
    </w:p>
    <w:p w14:paraId="1C338662">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① 电汇或银行转账（请不要使用“支付宝”等第三方支付平台），通过“台州湾新区小额工程电子交易平台”取得相应的银行账号后支付，投标保证金收款账号根据不同</w:t>
      </w:r>
      <w:r>
        <w:rPr>
          <w:rFonts w:hint="eastAsia" w:ascii="宋体" w:hAnsi="宋体" w:cs="宋体"/>
          <w:bCs/>
          <w:color w:val="auto"/>
          <w:kern w:val="0"/>
          <w:sz w:val="24"/>
          <w:highlight w:val="none"/>
          <w:lang w:val="en-US" w:eastAsia="zh-CN"/>
        </w:rPr>
        <w:t>项目</w:t>
      </w:r>
      <w:r>
        <w:rPr>
          <w:rFonts w:hint="eastAsia" w:ascii="宋体" w:hAnsi="宋体" w:cs="宋体"/>
          <w:bCs/>
          <w:color w:val="auto"/>
          <w:kern w:val="0"/>
          <w:sz w:val="24"/>
          <w:highlight w:val="none"/>
        </w:rPr>
        <w:t>（标段）由系统随机生成，此账号只在本</w:t>
      </w:r>
      <w:r>
        <w:rPr>
          <w:rFonts w:hint="eastAsia" w:ascii="宋体" w:hAnsi="宋体" w:cs="宋体"/>
          <w:bCs/>
          <w:color w:val="auto"/>
          <w:kern w:val="0"/>
          <w:sz w:val="24"/>
          <w:highlight w:val="none"/>
          <w:lang w:val="en-US" w:eastAsia="zh-CN"/>
        </w:rPr>
        <w:t>项目</w:t>
      </w:r>
      <w:r>
        <w:rPr>
          <w:rFonts w:hint="eastAsia" w:ascii="宋体" w:hAnsi="宋体" w:cs="宋体"/>
          <w:bCs/>
          <w:color w:val="auto"/>
          <w:kern w:val="0"/>
          <w:sz w:val="24"/>
          <w:highlight w:val="none"/>
        </w:rPr>
        <w:t>（标段）中使用有效，请注意核对。</w:t>
      </w:r>
    </w:p>
    <w:p w14:paraId="620A9A7E">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
          <w:color w:val="auto"/>
          <w:kern w:val="0"/>
          <w:sz w:val="24"/>
          <w:highlight w:val="none"/>
        </w:rPr>
      </w:pPr>
      <w:r>
        <w:rPr>
          <w:rFonts w:hint="eastAsia" w:ascii="宋体" w:hAnsi="宋体" w:cs="宋体"/>
          <w:bCs/>
          <w:color w:val="auto"/>
          <w:kern w:val="0"/>
          <w:sz w:val="24"/>
          <w:highlight w:val="none"/>
        </w:rPr>
        <w:t>②</w:t>
      </w:r>
      <w:r>
        <w:rPr>
          <w:rFonts w:hint="eastAsia" w:ascii="宋体" w:hAnsi="宋体" w:cs="宋体"/>
          <w:bCs/>
          <w:color w:val="auto"/>
          <w:kern w:val="0"/>
          <w:sz w:val="24"/>
          <w:highlight w:val="none"/>
          <w:lang w:val="en-US" w:eastAsia="zh-CN"/>
        </w:rPr>
        <w:t xml:space="preserve"> </w:t>
      </w:r>
      <w:r>
        <w:rPr>
          <w:rFonts w:hint="eastAsia" w:ascii="宋体" w:hAnsi="宋体" w:cs="宋体"/>
          <w:bCs/>
          <w:color w:val="auto"/>
          <w:kern w:val="0"/>
          <w:sz w:val="24"/>
          <w:highlight w:val="none"/>
        </w:rPr>
        <w:t>投标人缴纳的投标保证金必须在投标截止时间前到达上述指定账户，否则导致投标无效等后果由投标人自行承担。另外须注意双休日银行柜台休息对公转账的影响。开标结束后，未中标投标单位</w:t>
      </w:r>
      <w:r>
        <w:rPr>
          <w:rFonts w:hint="eastAsia" w:ascii="宋体" w:hAnsi="宋体" w:cs="宋体"/>
          <w:bCs/>
          <w:color w:val="auto"/>
          <w:kern w:val="0"/>
          <w:sz w:val="24"/>
          <w:highlight w:val="none"/>
          <w:lang w:val="en-US" w:eastAsia="zh-CN"/>
        </w:rPr>
        <w:t>及时</w:t>
      </w:r>
      <w:r>
        <w:rPr>
          <w:rFonts w:hint="eastAsia" w:ascii="宋体" w:hAnsi="宋体" w:cs="宋体"/>
          <w:bCs/>
          <w:color w:val="auto"/>
          <w:kern w:val="0"/>
          <w:sz w:val="24"/>
          <w:highlight w:val="none"/>
        </w:rPr>
        <w:t>返还</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rPr>
        <w:t>中标人的投标保证金由招标人暂时保管，待履约担保办理完毕并签订</w:t>
      </w:r>
      <w:r>
        <w:rPr>
          <w:rFonts w:hint="eastAsia" w:ascii="宋体" w:hAnsi="宋体" w:cs="宋体"/>
          <w:bCs/>
          <w:color w:val="auto"/>
          <w:kern w:val="0"/>
          <w:sz w:val="24"/>
          <w:highlight w:val="none"/>
          <w:lang w:val="en-US" w:eastAsia="zh-CN"/>
        </w:rPr>
        <w:t>服务</w:t>
      </w:r>
      <w:r>
        <w:rPr>
          <w:rFonts w:hint="eastAsia" w:ascii="宋体" w:hAnsi="宋体" w:cs="宋体"/>
          <w:bCs/>
          <w:color w:val="auto"/>
          <w:kern w:val="0"/>
          <w:sz w:val="24"/>
          <w:highlight w:val="none"/>
        </w:rPr>
        <w:t>合同后，招标人返还中标人。</w:t>
      </w:r>
    </w:p>
    <w:p w14:paraId="59625A18">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（2）银行保函、保险机构保证保险保单、融资担保公司保函（以下合称“工程保函”）</w:t>
      </w:r>
    </w:p>
    <w:p w14:paraId="01CCD538">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①工程保函的受益人</w:t>
      </w:r>
      <w:r>
        <w:rPr>
          <w:rFonts w:hint="eastAsia" w:ascii="宋体" w:hAnsi="宋体" w:eastAsia="宋体" w:cs="宋体"/>
          <w:bCs/>
          <w:color w:val="auto"/>
          <w:kern w:val="0"/>
          <w:sz w:val="24"/>
          <w:highlight w:val="none"/>
          <w:u w:val="none"/>
          <w:lang w:eastAsia="zh-CN"/>
        </w:rPr>
        <w:t>：</w:t>
      </w:r>
      <w:r>
        <w:rPr>
          <w:rFonts w:hint="eastAsia" w:ascii="宋体" w:hAnsi="宋体" w:eastAsia="宋体" w:cs="宋体"/>
          <w:bCs/>
          <w:color w:val="auto"/>
          <w:kern w:val="0"/>
          <w:sz w:val="24"/>
          <w:highlight w:val="none"/>
          <w:u w:val="single"/>
          <w:lang w:eastAsia="zh-CN"/>
        </w:rPr>
        <w:t>台州西廊港口开发有限公司</w:t>
      </w:r>
      <w:r>
        <w:rPr>
          <w:rFonts w:hint="eastAsia" w:ascii="宋体" w:hAnsi="宋体" w:cs="宋体"/>
          <w:bCs/>
          <w:color w:val="auto"/>
          <w:kern w:val="0"/>
          <w:sz w:val="24"/>
          <w:highlight w:val="none"/>
        </w:rPr>
        <w:t>；</w:t>
      </w:r>
    </w:p>
    <w:p w14:paraId="0B1C42E6">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②工程保函的有效期为1年；</w:t>
      </w:r>
    </w:p>
    <w:p w14:paraId="538AFBD2">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③递交方式：</w:t>
      </w:r>
    </w:p>
    <w:p w14:paraId="16BC88E8">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递交方式一（电子保函系统）：</w:t>
      </w:r>
    </w:p>
    <w:p w14:paraId="42FA965F">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通过台州湾新区小额工程电子交易平台选择“电子保函”递交方式，并按系统流程进行操作、购买电子保函。</w:t>
      </w:r>
    </w:p>
    <w:p w14:paraId="55E950DC">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
          <w:color w:val="auto"/>
          <w:kern w:val="0"/>
          <w:sz w:val="24"/>
          <w:highlight w:val="none"/>
        </w:rPr>
      </w:pPr>
      <w:r>
        <w:rPr>
          <w:rFonts w:hint="eastAsia" w:ascii="宋体" w:hAnsi="宋体" w:cs="宋体"/>
          <w:bCs/>
          <w:color w:val="auto"/>
          <w:kern w:val="0"/>
          <w:sz w:val="24"/>
          <w:highlight w:val="none"/>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color w:val="auto"/>
          <w:kern w:val="0"/>
          <w:sz w:val="24"/>
          <w:highlight w:val="none"/>
          <w:u w:val="single"/>
        </w:rPr>
        <w:t>投标电子保函针对具体项目标段的要求“一标段一保函”，每个标段对应相应的订单号，汇款时备注订单号。</w:t>
      </w:r>
    </w:p>
    <w:p w14:paraId="0DCCEBA7">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递交方式二（非电子保函系统）：</w:t>
      </w:r>
    </w:p>
    <w:p w14:paraId="5D0C5D2C">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 xml:space="preserve">投标人须在投标截止时间前将工程保函纸质原件、基本账户证明材料复印件（加盖公章）、保费支付的银行回单一并按要求递交。 </w:t>
      </w:r>
    </w:p>
    <w:p w14:paraId="57B3784E">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递交方式：现场递交。</w:t>
      </w:r>
    </w:p>
    <w:p w14:paraId="65156F65">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提交地点：</w:t>
      </w:r>
      <w:r>
        <w:rPr>
          <w:rFonts w:hint="eastAsia" w:ascii="宋体" w:hAnsi="宋体" w:cs="宋体"/>
          <w:bCs/>
          <w:color w:val="auto"/>
          <w:kern w:val="0"/>
          <w:sz w:val="24"/>
          <w:highlight w:val="none"/>
          <w:u w:val="single"/>
        </w:rPr>
        <w:t>台州湾新区海虹街道一楼大厅</w:t>
      </w:r>
    </w:p>
    <w:p w14:paraId="524B91D6">
      <w:pPr>
        <w:tabs>
          <w:tab w:val="left" w:pos="180"/>
          <w:tab w:val="left" w:pos="360"/>
          <w:tab w:val="left" w:pos="540"/>
          <w:tab w:val="left" w:pos="8280"/>
        </w:tabs>
        <w:autoSpaceDE w:val="0"/>
        <w:autoSpaceDN w:val="0"/>
        <w:adjustRightInd w:val="0"/>
        <w:spacing w:line="360" w:lineRule="auto"/>
        <w:ind w:firstLine="480" w:firstLineChars="200"/>
        <w:jc w:val="left"/>
        <w:rPr>
          <w:rFonts w:hint="default" w:ascii="宋体" w:hAnsi="宋体" w:eastAsia="宋体" w:cs="宋体"/>
          <w:bCs/>
          <w:color w:val="auto"/>
          <w:kern w:val="0"/>
          <w:sz w:val="24"/>
          <w:highlight w:val="none"/>
          <w:u w:val="single"/>
          <w:lang w:val="en-US" w:eastAsia="zh-CN"/>
        </w:rPr>
      </w:pPr>
      <w:r>
        <w:rPr>
          <w:rFonts w:hint="eastAsia" w:ascii="宋体" w:hAnsi="宋体" w:cs="宋体"/>
          <w:bCs/>
          <w:color w:val="auto"/>
          <w:kern w:val="0"/>
          <w:sz w:val="24"/>
          <w:highlight w:val="none"/>
        </w:rPr>
        <w:t>提交时间：</w:t>
      </w:r>
      <w:r>
        <w:rPr>
          <w:rFonts w:ascii="宋体" w:hAnsi="宋体" w:cs="宋体"/>
          <w:bCs/>
          <w:color w:val="auto"/>
          <w:kern w:val="0"/>
          <w:sz w:val="24"/>
          <w:highlight w:val="none"/>
          <w:u w:val="single"/>
        </w:rPr>
        <w:t>202</w:t>
      </w:r>
      <w:r>
        <w:rPr>
          <w:rFonts w:hint="eastAsia" w:ascii="宋体" w:hAnsi="宋体" w:cs="宋体"/>
          <w:bCs/>
          <w:color w:val="auto"/>
          <w:kern w:val="0"/>
          <w:sz w:val="24"/>
          <w:highlight w:val="none"/>
          <w:u w:val="single"/>
          <w:lang w:val="en-US" w:eastAsia="zh-CN"/>
        </w:rPr>
        <w:t>4</w:t>
      </w:r>
      <w:r>
        <w:rPr>
          <w:rFonts w:ascii="宋体" w:hAnsi="宋体" w:cs="宋体"/>
          <w:bCs/>
          <w:color w:val="auto"/>
          <w:kern w:val="0"/>
          <w:sz w:val="24"/>
          <w:highlight w:val="none"/>
          <w:u w:val="single"/>
        </w:rPr>
        <w:t>年</w:t>
      </w:r>
      <w:r>
        <w:rPr>
          <w:rFonts w:hint="eastAsia" w:ascii="宋体" w:hAnsi="宋体" w:cs="宋体"/>
          <w:bCs/>
          <w:color w:val="auto"/>
          <w:kern w:val="0"/>
          <w:sz w:val="24"/>
          <w:highlight w:val="none"/>
          <w:u w:val="single"/>
          <w:lang w:val="en-US" w:eastAsia="zh-CN"/>
        </w:rPr>
        <w:t>12</w:t>
      </w:r>
      <w:r>
        <w:rPr>
          <w:rFonts w:ascii="宋体" w:hAnsi="宋体" w:cs="宋体"/>
          <w:bCs/>
          <w:color w:val="auto"/>
          <w:kern w:val="0"/>
          <w:sz w:val="24"/>
          <w:highlight w:val="none"/>
          <w:u w:val="single"/>
        </w:rPr>
        <w:t>月</w:t>
      </w:r>
      <w:r>
        <w:rPr>
          <w:rFonts w:hint="eastAsia" w:ascii="宋体" w:hAnsi="宋体" w:cs="宋体"/>
          <w:bCs/>
          <w:color w:val="auto"/>
          <w:kern w:val="0"/>
          <w:sz w:val="24"/>
          <w:highlight w:val="none"/>
          <w:u w:val="single"/>
          <w:lang w:val="en-US" w:eastAsia="zh-CN"/>
        </w:rPr>
        <w:t>10</w:t>
      </w:r>
      <w:r>
        <w:rPr>
          <w:rFonts w:ascii="宋体" w:hAnsi="宋体" w:cs="宋体"/>
          <w:bCs/>
          <w:color w:val="auto"/>
          <w:kern w:val="0"/>
          <w:sz w:val="24"/>
          <w:highlight w:val="none"/>
          <w:u w:val="single"/>
        </w:rPr>
        <w:t>日</w:t>
      </w:r>
      <w:r>
        <w:rPr>
          <w:rFonts w:hint="eastAsia" w:ascii="宋体" w:hAnsi="宋体" w:cs="宋体"/>
          <w:bCs/>
          <w:color w:val="auto"/>
          <w:kern w:val="0"/>
          <w:sz w:val="24"/>
          <w:highlight w:val="none"/>
          <w:u w:val="single"/>
          <w:lang w:val="en-US" w:eastAsia="zh-CN"/>
        </w:rPr>
        <w:t>09:00</w:t>
      </w:r>
      <w:r>
        <w:rPr>
          <w:rFonts w:hint="eastAsia" w:ascii="宋体" w:hAnsi="宋体" w:cs="宋体"/>
          <w:bCs/>
          <w:color w:val="auto"/>
          <w:kern w:val="0"/>
          <w:sz w:val="24"/>
          <w:highlight w:val="none"/>
          <w:u w:val="single"/>
        </w:rPr>
        <w:t>-</w:t>
      </w:r>
      <w:r>
        <w:rPr>
          <w:rFonts w:hint="eastAsia" w:ascii="宋体" w:hAnsi="宋体" w:cs="宋体"/>
          <w:bCs/>
          <w:color w:val="auto"/>
          <w:kern w:val="0"/>
          <w:sz w:val="24"/>
          <w:highlight w:val="none"/>
          <w:u w:val="single"/>
          <w:lang w:val="en-US" w:eastAsia="zh-CN"/>
        </w:rPr>
        <w:t>09:30</w:t>
      </w:r>
    </w:p>
    <w:p w14:paraId="2779B57B">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接收人：</w:t>
      </w:r>
      <w:r>
        <w:rPr>
          <w:rFonts w:hint="eastAsia" w:ascii="宋体" w:hAnsi="宋体" w:cs="宋体"/>
          <w:bCs/>
          <w:color w:val="auto"/>
          <w:kern w:val="0"/>
          <w:sz w:val="24"/>
          <w:highlight w:val="none"/>
          <w:u w:val="single"/>
        </w:rPr>
        <w:t>台州市建设咨询有限公司</w:t>
      </w:r>
      <w:r>
        <w:rPr>
          <w:rFonts w:hint="eastAsia" w:ascii="宋体" w:hAnsi="宋体" w:cs="宋体"/>
          <w:bCs/>
          <w:color w:val="auto"/>
          <w:kern w:val="0"/>
          <w:sz w:val="24"/>
          <w:highlight w:val="none"/>
        </w:rPr>
        <w:t>（代理机构）</w:t>
      </w:r>
    </w:p>
    <w:p w14:paraId="4C0F7DEC">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接收人联系方式：</w:t>
      </w:r>
      <w:r>
        <w:rPr>
          <w:rFonts w:hint="eastAsia" w:ascii="宋体" w:hAnsi="宋体" w:cs="宋体"/>
          <w:bCs/>
          <w:color w:val="auto"/>
          <w:kern w:val="0"/>
          <w:sz w:val="24"/>
          <w:highlight w:val="none"/>
          <w:u w:val="single"/>
        </w:rPr>
        <w:t>0576-</w:t>
      </w:r>
      <w:r>
        <w:rPr>
          <w:rFonts w:hint="eastAsia" w:ascii="宋体" w:hAnsi="宋体" w:cs="宋体"/>
          <w:bCs/>
          <w:color w:val="auto"/>
          <w:kern w:val="0"/>
          <w:sz w:val="24"/>
          <w:highlight w:val="none"/>
          <w:u w:val="single"/>
          <w:lang w:val="en-US" w:eastAsia="zh-CN"/>
        </w:rPr>
        <w:t>88517782</w:t>
      </w:r>
      <w:r>
        <w:rPr>
          <w:rFonts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14:paraId="2E779A7E">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
          <w:color w:val="auto"/>
          <w:kern w:val="0"/>
          <w:sz w:val="24"/>
          <w:highlight w:val="none"/>
        </w:rPr>
      </w:pPr>
      <w:r>
        <w:rPr>
          <w:rFonts w:hint="eastAsia" w:ascii="宋体" w:hAnsi="宋体" w:cs="宋体"/>
          <w:bCs/>
          <w:color w:val="auto"/>
          <w:kern w:val="0"/>
          <w:sz w:val="24"/>
          <w:highlight w:val="none"/>
        </w:rPr>
        <w:t>注：投标保函文件中必须包含投标企业的信息，包含但不仅限于投标企业名称、保证方式、保证金额、保函获得时间、保证项目名称、保函有效期限、保费标准、费用支付账户（基本账户）等。</w:t>
      </w:r>
    </w:p>
    <w:p w14:paraId="1F4DD584">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3、注意事项</w:t>
      </w:r>
    </w:p>
    <w:p w14:paraId="0BD8ED84">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①若招标文件允许联合体投标且投标人以联合体身份投标的，由联合体牵头人提交投标保证金；</w:t>
      </w:r>
    </w:p>
    <w:p w14:paraId="468B02E5">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②以银行转账形式提交的投标保证金应当从投标人基本账户转出，购买工程保函的费用应当从投标人基本账户支付；</w:t>
      </w:r>
    </w:p>
    <w:p w14:paraId="5DDC2943">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③若有疑问，请咨询技术服务热线：0576-88865509</w:t>
      </w:r>
    </w:p>
    <w:p w14:paraId="3063D87E">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④以上未按要求提供或提供不清晰的，评标委员会可能做出不利于投标人的评审结果，由此造成的风险由投标人自行承担。</w:t>
      </w:r>
    </w:p>
    <w:p w14:paraId="04ACEF46">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
          <w:bCs/>
          <w:color w:val="auto"/>
          <w:kern w:val="0"/>
          <w:sz w:val="24"/>
          <w:highlight w:val="none"/>
        </w:rPr>
      </w:pPr>
      <w:r>
        <w:rPr>
          <w:rFonts w:hint="eastAsia" w:ascii="宋体" w:hAnsi="宋体" w:cs="宋体"/>
          <w:b/>
          <w:color w:val="auto"/>
          <w:kern w:val="0"/>
          <w:sz w:val="24"/>
          <w:highlight w:val="none"/>
        </w:rPr>
        <w:t>4、</w:t>
      </w:r>
      <w:r>
        <w:rPr>
          <w:rFonts w:hint="eastAsia" w:ascii="宋体" w:hAnsi="宋体" w:cs="宋体"/>
          <w:bCs/>
          <w:color w:val="auto"/>
          <w:kern w:val="0"/>
          <w:sz w:val="24"/>
          <w:highlight w:val="none"/>
        </w:rPr>
        <w:t>购买工程电子保函截止时间：</w:t>
      </w:r>
      <w:r>
        <w:rPr>
          <w:rFonts w:hint="eastAsia" w:ascii="宋体" w:hAnsi="宋体" w:cs="宋体"/>
          <w:b/>
          <w:bCs w:val="0"/>
          <w:color w:val="auto"/>
          <w:kern w:val="0"/>
          <w:sz w:val="24"/>
          <w:highlight w:val="none"/>
        </w:rPr>
        <w:t>投标截止时间前一工作日下午16：00之前。</w:t>
      </w:r>
    </w:p>
    <w:p w14:paraId="5EBDA54F">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十、公告期限</w:t>
      </w:r>
    </w:p>
    <w:p w14:paraId="7D276163">
      <w:pPr>
        <w:spacing w:line="360" w:lineRule="auto"/>
        <w:ind w:firstLine="480" w:firstLineChars="200"/>
        <w:rPr>
          <w:rFonts w:hint="eastAsia"/>
          <w:color w:val="auto"/>
          <w:highlight w:val="none"/>
        </w:rPr>
      </w:pPr>
      <w:r>
        <w:rPr>
          <w:rFonts w:hint="eastAsia" w:ascii="宋体" w:hAnsi="宋体" w:cs="宋体"/>
          <w:color w:val="auto"/>
          <w:sz w:val="24"/>
          <w:highlight w:val="none"/>
        </w:rPr>
        <w:t>自本公告发布之日起</w:t>
      </w:r>
      <w:r>
        <w:rPr>
          <w:rFonts w:ascii="宋体" w:hAnsi="宋体" w:cs="宋体"/>
          <w:color w:val="auto"/>
          <w:sz w:val="24"/>
          <w:highlight w:val="none"/>
        </w:rPr>
        <w:t>5</w:t>
      </w:r>
      <w:r>
        <w:rPr>
          <w:rFonts w:hint="eastAsia" w:ascii="宋体" w:hAnsi="宋体" w:cs="宋体"/>
          <w:color w:val="auto"/>
          <w:sz w:val="24"/>
          <w:highlight w:val="none"/>
        </w:rPr>
        <w:t>个工作日。</w:t>
      </w:r>
    </w:p>
    <w:p w14:paraId="5795B416">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十</w:t>
      </w:r>
      <w:r>
        <w:rPr>
          <w:rFonts w:hint="eastAsia" w:ascii="宋体" w:hAnsi="宋体" w:cs="宋体"/>
          <w:b/>
          <w:color w:val="auto"/>
          <w:kern w:val="0"/>
          <w:sz w:val="24"/>
          <w:highlight w:val="none"/>
          <w:lang w:val="en-US" w:eastAsia="zh-CN"/>
        </w:rPr>
        <w:t>一</w:t>
      </w:r>
      <w:r>
        <w:rPr>
          <w:rFonts w:hint="eastAsia" w:ascii="宋体" w:hAnsi="宋体" w:cs="宋体"/>
          <w:b/>
          <w:color w:val="auto"/>
          <w:kern w:val="0"/>
          <w:sz w:val="24"/>
          <w:highlight w:val="none"/>
        </w:rPr>
        <w:t>、相关注意事项：</w:t>
      </w:r>
    </w:p>
    <w:p w14:paraId="6B108E7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人认为招标文件使自己的权益受到损害的，可以自获取招标文件之日或者招标公告期限届满之日（公告期限届满后获取招标文件的，以公告期限届满之日为准）起3个工作日内，对招标文件需求的以书面形式向招标人提出质疑，对其他内容的以书面形式向招标人和招标代理机构提出质疑。质疑投标人对招标人、招标代理机构的答复不满意或者招标人、招标代理机构未在规定的时间内作出答复的，可以在答复期满后十五个工作日内向招标人监督管理部门投诉。</w:t>
      </w:r>
    </w:p>
    <w:p w14:paraId="5147FFD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2、本项目所有公告发布网站：“台州湾新区小额工程电子交易平台</w:t>
      </w:r>
      <w:r>
        <w:rPr>
          <w:rFonts w:ascii="宋体" w:hAnsi="宋体" w:cs="宋体"/>
          <w:color w:val="auto"/>
          <w:sz w:val="24"/>
          <w:highlight w:val="none"/>
        </w:rPr>
        <w:t>”</w:t>
      </w:r>
      <w:r>
        <w:rPr>
          <w:rFonts w:hint="eastAsia" w:ascii="宋体" w:hAnsi="宋体" w:cs="宋体"/>
          <w:color w:val="auto"/>
          <w:sz w:val="24"/>
          <w:highlight w:val="none"/>
        </w:rPr>
        <w:t>（http://www.tzwztb.com）及“浙江省政府采购网”（http:// www.zjzfcg.gov.cn）。</w:t>
      </w:r>
    </w:p>
    <w:p w14:paraId="14618A4D">
      <w:pPr>
        <w:snapToGrid w:val="0"/>
        <w:spacing w:line="360" w:lineRule="auto"/>
        <w:ind w:firstLine="240" w:firstLineChars="100"/>
        <w:rPr>
          <w:rFonts w:hint="eastAsia" w:ascii="宋体" w:hAnsi="宋体" w:cs="宋体"/>
          <w:b/>
          <w:color w:val="auto"/>
          <w:sz w:val="24"/>
          <w:szCs w:val="20"/>
          <w:highlight w:val="none"/>
        </w:rPr>
      </w:pPr>
      <w:r>
        <w:rPr>
          <w:rFonts w:hint="eastAsia" w:ascii="宋体" w:hAnsi="宋体" w:cs="宋体"/>
          <w:b/>
          <w:color w:val="auto"/>
          <w:sz w:val="24"/>
          <w:highlight w:val="none"/>
        </w:rPr>
        <w:t>十</w:t>
      </w:r>
      <w:r>
        <w:rPr>
          <w:rFonts w:hint="eastAsia" w:ascii="宋体" w:hAnsi="宋体" w:cs="宋体"/>
          <w:b/>
          <w:color w:val="auto"/>
          <w:sz w:val="24"/>
          <w:highlight w:val="none"/>
          <w:lang w:val="en-US" w:eastAsia="zh-CN"/>
        </w:rPr>
        <w:t>二</w:t>
      </w:r>
      <w:r>
        <w:rPr>
          <w:rFonts w:hint="eastAsia" w:ascii="宋体" w:hAnsi="宋体" w:cs="宋体"/>
          <w:b/>
          <w:color w:val="auto"/>
          <w:sz w:val="24"/>
          <w:highlight w:val="none"/>
        </w:rPr>
        <w:t>、联系方式：</w:t>
      </w:r>
    </w:p>
    <w:p w14:paraId="040E97A5">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（一）招标代理机构</w:t>
      </w:r>
    </w:p>
    <w:p w14:paraId="79CF8F9E">
      <w:pPr>
        <w:spacing w:line="360" w:lineRule="auto"/>
        <w:ind w:firstLine="480" w:firstLineChars="200"/>
        <w:rPr>
          <w:rFonts w:hint="eastAsia"/>
          <w:color w:val="auto"/>
          <w:szCs w:val="21"/>
          <w:highlight w:val="none"/>
        </w:rPr>
      </w:pPr>
      <w:r>
        <w:rPr>
          <w:rFonts w:hint="eastAsia" w:ascii="宋体" w:hAnsi="宋体" w:cs="宋体"/>
          <w:color w:val="auto"/>
          <w:sz w:val="24"/>
          <w:highlight w:val="none"/>
        </w:rPr>
        <w:t>代理机构名称：</w:t>
      </w:r>
      <w:r>
        <w:rPr>
          <w:rFonts w:hint="eastAsia" w:ascii="宋体" w:hAnsi="宋体" w:cs="宋体"/>
          <w:color w:val="auto"/>
          <w:sz w:val="24"/>
          <w:highlight w:val="none"/>
          <w:u w:val="single"/>
        </w:rPr>
        <w:t>台州市建设咨询有限公司</w:t>
      </w:r>
    </w:p>
    <w:p w14:paraId="19D29587">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w:t>
      </w:r>
      <w:r>
        <w:rPr>
          <w:rFonts w:hint="eastAsia" w:ascii="宋体" w:hAnsi="宋体" w:cs="宋体"/>
          <w:color w:val="auto"/>
          <w:sz w:val="24"/>
          <w:highlight w:val="none"/>
          <w:u w:val="single"/>
          <w:lang w:val="en-US" w:eastAsia="zh-CN"/>
        </w:rPr>
        <w:t xml:space="preserve">  葛俊</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single"/>
          <w:lang w:val="en-US" w:eastAsia="zh-CN"/>
        </w:rPr>
        <w:t xml:space="preserve">   </w:t>
      </w:r>
    </w:p>
    <w:p w14:paraId="0BF553CE">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0576-8851778</w:t>
      </w:r>
      <w:r>
        <w:rPr>
          <w:rFonts w:hint="eastAsia" w:ascii="宋体" w:hAnsi="宋体" w:cs="宋体"/>
          <w:color w:val="auto"/>
          <w:sz w:val="24"/>
          <w:highlight w:val="none"/>
          <w:u w:val="single"/>
          <w:lang w:val="en-US" w:eastAsia="zh-CN"/>
        </w:rPr>
        <w:t>2</w:t>
      </w:r>
    </w:p>
    <w:p w14:paraId="36E374A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市府大道507号台州国际商务广场1幢11楼</w:t>
      </w:r>
    </w:p>
    <w:p w14:paraId="21F8739B">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（二）</w:t>
      </w:r>
      <w:r>
        <w:rPr>
          <w:rFonts w:hint="eastAsia" w:ascii="宋体" w:hAnsi="宋体" w:cs="宋体"/>
          <w:b/>
          <w:color w:val="auto"/>
          <w:kern w:val="0"/>
          <w:sz w:val="24"/>
          <w:highlight w:val="none"/>
          <w:lang w:val="en-US" w:eastAsia="zh-CN"/>
        </w:rPr>
        <w:t>招标</w:t>
      </w:r>
      <w:r>
        <w:rPr>
          <w:rFonts w:hint="eastAsia" w:ascii="宋体" w:hAnsi="宋体" w:cs="宋体"/>
          <w:b/>
          <w:color w:val="auto"/>
          <w:kern w:val="0"/>
          <w:sz w:val="24"/>
          <w:highlight w:val="none"/>
        </w:rPr>
        <w:t>人</w:t>
      </w:r>
    </w:p>
    <w:p w14:paraId="4374E0D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招标人</w:t>
      </w:r>
      <w:r>
        <w:rPr>
          <w:rFonts w:hint="eastAsia" w:ascii="宋体" w:hAnsi="宋体" w:cs="宋体"/>
          <w:color w:val="auto"/>
          <w:sz w:val="24"/>
          <w:highlight w:val="none"/>
        </w:rPr>
        <w:t>名称</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sz w:val="24"/>
          <w:highlight w:val="none"/>
          <w:u w:val="single"/>
          <w:lang w:eastAsia="zh-CN"/>
        </w:rPr>
        <w:t>台州西廊港口开发有限公司</w:t>
      </w:r>
      <w:r>
        <w:rPr>
          <w:rFonts w:hint="eastAsia" w:ascii="宋体" w:hAnsi="宋体" w:cs="宋体"/>
          <w:color w:val="auto"/>
          <w:sz w:val="24"/>
          <w:highlight w:val="none"/>
          <w:u w:val="single"/>
        </w:rPr>
        <w:t xml:space="preserve"> </w:t>
      </w:r>
    </w:p>
    <w:p w14:paraId="687125AB">
      <w:pPr>
        <w:spacing w:line="360" w:lineRule="auto"/>
        <w:ind w:firstLine="480" w:firstLineChars="200"/>
        <w:rPr>
          <w:rFonts w:hint="eastAsia" w:ascii="宋体" w:hAnsi="宋体" w:cs="宋体"/>
          <w:color w:val="auto"/>
          <w:sz w:val="24"/>
          <w:highlight w:val="none"/>
          <w:u w:val="single"/>
          <w:lang w:eastAsia="zh-CN"/>
        </w:rPr>
      </w:pPr>
      <w:r>
        <w:rPr>
          <w:rFonts w:hint="eastAsia" w:ascii="宋体" w:hAnsi="宋体" w:cs="宋体"/>
          <w:color w:val="auto"/>
          <w:sz w:val="24"/>
          <w:highlight w:val="none"/>
          <w:lang w:val="en-US" w:eastAsia="zh-CN"/>
        </w:rPr>
        <w:t>招标人</w:t>
      </w:r>
      <w:r>
        <w:rPr>
          <w:rFonts w:hint="eastAsia" w:ascii="宋体" w:hAnsi="宋体" w:cs="宋体"/>
          <w:color w:val="auto"/>
          <w:sz w:val="24"/>
          <w:highlight w:val="none"/>
        </w:rPr>
        <w:t>名称</w:t>
      </w: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u w:val="single"/>
        </w:rPr>
        <w:t>中交第三航务工程局有限公司</w:t>
      </w:r>
    </w:p>
    <w:p w14:paraId="711E81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Cs w:val="21"/>
          <w:highlight w:val="none"/>
          <w:lang w:val="en-US" w:eastAsia="zh-CN"/>
        </w:rPr>
        <w:t>李先生</w:t>
      </w:r>
      <w:r>
        <w:rPr>
          <w:rFonts w:hint="eastAsia" w:ascii="宋体" w:hAnsi="宋体" w:cs="宋体"/>
          <w:color w:val="auto"/>
          <w:sz w:val="24"/>
          <w:highlight w:val="none"/>
        </w:rPr>
        <w:t xml:space="preserve"> </w:t>
      </w:r>
    </w:p>
    <w:p w14:paraId="1389C937">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联系电话：</w:t>
      </w:r>
      <w:r>
        <w:rPr>
          <w:rFonts w:hint="eastAsia" w:ascii="宋体" w:hAnsi="宋体" w:cs="宋体"/>
          <w:color w:val="auto"/>
          <w:sz w:val="24"/>
          <w:highlight w:val="none"/>
          <w:u w:val="single"/>
          <w:lang w:val="en-US" w:eastAsia="zh-CN"/>
        </w:rPr>
        <w:t>13857688987</w:t>
      </w:r>
    </w:p>
    <w:p w14:paraId="78206CEA">
      <w:pPr>
        <w:pStyle w:val="11"/>
        <w:spacing w:after="0"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地址：</w:t>
      </w:r>
      <w:r>
        <w:rPr>
          <w:rFonts w:hint="eastAsia" w:ascii="宋体" w:hAnsi="宋体" w:cs="宋体"/>
          <w:color w:val="auto"/>
          <w:szCs w:val="21"/>
          <w:highlight w:val="none"/>
        </w:rPr>
        <w:t>台州市台州湾新区甲南大道东段9号</w:t>
      </w:r>
    </w:p>
    <w:p w14:paraId="35CF17F4">
      <w:pPr>
        <w:spacing w:line="360" w:lineRule="auto"/>
        <w:ind w:firstLine="480" w:firstLineChars="200"/>
        <w:rPr>
          <w:rFonts w:hint="eastAsia" w:ascii="宋体" w:hAnsi="宋体" w:eastAsia="宋体" w:cs="宋体"/>
          <w:color w:val="auto"/>
          <w:sz w:val="24"/>
          <w:highlight w:val="none"/>
          <w:u w:val="single"/>
          <w:lang w:val="en-US" w:eastAsia="zh-CN"/>
        </w:rPr>
      </w:pPr>
      <w:r>
        <w:rPr>
          <w:rFonts w:hint="eastAsia" w:ascii="宋体" w:hAnsi="宋体" w:cs="宋体"/>
          <w:b/>
          <w:color w:val="auto"/>
          <w:sz w:val="24"/>
          <w:highlight w:val="none"/>
        </w:rPr>
        <w:t>（三）同级监管机构</w:t>
      </w:r>
    </w:p>
    <w:p w14:paraId="289DA1EF">
      <w:pPr>
        <w:widowControl/>
        <w:spacing w:line="336" w:lineRule="auto"/>
        <w:ind w:firstLine="600" w:firstLineChars="250"/>
        <w:jc w:val="left"/>
        <w:rPr>
          <w:rFonts w:hint="eastAsia" w:ascii="宋体" w:hAnsi="宋体" w:cs="宋体"/>
          <w:color w:val="auto"/>
          <w:kern w:val="0"/>
          <w:sz w:val="24"/>
          <w:highlight w:val="none"/>
          <w:u w:val="single"/>
        </w:rPr>
      </w:pPr>
      <w:r>
        <w:rPr>
          <w:rFonts w:hint="eastAsia" w:ascii="宋体" w:hAnsi="宋体" w:cs="宋体"/>
          <w:color w:val="auto"/>
          <w:sz w:val="24"/>
          <w:highlight w:val="none"/>
        </w:rPr>
        <w:t>名 称：</w:t>
      </w:r>
      <w:r>
        <w:rPr>
          <w:rFonts w:hint="eastAsia" w:ascii="宋体" w:hAnsi="宋体" w:eastAsia="宋体" w:cs="宋体"/>
          <w:color w:val="auto"/>
          <w:sz w:val="24"/>
          <w:highlight w:val="none"/>
          <w:u w:val="single"/>
          <w:lang w:val="en-US" w:eastAsia="zh-CN"/>
        </w:rPr>
        <w:t>台州湾新区行政审批与投资服务局</w:t>
      </w:r>
    </w:p>
    <w:p w14:paraId="03D3A254">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地</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址：</w:t>
      </w:r>
      <w:r>
        <w:rPr>
          <w:rFonts w:hint="eastAsia" w:ascii="宋体" w:hAnsi="宋体" w:cs="宋体"/>
          <w:color w:val="auto"/>
          <w:sz w:val="24"/>
          <w:highlight w:val="none"/>
          <w:u w:val="single"/>
        </w:rPr>
        <w:t>台州市甲南大道东段9号</w:t>
      </w:r>
    </w:p>
    <w:p w14:paraId="386F7630">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联系人：</w:t>
      </w:r>
      <w:r>
        <w:rPr>
          <w:rFonts w:hint="eastAsia" w:ascii="宋体" w:hAnsi="宋体" w:cs="宋体"/>
          <w:color w:val="auto"/>
          <w:sz w:val="24"/>
          <w:highlight w:val="none"/>
          <w:u w:val="single"/>
          <w:lang w:val="en-US" w:eastAsia="zh-CN"/>
        </w:rPr>
        <w:t>徐先生</w:t>
      </w:r>
      <w:r>
        <w:rPr>
          <w:rFonts w:hint="eastAsia" w:ascii="宋体" w:hAnsi="宋体" w:cs="宋体"/>
          <w:color w:val="auto"/>
          <w:sz w:val="24"/>
          <w:highlight w:val="none"/>
        </w:rPr>
        <w:t xml:space="preserve">            </w:t>
      </w:r>
    </w:p>
    <w:p w14:paraId="6C135D1F">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电  话：</w:t>
      </w:r>
      <w:r>
        <w:rPr>
          <w:rFonts w:hint="eastAsia" w:ascii="宋体" w:hAnsi="宋体" w:cs="宋体"/>
          <w:color w:val="auto"/>
          <w:sz w:val="24"/>
          <w:highlight w:val="none"/>
          <w:u w:val="single"/>
        </w:rPr>
        <w:t>0576-</w:t>
      </w:r>
      <w:r>
        <w:rPr>
          <w:rFonts w:hint="eastAsia" w:ascii="宋体" w:hAnsi="宋体" w:cs="宋体"/>
          <w:color w:val="auto"/>
          <w:sz w:val="24"/>
          <w:highlight w:val="none"/>
          <w:u w:val="single"/>
          <w:lang w:val="en-US" w:eastAsia="zh-CN"/>
        </w:rPr>
        <w:t>88538849</w:t>
      </w:r>
    </w:p>
    <w:p w14:paraId="7F8D1F5C">
      <w:pPr>
        <w:pStyle w:val="61"/>
        <w:rPr>
          <w:rFonts w:hint="eastAsia" w:ascii="宋体" w:hAnsi="宋体" w:cs="宋体"/>
          <w:b/>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b/>
          <w:color w:val="auto"/>
          <w:sz w:val="24"/>
          <w:highlight w:val="none"/>
        </w:rPr>
        <w:t>（四）台州湾新区小额工程电子交易平台</w:t>
      </w:r>
    </w:p>
    <w:p w14:paraId="49573E37">
      <w:pPr>
        <w:spacing w:line="360" w:lineRule="auto"/>
        <w:ind w:firstLine="720" w:firstLineChars="3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联系人：</w:t>
      </w:r>
      <w:r>
        <w:rPr>
          <w:rFonts w:hint="eastAsia" w:ascii="宋体" w:hAnsi="宋体" w:cs="宋体"/>
          <w:color w:val="auto"/>
          <w:sz w:val="24"/>
          <w:highlight w:val="none"/>
          <w:u w:val="single"/>
          <w:lang w:val="en-US" w:eastAsia="zh-CN"/>
        </w:rPr>
        <w:t>蔡永正、王明月</w:t>
      </w:r>
    </w:p>
    <w:p w14:paraId="445DE0CA">
      <w:pPr>
        <w:spacing w:line="360" w:lineRule="auto"/>
        <w:ind w:firstLine="720" w:firstLineChars="300"/>
        <w:rPr>
          <w:rFonts w:hint="eastAsia" w:ascii="宋体" w:hAnsi="宋体" w:eastAsia="宋体" w:cs="宋体"/>
          <w:color w:val="auto"/>
          <w:sz w:val="24"/>
          <w:highlight w:val="none"/>
          <w:shd w:val="clear" w:color="auto" w:fill="FFFFFF"/>
          <w:lang w:eastAsia="zh-CN"/>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0576</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88865509</w:t>
      </w:r>
    </w:p>
    <w:p w14:paraId="59FFD7B9">
      <w:pPr>
        <w:snapToGrid w:val="0"/>
        <w:spacing w:line="336" w:lineRule="auto"/>
        <w:ind w:firstLine="5760" w:firstLineChars="2400"/>
        <w:jc w:val="left"/>
        <w:rPr>
          <w:rFonts w:hint="eastAsia" w:ascii="宋体" w:hAnsi="宋体" w:cs="宋体"/>
          <w:color w:val="auto"/>
          <w:sz w:val="24"/>
          <w:highlight w:val="none"/>
        </w:rPr>
      </w:pPr>
    </w:p>
    <w:p w14:paraId="65B1841B">
      <w:pPr>
        <w:spacing w:line="360" w:lineRule="auto"/>
        <w:ind w:firstLine="480" w:firstLineChars="200"/>
        <w:jc w:val="right"/>
        <w:rPr>
          <w:rFonts w:hint="eastAsia" w:ascii="宋体" w:hAnsi="宋体" w:cs="宋体"/>
          <w:color w:val="auto"/>
          <w:sz w:val="24"/>
          <w:highlight w:val="none"/>
        </w:rPr>
      </w:pPr>
    </w:p>
    <w:p w14:paraId="163DAF0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台州市建设咨询有限公司</w:t>
      </w:r>
    </w:p>
    <w:p w14:paraId="20CE945C">
      <w:pPr>
        <w:snapToGrid w:val="0"/>
        <w:spacing w:line="360" w:lineRule="auto"/>
        <w:jc w:val="center"/>
        <w:rPr>
          <w:rFonts w:hAnsi="宋体" w:cs="宋体"/>
          <w:color w:val="auto"/>
          <w:sz w:val="36"/>
          <w:szCs w:val="36"/>
          <w:highlight w:val="none"/>
        </w:rPr>
        <w:sectPr>
          <w:footerReference r:id="rId7" w:type="default"/>
          <w:pgSz w:w="11906" w:h="16838"/>
          <w:pgMar w:top="1134" w:right="1587" w:bottom="1134" w:left="1587" w:header="851" w:footer="850" w:gutter="0"/>
          <w:pgNumType w:fmt="numberInDash" w:start="1"/>
          <w:cols w:space="720" w:num="1"/>
          <w:docGrid w:linePitch="312" w:charSpace="0"/>
        </w:sectPr>
      </w:pPr>
      <w:r>
        <w:rPr>
          <w:rFonts w:hint="eastAsia" w:ascii="宋体" w:hAnsi="宋体" w:cs="宋体"/>
          <w:color w:val="auto"/>
          <w:sz w:val="24"/>
          <w:highlight w:val="none"/>
        </w:rPr>
        <w:t xml:space="preserve">                                          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月</w:t>
      </w:r>
    </w:p>
    <w:p w14:paraId="43A8B9AF">
      <w:pPr>
        <w:numPr>
          <w:ilvl w:val="0"/>
          <w:numId w:val="0"/>
        </w:numPr>
        <w:tabs>
          <w:tab w:val="left" w:pos="0"/>
        </w:tabs>
        <w:spacing w:line="360" w:lineRule="auto"/>
        <w:ind w:leftChars="0"/>
        <w:jc w:val="center"/>
        <w:rPr>
          <w:rFonts w:hint="eastAsia" w:ascii="宋体"/>
          <w:b/>
          <w:color w:val="auto"/>
          <w:sz w:val="36"/>
          <w:szCs w:val="36"/>
          <w:highlight w:val="none"/>
        </w:rPr>
      </w:pPr>
      <w:bookmarkStart w:id="5" w:name="_Toc30644_WPSOffice_Level1"/>
      <w:r>
        <w:rPr>
          <w:rFonts w:hint="eastAsia" w:ascii="宋体"/>
          <w:b/>
          <w:color w:val="auto"/>
          <w:sz w:val="36"/>
          <w:szCs w:val="36"/>
          <w:highlight w:val="none"/>
          <w:lang w:val="en-US" w:eastAsia="zh-CN"/>
        </w:rPr>
        <w:t xml:space="preserve">第二章 </w:t>
      </w:r>
      <w:r>
        <w:rPr>
          <w:rFonts w:hint="eastAsia" w:ascii="宋体"/>
          <w:b/>
          <w:color w:val="auto"/>
          <w:sz w:val="36"/>
          <w:szCs w:val="36"/>
          <w:highlight w:val="none"/>
        </w:rPr>
        <w:t>投标人须知</w:t>
      </w:r>
      <w:bookmarkEnd w:id="5"/>
    </w:p>
    <w:p w14:paraId="28399020">
      <w:pPr>
        <w:spacing w:line="360" w:lineRule="auto"/>
        <w:jc w:val="center"/>
        <w:rPr>
          <w:rFonts w:hint="eastAsia" w:ascii="宋体"/>
          <w:b/>
          <w:color w:val="auto"/>
          <w:sz w:val="24"/>
          <w:szCs w:val="24"/>
          <w:highlight w:val="none"/>
        </w:rPr>
      </w:pPr>
      <w:r>
        <w:rPr>
          <w:rFonts w:hint="eastAsia" w:ascii="宋体"/>
          <w:b/>
          <w:color w:val="auto"/>
          <w:sz w:val="24"/>
          <w:szCs w:val="24"/>
          <w:highlight w:val="none"/>
        </w:rPr>
        <w:t>前  附 表</w:t>
      </w:r>
    </w:p>
    <w:tbl>
      <w:tblPr>
        <w:tblStyle w:val="30"/>
        <w:tblW w:w="9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14:paraId="188956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7CFA1EC8">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5550A8FD">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内容、要求</w:t>
            </w:r>
          </w:p>
        </w:tc>
      </w:tr>
      <w:tr w14:paraId="2A5921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34366890">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59D4931E">
            <w:pPr>
              <w:snapToGrid w:val="0"/>
              <w:spacing w:line="360" w:lineRule="auto"/>
              <w:ind w:left="1200" w:hanging="1100" w:hangingChars="5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项目名称：</w:t>
            </w:r>
            <w:r>
              <w:rPr>
                <w:rFonts w:hint="eastAsia" w:ascii="宋体" w:hAnsi="宋体" w:eastAsia="宋体" w:cs="宋体"/>
                <w:color w:val="auto"/>
                <w:sz w:val="22"/>
                <w:szCs w:val="22"/>
                <w:highlight w:val="none"/>
                <w:lang w:val="en-US" w:eastAsia="zh-CN"/>
              </w:rPr>
              <w:t>台州湾陆岛联动综合码头工程（一期）建筑工程一切险及安全生产责任险保险服务项目（重新招标）</w:t>
            </w:r>
          </w:p>
        </w:tc>
      </w:tr>
      <w:tr w14:paraId="4251CF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6D02B201">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6E61D3EC">
            <w:pPr>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采购内容及数量：详见第</w:t>
            </w:r>
            <w:r>
              <w:rPr>
                <w:rFonts w:hint="eastAsia" w:ascii="宋体" w:hAnsi="宋体" w:eastAsia="宋体" w:cs="宋体"/>
                <w:color w:val="auto"/>
                <w:sz w:val="22"/>
                <w:szCs w:val="22"/>
                <w:highlight w:val="none"/>
                <w:lang w:val="en-US" w:eastAsia="zh-CN"/>
              </w:rPr>
              <w:t>三</w:t>
            </w:r>
            <w:r>
              <w:rPr>
                <w:rFonts w:hint="eastAsia" w:ascii="宋体" w:hAnsi="宋体" w:eastAsia="宋体" w:cs="宋体"/>
                <w:color w:val="auto"/>
                <w:sz w:val="22"/>
                <w:szCs w:val="22"/>
                <w:highlight w:val="none"/>
              </w:rPr>
              <w:t>章“招标需求”</w:t>
            </w:r>
          </w:p>
        </w:tc>
      </w:tr>
      <w:tr w14:paraId="0774D6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25D5885F">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bidi="ar"/>
              </w:rPr>
              <w:t>3</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4BC95B40">
            <w:pPr>
              <w:numPr>
                <w:ilvl w:val="0"/>
                <w:numId w:val="0"/>
              </w:numPr>
              <w:spacing w:line="360" w:lineRule="auto"/>
              <w:rPr>
                <w:rFonts w:hint="default" w:ascii="宋体" w:hAnsi="宋体" w:eastAsia="宋体" w:cs="宋体"/>
                <w:b w:val="0"/>
                <w:bCs w:val="0"/>
                <w:color w:val="auto"/>
                <w:kern w:val="2"/>
                <w:sz w:val="22"/>
                <w:szCs w:val="22"/>
                <w:highlight w:val="none"/>
                <w:u w:val="none"/>
                <w:lang w:val="en-US" w:eastAsia="zh-CN" w:bidi="ar-SA"/>
              </w:rPr>
            </w:pPr>
            <w:r>
              <w:rPr>
                <w:rFonts w:hint="eastAsia" w:hAnsi="宋体" w:eastAsia="宋体" w:cs="宋体"/>
                <w:color w:val="auto"/>
                <w:sz w:val="22"/>
                <w:szCs w:val="22"/>
                <w:highlight w:val="none"/>
                <w:lang w:val="en-US" w:eastAsia="zh-CN"/>
              </w:rPr>
              <w:t>服务期限:</w:t>
            </w:r>
            <w:r>
              <w:rPr>
                <w:rFonts w:hint="eastAsia" w:ascii="宋体" w:hAnsi="宋体" w:eastAsia="宋体" w:cs="宋体"/>
                <w:b w:val="0"/>
                <w:bCs w:val="0"/>
                <w:color w:val="auto"/>
                <w:kern w:val="2"/>
                <w:sz w:val="22"/>
                <w:szCs w:val="22"/>
                <w:highlight w:val="none"/>
                <w:u w:val="none"/>
                <w:lang w:val="en-US" w:eastAsia="zh-CN" w:bidi="ar-SA"/>
              </w:rPr>
              <w:t>合同签订之日至工程竣工验收后缺陷责任期终止证书颁发之日。</w:t>
            </w:r>
          </w:p>
          <w:p w14:paraId="578BB7CB">
            <w:pPr>
              <w:numPr>
                <w:ilvl w:val="0"/>
                <w:numId w:val="0"/>
              </w:numPr>
              <w:spacing w:line="360" w:lineRule="auto"/>
              <w:rPr>
                <w:rFonts w:hint="eastAsia" w:ascii="宋体" w:hAnsi="宋体" w:eastAsia="宋体" w:cs="宋体"/>
                <w:b/>
                <w:bCs/>
                <w:color w:val="auto"/>
                <w:kern w:val="2"/>
                <w:sz w:val="22"/>
                <w:szCs w:val="22"/>
                <w:highlight w:val="none"/>
                <w:u w:val="none"/>
                <w:lang w:val="en-US" w:eastAsia="zh-CN" w:bidi="ar-SA"/>
              </w:rPr>
            </w:pPr>
            <w:r>
              <w:rPr>
                <w:rFonts w:hint="eastAsia" w:ascii="宋体" w:hAnsi="宋体" w:eastAsia="宋体" w:cs="宋体"/>
                <w:b/>
                <w:bCs/>
                <w:color w:val="auto"/>
                <w:kern w:val="2"/>
                <w:sz w:val="22"/>
                <w:szCs w:val="22"/>
                <w:highlight w:val="none"/>
                <w:u w:val="none"/>
                <w:lang w:val="en-US" w:eastAsia="zh-CN" w:bidi="ar-SA"/>
              </w:rPr>
              <w:t>（1）建筑工程一切险及安全生产责任险保险期限明确：</w:t>
            </w:r>
          </w:p>
          <w:p w14:paraId="4D6CC642">
            <w:pPr>
              <w:spacing w:line="360" w:lineRule="auto"/>
              <w:rPr>
                <w:rFonts w:hint="eastAsia" w:ascii="宋体" w:hAnsi="宋体" w:eastAsia="宋体" w:cs="宋体"/>
                <w:b w:val="0"/>
                <w:bCs w:val="0"/>
                <w:color w:val="auto"/>
                <w:kern w:val="2"/>
                <w:sz w:val="22"/>
                <w:szCs w:val="22"/>
                <w:highlight w:val="none"/>
                <w:u w:val="none"/>
                <w:lang w:val="en-US" w:eastAsia="zh-CN" w:bidi="ar-SA"/>
              </w:rPr>
            </w:pPr>
            <w:r>
              <w:rPr>
                <w:rFonts w:hint="eastAsia" w:ascii="宋体" w:hAnsi="宋体" w:eastAsia="宋体" w:cs="宋体"/>
                <w:b w:val="0"/>
                <w:bCs w:val="0"/>
                <w:color w:val="auto"/>
                <w:kern w:val="2"/>
                <w:sz w:val="22"/>
                <w:szCs w:val="22"/>
                <w:highlight w:val="none"/>
                <w:u w:val="none"/>
                <w:lang w:val="en-US" w:eastAsia="zh-CN" w:bidi="ar-SA"/>
              </w:rPr>
              <w:t>自本保险合同签订之日起至本工程竣工验收合格之日止，保险服务期为30个月。如遇工期延期，本保险期限将免费延期12个月，且不加收任何附加保险费，被保险人须提前30天通知保险人。如在免费延期12个月后仍未完工，投保人在缴纳本保险合同项下按日比例计算的保险费后，保险期限可以继续延长。超过12个月部分的保费=本项目建筑工程一切险保险金额（</w:t>
            </w:r>
            <w:r>
              <w:rPr>
                <w:rFonts w:hint="eastAsia" w:ascii="宋体" w:cs="宋体"/>
                <w:b/>
                <w:bCs/>
                <w:color w:val="auto"/>
                <w:sz w:val="24"/>
                <w:highlight w:val="none"/>
                <w:lang w:val="en-US" w:eastAsia="zh-CN"/>
              </w:rPr>
              <w:t>815892366元</w:t>
            </w:r>
            <w:r>
              <w:rPr>
                <w:rFonts w:hint="eastAsia" w:ascii="宋体" w:hAnsi="宋体" w:eastAsia="宋体" w:cs="宋体"/>
                <w:b w:val="0"/>
                <w:bCs w:val="0"/>
                <w:color w:val="auto"/>
                <w:kern w:val="2"/>
                <w:sz w:val="22"/>
                <w:szCs w:val="22"/>
                <w:highlight w:val="none"/>
                <w:u w:val="none"/>
                <w:lang w:val="en-US" w:eastAsia="zh-CN" w:bidi="ar-SA"/>
              </w:rPr>
              <w:t>）×（建筑工程一切险保险费率+安全生产责任险费率）×（延期时间-365天）/900天。</w:t>
            </w:r>
          </w:p>
          <w:p w14:paraId="7228AA66">
            <w:pPr>
              <w:spacing w:line="360" w:lineRule="auto"/>
              <w:rPr>
                <w:rFonts w:hint="eastAsia" w:ascii="宋体" w:hAnsi="宋体" w:eastAsia="宋体" w:cs="宋体"/>
                <w:b/>
                <w:bCs/>
                <w:color w:val="auto"/>
                <w:kern w:val="2"/>
                <w:sz w:val="22"/>
                <w:szCs w:val="22"/>
                <w:highlight w:val="none"/>
                <w:u w:val="none"/>
                <w:lang w:val="en-US" w:eastAsia="zh-CN" w:bidi="ar-SA"/>
              </w:rPr>
            </w:pPr>
            <w:r>
              <w:rPr>
                <w:rFonts w:hint="eastAsia" w:ascii="宋体" w:hAnsi="宋体" w:eastAsia="宋体" w:cs="宋体"/>
                <w:b/>
                <w:bCs/>
                <w:color w:val="auto"/>
                <w:kern w:val="2"/>
                <w:sz w:val="22"/>
                <w:szCs w:val="22"/>
                <w:highlight w:val="none"/>
                <w:u w:val="none"/>
                <w:lang w:val="en-US" w:eastAsia="zh-CN" w:bidi="ar-SA"/>
              </w:rPr>
              <w:t>（2）建筑工程一切险及安全生产责任险保证期：</w:t>
            </w:r>
          </w:p>
          <w:p w14:paraId="4851D44F">
            <w:pPr>
              <w:pStyle w:val="27"/>
              <w:spacing w:before="0" w:beforeAutospacing="0" w:after="0" w:afterAutospacing="0" w:line="360" w:lineRule="auto"/>
              <w:rPr>
                <w:rFonts w:hint="default" w:ascii="宋体" w:hAnsi="宋体" w:eastAsia="宋体" w:cs="宋体"/>
                <w:color w:val="auto"/>
                <w:sz w:val="22"/>
                <w:szCs w:val="22"/>
                <w:highlight w:val="none"/>
                <w:lang w:val="en-US" w:eastAsia="zh-CN"/>
              </w:rPr>
            </w:pPr>
            <w:r>
              <w:rPr>
                <w:rFonts w:hint="eastAsia" w:ascii="宋体" w:hAnsi="宋体" w:eastAsia="宋体" w:cs="宋体"/>
                <w:b w:val="0"/>
                <w:bCs w:val="0"/>
                <w:color w:val="auto"/>
                <w:kern w:val="2"/>
                <w:sz w:val="22"/>
                <w:szCs w:val="22"/>
                <w:highlight w:val="none"/>
                <w:u w:val="none"/>
                <w:lang w:val="en-US" w:eastAsia="zh-CN" w:bidi="ar-SA"/>
              </w:rPr>
              <w:t>本工程竣工验收合格之日起至本工程缺陷责任期终止证书颁发之日止，预计12个月。如遇工期延期，则保证期相应顺延。</w:t>
            </w:r>
          </w:p>
        </w:tc>
      </w:tr>
      <w:tr w14:paraId="4677C5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036F50C1">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3E069871">
            <w:pPr>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投标报价及费用：</w:t>
            </w:r>
          </w:p>
          <w:p w14:paraId="521A31F5">
            <w:pPr>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1、本项目投标应以人民币报价；</w:t>
            </w:r>
          </w:p>
          <w:p w14:paraId="2ADA5020">
            <w:pPr>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2、不论投标结果如何，投标人均应自行承担所有与投标有关的全部费用；</w:t>
            </w:r>
          </w:p>
          <w:p w14:paraId="73420927">
            <w:pPr>
              <w:pStyle w:val="2"/>
              <w:numPr>
                <w:ilvl w:val="0"/>
                <w:numId w:val="0"/>
              </w:numPr>
              <w:ind w:left="0" w:firstLine="0"/>
              <w:jc w:val="left"/>
              <w:rPr>
                <w:rFonts w:hint="eastAsia" w:eastAsia="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3、本项目保险经纪服务费2.8万元由中标人承担。</w:t>
            </w:r>
          </w:p>
        </w:tc>
      </w:tr>
      <w:tr w14:paraId="797072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682F1B13">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7B76A14C">
            <w:pPr>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投标保证金：</w:t>
            </w:r>
            <w:r>
              <w:rPr>
                <w:rFonts w:hint="eastAsia" w:ascii="宋体" w:hAnsi="宋体" w:eastAsia="宋体" w:cs="宋体"/>
                <w:color w:val="auto"/>
                <w:sz w:val="22"/>
                <w:szCs w:val="22"/>
                <w:highlight w:val="none"/>
                <w:u w:val="single"/>
                <w:lang w:val="en-US" w:eastAsia="zh-CN"/>
              </w:rPr>
              <w:t>80000</w:t>
            </w:r>
            <w:r>
              <w:rPr>
                <w:rFonts w:hint="eastAsia" w:ascii="宋体" w:hAnsi="宋体" w:eastAsia="宋体" w:cs="宋体"/>
                <w:color w:val="auto"/>
                <w:sz w:val="22"/>
                <w:szCs w:val="22"/>
                <w:highlight w:val="none"/>
              </w:rPr>
              <w:t>元。</w:t>
            </w:r>
          </w:p>
          <w:p w14:paraId="169DB3BE">
            <w:pPr>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投标保证金缴纳方式：银行转账</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银行保函、保险机构保证保险保单、融资担保公司保函。</w:t>
            </w:r>
          </w:p>
        </w:tc>
      </w:tr>
      <w:tr w14:paraId="3A454F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4C3A2D6F">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078F34FE">
            <w:pPr>
              <w:snapToGrid w:val="0"/>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现场踏勘：</w:t>
            </w:r>
            <w:r>
              <w:rPr>
                <w:rFonts w:hint="eastAsia" w:ascii="宋体" w:hAnsi="宋体" w:eastAsia="宋体" w:cs="宋体"/>
                <w:color w:val="auto"/>
                <w:sz w:val="22"/>
                <w:szCs w:val="22"/>
                <w:highlight w:val="none"/>
                <w:lang w:val="en-US" w:eastAsia="zh-CN"/>
              </w:rPr>
              <w:t>不组织</w:t>
            </w:r>
          </w:p>
        </w:tc>
      </w:tr>
      <w:tr w14:paraId="501EA1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7247F69D">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16AE572B">
            <w:pPr>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lang w:bidi="ar"/>
              </w:rPr>
              <w:t>答疑与澄清：投标人获取招标文件后，若有问题需要澄清，应自招标文件发布在交易场所（发布招标公告的媒体上）3日内，向招标人（招标代理）提出。</w:t>
            </w:r>
          </w:p>
        </w:tc>
      </w:tr>
      <w:tr w14:paraId="60B283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2100DC12">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1AB2F0BF">
            <w:pPr>
              <w:snapToGrid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投标截止时间及地点：</w:t>
            </w:r>
            <w:r>
              <w:rPr>
                <w:rFonts w:hint="eastAsia" w:ascii="宋体" w:hAnsi="宋体" w:eastAsia="宋体" w:cs="宋体"/>
                <w:color w:val="auto"/>
                <w:sz w:val="22"/>
                <w:szCs w:val="22"/>
                <w:highlight w:val="none"/>
                <w:u w:val="single"/>
              </w:rPr>
              <w:t>见招标公告；</w:t>
            </w:r>
          </w:p>
        </w:tc>
      </w:tr>
      <w:tr w14:paraId="4A032D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446B5631">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2E9F6C2B">
            <w:pPr>
              <w:snapToGrid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开标时间及地点：</w:t>
            </w:r>
            <w:r>
              <w:rPr>
                <w:rFonts w:hint="eastAsia" w:ascii="宋体" w:hAnsi="宋体" w:eastAsia="宋体" w:cs="宋体"/>
                <w:color w:val="auto"/>
                <w:sz w:val="22"/>
                <w:szCs w:val="22"/>
                <w:highlight w:val="none"/>
                <w:u w:val="single"/>
              </w:rPr>
              <w:t>见招标公告；</w:t>
            </w:r>
            <w:r>
              <w:rPr>
                <w:rFonts w:hint="eastAsia" w:ascii="宋体" w:hAnsi="宋体" w:eastAsia="宋体" w:cs="宋体"/>
                <w:color w:val="auto"/>
                <w:sz w:val="22"/>
                <w:szCs w:val="22"/>
                <w:highlight w:val="none"/>
              </w:rPr>
              <w:t xml:space="preserve"> </w:t>
            </w:r>
          </w:p>
        </w:tc>
      </w:tr>
      <w:tr w14:paraId="0BFC58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37072D3B">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0F66BBDC">
            <w:pPr>
              <w:autoSpaceDE w:val="0"/>
              <w:autoSpaceDN w:val="0"/>
              <w:snapToGrid w:val="0"/>
              <w:spacing w:line="360" w:lineRule="auto"/>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评标办法及评分标准：详见本招标文件第</w:t>
            </w:r>
            <w:r>
              <w:rPr>
                <w:rFonts w:hint="eastAsia" w:ascii="宋体" w:hAnsi="宋体" w:eastAsia="宋体" w:cs="宋体"/>
                <w:color w:val="auto"/>
                <w:sz w:val="22"/>
                <w:szCs w:val="22"/>
                <w:highlight w:val="none"/>
                <w:lang w:val="en-US" w:eastAsia="zh-CN"/>
              </w:rPr>
              <w:t>四</w:t>
            </w:r>
            <w:r>
              <w:rPr>
                <w:rFonts w:hint="eastAsia" w:ascii="宋体" w:hAnsi="宋体" w:eastAsia="宋体" w:cs="宋体"/>
                <w:color w:val="auto"/>
                <w:sz w:val="22"/>
                <w:szCs w:val="22"/>
                <w:highlight w:val="none"/>
              </w:rPr>
              <w:t>章《评标办法及评分标准》</w:t>
            </w:r>
          </w:p>
        </w:tc>
      </w:tr>
      <w:tr w14:paraId="78CAD5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6AF78CC8">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3FA2A18D">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▲投标有效期：自投标截止日起 90 天投标文件应保持有效</w:t>
            </w:r>
            <w:r>
              <w:rPr>
                <w:rFonts w:hint="eastAsia" w:ascii="宋体" w:hAnsi="宋体" w:eastAsia="宋体" w:cs="宋体"/>
                <w:color w:val="auto"/>
                <w:sz w:val="22"/>
                <w:szCs w:val="22"/>
                <w:highlight w:val="none"/>
              </w:rPr>
              <w:tab/>
            </w:r>
          </w:p>
        </w:tc>
      </w:tr>
      <w:tr w14:paraId="17E1DD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55F44871">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bidi="ar"/>
              </w:rPr>
              <w:t>12</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747C7A27">
            <w:pPr>
              <w:autoSpaceDE w:val="0"/>
              <w:autoSpaceDN w:val="0"/>
              <w:snapToGrid w:val="0"/>
              <w:spacing w:line="360" w:lineRule="auto"/>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实质性条款：带▲是实质性条款，投标人不得负偏离，否则为无效标。</w:t>
            </w:r>
          </w:p>
        </w:tc>
      </w:tr>
      <w:tr w14:paraId="296527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38E7EF7F">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49DE7554">
            <w:pPr>
              <w:autoSpaceDE w:val="0"/>
              <w:autoSpaceDN w:val="0"/>
              <w:snapToGrid w:val="0"/>
              <w:spacing w:line="360" w:lineRule="auto"/>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签订合同时间：中标通知书发出后30日内。</w:t>
            </w:r>
          </w:p>
        </w:tc>
      </w:tr>
      <w:tr w14:paraId="4B5B11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62B54FB8">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5D6EE75E">
            <w:pPr>
              <w:autoSpaceDE w:val="0"/>
              <w:autoSpaceDN w:val="0"/>
              <w:snapToGrid w:val="0"/>
              <w:spacing w:line="360" w:lineRule="auto"/>
              <w:textAlignment w:val="bottom"/>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lang w:eastAsia="zh-CN"/>
              </w:rPr>
              <w:t>履约担保金额为中标合同金额的</w:t>
            </w:r>
            <w:r>
              <w:rPr>
                <w:rFonts w:hint="eastAsia" w:ascii="宋体" w:hAnsi="宋体" w:eastAsia="宋体" w:cs="宋体"/>
                <w:b/>
                <w:bCs/>
                <w:color w:val="auto"/>
                <w:sz w:val="22"/>
                <w:szCs w:val="22"/>
                <w:highlight w:val="none"/>
                <w:lang w:val="en-US" w:eastAsia="zh-CN"/>
              </w:rPr>
              <w:t>2</w:t>
            </w:r>
            <w:r>
              <w:rPr>
                <w:rFonts w:hint="eastAsia" w:ascii="宋体" w:hAnsi="宋体" w:eastAsia="宋体" w:cs="宋体"/>
                <w:b/>
                <w:bCs/>
                <w:color w:val="auto"/>
                <w:sz w:val="22"/>
                <w:szCs w:val="22"/>
                <w:highlight w:val="none"/>
                <w:lang w:eastAsia="zh-CN"/>
              </w:rPr>
              <w:t>%，如不能办理工程保函采用现金的，中标人必须通过其基本账户转出，以转账、电汇或银行汇票方式存入招标人指定账户。</w:t>
            </w:r>
          </w:p>
        </w:tc>
      </w:tr>
      <w:tr w14:paraId="5E41C1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6A941691">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2F898A08">
            <w:pPr>
              <w:autoSpaceDE w:val="0"/>
              <w:autoSpaceDN w:val="0"/>
              <w:snapToGrid w:val="0"/>
              <w:spacing w:line="360" w:lineRule="auto"/>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投标文件递交要求：</w:t>
            </w:r>
          </w:p>
          <w:p w14:paraId="29D295DC">
            <w:pPr>
              <w:autoSpaceDE w:val="0"/>
              <w:autoSpaceDN w:val="0"/>
              <w:snapToGrid w:val="0"/>
              <w:spacing w:line="360" w:lineRule="auto"/>
              <w:jc w:val="left"/>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1、投标人无需到开标现场，电子投标文件上传至台州湾新区小额工程电子交易平台。如遇有问题的请联系蔡先生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王女士，0576-88865509。</w:t>
            </w:r>
          </w:p>
          <w:p w14:paraId="01668069">
            <w:pPr>
              <w:autoSpaceDE w:val="0"/>
              <w:autoSpaceDN w:val="0"/>
              <w:snapToGrid w:val="0"/>
              <w:spacing w:line="360" w:lineRule="auto"/>
              <w:jc w:val="left"/>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2、电子投标文件上传步骤：</w:t>
            </w:r>
          </w:p>
          <w:p w14:paraId="21404FCD">
            <w:pPr>
              <w:autoSpaceDE w:val="0"/>
              <w:autoSpaceDN w:val="0"/>
              <w:snapToGrid w:val="0"/>
              <w:spacing w:line="360" w:lineRule="auto"/>
              <w:jc w:val="left"/>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 台州湾新区小额工程电子交易平台（网址：http://www.tzwztb.com/）；</w:t>
            </w:r>
          </w:p>
          <w:p w14:paraId="331A7B33">
            <w:pPr>
              <w:autoSpaceDE w:val="0"/>
              <w:autoSpaceDN w:val="0"/>
              <w:snapToGrid w:val="0"/>
              <w:spacing w:line="360" w:lineRule="auto"/>
              <w:jc w:val="left"/>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 投标人应提前办好ca锁（办理网址：http://www.tseal.cn/tcloud/common.xhtml?projId=295），绑定平台账户。</w:t>
            </w:r>
          </w:p>
          <w:p w14:paraId="1E0CB436">
            <w:pPr>
              <w:autoSpaceDE w:val="0"/>
              <w:autoSpaceDN w:val="0"/>
              <w:snapToGrid w:val="0"/>
              <w:spacing w:line="360" w:lineRule="auto"/>
              <w:jc w:val="left"/>
              <w:textAlignment w:val="bottom"/>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缴纳保证金（或购买、上传电子保函）后，点击“电子投标文件制作工具”，进入制作页面，签章并加密上传电子投标文件。</w:t>
            </w:r>
          </w:p>
        </w:tc>
      </w:tr>
      <w:tr w14:paraId="6C95B2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0C738AA1">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36D9FF6F">
            <w:pPr>
              <w:autoSpaceDE w:val="0"/>
              <w:autoSpaceDN w:val="0"/>
              <w:snapToGrid w:val="0"/>
              <w:spacing w:line="360" w:lineRule="auto"/>
              <w:textAlignment w:val="bottom"/>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本</w:t>
            </w:r>
            <w:r>
              <w:rPr>
                <w:rFonts w:hint="eastAsia" w:ascii="宋体" w:hAnsi="宋体" w:eastAsia="宋体" w:cs="宋体"/>
                <w:b/>
                <w:color w:val="auto"/>
                <w:sz w:val="22"/>
                <w:szCs w:val="22"/>
                <w:highlight w:val="none"/>
                <w:lang w:val="en-US" w:eastAsia="zh-CN"/>
              </w:rPr>
              <w:t>项目</w:t>
            </w:r>
            <w:r>
              <w:rPr>
                <w:rFonts w:hint="eastAsia" w:ascii="宋体" w:hAnsi="宋体" w:eastAsia="宋体" w:cs="宋体"/>
                <w:b/>
                <w:color w:val="auto"/>
                <w:sz w:val="22"/>
                <w:szCs w:val="22"/>
                <w:highlight w:val="none"/>
              </w:rPr>
              <w:t>为电子招投标，电子投标文件格式中注明盖章的，均应按要求使用CA锁加盖公章和法定代表人章。</w:t>
            </w:r>
          </w:p>
        </w:tc>
      </w:tr>
      <w:tr w14:paraId="71A092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546B5247">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428365E3">
            <w:pPr>
              <w:autoSpaceDE w:val="0"/>
              <w:autoSpaceDN w:val="0"/>
              <w:snapToGrid w:val="0"/>
              <w:spacing w:line="360" w:lineRule="auto"/>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解释：本招标文件的解释权属于招标</w:t>
            </w:r>
            <w:r>
              <w:rPr>
                <w:rFonts w:hint="eastAsia" w:ascii="宋体" w:hAnsi="宋体" w:eastAsia="宋体" w:cs="宋体"/>
                <w:color w:val="auto"/>
                <w:sz w:val="22"/>
                <w:szCs w:val="22"/>
                <w:highlight w:val="none"/>
                <w:lang w:eastAsia="zh-CN"/>
              </w:rPr>
              <w:t>人</w:t>
            </w:r>
            <w:r>
              <w:rPr>
                <w:rFonts w:hint="eastAsia" w:ascii="宋体" w:hAnsi="宋体" w:eastAsia="宋体" w:cs="宋体"/>
                <w:color w:val="auto"/>
                <w:sz w:val="22"/>
                <w:szCs w:val="22"/>
                <w:highlight w:val="none"/>
              </w:rPr>
              <w:t>。</w:t>
            </w:r>
          </w:p>
        </w:tc>
      </w:tr>
      <w:tr w14:paraId="4EC95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5"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4A78A8F3">
            <w:pPr>
              <w:snapToGrid w:val="0"/>
              <w:spacing w:line="360" w:lineRule="auto"/>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18</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565288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2"/>
                <w:sz w:val="22"/>
                <w:szCs w:val="22"/>
                <w:highlight w:val="none"/>
                <w:u w:val="none"/>
                <w:lang w:val="en-US" w:eastAsia="zh-CN" w:bidi="ar-SA"/>
              </w:rPr>
            </w:pPr>
            <w:r>
              <w:rPr>
                <w:rFonts w:hint="eastAsia" w:ascii="宋体" w:hAnsi="宋体" w:eastAsia="宋体" w:cs="宋体"/>
                <w:b w:val="0"/>
                <w:bCs w:val="0"/>
                <w:color w:val="auto"/>
                <w:kern w:val="2"/>
                <w:sz w:val="22"/>
                <w:szCs w:val="22"/>
                <w:highlight w:val="none"/>
                <w:u w:val="none"/>
                <w:lang w:val="en-US" w:eastAsia="zh-CN" w:bidi="ar-SA"/>
              </w:rPr>
              <w:t>只推荐1名中标候选人。</w:t>
            </w:r>
          </w:p>
          <w:p w14:paraId="078FAF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2"/>
                <w:sz w:val="22"/>
                <w:szCs w:val="22"/>
                <w:highlight w:val="none"/>
                <w:u w:val="none"/>
                <w:lang w:val="en-US" w:eastAsia="zh-CN" w:bidi="ar-SA"/>
              </w:rPr>
            </w:pPr>
            <w:r>
              <w:rPr>
                <w:rFonts w:hint="eastAsia" w:ascii="宋体" w:hAnsi="宋体" w:eastAsia="宋体" w:cs="宋体"/>
                <w:b w:val="0"/>
                <w:bCs w:val="0"/>
                <w:color w:val="auto"/>
                <w:kern w:val="2"/>
                <w:sz w:val="22"/>
                <w:szCs w:val="22"/>
                <w:highlight w:val="none"/>
                <w:u w:val="none"/>
                <w:lang w:val="en-US" w:eastAsia="zh-CN" w:bidi="ar-SA"/>
              </w:rPr>
              <w:t>本次保险服务招标为首席保险人招标，要求采用共保人模式。</w:t>
            </w:r>
          </w:p>
          <w:p w14:paraId="2CCB0B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2"/>
                <w:sz w:val="22"/>
                <w:szCs w:val="22"/>
                <w:highlight w:val="none"/>
                <w:u w:val="none"/>
                <w:lang w:val="en-US" w:eastAsia="zh-CN" w:bidi="ar-SA"/>
              </w:rPr>
            </w:pPr>
            <w:r>
              <w:rPr>
                <w:rFonts w:hint="eastAsia" w:ascii="宋体" w:hAnsi="宋体" w:eastAsia="宋体" w:cs="宋体"/>
                <w:b w:val="0"/>
                <w:bCs w:val="0"/>
                <w:color w:val="auto"/>
                <w:kern w:val="2"/>
                <w:sz w:val="22"/>
                <w:szCs w:val="22"/>
                <w:highlight w:val="none"/>
                <w:u w:val="none"/>
                <w:lang w:val="en-US" w:eastAsia="zh-CN" w:bidi="ar-SA"/>
              </w:rPr>
              <w:t>首席保险人和共保人应符合以下要求：</w:t>
            </w:r>
          </w:p>
          <w:p w14:paraId="6A8106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2"/>
                <w:sz w:val="22"/>
                <w:szCs w:val="22"/>
                <w:highlight w:val="none"/>
                <w:u w:val="none"/>
                <w:lang w:val="en-US" w:eastAsia="zh-CN" w:bidi="ar-SA"/>
              </w:rPr>
            </w:pPr>
            <w:r>
              <w:rPr>
                <w:rFonts w:hint="eastAsia" w:ascii="宋体" w:hAnsi="宋体" w:eastAsia="宋体" w:cs="宋体"/>
                <w:b w:val="0"/>
                <w:bCs w:val="0"/>
                <w:color w:val="auto"/>
                <w:kern w:val="2"/>
                <w:sz w:val="22"/>
                <w:szCs w:val="22"/>
                <w:highlight w:val="none"/>
                <w:u w:val="none"/>
                <w:lang w:val="en-US" w:eastAsia="zh-CN" w:bidi="ar-SA"/>
              </w:rPr>
              <w:t>1、第一中标人作为本项目的首席保险人，全面负责一切对招标人的服务（包括承保、出单、收取/划拨保险费、风险管控及防灾防损基金的设立与运用、理赔、保险培训等）和共保人协调工作。</w:t>
            </w:r>
          </w:p>
          <w:p w14:paraId="7E7EEC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2"/>
                <w:sz w:val="22"/>
                <w:szCs w:val="22"/>
                <w:highlight w:val="none"/>
                <w:u w:val="none"/>
                <w:lang w:val="en-US" w:eastAsia="zh-CN" w:bidi="ar-SA"/>
              </w:rPr>
            </w:pPr>
            <w:r>
              <w:rPr>
                <w:rFonts w:hint="eastAsia" w:ascii="宋体" w:hAnsi="宋体" w:eastAsia="宋体" w:cs="宋体"/>
                <w:b w:val="0"/>
                <w:bCs w:val="0"/>
                <w:color w:val="auto"/>
                <w:kern w:val="2"/>
                <w:sz w:val="22"/>
                <w:szCs w:val="22"/>
                <w:highlight w:val="none"/>
                <w:u w:val="none"/>
                <w:lang w:val="en-US" w:eastAsia="zh-CN" w:bidi="ar-SA"/>
              </w:rPr>
              <w:t>2、</w:t>
            </w:r>
            <w:r>
              <w:rPr>
                <w:rFonts w:hint="eastAsia" w:ascii="宋体" w:hAnsi="宋体" w:eastAsia="宋体" w:cs="宋体"/>
                <w:b/>
                <w:bCs/>
                <w:color w:val="auto"/>
                <w:kern w:val="2"/>
                <w:sz w:val="22"/>
                <w:szCs w:val="22"/>
                <w:highlight w:val="none"/>
                <w:u w:val="none"/>
                <w:lang w:val="en-US" w:eastAsia="zh-CN" w:bidi="ar-SA"/>
              </w:rPr>
              <w:t>首席保险人承保份额不低于</w:t>
            </w:r>
            <w:r>
              <w:rPr>
                <w:rFonts w:hint="eastAsia" w:ascii="宋体" w:hAnsi="宋体" w:eastAsia="宋体" w:cs="宋体"/>
                <w:b/>
                <w:bCs/>
                <w:color w:val="auto"/>
                <w:kern w:val="2"/>
                <w:sz w:val="22"/>
                <w:szCs w:val="22"/>
                <w:highlight w:val="none"/>
                <w:u w:val="single"/>
                <w:lang w:val="en-US" w:eastAsia="zh-CN" w:bidi="ar-SA"/>
              </w:rPr>
              <w:t>40%</w:t>
            </w:r>
            <w:r>
              <w:rPr>
                <w:rFonts w:hint="eastAsia" w:ascii="宋体" w:hAnsi="宋体" w:eastAsia="宋体" w:cs="宋体"/>
                <w:b/>
                <w:bCs/>
                <w:color w:val="auto"/>
                <w:kern w:val="2"/>
                <w:sz w:val="22"/>
                <w:szCs w:val="22"/>
                <w:highlight w:val="none"/>
                <w:u w:val="none"/>
                <w:lang w:val="en-US" w:eastAsia="zh-CN" w:bidi="ar-SA"/>
              </w:rPr>
              <w:t>，且其他单个共保人份额不得大于首席保险人份额。</w:t>
            </w:r>
          </w:p>
          <w:p w14:paraId="17DA00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2"/>
                <w:sz w:val="22"/>
                <w:szCs w:val="22"/>
                <w:highlight w:val="none"/>
                <w:u w:val="none"/>
                <w:lang w:val="en-US" w:eastAsia="zh-CN" w:bidi="ar-SA"/>
              </w:rPr>
            </w:pPr>
            <w:r>
              <w:rPr>
                <w:rFonts w:hint="eastAsia" w:ascii="宋体" w:hAnsi="宋体" w:eastAsia="宋体" w:cs="宋体"/>
                <w:b w:val="0"/>
                <w:bCs w:val="0"/>
                <w:color w:val="auto"/>
                <w:kern w:val="2"/>
                <w:sz w:val="22"/>
                <w:szCs w:val="22"/>
                <w:highlight w:val="none"/>
                <w:u w:val="none"/>
                <w:lang w:val="en-US" w:eastAsia="zh-CN" w:bidi="ar-SA"/>
              </w:rPr>
              <w:t>3、首席保险人需在收到中标通知书7个工作日内出具暂保单。</w:t>
            </w:r>
          </w:p>
          <w:p w14:paraId="6377A9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2"/>
                <w:sz w:val="22"/>
                <w:szCs w:val="22"/>
                <w:highlight w:val="none"/>
                <w:u w:val="none"/>
                <w:lang w:val="en-US" w:eastAsia="zh-CN" w:bidi="ar-SA"/>
              </w:rPr>
            </w:pPr>
            <w:r>
              <w:rPr>
                <w:rFonts w:hint="eastAsia" w:ascii="宋体" w:hAnsi="宋体" w:eastAsia="宋体" w:cs="宋体"/>
                <w:b w:val="0"/>
                <w:bCs w:val="0"/>
                <w:color w:val="auto"/>
                <w:kern w:val="2"/>
                <w:sz w:val="22"/>
                <w:szCs w:val="22"/>
                <w:highlight w:val="none"/>
                <w:u w:val="none"/>
                <w:lang w:val="en-US" w:eastAsia="zh-CN" w:bidi="ar-SA"/>
              </w:rPr>
              <w:t>4、共保人的确定及共保份额：首席保险人及保险经纪人在本次招标通过资格审查的投标人中综合考虑承保能力、后期服务能力及以往合作情况等因素综合确定，并征得招标人同意。</w:t>
            </w:r>
          </w:p>
          <w:p w14:paraId="0CDFCE8A">
            <w:pPr>
              <w:autoSpaceDE w:val="0"/>
              <w:autoSpaceDN w:val="0"/>
              <w:snapToGrid w:val="0"/>
              <w:spacing w:line="360" w:lineRule="auto"/>
              <w:textAlignment w:val="bottom"/>
              <w:rPr>
                <w:rFonts w:hint="eastAsia" w:ascii="宋体" w:hAnsi="宋体" w:eastAsia="宋体" w:cs="宋体"/>
                <w:color w:val="auto"/>
                <w:sz w:val="22"/>
                <w:szCs w:val="22"/>
                <w:highlight w:val="none"/>
              </w:rPr>
            </w:pPr>
            <w:r>
              <w:rPr>
                <w:rFonts w:hint="eastAsia" w:ascii="宋体" w:hAnsi="宋体" w:eastAsia="宋体" w:cs="宋体"/>
                <w:b w:val="0"/>
                <w:bCs w:val="0"/>
                <w:color w:val="auto"/>
                <w:kern w:val="2"/>
                <w:sz w:val="22"/>
                <w:szCs w:val="22"/>
                <w:highlight w:val="none"/>
                <w:u w:val="none"/>
                <w:lang w:val="en-US" w:eastAsia="zh-CN" w:bidi="ar-SA"/>
              </w:rPr>
              <w:t>5、共保协议应向招标人报备。</w:t>
            </w:r>
          </w:p>
        </w:tc>
      </w:tr>
      <w:tr w14:paraId="161B54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5D64D461">
            <w:pPr>
              <w:snapToGrid w:val="0"/>
              <w:spacing w:line="360" w:lineRule="auto"/>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19</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0BE29AF6">
            <w:pPr>
              <w:autoSpaceDE w:val="0"/>
              <w:autoSpaceDN w:val="0"/>
              <w:snapToGrid w:val="0"/>
              <w:spacing w:line="240" w:lineRule="auto"/>
              <w:textAlignment w:val="bottom"/>
              <w:rPr>
                <w:rFonts w:hint="eastAsia" w:ascii="宋体" w:hAnsi="宋体" w:eastAsia="宋体" w:cs="宋体"/>
                <w:b w:val="0"/>
                <w:bCs w:val="0"/>
                <w:color w:val="auto"/>
                <w:kern w:val="2"/>
                <w:sz w:val="22"/>
                <w:szCs w:val="22"/>
                <w:highlight w:val="none"/>
                <w:u w:val="none"/>
                <w:lang w:val="en-US" w:eastAsia="zh-CN" w:bidi="ar-SA"/>
              </w:rPr>
            </w:pPr>
            <w:r>
              <w:rPr>
                <w:rFonts w:hint="eastAsia" w:ascii="宋体" w:hAnsi="宋体" w:eastAsia="宋体" w:cs="宋体"/>
                <w:b w:val="0"/>
                <w:bCs w:val="0"/>
                <w:color w:val="auto"/>
                <w:kern w:val="2"/>
                <w:sz w:val="22"/>
                <w:szCs w:val="22"/>
                <w:highlight w:val="none"/>
                <w:u w:val="none"/>
                <w:lang w:val="en-US" w:eastAsia="zh-CN" w:bidi="ar-SA"/>
              </w:rPr>
              <w:t>本次开评标交易服务费，在评标结束后，由中标人支付给平台运营方。收费标准见台州湾新区小额工程电子交易平台官网首页通知公告（https://www.tzwztb.com/web/PubNews/viewinfo.aspx?nid=73）</w:t>
            </w:r>
          </w:p>
        </w:tc>
      </w:tr>
    </w:tbl>
    <w:p w14:paraId="045AB514">
      <w:pPr>
        <w:snapToGrid w:val="0"/>
        <w:spacing w:beforeLines="0" w:afterLines="0" w:line="240" w:lineRule="auto"/>
        <w:rPr>
          <w:rFonts w:hAnsi="宋体"/>
          <w:b/>
          <w:color w:val="auto"/>
          <w:sz w:val="30"/>
          <w:szCs w:val="30"/>
          <w:highlight w:val="none"/>
        </w:rPr>
      </w:pPr>
      <w:bookmarkStart w:id="101" w:name="_GoBack"/>
      <w:bookmarkEnd w:id="101"/>
      <w:r>
        <w:rPr>
          <w:rFonts w:hint="eastAsia" w:ascii="宋体" w:cs="宋体"/>
          <w:b/>
          <w:bCs/>
          <w:color w:val="auto"/>
          <w:szCs w:val="21"/>
          <w:highlight w:val="none"/>
        </w:rPr>
        <w:br w:type="page"/>
      </w:r>
      <w:r>
        <w:rPr>
          <w:rFonts w:hAnsi="宋体"/>
          <w:b/>
          <w:color w:val="auto"/>
          <w:sz w:val="30"/>
          <w:szCs w:val="30"/>
          <w:highlight w:val="none"/>
        </w:rPr>
        <w:t>一、总  则</w:t>
      </w:r>
    </w:p>
    <w:p w14:paraId="7BE96D4D">
      <w:pPr>
        <w:snapToGrid w:val="0"/>
        <w:spacing w:line="360" w:lineRule="auto"/>
        <w:ind w:firstLine="471" w:firstLineChars="196"/>
        <w:jc w:val="left"/>
        <w:outlineLvl w:val="1"/>
        <w:rPr>
          <w:rFonts w:ascii="宋体" w:hAnsi="宋体"/>
          <w:b/>
          <w:color w:val="auto"/>
          <w:sz w:val="24"/>
          <w:szCs w:val="24"/>
          <w:highlight w:val="none"/>
        </w:rPr>
      </w:pPr>
      <w:r>
        <w:rPr>
          <w:rFonts w:hint="eastAsia" w:ascii="宋体" w:hAnsi="宋体"/>
          <w:b/>
          <w:color w:val="auto"/>
          <w:sz w:val="24"/>
          <w:szCs w:val="24"/>
          <w:highlight w:val="none"/>
        </w:rPr>
        <w:t>（一）</w:t>
      </w:r>
      <w:r>
        <w:rPr>
          <w:rFonts w:ascii="宋体" w:hAnsi="宋体"/>
          <w:b/>
          <w:color w:val="auto"/>
          <w:sz w:val="24"/>
          <w:szCs w:val="24"/>
          <w:highlight w:val="none"/>
        </w:rPr>
        <w:t xml:space="preserve"> 适用范围</w:t>
      </w:r>
    </w:p>
    <w:p w14:paraId="67C197C3">
      <w:pPr>
        <w:snapToGrid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本招标文件适用于本项目的招标、投标、评标、定标、验收、合同履约、付款等行为（法律、法规另有规定的，从其规定）。</w:t>
      </w:r>
    </w:p>
    <w:p w14:paraId="428EC822">
      <w:pPr>
        <w:snapToGrid w:val="0"/>
        <w:spacing w:beforeLines="50" w:line="360" w:lineRule="auto"/>
        <w:ind w:firstLine="353" w:firstLineChars="147"/>
        <w:jc w:val="left"/>
        <w:outlineLvl w:val="1"/>
        <w:rPr>
          <w:rFonts w:ascii="宋体" w:hAnsi="宋体"/>
          <w:b/>
          <w:color w:val="auto"/>
          <w:sz w:val="24"/>
          <w:szCs w:val="24"/>
          <w:highlight w:val="none"/>
        </w:rPr>
      </w:pPr>
      <w:r>
        <w:rPr>
          <w:rFonts w:hint="eastAsia" w:ascii="宋体" w:hAnsi="宋体"/>
          <w:b/>
          <w:color w:val="auto"/>
          <w:sz w:val="24"/>
          <w:szCs w:val="24"/>
          <w:highlight w:val="none"/>
        </w:rPr>
        <w:t>（二）定义</w:t>
      </w:r>
    </w:p>
    <w:p w14:paraId="58097219">
      <w:pPr>
        <w:snapToGrid w:val="0"/>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w:t>
      </w:r>
      <w:r>
        <w:rPr>
          <w:rFonts w:ascii="宋体" w:hAnsi="宋体"/>
          <w:color w:val="auto"/>
          <w:sz w:val="24"/>
          <w:szCs w:val="24"/>
          <w:highlight w:val="none"/>
        </w:rPr>
        <w:t>招标采购单位系指组织本次招标的代理机构（“</w:t>
      </w:r>
      <w:r>
        <w:rPr>
          <w:rFonts w:hint="eastAsia" w:ascii="宋体" w:hAnsi="宋体"/>
          <w:color w:val="auto"/>
          <w:sz w:val="24"/>
          <w:szCs w:val="24"/>
          <w:highlight w:val="none"/>
          <w:lang w:val="en-US" w:eastAsia="zh-CN"/>
        </w:rPr>
        <w:t>招标</w:t>
      </w:r>
      <w:r>
        <w:rPr>
          <w:rFonts w:ascii="宋体" w:hAnsi="宋体"/>
          <w:color w:val="auto"/>
          <w:sz w:val="24"/>
          <w:szCs w:val="24"/>
          <w:highlight w:val="none"/>
        </w:rPr>
        <w:t>人”）和</w:t>
      </w:r>
      <w:r>
        <w:rPr>
          <w:rFonts w:hint="eastAsia" w:ascii="宋体" w:hAnsi="宋体"/>
          <w:color w:val="auto"/>
          <w:sz w:val="24"/>
          <w:szCs w:val="24"/>
          <w:highlight w:val="none"/>
          <w:lang w:val="en-US" w:eastAsia="zh-CN"/>
        </w:rPr>
        <w:t>招标</w:t>
      </w:r>
      <w:r>
        <w:rPr>
          <w:rFonts w:ascii="宋体" w:hAnsi="宋体"/>
          <w:color w:val="auto"/>
          <w:sz w:val="24"/>
          <w:szCs w:val="24"/>
          <w:highlight w:val="none"/>
        </w:rPr>
        <w:t>单位。</w:t>
      </w:r>
    </w:p>
    <w:p w14:paraId="7BF278E8">
      <w:pPr>
        <w:snapToGrid w:val="0"/>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w:t>
      </w:r>
      <w:r>
        <w:rPr>
          <w:rFonts w:ascii="宋体" w:hAnsi="宋体"/>
          <w:color w:val="auto"/>
          <w:sz w:val="24"/>
          <w:szCs w:val="24"/>
          <w:highlight w:val="none"/>
        </w:rPr>
        <w:t>投标人”系指向招标方提交投标文件的单位或个人。</w:t>
      </w:r>
    </w:p>
    <w:p w14:paraId="2DF346FB">
      <w:pPr>
        <w:snapToGrid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w:t>
      </w:r>
      <w:r>
        <w:rPr>
          <w:rFonts w:ascii="宋体" w:hAnsi="宋体"/>
          <w:color w:val="auto"/>
          <w:sz w:val="24"/>
          <w:szCs w:val="24"/>
          <w:highlight w:val="none"/>
        </w:rPr>
        <w:t>“服务”系指招标文件规定投标人须承担的</w:t>
      </w:r>
      <w:r>
        <w:rPr>
          <w:rFonts w:hint="eastAsia" w:ascii="宋体" w:hAnsi="宋体"/>
          <w:color w:val="auto"/>
          <w:sz w:val="24"/>
          <w:szCs w:val="24"/>
          <w:highlight w:val="none"/>
          <w:lang w:val="en-US" w:eastAsia="zh-CN"/>
        </w:rPr>
        <w:t>咨询</w:t>
      </w:r>
      <w:r>
        <w:rPr>
          <w:rFonts w:ascii="宋体" w:hAnsi="宋体"/>
          <w:color w:val="auto"/>
          <w:sz w:val="24"/>
          <w:szCs w:val="24"/>
          <w:highlight w:val="none"/>
        </w:rPr>
        <w:t>、技术协助、培训、技术指导以及其他类似的义务。</w:t>
      </w:r>
    </w:p>
    <w:p w14:paraId="0B97AA0E">
      <w:pPr>
        <w:snapToGrid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w:t>
      </w:r>
      <w:r>
        <w:rPr>
          <w:rFonts w:ascii="宋体" w:hAnsi="宋体"/>
          <w:color w:val="auto"/>
          <w:sz w:val="24"/>
          <w:szCs w:val="24"/>
          <w:highlight w:val="none"/>
        </w:rPr>
        <w:t>“项目”系指投标人按招标文件规定向</w:t>
      </w:r>
      <w:r>
        <w:rPr>
          <w:rFonts w:hint="eastAsia" w:ascii="宋体" w:hAnsi="宋体"/>
          <w:color w:val="auto"/>
          <w:sz w:val="24"/>
          <w:szCs w:val="24"/>
          <w:highlight w:val="none"/>
          <w:lang w:val="en-US" w:eastAsia="zh-CN"/>
        </w:rPr>
        <w:t>招标</w:t>
      </w:r>
      <w:r>
        <w:rPr>
          <w:rFonts w:ascii="宋体" w:hAnsi="宋体"/>
          <w:color w:val="auto"/>
          <w:sz w:val="24"/>
          <w:szCs w:val="24"/>
          <w:highlight w:val="none"/>
        </w:rPr>
        <w:t>人提供的服务。</w:t>
      </w:r>
    </w:p>
    <w:p w14:paraId="0EF2669E">
      <w:pPr>
        <w:snapToGrid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w:t>
      </w:r>
      <w:r>
        <w:rPr>
          <w:rFonts w:ascii="宋体" w:hAnsi="宋体"/>
          <w:color w:val="auto"/>
          <w:sz w:val="24"/>
          <w:szCs w:val="24"/>
          <w:highlight w:val="none"/>
        </w:rPr>
        <w:t>“书面形式”包括信函、传真、电报等。</w:t>
      </w:r>
    </w:p>
    <w:p w14:paraId="1328F9DB">
      <w:pPr>
        <w:snapToGrid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ascii="宋体" w:hAnsi="宋体"/>
          <w:color w:val="auto"/>
          <w:sz w:val="24"/>
          <w:szCs w:val="24"/>
          <w:highlight w:val="none"/>
        </w:rPr>
        <w:t>“▲”系指实质性要求条款。</w:t>
      </w:r>
    </w:p>
    <w:p w14:paraId="208FB739">
      <w:pPr>
        <w:snapToGrid w:val="0"/>
        <w:spacing w:beforeLines="50" w:line="360" w:lineRule="auto"/>
        <w:ind w:firstLine="471" w:firstLineChars="196"/>
        <w:jc w:val="left"/>
        <w:outlineLvl w:val="1"/>
        <w:rPr>
          <w:rFonts w:ascii="宋体" w:hAnsi="宋体"/>
          <w:b/>
          <w:color w:val="auto"/>
          <w:sz w:val="24"/>
          <w:szCs w:val="24"/>
          <w:highlight w:val="none"/>
        </w:rPr>
      </w:pPr>
      <w:r>
        <w:rPr>
          <w:rFonts w:hint="eastAsia" w:ascii="宋体" w:hAnsi="宋体"/>
          <w:b/>
          <w:color w:val="auto"/>
          <w:sz w:val="24"/>
          <w:szCs w:val="24"/>
          <w:highlight w:val="none"/>
        </w:rPr>
        <w:t>（三）招标方式</w:t>
      </w:r>
    </w:p>
    <w:p w14:paraId="4668E1C6">
      <w:pPr>
        <w:snapToGrid w:val="0"/>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本次招标采用公开招标方式进行。</w:t>
      </w:r>
    </w:p>
    <w:p w14:paraId="2197950C">
      <w:pPr>
        <w:snapToGrid w:val="0"/>
        <w:spacing w:beforeLines="50" w:line="360" w:lineRule="auto"/>
        <w:ind w:firstLine="471" w:firstLineChars="196"/>
        <w:jc w:val="left"/>
        <w:outlineLvl w:val="1"/>
        <w:rPr>
          <w:rFonts w:ascii="宋体" w:hAnsi="宋体"/>
          <w:b/>
          <w:color w:val="auto"/>
          <w:sz w:val="24"/>
          <w:szCs w:val="24"/>
          <w:highlight w:val="none"/>
        </w:rPr>
      </w:pPr>
      <w:r>
        <w:rPr>
          <w:rFonts w:hint="eastAsia" w:ascii="宋体" w:hAnsi="宋体"/>
          <w:b/>
          <w:color w:val="auto"/>
          <w:sz w:val="24"/>
          <w:szCs w:val="24"/>
          <w:highlight w:val="none"/>
        </w:rPr>
        <w:t>（四）投标委托</w:t>
      </w:r>
    </w:p>
    <w:p w14:paraId="7056F40C">
      <w:pPr>
        <w:pStyle w:val="13"/>
        <w:snapToGrid w:val="0"/>
        <w:spacing w:line="360" w:lineRule="auto"/>
        <w:ind w:firstLine="480" w:firstLineChars="200"/>
        <w:jc w:val="left"/>
        <w:rPr>
          <w:rFonts w:hAnsi="宋体"/>
          <w:color w:val="auto"/>
          <w:sz w:val="24"/>
          <w:szCs w:val="24"/>
          <w:highlight w:val="none"/>
        </w:rPr>
      </w:pPr>
      <w:r>
        <w:rPr>
          <w:rFonts w:hAnsi="宋体"/>
          <w:color w:val="auto"/>
          <w:sz w:val="24"/>
          <w:szCs w:val="24"/>
          <w:highlight w:val="none"/>
        </w:rPr>
        <w:t>投标人代表须携带有效身份证件。如投标人代表不是法定代表人，须有法定代表人出具的授权委托书。</w:t>
      </w:r>
    </w:p>
    <w:p w14:paraId="72F98E03">
      <w:pPr>
        <w:snapToGrid w:val="0"/>
        <w:spacing w:beforeLines="50" w:line="360" w:lineRule="auto"/>
        <w:ind w:firstLine="471" w:firstLineChars="196"/>
        <w:jc w:val="left"/>
        <w:outlineLvl w:val="1"/>
        <w:rPr>
          <w:rFonts w:ascii="宋体" w:hAnsi="宋体"/>
          <w:b/>
          <w:color w:val="auto"/>
          <w:sz w:val="24"/>
          <w:szCs w:val="24"/>
          <w:highlight w:val="none"/>
        </w:rPr>
      </w:pPr>
      <w:r>
        <w:rPr>
          <w:rFonts w:hint="eastAsia" w:ascii="宋体" w:hAnsi="宋体"/>
          <w:b/>
          <w:color w:val="auto"/>
          <w:sz w:val="24"/>
          <w:szCs w:val="24"/>
          <w:highlight w:val="none"/>
        </w:rPr>
        <w:t>（五）投标费用</w:t>
      </w:r>
    </w:p>
    <w:p w14:paraId="0902041A">
      <w:pPr>
        <w:snapToGrid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不论投标结果如何，投标人均应自行承担所有与投标有关的全部费用（招标文件有相关规定除外）。</w:t>
      </w:r>
    </w:p>
    <w:p w14:paraId="766FFB19">
      <w:pPr>
        <w:snapToGrid w:val="0"/>
        <w:spacing w:beforeLines="50" w:line="360" w:lineRule="auto"/>
        <w:ind w:firstLine="471" w:firstLineChars="196"/>
        <w:jc w:val="left"/>
        <w:rPr>
          <w:rFonts w:ascii="宋体" w:hAnsi="宋体"/>
          <w:b/>
          <w:color w:val="auto"/>
          <w:sz w:val="24"/>
          <w:szCs w:val="24"/>
          <w:highlight w:val="none"/>
        </w:rPr>
      </w:pPr>
      <w:r>
        <w:rPr>
          <w:rFonts w:hint="eastAsia" w:ascii="宋体" w:hAnsi="宋体"/>
          <w:b/>
          <w:color w:val="auto"/>
          <w:sz w:val="24"/>
          <w:szCs w:val="24"/>
          <w:highlight w:val="none"/>
        </w:rPr>
        <w:t>（六）联合体投标</w:t>
      </w:r>
    </w:p>
    <w:p w14:paraId="4F976E7D">
      <w:pPr>
        <w:snapToGrid w:val="0"/>
        <w:spacing w:line="360" w:lineRule="auto"/>
        <w:ind w:firstLine="480" w:firstLineChars="200"/>
        <w:jc w:val="left"/>
        <w:rPr>
          <w:rFonts w:ascii="宋体" w:hAnsi="宋体"/>
          <w:color w:val="auto"/>
          <w:sz w:val="24"/>
          <w:szCs w:val="24"/>
          <w:highlight w:val="none"/>
        </w:rPr>
      </w:pPr>
      <w:r>
        <w:rPr>
          <w:rFonts w:hint="eastAsia" w:ascii="宋体" w:hAnsi="宋体" w:cs="Arial"/>
          <w:color w:val="auto"/>
          <w:sz w:val="24"/>
          <w:szCs w:val="24"/>
          <w:highlight w:val="none"/>
        </w:rPr>
        <w:t>本项目不接受联合体投标</w:t>
      </w:r>
      <w:r>
        <w:rPr>
          <w:rFonts w:hint="eastAsia" w:ascii="宋体" w:hAnsi="宋体"/>
          <w:color w:val="auto"/>
          <w:sz w:val="24"/>
          <w:szCs w:val="24"/>
          <w:highlight w:val="none"/>
        </w:rPr>
        <w:t>。</w:t>
      </w:r>
    </w:p>
    <w:p w14:paraId="242A48A9">
      <w:pPr>
        <w:snapToGrid w:val="0"/>
        <w:spacing w:beforeLines="50" w:line="360" w:lineRule="auto"/>
        <w:ind w:firstLine="471" w:firstLineChars="196"/>
        <w:rPr>
          <w:rFonts w:ascii="宋体" w:hAnsi="宋体" w:cs="宋体"/>
          <w:b/>
          <w:color w:val="auto"/>
          <w:kern w:val="0"/>
          <w:sz w:val="24"/>
          <w:szCs w:val="24"/>
          <w:highlight w:val="none"/>
        </w:rPr>
      </w:pPr>
      <w:r>
        <w:rPr>
          <w:rFonts w:hint="eastAsia" w:ascii="宋体" w:hAnsi="宋体"/>
          <w:b/>
          <w:color w:val="auto"/>
          <w:sz w:val="24"/>
          <w:szCs w:val="24"/>
          <w:highlight w:val="none"/>
        </w:rPr>
        <w:t>（七）</w:t>
      </w:r>
      <w:r>
        <w:rPr>
          <w:rFonts w:hint="eastAsia" w:ascii="宋体" w:hAnsi="宋体" w:cs="宋体"/>
          <w:b/>
          <w:color w:val="auto"/>
          <w:kern w:val="0"/>
          <w:sz w:val="24"/>
          <w:szCs w:val="24"/>
          <w:highlight w:val="none"/>
        </w:rPr>
        <w:t>转包与分包</w:t>
      </w:r>
    </w:p>
    <w:p w14:paraId="6E4F92A9">
      <w:pPr>
        <w:snapToGrid w:val="0"/>
        <w:spacing w:line="360" w:lineRule="auto"/>
        <w:ind w:firstLine="480" w:firstLineChars="200"/>
        <w:rPr>
          <w:rFonts w:ascii="宋体" w:hAnsi="宋体" w:cs="宋体"/>
          <w:color w:val="auto"/>
          <w:kern w:val="0"/>
          <w:sz w:val="24"/>
          <w:szCs w:val="24"/>
          <w:highlight w:val="none"/>
        </w:rPr>
      </w:pPr>
      <w:r>
        <w:rPr>
          <w:rFonts w:ascii="宋体" w:hAnsi="宋体" w:cs="宋体"/>
          <w:color w:val="auto"/>
          <w:kern w:val="0"/>
          <w:sz w:val="24"/>
          <w:szCs w:val="24"/>
          <w:highlight w:val="none"/>
        </w:rPr>
        <w:t>本项目不允许转包</w:t>
      </w:r>
      <w:r>
        <w:rPr>
          <w:rFonts w:hint="eastAsia" w:ascii="宋体" w:hAnsi="宋体" w:cs="宋体"/>
          <w:color w:val="auto"/>
          <w:kern w:val="0"/>
          <w:sz w:val="24"/>
          <w:szCs w:val="24"/>
          <w:highlight w:val="none"/>
        </w:rPr>
        <w:t>、分包</w:t>
      </w:r>
      <w:r>
        <w:rPr>
          <w:rFonts w:ascii="宋体" w:hAnsi="宋体" w:cs="宋体"/>
          <w:color w:val="auto"/>
          <w:kern w:val="0"/>
          <w:sz w:val="24"/>
          <w:szCs w:val="24"/>
          <w:highlight w:val="none"/>
        </w:rPr>
        <w:t>。</w:t>
      </w:r>
    </w:p>
    <w:p w14:paraId="48DA1575">
      <w:pPr>
        <w:pStyle w:val="16"/>
        <w:numPr>
          <w:ilvl w:val="0"/>
          <w:numId w:val="5"/>
        </w:numPr>
        <w:snapToGrid w:val="0"/>
        <w:spacing w:before="156" w:after="156" w:line="360" w:lineRule="auto"/>
        <w:ind w:left="2" w:leftChars="1" w:firstLine="480" w:firstLineChars="200"/>
        <w:rPr>
          <w:rFonts w:hint="eastAsia" w:hAnsi="宋体"/>
          <w:b/>
          <w:color w:val="auto"/>
          <w:sz w:val="24"/>
          <w:szCs w:val="24"/>
          <w:highlight w:val="none"/>
        </w:rPr>
      </w:pPr>
      <w:r>
        <w:rPr>
          <w:rFonts w:hint="eastAsia" w:hAnsi="宋体"/>
          <w:b/>
          <w:color w:val="auto"/>
          <w:sz w:val="24"/>
          <w:szCs w:val="24"/>
          <w:highlight w:val="none"/>
        </w:rPr>
        <w:t>特别说明：</w:t>
      </w:r>
    </w:p>
    <w:p w14:paraId="0F6C0A34">
      <w:pPr>
        <w:pStyle w:val="16"/>
        <w:numPr>
          <w:ilvl w:val="0"/>
          <w:numId w:val="0"/>
        </w:numPr>
        <w:snapToGrid w:val="0"/>
        <w:spacing w:before="156" w:after="156" w:line="360" w:lineRule="auto"/>
        <w:ind w:leftChars="201"/>
        <w:rPr>
          <w:rFonts w:hAnsi="宋体"/>
          <w:color w:val="auto"/>
          <w:sz w:val="24"/>
          <w:szCs w:val="24"/>
          <w:highlight w:val="none"/>
        </w:rPr>
      </w:pPr>
      <w:r>
        <w:rPr>
          <w:rFonts w:hAnsi="宋体"/>
          <w:color w:val="auto"/>
          <w:sz w:val="24"/>
          <w:szCs w:val="24"/>
          <w:highlight w:val="none"/>
        </w:rPr>
        <w:t>▲</w:t>
      </w:r>
      <w:r>
        <w:rPr>
          <w:rFonts w:hint="eastAsia" w:hAnsi="宋体"/>
          <w:color w:val="auto"/>
          <w:sz w:val="24"/>
          <w:szCs w:val="24"/>
          <w:highlight w:val="none"/>
        </w:rPr>
        <w:t>1.</w:t>
      </w:r>
      <w:r>
        <w:rPr>
          <w:rFonts w:hint="eastAsia" w:hAnsi="宋体" w:cs="宋体"/>
          <w:b/>
          <w:bCs/>
          <w:color w:val="auto"/>
          <w:sz w:val="24"/>
          <w:szCs w:val="24"/>
          <w:highlight w:val="none"/>
        </w:rPr>
        <w:t>投标所使用的资格、信誉、荣誉、业绩与企业认证必须为投标人所拥有</w:t>
      </w:r>
      <w:r>
        <w:rPr>
          <w:rFonts w:hAnsi="宋体"/>
          <w:color w:val="auto"/>
          <w:sz w:val="24"/>
          <w:szCs w:val="24"/>
          <w:highlight w:val="none"/>
        </w:rPr>
        <w:t>。</w:t>
      </w:r>
    </w:p>
    <w:p w14:paraId="11DA9800">
      <w:pPr>
        <w:pStyle w:val="16"/>
        <w:snapToGrid w:val="0"/>
        <w:spacing w:before="156" w:after="156" w:line="360" w:lineRule="auto"/>
        <w:ind w:left="2" w:leftChars="1" w:firstLine="480" w:firstLineChars="200"/>
        <w:rPr>
          <w:rFonts w:hAnsi="宋体"/>
          <w:color w:val="auto"/>
          <w:sz w:val="24"/>
          <w:szCs w:val="24"/>
          <w:highlight w:val="none"/>
        </w:rPr>
      </w:pPr>
      <w:r>
        <w:rPr>
          <w:rFonts w:hAnsi="宋体"/>
          <w:color w:val="auto"/>
          <w:sz w:val="24"/>
          <w:szCs w:val="24"/>
          <w:highlight w:val="none"/>
        </w:rPr>
        <w:t>▲</w:t>
      </w:r>
      <w:r>
        <w:rPr>
          <w:rFonts w:hint="eastAsia" w:hAnsi="宋体"/>
          <w:color w:val="auto"/>
          <w:sz w:val="24"/>
          <w:szCs w:val="24"/>
          <w:highlight w:val="none"/>
        </w:rPr>
        <w:t>2</w:t>
      </w:r>
      <w:r>
        <w:rPr>
          <w:rFonts w:hAnsi="宋体"/>
          <w:color w:val="auto"/>
          <w:sz w:val="24"/>
          <w:szCs w:val="24"/>
          <w:highlight w:val="none"/>
        </w:rPr>
        <w:t>、投标人应仔细阅读招标文件的所有内容，按照招标文件的要求提交投标文件，并对所提供的全部资料的真实性承担法律责任。</w:t>
      </w:r>
    </w:p>
    <w:p w14:paraId="2FE11C7A">
      <w:pPr>
        <w:pStyle w:val="16"/>
        <w:snapToGrid w:val="0"/>
        <w:spacing w:before="156" w:after="156" w:line="360" w:lineRule="auto"/>
        <w:ind w:firstLine="470" w:firstLineChars="196"/>
        <w:jc w:val="left"/>
        <w:outlineLvl w:val="1"/>
        <w:rPr>
          <w:rFonts w:hAnsi="宋体"/>
          <w:color w:val="auto"/>
          <w:sz w:val="24"/>
          <w:szCs w:val="24"/>
          <w:highlight w:val="none"/>
        </w:rPr>
      </w:pPr>
      <w:r>
        <w:rPr>
          <w:rFonts w:hAnsi="宋体"/>
          <w:color w:val="auto"/>
          <w:sz w:val="24"/>
          <w:szCs w:val="24"/>
          <w:highlight w:val="none"/>
        </w:rPr>
        <w:t>▲</w:t>
      </w:r>
      <w:r>
        <w:rPr>
          <w:rFonts w:hint="eastAsia" w:hAnsi="宋体"/>
          <w:color w:val="auto"/>
          <w:sz w:val="24"/>
          <w:szCs w:val="24"/>
          <w:highlight w:val="none"/>
        </w:rPr>
        <w:t>3</w:t>
      </w:r>
      <w:r>
        <w:rPr>
          <w:rFonts w:hAnsi="宋体"/>
          <w:color w:val="auto"/>
          <w:sz w:val="24"/>
          <w:szCs w:val="24"/>
          <w:highlight w:val="none"/>
        </w:rPr>
        <w:t>、投标人在投标活动中提供任何虚假材料,其投标无效，并报监管部门查处；中标后发现的,构成犯罪的，依法追究刑事责任；尚不构成犯罪的，依照招标投标法第五十四条的规定处罚。</w:t>
      </w:r>
    </w:p>
    <w:p w14:paraId="76BDC433">
      <w:pPr>
        <w:pStyle w:val="16"/>
        <w:snapToGrid w:val="0"/>
        <w:spacing w:before="156" w:after="156" w:line="360" w:lineRule="auto"/>
        <w:ind w:firstLine="471" w:firstLineChars="196"/>
        <w:jc w:val="left"/>
        <w:outlineLvl w:val="1"/>
        <w:rPr>
          <w:rFonts w:hAnsi="宋体"/>
          <w:b/>
          <w:bCs/>
          <w:color w:val="auto"/>
          <w:sz w:val="24"/>
          <w:szCs w:val="24"/>
          <w:highlight w:val="none"/>
        </w:rPr>
      </w:pPr>
      <w:r>
        <w:rPr>
          <w:rFonts w:hAnsi="宋体"/>
          <w:b/>
          <w:bCs/>
          <w:color w:val="auto"/>
          <w:sz w:val="24"/>
          <w:szCs w:val="24"/>
          <w:highlight w:val="none"/>
        </w:rPr>
        <w:t>（九）质疑和投诉</w:t>
      </w:r>
    </w:p>
    <w:p w14:paraId="1652D085">
      <w:pPr>
        <w:pStyle w:val="16"/>
        <w:snapToGrid w:val="0"/>
        <w:spacing w:before="156" w:after="156" w:line="360" w:lineRule="auto"/>
        <w:ind w:left="2" w:leftChars="1" w:firstLine="480" w:firstLineChars="200"/>
        <w:rPr>
          <w:rFonts w:hAnsi="宋体"/>
          <w:color w:val="auto"/>
          <w:sz w:val="24"/>
          <w:szCs w:val="24"/>
          <w:highlight w:val="none"/>
        </w:rPr>
      </w:pPr>
      <w:r>
        <w:rPr>
          <w:rFonts w:hint="eastAsia" w:hAnsi="宋体"/>
          <w:color w:val="auto"/>
          <w:sz w:val="24"/>
          <w:szCs w:val="24"/>
          <w:highlight w:val="none"/>
        </w:rPr>
        <w:t>1.投标人认为</w:t>
      </w:r>
      <w:r>
        <w:rPr>
          <w:rFonts w:hAnsi="宋体"/>
          <w:color w:val="auto"/>
          <w:sz w:val="24"/>
          <w:szCs w:val="24"/>
          <w:highlight w:val="none"/>
        </w:rPr>
        <w:t>招标投标活动不符合法律、行政法规规定的，可以</w:t>
      </w:r>
      <w:r>
        <w:rPr>
          <w:rFonts w:hint="eastAsia" w:hAnsi="宋体"/>
          <w:color w:val="auto"/>
          <w:sz w:val="24"/>
          <w:szCs w:val="24"/>
          <w:highlight w:val="none"/>
        </w:rPr>
        <w:t>自知道或者应当知道之日起10日内向有关行政监督部门提出（附相关有效证明材料）。属于《中华人民共和国招标投标法实施条例》第二十二条、第四十四条、第五十四条规定事项投诉的，应当以书面形式向</w:t>
      </w:r>
      <w:r>
        <w:rPr>
          <w:rFonts w:hint="eastAsia" w:hAnsi="宋体"/>
          <w:color w:val="auto"/>
          <w:sz w:val="24"/>
          <w:szCs w:val="24"/>
          <w:highlight w:val="none"/>
          <w:lang w:val="en-US" w:eastAsia="zh-CN"/>
        </w:rPr>
        <w:t>招标</w:t>
      </w:r>
      <w:r>
        <w:rPr>
          <w:rFonts w:hint="eastAsia" w:hAnsi="宋体"/>
          <w:color w:val="auto"/>
          <w:sz w:val="24"/>
          <w:szCs w:val="24"/>
          <w:highlight w:val="none"/>
        </w:rPr>
        <w:t>人、</w:t>
      </w:r>
      <w:r>
        <w:rPr>
          <w:rFonts w:hint="eastAsia" w:hAnsi="宋体"/>
          <w:color w:val="auto"/>
          <w:sz w:val="24"/>
          <w:szCs w:val="24"/>
          <w:highlight w:val="none"/>
          <w:lang w:val="en-US" w:eastAsia="zh-CN"/>
        </w:rPr>
        <w:t>招标</w:t>
      </w:r>
      <w:r>
        <w:rPr>
          <w:rFonts w:hint="eastAsia" w:hAnsi="宋体"/>
          <w:color w:val="auto"/>
          <w:sz w:val="24"/>
          <w:szCs w:val="24"/>
          <w:highlight w:val="none"/>
        </w:rPr>
        <w:t>代理机构提出（附相关有效证明材料），</w:t>
      </w:r>
      <w:r>
        <w:rPr>
          <w:rFonts w:hint="eastAsia" w:hAnsi="宋体"/>
          <w:color w:val="auto"/>
          <w:sz w:val="24"/>
          <w:szCs w:val="24"/>
          <w:highlight w:val="none"/>
          <w:lang w:val="en-US" w:eastAsia="zh-CN"/>
        </w:rPr>
        <w:t>招标</w:t>
      </w:r>
      <w:r>
        <w:rPr>
          <w:rFonts w:hint="eastAsia" w:hAnsi="宋体"/>
          <w:color w:val="auto"/>
          <w:sz w:val="24"/>
          <w:szCs w:val="24"/>
          <w:highlight w:val="none"/>
        </w:rPr>
        <w:t>人、</w:t>
      </w:r>
      <w:r>
        <w:rPr>
          <w:rFonts w:hint="eastAsia" w:hAnsi="宋体"/>
          <w:color w:val="auto"/>
          <w:sz w:val="24"/>
          <w:szCs w:val="24"/>
          <w:highlight w:val="none"/>
          <w:lang w:val="en-US" w:eastAsia="zh-CN"/>
        </w:rPr>
        <w:t>招标</w:t>
      </w:r>
      <w:r>
        <w:rPr>
          <w:rFonts w:hint="eastAsia" w:hAnsi="宋体"/>
          <w:color w:val="auto"/>
          <w:sz w:val="24"/>
          <w:szCs w:val="24"/>
          <w:highlight w:val="none"/>
        </w:rPr>
        <w:t>代理机构应给予答复。投标人对答复不服或认为采购代理机构有违反有关规定及其他弄虚作假情形的，可在接到答复之日起3日内向招标监管机构书面申请核查，并提交相关材料。</w:t>
      </w:r>
    </w:p>
    <w:p w14:paraId="755E10C4">
      <w:pPr>
        <w:pStyle w:val="16"/>
        <w:snapToGrid w:val="0"/>
        <w:spacing w:before="156" w:after="156" w:line="360" w:lineRule="auto"/>
        <w:ind w:firstLine="480" w:firstLineChars="200"/>
        <w:rPr>
          <w:rFonts w:hAnsi="宋体"/>
          <w:bCs/>
          <w:color w:val="auto"/>
          <w:sz w:val="24"/>
          <w:szCs w:val="24"/>
          <w:highlight w:val="none"/>
        </w:rPr>
      </w:pPr>
      <w:r>
        <w:rPr>
          <w:rFonts w:hint="eastAsia" w:hAnsi="宋体" w:cs="宋体"/>
          <w:bCs/>
          <w:color w:val="auto"/>
          <w:sz w:val="24"/>
          <w:szCs w:val="24"/>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303B41A9">
      <w:pPr>
        <w:pStyle w:val="16"/>
        <w:snapToGrid w:val="0"/>
        <w:spacing w:beforeLines="0" w:afterLines="0" w:line="360" w:lineRule="auto"/>
        <w:rPr>
          <w:rFonts w:hAnsi="宋体"/>
          <w:b/>
          <w:color w:val="auto"/>
          <w:sz w:val="30"/>
          <w:szCs w:val="30"/>
          <w:highlight w:val="none"/>
        </w:rPr>
      </w:pPr>
      <w:r>
        <w:rPr>
          <w:rFonts w:hAnsi="宋体"/>
          <w:b/>
          <w:color w:val="auto"/>
          <w:sz w:val="30"/>
          <w:szCs w:val="30"/>
          <w:highlight w:val="none"/>
        </w:rPr>
        <w:t>二、招标文件</w:t>
      </w:r>
    </w:p>
    <w:p w14:paraId="78416E74">
      <w:pPr>
        <w:snapToGrid w:val="0"/>
        <w:spacing w:line="360" w:lineRule="auto"/>
        <w:ind w:firstLine="471" w:firstLineChars="196"/>
        <w:jc w:val="left"/>
        <w:rPr>
          <w:rFonts w:ascii="宋体" w:hAnsi="宋体"/>
          <w:b/>
          <w:color w:val="auto"/>
          <w:sz w:val="24"/>
          <w:szCs w:val="24"/>
          <w:highlight w:val="none"/>
        </w:rPr>
      </w:pPr>
      <w:r>
        <w:rPr>
          <w:rFonts w:hint="eastAsia" w:ascii="宋体" w:hAnsi="宋体"/>
          <w:b/>
          <w:color w:val="auto"/>
          <w:sz w:val="24"/>
          <w:szCs w:val="24"/>
          <w:highlight w:val="none"/>
        </w:rPr>
        <w:t>（一）招标文件的构成。本招标文件由以下部份组成：</w:t>
      </w:r>
    </w:p>
    <w:p w14:paraId="664B933A">
      <w:pPr>
        <w:snapToGrid w:val="0"/>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.公开招标采购公告</w:t>
      </w:r>
    </w:p>
    <w:p w14:paraId="272476E0">
      <w:pPr>
        <w:snapToGrid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2.投标人须知</w:t>
      </w:r>
    </w:p>
    <w:p w14:paraId="390A102C">
      <w:pPr>
        <w:snapToGrid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3.招标需求</w:t>
      </w:r>
    </w:p>
    <w:p w14:paraId="652AB9EB">
      <w:pPr>
        <w:snapToGrid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4.评标办法及评分标准</w:t>
      </w:r>
    </w:p>
    <w:p w14:paraId="6F3392AD">
      <w:pPr>
        <w:snapToGrid w:val="0"/>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5</w:t>
      </w:r>
      <w:r>
        <w:rPr>
          <w:rFonts w:hint="eastAsia" w:ascii="宋体" w:hAnsi="宋体"/>
          <w:color w:val="auto"/>
          <w:sz w:val="24"/>
          <w:szCs w:val="24"/>
          <w:highlight w:val="none"/>
        </w:rPr>
        <w:t>.合同主要条款</w:t>
      </w:r>
    </w:p>
    <w:p w14:paraId="41249AD4">
      <w:pPr>
        <w:snapToGrid w:val="0"/>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6</w:t>
      </w:r>
      <w:r>
        <w:rPr>
          <w:rFonts w:hint="eastAsia" w:ascii="宋体" w:hAnsi="宋体"/>
          <w:color w:val="auto"/>
          <w:sz w:val="24"/>
          <w:szCs w:val="24"/>
          <w:highlight w:val="none"/>
        </w:rPr>
        <w:t>.</w:t>
      </w:r>
      <w:r>
        <w:rPr>
          <w:rFonts w:ascii="宋体" w:hAnsi="宋体"/>
          <w:color w:val="auto"/>
          <w:sz w:val="24"/>
          <w:szCs w:val="24"/>
          <w:highlight w:val="none"/>
        </w:rPr>
        <w:t>投标文件格式</w:t>
      </w:r>
    </w:p>
    <w:p w14:paraId="63501430">
      <w:pPr>
        <w:snapToGrid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7.本项目</w:t>
      </w:r>
      <w:r>
        <w:rPr>
          <w:rFonts w:ascii="宋体" w:hAnsi="宋体"/>
          <w:color w:val="auto"/>
          <w:sz w:val="24"/>
          <w:szCs w:val="24"/>
          <w:highlight w:val="none"/>
        </w:rPr>
        <w:t>招标文件</w:t>
      </w:r>
      <w:r>
        <w:rPr>
          <w:rFonts w:hint="eastAsia" w:ascii="宋体" w:hAnsi="宋体"/>
          <w:color w:val="auto"/>
          <w:sz w:val="24"/>
          <w:szCs w:val="24"/>
          <w:highlight w:val="none"/>
        </w:rPr>
        <w:t>的</w:t>
      </w:r>
      <w:r>
        <w:rPr>
          <w:rFonts w:ascii="宋体" w:hAnsi="宋体"/>
          <w:color w:val="auto"/>
          <w:sz w:val="24"/>
          <w:szCs w:val="24"/>
          <w:highlight w:val="none"/>
        </w:rPr>
        <w:t>澄清、答复、修改、补充的内容</w:t>
      </w:r>
    </w:p>
    <w:p w14:paraId="130FE689">
      <w:pPr>
        <w:snapToGrid w:val="0"/>
        <w:spacing w:beforeLines="50" w:line="360" w:lineRule="auto"/>
        <w:ind w:firstLine="471" w:firstLineChars="196"/>
        <w:jc w:val="left"/>
        <w:rPr>
          <w:rFonts w:ascii="宋体" w:hAnsi="宋体"/>
          <w:b/>
          <w:color w:val="auto"/>
          <w:sz w:val="24"/>
          <w:szCs w:val="24"/>
          <w:highlight w:val="none"/>
        </w:rPr>
      </w:pPr>
      <w:r>
        <w:rPr>
          <w:rFonts w:hint="eastAsia" w:ascii="宋体" w:hAnsi="宋体"/>
          <w:b/>
          <w:color w:val="auto"/>
          <w:sz w:val="24"/>
          <w:szCs w:val="24"/>
          <w:highlight w:val="none"/>
        </w:rPr>
        <w:t>（二）投标人的风险</w:t>
      </w:r>
    </w:p>
    <w:p w14:paraId="752C35EE">
      <w:pPr>
        <w:snapToGrid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投标人没有按照招标文件要求提供全部资料，或者投标人没有对招标文件在各方面作出实质性响应是投标人的风险，并可能导致其投标被拒绝。</w:t>
      </w:r>
    </w:p>
    <w:p w14:paraId="5233B58C">
      <w:pPr>
        <w:pStyle w:val="6"/>
        <w:widowControl w:val="0"/>
        <w:numPr>
          <w:ilvl w:val="0"/>
          <w:numId w:val="0"/>
        </w:numPr>
        <w:tabs>
          <w:tab w:val="left" w:pos="720"/>
          <w:tab w:val="clear" w:pos="360"/>
        </w:tabs>
        <w:snapToGrid w:val="0"/>
        <w:spacing w:beforeLines="50" w:after="156" w:line="360" w:lineRule="auto"/>
        <w:ind w:leftChars="196"/>
        <w:rPr>
          <w:rFonts w:ascii="宋体" w:hAnsi="宋体"/>
          <w:b/>
          <w:color w:val="auto"/>
          <w:sz w:val="24"/>
          <w:szCs w:val="24"/>
          <w:highlight w:val="none"/>
        </w:rPr>
      </w:pPr>
      <w:r>
        <w:rPr>
          <w:rFonts w:hint="eastAsia" w:ascii="宋体" w:hAnsi="宋体"/>
          <w:b/>
          <w:color w:val="auto"/>
          <w:sz w:val="24"/>
          <w:szCs w:val="24"/>
          <w:highlight w:val="none"/>
        </w:rPr>
        <w:t>（三）招标文件的澄清与修改</w:t>
      </w:r>
      <w:r>
        <w:rPr>
          <w:rFonts w:ascii="宋体" w:hAnsi="宋体"/>
          <w:b/>
          <w:color w:val="auto"/>
          <w:sz w:val="24"/>
          <w:szCs w:val="24"/>
          <w:highlight w:val="none"/>
        </w:rPr>
        <w:t xml:space="preserve"> </w:t>
      </w:r>
    </w:p>
    <w:p w14:paraId="51B42B36">
      <w:pPr>
        <w:pStyle w:val="16"/>
        <w:snapToGrid w:val="0"/>
        <w:spacing w:before="156" w:after="156"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1.投标人应认真阅读本招标文件，发现其中有误或有不合理要求的，投标人必须在投标截止时间</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日前以书面形式要求招标单位澄清。招标单位对应当自收到异议之日起3日内作出答复；招标单位对已发出的招标文件进行必要澄清、答复、修改或补充的，</w:t>
      </w:r>
      <w:r>
        <w:rPr>
          <w:rFonts w:hint="eastAsia" w:hAnsi="宋体" w:cs="宋体"/>
          <w:color w:val="auto"/>
          <w:sz w:val="24"/>
          <w:szCs w:val="24"/>
          <w:highlight w:val="none"/>
          <w:lang w:val="en-US" w:eastAsia="zh-CN"/>
        </w:rPr>
        <w:t>招标</w:t>
      </w:r>
      <w:r>
        <w:rPr>
          <w:rFonts w:hint="eastAsia" w:hAnsi="宋体" w:cs="宋体"/>
          <w:color w:val="auto"/>
          <w:sz w:val="24"/>
          <w:szCs w:val="24"/>
          <w:highlight w:val="none"/>
        </w:rPr>
        <w:t>代理机构应当在招标文件要求提交投标文件截止时间</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日前，在指定的信息发布媒体上发布更正公告，招标人、</w:t>
      </w:r>
      <w:r>
        <w:rPr>
          <w:rFonts w:hint="eastAsia" w:hAnsi="宋体" w:cs="宋体"/>
          <w:color w:val="auto"/>
          <w:sz w:val="24"/>
          <w:szCs w:val="24"/>
          <w:highlight w:val="none"/>
          <w:lang w:val="en-US" w:eastAsia="zh-CN"/>
        </w:rPr>
        <w:t>招标</w:t>
      </w:r>
      <w:r>
        <w:rPr>
          <w:rFonts w:hint="eastAsia" w:hAnsi="宋体" w:cs="宋体"/>
          <w:color w:val="auto"/>
          <w:sz w:val="24"/>
          <w:szCs w:val="24"/>
          <w:highlight w:val="none"/>
        </w:rPr>
        <w:t>代理机构对投标人所作的任何口头解释、介绍、答复，只能供投标人参考，对招标人无任何约束力。</w:t>
      </w:r>
    </w:p>
    <w:p w14:paraId="7FE0DD2B">
      <w:pPr>
        <w:pStyle w:val="16"/>
        <w:snapToGrid w:val="0"/>
        <w:spacing w:before="156" w:after="156"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2.招标文件澄清、答复、修改、补充的内容为招标文件的组成部分。当招标文件与招标文件的答复、澄清、修改、补充通知就同一内容的表述不一致时，以最后发出的书面文件为准。</w:t>
      </w:r>
    </w:p>
    <w:p w14:paraId="796CC7AA">
      <w:pPr>
        <w:pStyle w:val="16"/>
        <w:snapToGrid w:val="0"/>
        <w:spacing w:before="156" w:after="156" w:line="360" w:lineRule="auto"/>
        <w:ind w:firstLine="480" w:firstLineChars="200"/>
        <w:rPr>
          <w:rFonts w:hAnsi="宋体"/>
          <w:color w:val="auto"/>
          <w:sz w:val="24"/>
          <w:szCs w:val="24"/>
          <w:highlight w:val="none"/>
        </w:rPr>
      </w:pPr>
      <w:r>
        <w:rPr>
          <w:rFonts w:hint="eastAsia" w:hAnsi="宋体" w:cs="宋体"/>
          <w:color w:val="auto"/>
          <w:sz w:val="24"/>
          <w:szCs w:val="24"/>
          <w:highlight w:val="none"/>
        </w:rPr>
        <w:t>3.招标文件的澄清、答复、修改或补充都应该通过</w:t>
      </w:r>
      <w:r>
        <w:rPr>
          <w:rFonts w:hint="eastAsia" w:hAnsi="宋体" w:cs="宋体"/>
          <w:color w:val="auto"/>
          <w:sz w:val="24"/>
          <w:szCs w:val="24"/>
          <w:highlight w:val="none"/>
          <w:lang w:val="en-US" w:eastAsia="zh-CN"/>
        </w:rPr>
        <w:t>招标</w:t>
      </w:r>
      <w:r>
        <w:rPr>
          <w:rFonts w:hint="eastAsia" w:hAnsi="宋体" w:cs="宋体"/>
          <w:color w:val="auto"/>
          <w:sz w:val="24"/>
          <w:szCs w:val="24"/>
          <w:highlight w:val="none"/>
        </w:rPr>
        <w:t>代理机构以法定形式发布，</w:t>
      </w:r>
      <w:r>
        <w:rPr>
          <w:rFonts w:hint="eastAsia" w:hAnsi="宋体" w:cs="宋体"/>
          <w:color w:val="auto"/>
          <w:sz w:val="24"/>
          <w:szCs w:val="24"/>
          <w:highlight w:val="none"/>
          <w:lang w:val="en-US" w:eastAsia="zh-CN"/>
        </w:rPr>
        <w:t>招标</w:t>
      </w:r>
      <w:r>
        <w:rPr>
          <w:rFonts w:hint="eastAsia" w:hAnsi="宋体" w:cs="宋体"/>
          <w:color w:val="auto"/>
          <w:sz w:val="24"/>
          <w:szCs w:val="24"/>
          <w:highlight w:val="none"/>
        </w:rPr>
        <w:t>人非通过本机构，不得擅自澄清、答复、修改或补充招标文件。</w:t>
      </w:r>
    </w:p>
    <w:p w14:paraId="73E5D2BC">
      <w:pPr>
        <w:pStyle w:val="16"/>
        <w:snapToGrid w:val="0"/>
        <w:spacing w:beforeLines="0" w:afterLines="0" w:line="360" w:lineRule="auto"/>
        <w:rPr>
          <w:rFonts w:hAnsi="宋体"/>
          <w:b/>
          <w:color w:val="auto"/>
          <w:sz w:val="24"/>
          <w:szCs w:val="24"/>
          <w:highlight w:val="none"/>
        </w:rPr>
      </w:pPr>
      <w:r>
        <w:rPr>
          <w:rFonts w:hAnsi="宋体"/>
          <w:b/>
          <w:color w:val="auto"/>
          <w:sz w:val="24"/>
          <w:szCs w:val="24"/>
          <w:highlight w:val="none"/>
        </w:rPr>
        <w:t>三、投标文件的编制</w:t>
      </w:r>
    </w:p>
    <w:p w14:paraId="386F900E">
      <w:pPr>
        <w:snapToGrid w:val="0"/>
        <w:spacing w:line="360" w:lineRule="auto"/>
        <w:ind w:firstLine="471" w:firstLineChars="196"/>
        <w:jc w:val="left"/>
        <w:outlineLvl w:val="0"/>
        <w:rPr>
          <w:rFonts w:ascii="宋体" w:hAnsi="宋体"/>
          <w:b/>
          <w:color w:val="auto"/>
          <w:sz w:val="24"/>
          <w:szCs w:val="24"/>
          <w:highlight w:val="none"/>
        </w:rPr>
      </w:pPr>
      <w:r>
        <w:rPr>
          <w:rFonts w:hint="eastAsia" w:ascii="宋体" w:hAnsi="宋体"/>
          <w:b/>
          <w:color w:val="auto"/>
          <w:sz w:val="24"/>
          <w:szCs w:val="24"/>
          <w:highlight w:val="none"/>
        </w:rPr>
        <w:t>（一）</w:t>
      </w:r>
      <w:r>
        <w:rPr>
          <w:rFonts w:ascii="宋体" w:hAnsi="宋体"/>
          <w:b/>
          <w:color w:val="auto"/>
          <w:sz w:val="24"/>
          <w:szCs w:val="24"/>
          <w:highlight w:val="none"/>
        </w:rPr>
        <w:tab/>
      </w:r>
      <w:r>
        <w:rPr>
          <w:rFonts w:hint="eastAsia" w:ascii="宋体" w:hAnsi="宋体"/>
          <w:b/>
          <w:color w:val="auto"/>
          <w:sz w:val="24"/>
          <w:szCs w:val="24"/>
          <w:highlight w:val="none"/>
        </w:rPr>
        <w:t>投标文件的要求</w:t>
      </w:r>
    </w:p>
    <w:p w14:paraId="3F4E344B">
      <w:pPr>
        <w:snapToGrid w:val="0"/>
        <w:spacing w:line="360" w:lineRule="auto"/>
        <w:ind w:firstLine="470" w:firstLineChars="196"/>
        <w:jc w:val="left"/>
        <w:outlineLvl w:val="0"/>
        <w:rPr>
          <w:rFonts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1</w:t>
      </w:r>
      <w:r>
        <w:rPr>
          <w:rFonts w:hint="eastAsia" w:ascii="宋体" w:hAnsi="宋体"/>
          <w:color w:val="auto"/>
          <w:sz w:val="24"/>
          <w:szCs w:val="24"/>
          <w:highlight w:val="none"/>
        </w:rPr>
        <w:t>、投标人应仔细阅读招标文件的所有内容，按照要求详细编制投标文件，并保证投标文件的正确性和真实性。</w:t>
      </w:r>
    </w:p>
    <w:p w14:paraId="3C3C8326">
      <w:pPr>
        <w:snapToGrid w:val="0"/>
        <w:spacing w:line="360" w:lineRule="auto"/>
        <w:ind w:firstLine="470" w:firstLineChars="196"/>
        <w:jc w:val="left"/>
        <w:outlineLvl w:val="0"/>
        <w:rPr>
          <w:rFonts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2</w:t>
      </w:r>
      <w:r>
        <w:rPr>
          <w:rFonts w:hint="eastAsia" w:ascii="宋体" w:hAnsi="宋体"/>
          <w:color w:val="auto"/>
          <w:sz w:val="24"/>
          <w:szCs w:val="24"/>
          <w:highlight w:val="none"/>
        </w:rPr>
        <w:t>、不按招标文件的要求提供的投标文件将被拒绝。</w:t>
      </w:r>
    </w:p>
    <w:p w14:paraId="6150A636">
      <w:pPr>
        <w:snapToGrid w:val="0"/>
        <w:spacing w:line="360" w:lineRule="auto"/>
        <w:ind w:firstLine="471" w:firstLineChars="196"/>
        <w:jc w:val="left"/>
        <w:outlineLvl w:val="0"/>
        <w:rPr>
          <w:rFonts w:hint="eastAsia" w:ascii="宋体" w:hAnsi="宋体"/>
          <w:b/>
          <w:color w:val="auto"/>
          <w:sz w:val="24"/>
          <w:szCs w:val="24"/>
          <w:highlight w:val="none"/>
        </w:rPr>
      </w:pPr>
      <w:r>
        <w:rPr>
          <w:rFonts w:hint="eastAsia" w:ascii="宋体" w:hAnsi="宋体"/>
          <w:b/>
          <w:color w:val="auto"/>
          <w:sz w:val="24"/>
          <w:szCs w:val="24"/>
          <w:highlight w:val="none"/>
        </w:rPr>
        <w:t>（二）投标文件的组成</w:t>
      </w:r>
    </w:p>
    <w:p w14:paraId="3E7E23A2">
      <w:pPr>
        <w:snapToGrid w:val="0"/>
        <w:spacing w:line="360" w:lineRule="auto"/>
        <w:ind w:firstLine="471" w:firstLineChars="196"/>
        <w:jc w:val="left"/>
        <w:outlineLvl w:val="0"/>
        <w:rPr>
          <w:rFonts w:hint="eastAsia" w:ascii="宋体" w:hAnsi="宋体"/>
          <w:b/>
          <w:color w:val="auto"/>
          <w:sz w:val="24"/>
          <w:szCs w:val="24"/>
          <w:highlight w:val="none"/>
          <w:lang w:val="en-US" w:eastAsia="zh-CN"/>
        </w:rPr>
      </w:pPr>
      <w:r>
        <w:rPr>
          <w:rFonts w:hint="eastAsia" w:ascii="宋体" w:hAnsi="宋体"/>
          <w:b/>
          <w:color w:val="auto"/>
          <w:sz w:val="24"/>
          <w:szCs w:val="24"/>
          <w:highlight w:val="none"/>
        </w:rPr>
        <w:t>投标人接到招标文件后，按照</w:t>
      </w:r>
      <w:r>
        <w:rPr>
          <w:rFonts w:hint="eastAsia" w:ascii="宋体" w:hAnsi="宋体"/>
          <w:b/>
          <w:color w:val="auto"/>
          <w:sz w:val="24"/>
          <w:szCs w:val="24"/>
          <w:highlight w:val="none"/>
          <w:lang w:val="en-US" w:eastAsia="zh-CN"/>
        </w:rPr>
        <w:t>招标</w:t>
      </w:r>
      <w:r>
        <w:rPr>
          <w:rFonts w:hint="eastAsia" w:ascii="宋体" w:hAnsi="宋体"/>
          <w:b/>
          <w:color w:val="auto"/>
          <w:sz w:val="24"/>
          <w:szCs w:val="24"/>
          <w:highlight w:val="none"/>
        </w:rPr>
        <w:t>人的要求提供：资信技术标和商务标。</w:t>
      </w:r>
    </w:p>
    <w:p w14:paraId="2B77A917">
      <w:pPr>
        <w:autoSpaceDE w:val="0"/>
        <w:autoSpaceDN w:val="0"/>
        <w:adjustRightInd w:val="0"/>
        <w:spacing w:line="360" w:lineRule="auto"/>
        <w:ind w:left="480"/>
        <w:rPr>
          <w:rFonts w:hint="eastAsia" w:ascii="宋体" w:hAnsi="宋体"/>
          <w:b/>
          <w:color w:val="auto"/>
          <w:sz w:val="24"/>
          <w:szCs w:val="24"/>
          <w:highlight w:val="none"/>
        </w:rPr>
      </w:pPr>
      <w:r>
        <w:rPr>
          <w:rFonts w:hint="eastAsia" w:ascii="宋体" w:hAnsi="宋体"/>
          <w:b/>
          <w:color w:val="auto"/>
          <w:sz w:val="24"/>
          <w:szCs w:val="24"/>
          <w:highlight w:val="none"/>
          <w:lang w:val="en-US" w:eastAsia="zh-CN"/>
        </w:rPr>
        <w:t>1</w:t>
      </w:r>
      <w:r>
        <w:rPr>
          <w:rFonts w:hint="eastAsia" w:ascii="宋体" w:hAnsi="宋体"/>
          <w:b/>
          <w:color w:val="auto"/>
          <w:sz w:val="24"/>
          <w:szCs w:val="24"/>
          <w:highlight w:val="none"/>
        </w:rPr>
        <w:t>.资信技术标</w:t>
      </w:r>
    </w:p>
    <w:p w14:paraId="652E81AD">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（1）拟投入人员一览表（</w:t>
      </w:r>
      <w:r>
        <w:rPr>
          <w:rFonts w:hint="eastAsia" w:ascii="宋体" w:hAnsi="宋体"/>
          <w:bCs/>
          <w:color w:val="auto"/>
          <w:sz w:val="24"/>
          <w:highlight w:val="none"/>
        </w:rPr>
        <w:t>格式见附件</w:t>
      </w:r>
      <w:r>
        <w:rPr>
          <w:rFonts w:hint="eastAsia" w:ascii="宋体" w:hAnsi="宋体" w:eastAsia="宋体" w:cs="宋体"/>
          <w:color w:val="auto"/>
          <w:sz w:val="24"/>
          <w:szCs w:val="24"/>
          <w:highlight w:val="none"/>
          <w:lang w:val="en-US" w:eastAsia="zh-CN"/>
        </w:rPr>
        <w:t>）；</w:t>
      </w:r>
    </w:p>
    <w:p w14:paraId="3F8DBB66">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（2）拟投入主要人员简历表（</w:t>
      </w:r>
      <w:r>
        <w:rPr>
          <w:rFonts w:hint="eastAsia" w:ascii="宋体" w:hAnsi="宋体"/>
          <w:bCs/>
          <w:color w:val="auto"/>
          <w:sz w:val="24"/>
          <w:highlight w:val="none"/>
        </w:rPr>
        <w:t>格式见附件</w:t>
      </w:r>
      <w:r>
        <w:rPr>
          <w:rFonts w:hint="eastAsia" w:ascii="宋体" w:hAnsi="宋体" w:eastAsia="宋体" w:cs="宋体"/>
          <w:color w:val="auto"/>
          <w:sz w:val="24"/>
          <w:szCs w:val="24"/>
          <w:highlight w:val="none"/>
          <w:lang w:val="en-US" w:eastAsia="zh-CN"/>
        </w:rPr>
        <w:t>）；</w:t>
      </w:r>
    </w:p>
    <w:p w14:paraId="43BA9C46">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（3）诚信投标承诺书（</w:t>
      </w:r>
      <w:r>
        <w:rPr>
          <w:rFonts w:hint="eastAsia" w:ascii="宋体" w:hAnsi="宋体"/>
          <w:bCs/>
          <w:color w:val="auto"/>
          <w:sz w:val="24"/>
          <w:highlight w:val="none"/>
        </w:rPr>
        <w:t>格式见附件</w:t>
      </w:r>
      <w:r>
        <w:rPr>
          <w:rFonts w:hint="eastAsia" w:ascii="宋体" w:hAnsi="宋体" w:eastAsia="宋体" w:cs="宋体"/>
          <w:color w:val="auto"/>
          <w:sz w:val="24"/>
          <w:szCs w:val="24"/>
          <w:highlight w:val="none"/>
          <w:lang w:val="en-US" w:eastAsia="zh-CN"/>
        </w:rPr>
        <w:t>）；</w:t>
      </w:r>
    </w:p>
    <w:p w14:paraId="1A73380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（4）业务授权书（</w:t>
      </w:r>
      <w:r>
        <w:rPr>
          <w:rFonts w:hint="eastAsia" w:ascii="宋体" w:hAnsi="宋体"/>
          <w:bCs/>
          <w:color w:val="auto"/>
          <w:sz w:val="24"/>
          <w:highlight w:val="none"/>
        </w:rPr>
        <w:t>格式见附件</w:t>
      </w:r>
      <w:r>
        <w:rPr>
          <w:rFonts w:hint="eastAsia" w:ascii="宋体" w:hAnsi="宋体" w:eastAsia="宋体" w:cs="宋体"/>
          <w:color w:val="auto"/>
          <w:sz w:val="24"/>
          <w:szCs w:val="24"/>
          <w:highlight w:val="none"/>
          <w:lang w:val="en-US" w:eastAsia="zh-CN"/>
        </w:rPr>
        <w:t>）</w:t>
      </w:r>
    </w:p>
    <w:p w14:paraId="6AC5AB7D">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（5）法定代表人（负责人）授权委托书（</w:t>
      </w:r>
      <w:r>
        <w:rPr>
          <w:rFonts w:hint="eastAsia" w:ascii="宋体" w:hAnsi="宋体"/>
          <w:bCs/>
          <w:color w:val="auto"/>
          <w:sz w:val="24"/>
          <w:highlight w:val="none"/>
        </w:rPr>
        <w:t>格式见附件</w:t>
      </w:r>
      <w:r>
        <w:rPr>
          <w:rFonts w:hint="eastAsia" w:ascii="宋体" w:hAnsi="宋体" w:eastAsia="宋体" w:cs="宋体"/>
          <w:color w:val="auto"/>
          <w:sz w:val="24"/>
          <w:szCs w:val="24"/>
          <w:highlight w:val="none"/>
          <w:lang w:val="en-US" w:eastAsia="zh-CN"/>
        </w:rPr>
        <w:t>）或法定代表人（负责人）身份证明（</w:t>
      </w:r>
      <w:r>
        <w:rPr>
          <w:rFonts w:hint="eastAsia" w:ascii="宋体" w:hAnsi="宋体"/>
          <w:bCs/>
          <w:color w:val="auto"/>
          <w:sz w:val="24"/>
          <w:highlight w:val="none"/>
        </w:rPr>
        <w:t>格式见附件</w:t>
      </w:r>
      <w:r>
        <w:rPr>
          <w:rFonts w:hint="eastAsia" w:ascii="宋体" w:hAnsi="宋体" w:eastAsia="宋体" w:cs="宋体"/>
          <w:color w:val="auto"/>
          <w:sz w:val="24"/>
          <w:szCs w:val="24"/>
          <w:highlight w:val="none"/>
          <w:lang w:val="en-US" w:eastAsia="zh-CN"/>
        </w:rPr>
        <w:t>）；</w:t>
      </w:r>
    </w:p>
    <w:p w14:paraId="56CFF84B">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（6）证书材料：</w:t>
      </w:r>
    </w:p>
    <w:p w14:paraId="1B96C4E7">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对应附件3拟投入本项目的所有人员还须提供与投标人签订的劳动合同和投标截止时间前最近六个月以上（含六个月）投标人为其缴纳的社保证明（由社保机构出具），社保证明打印或出具时间须在招标公告公开发布之日（含发布日）以后；本项目不接受返聘人员。</w:t>
      </w:r>
    </w:p>
    <w:p w14:paraId="3434908C">
      <w:pPr>
        <w:spacing w:line="360" w:lineRule="auto"/>
        <w:ind w:firstLine="480" w:firstLineChars="200"/>
        <w:rPr>
          <w:rFonts w:hint="eastAsia" w:ascii="宋体" w:hAnsi="宋体"/>
          <w:bCs/>
          <w:color w:val="auto"/>
          <w:sz w:val="24"/>
          <w:highlight w:val="none"/>
          <w:lang w:val="en-US" w:eastAsia="zh-CN"/>
        </w:rPr>
      </w:pPr>
      <w:r>
        <w:rPr>
          <w:rFonts w:hint="eastAsia" w:ascii="宋体" w:hAnsi="宋体" w:eastAsia="宋体" w:cs="宋体"/>
          <w:color w:val="auto"/>
          <w:sz w:val="24"/>
          <w:szCs w:val="24"/>
          <w:highlight w:val="none"/>
          <w:lang w:val="en-US" w:eastAsia="zh-CN"/>
        </w:rPr>
        <w:t>②《营业执照》、《保险许可证》。</w:t>
      </w:r>
    </w:p>
    <w:p w14:paraId="3B6AC5C9">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③投标人业绩证明材料： </w:t>
      </w:r>
    </w:p>
    <w:p w14:paraId="5C894BEC">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保险合同或保单。 </w:t>
      </w:r>
    </w:p>
    <w:p w14:paraId="44984994">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注：保险合同或保单必须体现保险机构名称、保险（投保）金额（或保险费金额）、项目规模及合同各方盖章页；若保险合同未能体现保险机构名称、保险（投保）金额（或保险费金额）、项目规模，还需提供发包人或行业主管部门出具的有效证明资料（只认可投标单位及其下属分支机构的承保服务业绩）。 </w:t>
      </w:r>
    </w:p>
    <w:p w14:paraId="3935C470">
      <w:pPr>
        <w:spacing w:line="360" w:lineRule="auto"/>
        <w:ind w:firstLine="480" w:firstLineChars="200"/>
        <w:rPr>
          <w:rFonts w:hint="eastAsia" w:ascii="宋体" w:hAnsi="宋体" w:eastAsia="宋体" w:cs="宋体"/>
          <w:color w:val="auto"/>
          <w:sz w:val="24"/>
          <w:highlight w:val="none"/>
          <w:lang w:val="zh-CN" w:eastAsia="zh-CN"/>
        </w:rPr>
      </w:pPr>
      <w:r>
        <w:rPr>
          <w:rFonts w:hint="eastAsia" w:ascii="宋体" w:hAnsi="宋体"/>
          <w:bCs/>
          <w:color w:val="auto"/>
          <w:sz w:val="24"/>
          <w:highlight w:val="none"/>
          <w:lang w:val="en-US" w:eastAsia="zh-CN"/>
        </w:rPr>
        <w:t>（7）投标人根据第四章评标办法及评分标准自行编制</w:t>
      </w:r>
      <w:r>
        <w:rPr>
          <w:rFonts w:hint="eastAsia" w:ascii="宋体" w:hAnsi="宋体"/>
          <w:bCs/>
          <w:color w:val="auto"/>
          <w:sz w:val="24"/>
          <w:highlight w:val="none"/>
          <w:lang w:eastAsia="zh-CN"/>
        </w:rPr>
        <w:t>。</w:t>
      </w:r>
    </w:p>
    <w:p w14:paraId="04A80472">
      <w:pPr>
        <w:autoSpaceDE w:val="0"/>
        <w:autoSpaceDN w:val="0"/>
        <w:adjustRightInd w:val="0"/>
        <w:spacing w:line="360" w:lineRule="auto"/>
        <w:ind w:left="480"/>
        <w:rPr>
          <w:rFonts w:hint="eastAsia" w:ascii="宋体" w:hAnsi="宋体" w:eastAsia="宋体" w:cs="Times New Roman"/>
          <w:b/>
          <w:color w:val="auto"/>
          <w:sz w:val="24"/>
          <w:szCs w:val="24"/>
          <w:highlight w:val="none"/>
          <w:lang w:eastAsia="zh-CN"/>
        </w:rPr>
      </w:pPr>
      <w:r>
        <w:rPr>
          <w:rFonts w:hint="eastAsia" w:ascii="宋体" w:hAnsi="宋体" w:eastAsia="宋体" w:cs="Times New Roman"/>
          <w:b/>
          <w:color w:val="auto"/>
          <w:sz w:val="24"/>
          <w:szCs w:val="24"/>
          <w:highlight w:val="none"/>
          <w:lang w:val="en-US" w:eastAsia="zh-CN"/>
        </w:rPr>
        <w:t>2.商务标</w:t>
      </w:r>
    </w:p>
    <w:p w14:paraId="53CF5688">
      <w:pPr>
        <w:autoSpaceDE w:val="0"/>
        <w:autoSpaceDN w:val="0"/>
        <w:adjustRightInd w:val="0"/>
        <w:spacing w:line="360" w:lineRule="auto"/>
        <w:ind w:left="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（1）开标一览表（格式见附件）。</w:t>
      </w:r>
    </w:p>
    <w:p w14:paraId="05188A0F">
      <w:pPr>
        <w:autoSpaceDE w:val="0"/>
        <w:autoSpaceDN w:val="0"/>
        <w:adjustRightInd w:val="0"/>
        <w:spacing w:line="360" w:lineRule="auto"/>
        <w:ind w:left="480"/>
        <w:rPr>
          <w:rFonts w:hint="eastAsia" w:ascii="宋体" w:hAnsi="宋体" w:eastAsia="宋体" w:cs="宋体"/>
          <w:b w:val="0"/>
          <w:color w:val="auto"/>
          <w:spacing w:val="0"/>
          <w:kern w:val="2"/>
          <w:sz w:val="24"/>
          <w:szCs w:val="24"/>
          <w:highlight w:val="none"/>
          <w:lang w:val="en-US" w:eastAsia="zh-CN" w:bidi="ar-SA"/>
        </w:rPr>
      </w:pPr>
      <w:r>
        <w:rPr>
          <w:rFonts w:hint="eastAsia" w:ascii="宋体" w:hAnsi="宋体" w:eastAsia="宋体" w:cs="宋体"/>
          <w:b w:val="0"/>
          <w:color w:val="auto"/>
          <w:spacing w:val="0"/>
          <w:kern w:val="2"/>
          <w:sz w:val="24"/>
          <w:szCs w:val="24"/>
          <w:highlight w:val="none"/>
          <w:lang w:val="en-US" w:eastAsia="zh-CN" w:bidi="ar-SA"/>
        </w:rPr>
        <w:t>（2）投标报价汇总表</w:t>
      </w:r>
      <w:r>
        <w:rPr>
          <w:rFonts w:hint="eastAsia" w:ascii="宋体" w:hAnsi="宋体" w:eastAsia="宋体" w:cs="宋体"/>
          <w:color w:val="auto"/>
          <w:sz w:val="24"/>
          <w:highlight w:val="none"/>
          <w:lang w:val="en-US" w:eastAsia="zh-CN"/>
        </w:rPr>
        <w:t>（格式见附件）。</w:t>
      </w:r>
    </w:p>
    <w:p w14:paraId="289D76D6">
      <w:pPr>
        <w:autoSpaceDE w:val="0"/>
        <w:autoSpaceDN w:val="0"/>
        <w:adjustRightInd w:val="0"/>
        <w:spacing w:line="360" w:lineRule="auto"/>
        <w:ind w:left="480"/>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（三）投标文件的语言及计量</w:t>
      </w:r>
    </w:p>
    <w:p w14:paraId="44431752">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w:t>
      </w:r>
      <w:r>
        <w:rPr>
          <w:rFonts w:ascii="宋体" w:hAnsi="宋体"/>
          <w:color w:val="auto"/>
          <w:sz w:val="24"/>
          <w:szCs w:val="24"/>
          <w:highlight w:val="none"/>
        </w:rPr>
        <w:t>投标文件以及投标人与</w:t>
      </w:r>
      <w:r>
        <w:rPr>
          <w:rFonts w:hint="eastAsia" w:ascii="宋体" w:hAnsi="宋体"/>
          <w:color w:val="auto"/>
          <w:sz w:val="24"/>
          <w:szCs w:val="24"/>
          <w:highlight w:val="none"/>
          <w:lang w:val="en-US" w:eastAsia="zh-CN"/>
        </w:rPr>
        <w:t>招标</w:t>
      </w:r>
      <w:r>
        <w:rPr>
          <w:rFonts w:ascii="宋体" w:hAnsi="宋体"/>
          <w:color w:val="auto"/>
          <w:sz w:val="24"/>
          <w:szCs w:val="24"/>
          <w:highlight w:val="none"/>
        </w:rPr>
        <w:t>人就有关投标事宜的所有来往函电，均应以中文汉语书写。除签名、盖章、专用名称等特殊情形外，以中文汉语以外的文字表述的投标文件视同未提供。</w:t>
      </w:r>
    </w:p>
    <w:p w14:paraId="095D8EA3">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w:t>
      </w:r>
      <w:r>
        <w:rPr>
          <w:rFonts w:ascii="宋体" w:hAnsi="宋体"/>
          <w:color w:val="auto"/>
          <w:sz w:val="24"/>
          <w:szCs w:val="24"/>
          <w:highlight w:val="none"/>
        </w:rPr>
        <w:t>投标计量单位，招标文件已有明确规定的，使用招标文件规定的计量单位；招标文件没有规定的，应采用中华人民共和国法定计量单位（货币单位：人民币元），否则视同未响应。</w:t>
      </w:r>
    </w:p>
    <w:p w14:paraId="2133EC4D">
      <w:pPr>
        <w:snapToGrid w:val="0"/>
        <w:spacing w:beforeLines="50" w:line="360" w:lineRule="auto"/>
        <w:ind w:firstLine="472" w:firstLineChars="196"/>
        <w:jc w:val="left"/>
        <w:outlineLvl w:val="0"/>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（四）投标报价</w:t>
      </w:r>
    </w:p>
    <w:p w14:paraId="52EAA015">
      <w:pPr>
        <w:spacing w:line="360" w:lineRule="auto"/>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1、报价要求：各投标人应根据招标人的要求</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在招标文件规定的有效报价内,结合本项目实际情况和自身的综合实力，竞报投标报价。投标报价应是招标文件所确定的招标范围内全部工作内容的价格表现</w:t>
      </w:r>
      <w:r>
        <w:rPr>
          <w:rFonts w:hint="eastAsia" w:ascii="宋体" w:hAnsi="宋体" w:eastAsia="宋体" w:cs="Times New Roman"/>
          <w:color w:val="auto"/>
          <w:sz w:val="24"/>
          <w:szCs w:val="24"/>
          <w:highlight w:val="none"/>
          <w:lang w:eastAsia="zh-CN"/>
        </w:rPr>
        <w:t>。</w:t>
      </w:r>
    </w:p>
    <w:p w14:paraId="11621FF2">
      <w:pPr>
        <w:spacing w:line="360" w:lineRule="auto"/>
        <w:ind w:firstLine="480" w:firstLineChars="200"/>
        <w:rPr>
          <w:rFonts w:hAnsi="宋体"/>
          <w:color w:val="auto"/>
          <w:sz w:val="24"/>
          <w:szCs w:val="24"/>
          <w:highlight w:val="none"/>
        </w:rPr>
      </w:pPr>
      <w:r>
        <w:rPr>
          <w:rFonts w:hint="eastAsia" w:ascii="宋体" w:hAnsi="宋体" w:eastAsia="宋体" w:cs="宋体"/>
          <w:color w:val="auto"/>
          <w:sz w:val="24"/>
          <w:szCs w:val="24"/>
          <w:highlight w:val="none"/>
        </w:rPr>
        <w:t>2、</w:t>
      </w:r>
      <w:r>
        <w:rPr>
          <w:rFonts w:hint="eastAsia" w:hAnsi="宋体"/>
          <w:color w:val="auto"/>
          <w:sz w:val="24"/>
          <w:szCs w:val="24"/>
          <w:highlight w:val="none"/>
        </w:rPr>
        <w:t>报价组成：</w:t>
      </w:r>
    </w:p>
    <w:p w14:paraId="7BF7F9F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1投标报价应按</w:t>
      </w:r>
      <w:r>
        <w:rPr>
          <w:rFonts w:hint="eastAsia" w:ascii="宋体" w:hAnsi="宋体"/>
          <w:color w:val="auto"/>
          <w:sz w:val="24"/>
          <w:szCs w:val="24"/>
          <w:highlight w:val="none"/>
        </w:rPr>
        <w:t>招标文件</w:t>
      </w:r>
      <w:r>
        <w:rPr>
          <w:rFonts w:ascii="宋体" w:hAnsi="宋体"/>
          <w:color w:val="auto"/>
          <w:sz w:val="24"/>
          <w:szCs w:val="24"/>
          <w:highlight w:val="none"/>
        </w:rPr>
        <w:t>中相关附表格式填写。</w:t>
      </w:r>
    </w:p>
    <w:p w14:paraId="5F3085C9">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▲2.2投标报价是履行合同的最终价格，招标文件所确定的服务内容内的价格表现。各投标人可根据保险服务服务期和工作内容，并结合自身技术与管理水平、经济实力、市场风险等因素自行报价。</w:t>
      </w:r>
    </w:p>
    <w:p w14:paraId="55EDDB1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highlight w:val="none"/>
        </w:rPr>
        <w:t>投标文件只允许有一个报价，有选择的</w:t>
      </w:r>
      <w:r>
        <w:rPr>
          <w:rFonts w:hint="eastAsia" w:ascii="宋体" w:hAnsi="宋体"/>
          <w:color w:val="auto"/>
          <w:sz w:val="24"/>
          <w:highlight w:val="none"/>
        </w:rPr>
        <w:t>或有条件的</w:t>
      </w:r>
      <w:r>
        <w:rPr>
          <w:rFonts w:ascii="宋体" w:hAnsi="宋体"/>
          <w:color w:val="auto"/>
          <w:sz w:val="24"/>
          <w:highlight w:val="none"/>
        </w:rPr>
        <w:t>报价将不予接受</w:t>
      </w:r>
      <w:r>
        <w:rPr>
          <w:rFonts w:hint="eastAsia" w:ascii="宋体" w:hAnsi="宋体"/>
          <w:color w:val="auto"/>
          <w:sz w:val="24"/>
          <w:szCs w:val="24"/>
          <w:highlight w:val="none"/>
        </w:rPr>
        <w:t>。</w:t>
      </w:r>
    </w:p>
    <w:p w14:paraId="1744E74A">
      <w:pPr>
        <w:pStyle w:val="6"/>
        <w:widowControl w:val="0"/>
        <w:numPr>
          <w:ilvl w:val="0"/>
          <w:numId w:val="0"/>
        </w:numPr>
        <w:tabs>
          <w:tab w:val="left" w:pos="720"/>
          <w:tab w:val="clear" w:pos="360"/>
        </w:tabs>
        <w:snapToGrid w:val="0"/>
        <w:spacing w:beforeLines="50" w:after="156" w:line="360" w:lineRule="auto"/>
        <w:ind w:leftChars="196"/>
        <w:rPr>
          <w:rFonts w:ascii="宋体" w:hAnsi="宋体"/>
          <w:b/>
          <w:color w:val="auto"/>
          <w:sz w:val="24"/>
          <w:szCs w:val="24"/>
          <w:highlight w:val="none"/>
        </w:rPr>
      </w:pPr>
      <w:r>
        <w:rPr>
          <w:rFonts w:hint="eastAsia" w:ascii="宋体" w:hAnsi="宋体"/>
          <w:b/>
          <w:color w:val="auto"/>
          <w:sz w:val="24"/>
          <w:szCs w:val="24"/>
          <w:highlight w:val="none"/>
        </w:rPr>
        <w:t>（五）投标文件的有效期</w:t>
      </w:r>
    </w:p>
    <w:p w14:paraId="62729EAE">
      <w:pPr>
        <w:pStyle w:val="6"/>
        <w:widowControl w:val="0"/>
        <w:tabs>
          <w:tab w:val="left" w:pos="720"/>
        </w:tabs>
        <w:snapToGrid w:val="0"/>
        <w:spacing w:after="156"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w:t>
      </w:r>
      <w:r>
        <w:rPr>
          <w:rFonts w:ascii="宋体" w:hAnsi="宋体"/>
          <w:color w:val="auto"/>
          <w:sz w:val="24"/>
          <w:szCs w:val="24"/>
          <w:highlight w:val="none"/>
        </w:rPr>
        <w:t>自投标截止日起</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90</w:t>
      </w:r>
      <w:r>
        <w:rPr>
          <w:rFonts w:ascii="宋体" w:hAnsi="宋体"/>
          <w:color w:val="auto"/>
          <w:sz w:val="24"/>
          <w:szCs w:val="24"/>
          <w:highlight w:val="none"/>
        </w:rPr>
        <w:t>天投标</w:t>
      </w:r>
      <w:r>
        <w:rPr>
          <w:rFonts w:hint="eastAsia" w:ascii="宋体" w:hAnsi="宋体"/>
          <w:color w:val="auto"/>
          <w:sz w:val="24"/>
          <w:szCs w:val="24"/>
          <w:highlight w:val="none"/>
        </w:rPr>
        <w:t>文件</w:t>
      </w:r>
      <w:r>
        <w:rPr>
          <w:rFonts w:ascii="宋体" w:hAnsi="宋体"/>
          <w:color w:val="auto"/>
          <w:sz w:val="24"/>
          <w:szCs w:val="24"/>
          <w:highlight w:val="none"/>
        </w:rPr>
        <w:t>应保持有效。</w:t>
      </w:r>
      <w:r>
        <w:rPr>
          <w:rFonts w:hint="eastAsia" w:ascii="宋体" w:hAnsi="宋体"/>
          <w:color w:val="auto"/>
          <w:sz w:val="24"/>
          <w:szCs w:val="24"/>
          <w:highlight w:val="none"/>
        </w:rPr>
        <w:t>中标人投标文件有效期延长至合同有效期。</w:t>
      </w:r>
      <w:r>
        <w:rPr>
          <w:rFonts w:ascii="宋体" w:hAnsi="宋体"/>
          <w:color w:val="auto"/>
          <w:sz w:val="24"/>
          <w:szCs w:val="24"/>
          <w:highlight w:val="none"/>
        </w:rPr>
        <w:t>有效期</w:t>
      </w:r>
      <w:r>
        <w:rPr>
          <w:rFonts w:hint="eastAsia" w:ascii="宋体" w:hAnsi="宋体"/>
          <w:color w:val="auto"/>
          <w:sz w:val="24"/>
          <w:szCs w:val="24"/>
          <w:highlight w:val="none"/>
        </w:rPr>
        <w:t>不足</w:t>
      </w:r>
      <w:r>
        <w:rPr>
          <w:rFonts w:ascii="宋体" w:hAnsi="宋体"/>
          <w:color w:val="auto"/>
          <w:sz w:val="24"/>
          <w:szCs w:val="24"/>
          <w:highlight w:val="none"/>
        </w:rPr>
        <w:t>的投标</w:t>
      </w:r>
      <w:r>
        <w:rPr>
          <w:rFonts w:hint="eastAsia" w:ascii="宋体" w:hAnsi="宋体"/>
          <w:color w:val="auto"/>
          <w:sz w:val="24"/>
          <w:szCs w:val="24"/>
          <w:highlight w:val="none"/>
        </w:rPr>
        <w:t>文件</w:t>
      </w:r>
      <w:r>
        <w:rPr>
          <w:rFonts w:ascii="宋体" w:hAnsi="宋体"/>
          <w:color w:val="auto"/>
          <w:sz w:val="24"/>
          <w:szCs w:val="24"/>
          <w:highlight w:val="none"/>
        </w:rPr>
        <w:t>将被拒绝。</w:t>
      </w:r>
    </w:p>
    <w:p w14:paraId="28B80166">
      <w:pPr>
        <w:pStyle w:val="6"/>
        <w:widowControl w:val="0"/>
        <w:tabs>
          <w:tab w:val="left" w:pos="720"/>
        </w:tabs>
        <w:snapToGrid w:val="0"/>
        <w:spacing w:after="156" w:line="360" w:lineRule="auto"/>
        <w:ind w:left="0" w:firstLine="480" w:firstLineChars="200"/>
        <w:rPr>
          <w:rFonts w:ascii="宋体" w:hAnsi="宋体"/>
          <w:color w:val="auto"/>
          <w:sz w:val="24"/>
          <w:szCs w:val="24"/>
          <w:highlight w:val="none"/>
        </w:rPr>
      </w:pPr>
      <w:r>
        <w:rPr>
          <w:rFonts w:ascii="宋体" w:hAnsi="宋体"/>
          <w:color w:val="auto"/>
          <w:sz w:val="24"/>
          <w:szCs w:val="24"/>
          <w:highlight w:val="none"/>
        </w:rPr>
        <w:t>在特殊情况下，</w:t>
      </w:r>
      <w:r>
        <w:rPr>
          <w:rFonts w:hint="eastAsia" w:ascii="宋体" w:hAnsi="宋体"/>
          <w:color w:val="auto"/>
          <w:sz w:val="24"/>
          <w:szCs w:val="24"/>
          <w:highlight w:val="none"/>
          <w:lang w:val="en-US" w:eastAsia="zh-CN"/>
        </w:rPr>
        <w:t>招标</w:t>
      </w:r>
      <w:r>
        <w:rPr>
          <w:rFonts w:ascii="宋体" w:hAnsi="宋体"/>
          <w:color w:val="auto"/>
          <w:sz w:val="24"/>
          <w:szCs w:val="24"/>
          <w:highlight w:val="none"/>
        </w:rPr>
        <w:t>人可与投标人协商延长投标书的有效期，这种要求和答复均以书面形式进行。</w:t>
      </w:r>
    </w:p>
    <w:p w14:paraId="58454E55">
      <w:pPr>
        <w:snapToGrid w:val="0"/>
        <w:spacing w:line="360" w:lineRule="auto"/>
        <w:ind w:firstLine="480" w:firstLineChars="200"/>
        <w:jc w:val="left"/>
        <w:outlineLvl w:val="0"/>
        <w:rPr>
          <w:rFonts w:ascii="宋体" w:hAnsi="宋体"/>
          <w:b/>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w:t>
      </w:r>
      <w:r>
        <w:rPr>
          <w:rFonts w:ascii="宋体" w:hAnsi="宋体"/>
          <w:color w:val="auto"/>
          <w:sz w:val="24"/>
          <w:szCs w:val="24"/>
          <w:highlight w:val="none"/>
        </w:rPr>
        <w:t>投标人可拒绝接受延期要求而不会导致投标保证金被没收。同意延长有效期的投标人需要相应延长投标保证金的有效期，但不能修改投标文件。</w:t>
      </w:r>
    </w:p>
    <w:p w14:paraId="0223B9C8">
      <w:pPr>
        <w:snapToGrid w:val="0"/>
        <w:spacing w:line="360" w:lineRule="auto"/>
        <w:ind w:firstLine="480" w:firstLineChars="200"/>
        <w:jc w:val="left"/>
        <w:outlineLvl w:val="0"/>
        <w:rPr>
          <w:rFonts w:ascii="宋体" w:hAnsi="宋体"/>
          <w:b/>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w:t>
      </w:r>
      <w:r>
        <w:rPr>
          <w:rFonts w:ascii="宋体" w:hAnsi="宋体"/>
          <w:color w:val="auto"/>
          <w:sz w:val="24"/>
          <w:szCs w:val="24"/>
          <w:highlight w:val="none"/>
        </w:rPr>
        <w:t>中标人的投标文件自开标之日起至合同履行完毕止均应保持有效。</w:t>
      </w:r>
    </w:p>
    <w:p w14:paraId="72B91663">
      <w:pPr>
        <w:snapToGrid w:val="0"/>
        <w:spacing w:line="360" w:lineRule="auto"/>
        <w:ind w:firstLine="480" w:firstLineChars="200"/>
        <w:jc w:val="left"/>
        <w:rPr>
          <w:rFonts w:hint="eastAsia" w:ascii="宋体" w:hAnsi="宋体"/>
          <w:b/>
          <w:color w:val="auto"/>
          <w:sz w:val="24"/>
          <w:szCs w:val="24"/>
          <w:highlight w:val="none"/>
        </w:rPr>
      </w:pPr>
      <w:r>
        <w:rPr>
          <w:rFonts w:hint="eastAsia" w:ascii="宋体" w:hAnsi="宋体"/>
          <w:b/>
          <w:color w:val="auto"/>
          <w:sz w:val="24"/>
          <w:szCs w:val="24"/>
          <w:highlight w:val="none"/>
        </w:rPr>
        <w:t>（六）投标保证金</w:t>
      </w:r>
    </w:p>
    <w:p w14:paraId="55A74128">
      <w:pPr>
        <w:snapToGrid w:val="0"/>
        <w:spacing w:line="360" w:lineRule="auto"/>
        <w:ind w:firstLine="480" w:firstLineChars="200"/>
        <w:jc w:val="left"/>
        <w:outlineLvl w:val="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1.投标人须按规定提交投标保证金。否则，其投标将被拒绝。</w:t>
      </w:r>
    </w:p>
    <w:p w14:paraId="036ABDAB">
      <w:pPr>
        <w:snapToGrid w:val="0"/>
        <w:spacing w:line="360" w:lineRule="auto"/>
        <w:ind w:firstLine="480" w:firstLineChars="200"/>
        <w:jc w:val="left"/>
        <w:outlineLvl w:val="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2.保证金形式：银行转账、银行保函、保险机构保证保险保单、融资担保公司保函。</w:t>
      </w:r>
    </w:p>
    <w:p w14:paraId="541AFD63">
      <w:pPr>
        <w:snapToGrid w:val="0"/>
        <w:spacing w:line="360" w:lineRule="auto"/>
        <w:ind w:firstLine="482" w:firstLineChars="200"/>
        <w:jc w:val="left"/>
        <w:outlineLvl w:val="0"/>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lang w:val="en-US" w:eastAsia="zh-CN"/>
        </w:rPr>
        <w:t>3</w:t>
      </w:r>
      <w:r>
        <w:rPr>
          <w:rFonts w:hint="eastAsia" w:ascii="宋体" w:hAnsi="宋体" w:eastAsia="宋体" w:cs="Times New Roman"/>
          <w:b/>
          <w:bCs/>
          <w:color w:val="auto"/>
          <w:sz w:val="24"/>
          <w:szCs w:val="24"/>
          <w:highlight w:val="none"/>
        </w:rPr>
        <w:t>.投标人有下列情形之一的，投标保证金将不予退还：</w:t>
      </w:r>
    </w:p>
    <w:p w14:paraId="0091F34A">
      <w:pPr>
        <w:snapToGrid w:val="0"/>
        <w:spacing w:line="360" w:lineRule="auto"/>
        <w:ind w:firstLine="480" w:firstLineChars="200"/>
        <w:jc w:val="left"/>
        <w:outlineLvl w:val="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（1）投标人在投标有效期内撤回投标文件的；</w:t>
      </w:r>
    </w:p>
    <w:p w14:paraId="60EF05BB">
      <w:pPr>
        <w:snapToGrid w:val="0"/>
        <w:spacing w:line="360" w:lineRule="auto"/>
        <w:ind w:firstLine="480" w:firstLineChars="200"/>
        <w:jc w:val="left"/>
        <w:outlineLvl w:val="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（2）未按规定提交履约保证金的；</w:t>
      </w:r>
    </w:p>
    <w:p w14:paraId="0A15B51E">
      <w:pPr>
        <w:snapToGrid w:val="0"/>
        <w:spacing w:line="360" w:lineRule="auto"/>
        <w:ind w:firstLine="480" w:firstLineChars="200"/>
        <w:jc w:val="left"/>
        <w:outlineLvl w:val="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（3）投标人在投标过程中弄虚作假，提供虚假材料的；</w:t>
      </w:r>
    </w:p>
    <w:p w14:paraId="6CC6E50A">
      <w:pPr>
        <w:snapToGrid w:val="0"/>
        <w:spacing w:line="360" w:lineRule="auto"/>
        <w:ind w:firstLine="480" w:firstLineChars="200"/>
        <w:jc w:val="left"/>
        <w:outlineLvl w:val="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（4）中标人无正当理由不与</w:t>
      </w:r>
      <w:r>
        <w:rPr>
          <w:rFonts w:hint="eastAsia" w:ascii="宋体" w:hAnsi="宋体" w:eastAsia="宋体" w:cs="Times New Roman"/>
          <w:color w:val="auto"/>
          <w:sz w:val="24"/>
          <w:szCs w:val="24"/>
          <w:highlight w:val="none"/>
          <w:lang w:val="en-US" w:eastAsia="zh-CN"/>
        </w:rPr>
        <w:t>招标</w:t>
      </w:r>
      <w:r>
        <w:rPr>
          <w:rFonts w:hint="eastAsia" w:ascii="宋体" w:hAnsi="宋体" w:eastAsia="宋体" w:cs="Times New Roman"/>
          <w:color w:val="auto"/>
          <w:sz w:val="24"/>
          <w:szCs w:val="24"/>
          <w:highlight w:val="none"/>
        </w:rPr>
        <w:t>单位签订合同的；</w:t>
      </w:r>
    </w:p>
    <w:p w14:paraId="7482E87C">
      <w:pPr>
        <w:snapToGrid w:val="0"/>
        <w:spacing w:line="360" w:lineRule="auto"/>
        <w:ind w:firstLine="480" w:firstLineChars="200"/>
        <w:jc w:val="left"/>
        <w:outlineLvl w:val="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（5）将中标项目转让给他人或者在投标文件中未说明且未经招标人同意，将中标项目分包给他人的；</w:t>
      </w:r>
    </w:p>
    <w:p w14:paraId="59E83B3B">
      <w:pPr>
        <w:snapToGrid w:val="0"/>
        <w:spacing w:line="360" w:lineRule="auto"/>
        <w:ind w:firstLine="470" w:firstLineChars="196"/>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（6）拒绝履行合同义务的；</w:t>
      </w:r>
    </w:p>
    <w:p w14:paraId="0C1E968B">
      <w:pPr>
        <w:snapToGrid w:val="0"/>
        <w:spacing w:line="360" w:lineRule="auto"/>
        <w:ind w:firstLine="470" w:firstLineChars="196"/>
        <w:rPr>
          <w:rFonts w:hint="eastAsia" w:ascii="宋体" w:hAnsi="宋体" w:eastAsia="宋体" w:cs="Times New Roman"/>
          <w:color w:val="auto"/>
          <w:sz w:val="24"/>
          <w:szCs w:val="24"/>
          <w:highlight w:val="none"/>
          <w:lang w:eastAsia="zh-CN"/>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）两家或两家以上投标单位上传投标文件的ip地址（或工程清单锁地址）相同</w:t>
      </w:r>
      <w:r>
        <w:rPr>
          <w:rFonts w:hint="eastAsia" w:ascii="宋体" w:hAnsi="宋体"/>
          <w:color w:val="auto"/>
          <w:sz w:val="24"/>
          <w:szCs w:val="24"/>
          <w:highlight w:val="none"/>
          <w:lang w:eastAsia="zh-CN"/>
        </w:rPr>
        <w:t>。</w:t>
      </w:r>
    </w:p>
    <w:p w14:paraId="4286E77D">
      <w:pPr>
        <w:snapToGrid w:val="0"/>
        <w:spacing w:line="360" w:lineRule="auto"/>
        <w:ind w:firstLine="480" w:firstLineChars="200"/>
        <w:jc w:val="left"/>
        <w:outlineLvl w:val="0"/>
        <w:rPr>
          <w:rFonts w:ascii="宋体" w:hAnsi="宋体"/>
          <w:b/>
          <w:color w:val="auto"/>
          <w:sz w:val="24"/>
          <w:szCs w:val="24"/>
          <w:highlight w:val="none"/>
        </w:rPr>
      </w:pP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8</w:t>
      </w:r>
      <w:r>
        <w:rPr>
          <w:rFonts w:hint="eastAsia" w:ascii="宋体" w:hAnsi="宋体" w:eastAsia="宋体" w:cs="Times New Roman"/>
          <w:color w:val="auto"/>
          <w:sz w:val="24"/>
          <w:szCs w:val="24"/>
          <w:highlight w:val="none"/>
        </w:rPr>
        <w:t>）有《关于印发&lt;台州市工程建设投标保函管理规定&gt;的通知》（台公管办〔2022〕2号）第十一条规定情形的。</w:t>
      </w:r>
    </w:p>
    <w:p w14:paraId="047B29BE">
      <w:pPr>
        <w:snapToGrid w:val="0"/>
        <w:spacing w:beforeLines="50" w:line="360" w:lineRule="auto"/>
        <w:ind w:firstLine="471" w:firstLineChars="196"/>
        <w:jc w:val="left"/>
        <w:outlineLvl w:val="0"/>
        <w:rPr>
          <w:rFonts w:ascii="宋体" w:hAnsi="宋体"/>
          <w:b/>
          <w:color w:val="auto"/>
          <w:sz w:val="24"/>
          <w:szCs w:val="24"/>
          <w:highlight w:val="none"/>
        </w:rPr>
      </w:pPr>
      <w:r>
        <w:rPr>
          <w:rFonts w:hint="eastAsia" w:ascii="宋体" w:hAnsi="宋体"/>
          <w:b/>
          <w:color w:val="auto"/>
          <w:sz w:val="24"/>
          <w:szCs w:val="24"/>
          <w:highlight w:val="none"/>
        </w:rPr>
        <w:t>（七）投标文件的签署</w:t>
      </w:r>
    </w:p>
    <w:p w14:paraId="6DAEC30B">
      <w:pPr>
        <w:snapToGrid w:val="0"/>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w:t>
      </w:r>
      <w:r>
        <w:rPr>
          <w:rFonts w:ascii="宋体" w:hAnsi="宋体"/>
          <w:color w:val="auto"/>
          <w:sz w:val="24"/>
          <w:szCs w:val="24"/>
          <w:highlight w:val="none"/>
        </w:rPr>
        <w:t>投标人应</w:t>
      </w:r>
      <w:r>
        <w:rPr>
          <w:rFonts w:hint="eastAsia" w:ascii="宋体" w:hAnsi="宋体"/>
          <w:color w:val="auto"/>
          <w:sz w:val="24"/>
          <w:szCs w:val="24"/>
          <w:highlight w:val="none"/>
        </w:rPr>
        <w:t>按</w:t>
      </w:r>
      <w:r>
        <w:rPr>
          <w:rFonts w:ascii="宋体" w:hAnsi="宋体"/>
          <w:color w:val="auto"/>
          <w:sz w:val="24"/>
          <w:szCs w:val="24"/>
          <w:highlight w:val="none"/>
        </w:rPr>
        <w:t>本招标文件规定的</w:t>
      </w:r>
      <w:r>
        <w:rPr>
          <w:rFonts w:hint="eastAsia" w:ascii="宋体" w:hAnsi="宋体"/>
          <w:color w:val="auto"/>
          <w:sz w:val="24"/>
          <w:szCs w:val="24"/>
          <w:highlight w:val="none"/>
        </w:rPr>
        <w:t>投标文件的组成</w:t>
      </w:r>
      <w:r>
        <w:rPr>
          <w:rFonts w:ascii="宋体" w:hAnsi="宋体"/>
          <w:color w:val="auto"/>
          <w:sz w:val="24"/>
          <w:szCs w:val="24"/>
          <w:highlight w:val="none"/>
        </w:rPr>
        <w:t>编制投标文件，投标文件内容不完整、编排混乱导致投标文件被误读、漏读或者查找不到相关内容的，是投标人的责任。</w:t>
      </w:r>
    </w:p>
    <w:p w14:paraId="2841E9C5">
      <w:pPr>
        <w:snapToGrid w:val="0"/>
        <w:spacing w:line="360" w:lineRule="auto"/>
        <w:ind w:firstLine="480" w:firstLineChars="200"/>
        <w:jc w:val="left"/>
        <w:rPr>
          <w:rFonts w:ascii="宋体" w:hAnsi="宋体"/>
          <w:b/>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w:t>
      </w:r>
      <w:r>
        <w:rPr>
          <w:rFonts w:hint="eastAsia" w:ascii="宋体" w:hAnsi="宋体"/>
          <w:bCs/>
          <w:color w:val="auto"/>
          <w:sz w:val="24"/>
          <w:szCs w:val="24"/>
          <w:highlight w:val="none"/>
        </w:rPr>
        <w:t>投标人按要求上传电子投标文件至交易平台，投标人在规定位置盖章并由法定代表人或法定代表人的授权委托人签署或盖章，投标人应写全称。</w:t>
      </w:r>
    </w:p>
    <w:p w14:paraId="6696AAD2">
      <w:pPr>
        <w:snapToGrid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投标文件不得涂改，若有修改错漏处，须加盖单位公章或者法定代表人或授权委托人签字或盖章。投标文件因字迹潦草或表达不清所引起的后果由投标人负责。</w:t>
      </w:r>
    </w:p>
    <w:p w14:paraId="779BE6CC">
      <w:pPr>
        <w:snapToGrid w:val="0"/>
        <w:spacing w:beforeLines="50" w:line="360" w:lineRule="auto"/>
        <w:ind w:firstLine="353" w:firstLineChars="147"/>
        <w:jc w:val="left"/>
        <w:rPr>
          <w:rFonts w:ascii="宋体" w:hAnsi="宋体"/>
          <w:b/>
          <w:color w:val="auto"/>
          <w:sz w:val="24"/>
          <w:szCs w:val="24"/>
          <w:highlight w:val="none"/>
        </w:rPr>
      </w:pPr>
      <w:r>
        <w:rPr>
          <w:rFonts w:hint="eastAsia" w:ascii="宋体" w:hAnsi="宋体"/>
          <w:b/>
          <w:color w:val="auto"/>
          <w:sz w:val="24"/>
          <w:szCs w:val="24"/>
          <w:highlight w:val="none"/>
        </w:rPr>
        <w:t>（八）投标文件的包装、递交、修改和撤回</w:t>
      </w:r>
    </w:p>
    <w:p w14:paraId="31C07F08">
      <w:pPr>
        <w:snapToGrid w:val="0"/>
        <w:spacing w:line="360" w:lineRule="auto"/>
        <w:ind w:firstLine="480" w:firstLineChars="20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1.本</w:t>
      </w:r>
      <w:r>
        <w:rPr>
          <w:rFonts w:hint="eastAsia" w:ascii="宋体" w:hAnsi="宋体" w:eastAsia="宋体" w:cs="Times New Roman"/>
          <w:bCs/>
          <w:color w:val="auto"/>
          <w:sz w:val="24"/>
          <w:szCs w:val="24"/>
          <w:highlight w:val="none"/>
          <w:lang w:val="en-US" w:eastAsia="zh-CN"/>
        </w:rPr>
        <w:t>项目</w:t>
      </w:r>
      <w:r>
        <w:rPr>
          <w:rFonts w:hint="eastAsia" w:ascii="宋体" w:hAnsi="宋体" w:eastAsia="宋体" w:cs="Times New Roman"/>
          <w:bCs/>
          <w:color w:val="auto"/>
          <w:sz w:val="24"/>
          <w:szCs w:val="24"/>
          <w:highlight w:val="none"/>
        </w:rPr>
        <w:t>采用电子投标，无需纸质投标文件；</w:t>
      </w:r>
    </w:p>
    <w:p w14:paraId="6B5D9B33">
      <w:pPr>
        <w:snapToGrid w:val="0"/>
        <w:spacing w:line="360" w:lineRule="auto"/>
        <w:ind w:firstLine="480" w:firstLineChars="20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2.投标人应在投标截止时间前上传投标文件。逾期上传的或者未上传指定系统的，视为投标文件未送达。</w:t>
      </w:r>
    </w:p>
    <w:p w14:paraId="052B6703">
      <w:pPr>
        <w:snapToGrid w:val="0"/>
        <w:spacing w:line="360" w:lineRule="auto"/>
        <w:ind w:firstLine="480" w:firstLineChars="20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 xml:space="preserve">3.在规定的投标截止时间前，投标人可以修改或撤回已递交的电子投标文件；修改好后重新上传加密电子投标文件。 </w:t>
      </w:r>
    </w:p>
    <w:p w14:paraId="0F04DA5F">
      <w:pPr>
        <w:snapToGrid w:val="0"/>
        <w:spacing w:line="360" w:lineRule="auto"/>
        <w:ind w:firstLine="480" w:firstLineChars="20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4.在投标截止时间至投标有效期满之前，投标人不得撤回其投标文件，否则其投标担保将被没收。</w:t>
      </w:r>
    </w:p>
    <w:p w14:paraId="33254445">
      <w:pPr>
        <w:snapToGrid w:val="0"/>
        <w:spacing w:beforeLines="50" w:line="360" w:lineRule="auto"/>
        <w:ind w:firstLine="471" w:firstLineChars="196"/>
        <w:outlineLvl w:val="2"/>
        <w:rPr>
          <w:rFonts w:ascii="宋体" w:hAnsi="宋体"/>
          <w:b/>
          <w:color w:val="auto"/>
          <w:sz w:val="24"/>
          <w:szCs w:val="24"/>
          <w:highlight w:val="none"/>
        </w:rPr>
      </w:pPr>
      <w:r>
        <w:rPr>
          <w:rFonts w:hint="eastAsia" w:ascii="宋体" w:hAnsi="宋体"/>
          <w:b/>
          <w:color w:val="auto"/>
          <w:sz w:val="24"/>
          <w:szCs w:val="24"/>
          <w:highlight w:val="none"/>
        </w:rPr>
        <w:t>（九）投标无效的情形</w:t>
      </w:r>
    </w:p>
    <w:p w14:paraId="67340779">
      <w:pPr>
        <w:snapToGrid w:val="0"/>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47BDF9F6">
      <w:pPr>
        <w:snapToGrid w:val="0"/>
        <w:spacing w:line="360" w:lineRule="auto"/>
        <w:ind w:firstLine="471" w:firstLineChars="196"/>
        <w:rPr>
          <w:rFonts w:ascii="宋体" w:hAnsi="宋体"/>
          <w:b/>
          <w:bCs/>
          <w:color w:val="auto"/>
          <w:sz w:val="24"/>
          <w:szCs w:val="24"/>
          <w:highlight w:val="none"/>
        </w:rPr>
      </w:pPr>
      <w:r>
        <w:rPr>
          <w:rFonts w:ascii="宋体" w:hAnsi="宋体"/>
          <w:b/>
          <w:bCs/>
          <w:color w:val="auto"/>
          <w:sz w:val="24"/>
          <w:szCs w:val="24"/>
          <w:highlight w:val="none"/>
        </w:rPr>
        <w:t>1</w:t>
      </w:r>
      <w:r>
        <w:rPr>
          <w:rFonts w:hint="eastAsia" w:ascii="宋体" w:hAnsi="宋体"/>
          <w:b/>
          <w:bCs/>
          <w:color w:val="auto"/>
          <w:sz w:val="24"/>
          <w:szCs w:val="24"/>
          <w:highlight w:val="none"/>
        </w:rPr>
        <w:t>.</w:t>
      </w:r>
      <w:r>
        <w:rPr>
          <w:rFonts w:ascii="宋体" w:hAnsi="宋体"/>
          <w:b/>
          <w:bCs/>
          <w:color w:val="auto"/>
          <w:sz w:val="24"/>
          <w:szCs w:val="24"/>
          <w:highlight w:val="none"/>
        </w:rPr>
        <w:t>在符合性审查和</w:t>
      </w:r>
      <w:r>
        <w:rPr>
          <w:rFonts w:hint="eastAsia" w:ascii="宋体" w:hAnsi="宋体"/>
          <w:b/>
          <w:bCs/>
          <w:color w:val="auto"/>
          <w:sz w:val="24"/>
          <w:szCs w:val="24"/>
          <w:highlight w:val="none"/>
          <w:lang w:val="en-US" w:eastAsia="zh-CN"/>
        </w:rPr>
        <w:t>资信技术标</w:t>
      </w:r>
      <w:r>
        <w:rPr>
          <w:rFonts w:ascii="宋体" w:hAnsi="宋体"/>
          <w:b/>
          <w:bCs/>
          <w:color w:val="auto"/>
          <w:sz w:val="24"/>
          <w:szCs w:val="24"/>
          <w:highlight w:val="none"/>
        </w:rPr>
        <w:t>评审时，如发现下列情形之一的，投标文件将被视为无效：</w:t>
      </w:r>
    </w:p>
    <w:p w14:paraId="6DA6C406">
      <w:pPr>
        <w:snapToGrid w:val="0"/>
        <w:spacing w:line="360" w:lineRule="auto"/>
        <w:ind w:firstLine="470" w:firstLineChars="196"/>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未按照招标文件的规定提交投标保证金的；</w:t>
      </w:r>
    </w:p>
    <w:p w14:paraId="5CAD91F8">
      <w:pPr>
        <w:snapToGrid w:val="0"/>
        <w:spacing w:line="360" w:lineRule="auto"/>
        <w:ind w:firstLine="470" w:firstLineChars="196"/>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不具备招标文件中规定的资格要求的或</w:t>
      </w:r>
      <w:r>
        <w:rPr>
          <w:rFonts w:ascii="宋体" w:hAnsi="宋体"/>
          <w:color w:val="auto"/>
          <w:sz w:val="24"/>
          <w:szCs w:val="24"/>
          <w:highlight w:val="none"/>
        </w:rPr>
        <w:t>资格证明文件不全的</w:t>
      </w:r>
      <w:r>
        <w:rPr>
          <w:rFonts w:hint="eastAsia" w:ascii="宋体" w:hAnsi="宋体"/>
          <w:color w:val="auto"/>
          <w:sz w:val="24"/>
          <w:szCs w:val="24"/>
          <w:highlight w:val="none"/>
        </w:rPr>
        <w:t>；</w:t>
      </w:r>
    </w:p>
    <w:p w14:paraId="226E1AA6">
      <w:pPr>
        <w:snapToGrid w:val="0"/>
        <w:spacing w:line="360" w:lineRule="auto"/>
        <w:ind w:firstLine="470" w:firstLineChars="196"/>
        <w:rPr>
          <w:rFonts w:ascii="宋体" w:hAnsi="宋体"/>
          <w:color w:val="auto"/>
          <w:sz w:val="24"/>
          <w:szCs w:val="24"/>
          <w:highlight w:val="none"/>
        </w:rPr>
      </w:pPr>
      <w:r>
        <w:rPr>
          <w:rFonts w:hint="eastAsia" w:ascii="宋体" w:hAnsi="宋体"/>
          <w:color w:val="auto"/>
          <w:sz w:val="24"/>
          <w:szCs w:val="24"/>
          <w:highlight w:val="none"/>
        </w:rPr>
        <w:t>（3）投标文件未按招标文件要求签署、盖章的；</w:t>
      </w:r>
    </w:p>
    <w:p w14:paraId="596EFB94">
      <w:pPr>
        <w:snapToGrid w:val="0"/>
        <w:spacing w:line="360" w:lineRule="auto"/>
        <w:ind w:firstLine="470" w:firstLineChars="196"/>
        <w:rPr>
          <w:rFonts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w:t>
      </w:r>
      <w:r>
        <w:rPr>
          <w:rFonts w:hint="eastAsia" w:ascii="宋体" w:hAnsi="宋体"/>
          <w:color w:val="auto"/>
          <w:sz w:val="24"/>
          <w:szCs w:val="24"/>
          <w:highlight w:val="none"/>
        </w:rPr>
        <w:t>投标代表人未能出具身份证明或与法定代表人授权委托人身份不符的；</w:t>
      </w:r>
      <w:r>
        <w:rPr>
          <w:rFonts w:ascii="宋体" w:hAnsi="宋体"/>
          <w:color w:val="auto"/>
          <w:sz w:val="24"/>
          <w:szCs w:val="24"/>
          <w:highlight w:val="none"/>
        </w:rPr>
        <w:t xml:space="preserve"> </w:t>
      </w:r>
    </w:p>
    <w:p w14:paraId="75348E1A">
      <w:pPr>
        <w:snapToGrid w:val="0"/>
        <w:spacing w:line="360" w:lineRule="auto"/>
        <w:ind w:firstLine="470" w:firstLineChars="196"/>
        <w:rPr>
          <w:rFonts w:ascii="宋体" w:hAnsi="宋体"/>
          <w:color w:val="auto"/>
          <w:sz w:val="24"/>
          <w:szCs w:val="24"/>
          <w:highlight w:val="none"/>
        </w:rPr>
      </w:pPr>
      <w:r>
        <w:rPr>
          <w:rFonts w:ascii="宋体" w:hAnsi="宋体"/>
          <w:color w:val="auto"/>
          <w:sz w:val="24"/>
          <w:szCs w:val="24"/>
          <w:highlight w:val="none"/>
        </w:rPr>
        <w:t>（</w:t>
      </w:r>
      <w:r>
        <w:rPr>
          <w:rFonts w:hint="eastAsia" w:ascii="宋体" w:hAnsi="宋体"/>
          <w:color w:val="auto"/>
          <w:sz w:val="24"/>
          <w:szCs w:val="24"/>
          <w:highlight w:val="none"/>
        </w:rPr>
        <w:t>5</w:t>
      </w:r>
      <w:r>
        <w:rPr>
          <w:rFonts w:ascii="宋体" w:hAnsi="宋体"/>
          <w:color w:val="auto"/>
          <w:sz w:val="24"/>
          <w:szCs w:val="24"/>
          <w:highlight w:val="none"/>
        </w:rPr>
        <w:t>）投标文件</w:t>
      </w:r>
      <w:r>
        <w:rPr>
          <w:rFonts w:hint="eastAsia" w:ascii="宋体" w:hAnsi="宋体"/>
          <w:color w:val="auto"/>
          <w:sz w:val="24"/>
          <w:szCs w:val="24"/>
          <w:highlight w:val="none"/>
        </w:rPr>
        <w:t>组成不符合招标文件要求的</w:t>
      </w:r>
      <w:r>
        <w:rPr>
          <w:rFonts w:ascii="宋体" w:hAnsi="宋体"/>
          <w:color w:val="auto"/>
          <w:sz w:val="24"/>
          <w:szCs w:val="24"/>
          <w:highlight w:val="none"/>
        </w:rPr>
        <w:t>；</w:t>
      </w:r>
    </w:p>
    <w:p w14:paraId="4132EF0E">
      <w:pPr>
        <w:snapToGrid w:val="0"/>
        <w:spacing w:line="360" w:lineRule="auto"/>
        <w:ind w:firstLine="470" w:firstLineChars="196"/>
        <w:rPr>
          <w:rFonts w:ascii="宋体" w:hAnsi="宋体"/>
          <w:color w:val="auto"/>
          <w:sz w:val="24"/>
          <w:szCs w:val="24"/>
          <w:highlight w:val="none"/>
        </w:rPr>
      </w:pPr>
      <w:r>
        <w:rPr>
          <w:rFonts w:hint="eastAsia" w:ascii="宋体" w:hAnsi="宋体"/>
          <w:color w:val="auto"/>
          <w:sz w:val="24"/>
          <w:szCs w:val="24"/>
          <w:highlight w:val="none"/>
        </w:rPr>
        <w:t>（6）</w:t>
      </w:r>
      <w:r>
        <w:rPr>
          <w:rFonts w:ascii="宋体" w:hAnsi="宋体"/>
          <w:color w:val="auto"/>
          <w:sz w:val="24"/>
          <w:szCs w:val="24"/>
          <w:highlight w:val="none"/>
        </w:rPr>
        <w:t>投标文件的实质性内容未使用中文表述、意思表述不明确、前后矛盾或者使用计量单位不符合招标文件要求的（经评标委员会认定</w:t>
      </w:r>
      <w:r>
        <w:rPr>
          <w:rFonts w:hint="eastAsia" w:ascii="宋体" w:hAnsi="宋体"/>
          <w:color w:val="auto"/>
          <w:sz w:val="24"/>
          <w:szCs w:val="24"/>
          <w:highlight w:val="none"/>
        </w:rPr>
        <w:t>并</w:t>
      </w:r>
      <w:r>
        <w:rPr>
          <w:rFonts w:ascii="宋体" w:hAnsi="宋体"/>
          <w:color w:val="auto"/>
          <w:sz w:val="24"/>
          <w:szCs w:val="24"/>
          <w:highlight w:val="none"/>
        </w:rPr>
        <w:t>允许其当场更正的笔误除外）</w:t>
      </w:r>
      <w:r>
        <w:rPr>
          <w:rFonts w:hint="eastAsia" w:ascii="宋体" w:hAnsi="宋体"/>
          <w:color w:val="auto"/>
          <w:sz w:val="24"/>
          <w:szCs w:val="24"/>
          <w:highlight w:val="none"/>
        </w:rPr>
        <w:t>；</w:t>
      </w:r>
    </w:p>
    <w:p w14:paraId="6D4C75CC">
      <w:pPr>
        <w:snapToGrid w:val="0"/>
        <w:spacing w:line="360" w:lineRule="auto"/>
        <w:ind w:firstLine="470" w:firstLineChars="196"/>
        <w:rPr>
          <w:rFonts w:ascii="宋体" w:hAnsi="宋体"/>
          <w:color w:val="auto"/>
          <w:sz w:val="24"/>
          <w:szCs w:val="24"/>
          <w:highlight w:val="none"/>
        </w:rPr>
      </w:pPr>
      <w:r>
        <w:rPr>
          <w:rFonts w:ascii="宋体" w:hAnsi="宋体"/>
          <w:color w:val="auto"/>
          <w:sz w:val="24"/>
          <w:szCs w:val="24"/>
          <w:highlight w:val="none"/>
        </w:rPr>
        <w:t>（</w:t>
      </w:r>
      <w:r>
        <w:rPr>
          <w:rFonts w:hint="eastAsia" w:ascii="宋体" w:hAnsi="宋体"/>
          <w:color w:val="auto"/>
          <w:sz w:val="24"/>
          <w:szCs w:val="24"/>
          <w:highlight w:val="none"/>
          <w:lang w:val="en-US" w:eastAsia="zh-CN"/>
        </w:rPr>
        <w:t>7</w:t>
      </w:r>
      <w:r>
        <w:rPr>
          <w:rFonts w:ascii="宋体" w:hAnsi="宋体"/>
          <w:color w:val="auto"/>
          <w:sz w:val="24"/>
          <w:szCs w:val="24"/>
          <w:highlight w:val="none"/>
        </w:rPr>
        <w:t>）投标有效期、</w:t>
      </w:r>
      <w:r>
        <w:rPr>
          <w:rFonts w:hint="eastAsia" w:ascii="宋体" w:hAnsi="宋体"/>
          <w:color w:val="auto"/>
          <w:sz w:val="24"/>
          <w:szCs w:val="24"/>
          <w:highlight w:val="none"/>
        </w:rPr>
        <w:t>服务</w:t>
      </w:r>
      <w:r>
        <w:rPr>
          <w:rFonts w:ascii="宋体" w:hAnsi="宋体"/>
          <w:color w:val="auto"/>
          <w:sz w:val="24"/>
          <w:szCs w:val="24"/>
          <w:highlight w:val="none"/>
        </w:rPr>
        <w:t>时间等商务条款不能满足招标文件要求的；</w:t>
      </w:r>
    </w:p>
    <w:p w14:paraId="462F624C">
      <w:pPr>
        <w:snapToGrid w:val="0"/>
        <w:spacing w:line="360" w:lineRule="auto"/>
        <w:ind w:firstLine="480" w:firstLineChars="200"/>
        <w:rPr>
          <w:rFonts w:hint="eastAsia" w:ascii="宋体" w:hAnsi="宋体" w:eastAsia="宋体" w:cs="Times New Roman"/>
          <w:bCs/>
          <w:color w:val="auto"/>
          <w:sz w:val="24"/>
          <w:szCs w:val="24"/>
          <w:highlight w:val="none"/>
        </w:rPr>
      </w:pPr>
      <w:r>
        <w:rPr>
          <w:rFonts w:ascii="宋体" w:hAnsi="宋体"/>
          <w:color w:val="auto"/>
          <w:sz w:val="24"/>
          <w:szCs w:val="24"/>
          <w:highlight w:val="none"/>
        </w:rPr>
        <w:t>（</w:t>
      </w:r>
      <w:r>
        <w:rPr>
          <w:rFonts w:hint="eastAsia" w:ascii="宋体" w:hAnsi="宋体"/>
          <w:color w:val="auto"/>
          <w:sz w:val="24"/>
          <w:szCs w:val="24"/>
          <w:highlight w:val="none"/>
          <w:lang w:val="en-US" w:eastAsia="zh-CN"/>
        </w:rPr>
        <w:t>8</w:t>
      </w:r>
      <w:r>
        <w:rPr>
          <w:rFonts w:ascii="宋体" w:hAnsi="宋体"/>
          <w:color w:val="auto"/>
          <w:sz w:val="24"/>
          <w:szCs w:val="24"/>
          <w:highlight w:val="none"/>
        </w:rPr>
        <w:t>）</w:t>
      </w:r>
      <w:r>
        <w:rPr>
          <w:rFonts w:hint="eastAsia" w:ascii="宋体" w:hAnsi="宋体"/>
          <w:color w:val="auto"/>
          <w:sz w:val="24"/>
          <w:szCs w:val="24"/>
          <w:highlight w:val="none"/>
        </w:rPr>
        <w:t>未实质性</w:t>
      </w:r>
      <w:r>
        <w:rPr>
          <w:rFonts w:ascii="宋体" w:hAnsi="宋体"/>
          <w:color w:val="auto"/>
          <w:sz w:val="24"/>
          <w:szCs w:val="24"/>
          <w:highlight w:val="none"/>
        </w:rPr>
        <w:t>响应招标文件要求或者投标文件有招标方不能接受的附加条</w:t>
      </w:r>
      <w:r>
        <w:rPr>
          <w:rFonts w:hint="eastAsia" w:ascii="宋体" w:hAnsi="宋体" w:eastAsia="宋体" w:cs="Times New Roman"/>
          <w:bCs/>
          <w:color w:val="auto"/>
          <w:sz w:val="24"/>
          <w:szCs w:val="24"/>
          <w:highlight w:val="none"/>
        </w:rPr>
        <w:t>件的；</w:t>
      </w:r>
    </w:p>
    <w:p w14:paraId="0C67153A">
      <w:pPr>
        <w:snapToGrid w:val="0"/>
        <w:spacing w:line="360" w:lineRule="auto"/>
        <w:ind w:firstLine="480" w:firstLineChars="20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w:t>
      </w:r>
      <w:r>
        <w:rPr>
          <w:rFonts w:hint="eastAsia" w:ascii="宋体" w:hAnsi="宋体" w:eastAsia="宋体" w:cs="Times New Roman"/>
          <w:bCs/>
          <w:color w:val="auto"/>
          <w:sz w:val="24"/>
          <w:szCs w:val="24"/>
          <w:highlight w:val="none"/>
          <w:lang w:val="en-US" w:eastAsia="zh-CN"/>
        </w:rPr>
        <w:t>9</w:t>
      </w:r>
      <w:r>
        <w:rPr>
          <w:rFonts w:hint="eastAsia" w:ascii="宋体" w:hAnsi="宋体" w:eastAsia="宋体" w:cs="Times New Roman"/>
          <w:bCs/>
          <w:color w:val="auto"/>
          <w:sz w:val="24"/>
          <w:szCs w:val="24"/>
          <w:highlight w:val="none"/>
        </w:rPr>
        <w:t>）两家或两家以上投标单位上传投标文件的ip地址（或工程清单锁地址）相同，视为串标行为，取消评标资格。</w:t>
      </w:r>
    </w:p>
    <w:p w14:paraId="5554867C">
      <w:pPr>
        <w:snapToGrid w:val="0"/>
        <w:spacing w:line="360" w:lineRule="auto"/>
        <w:ind w:firstLine="480" w:firstLineChars="20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val="en-US" w:eastAsia="zh-CN"/>
        </w:rPr>
        <w:t>（10）</w:t>
      </w:r>
      <w:r>
        <w:rPr>
          <w:rFonts w:hint="eastAsia" w:ascii="宋体" w:hAnsi="宋体" w:eastAsia="宋体" w:cs="Times New Roman"/>
          <w:bCs/>
          <w:color w:val="auto"/>
          <w:sz w:val="24"/>
          <w:szCs w:val="24"/>
          <w:highlight w:val="none"/>
        </w:rPr>
        <w:t>法律法规或规章规定属无效标情形的。</w:t>
      </w:r>
    </w:p>
    <w:p w14:paraId="5816CF98">
      <w:pPr>
        <w:snapToGrid w:val="0"/>
        <w:spacing w:line="360" w:lineRule="auto"/>
        <w:ind w:firstLine="482" w:firstLineChars="200"/>
        <w:rPr>
          <w:rFonts w:hint="eastAsia" w:ascii="宋体" w:hAnsi="宋体" w:eastAsia="宋体" w:cs="Times New Roman"/>
          <w:b/>
          <w:bCs w:val="0"/>
          <w:color w:val="auto"/>
          <w:sz w:val="24"/>
          <w:szCs w:val="24"/>
          <w:highlight w:val="none"/>
        </w:rPr>
      </w:pPr>
      <w:r>
        <w:rPr>
          <w:rFonts w:hint="eastAsia" w:ascii="宋体" w:hAnsi="宋体" w:eastAsia="宋体" w:cs="Times New Roman"/>
          <w:b/>
          <w:bCs w:val="0"/>
          <w:color w:val="auto"/>
          <w:sz w:val="24"/>
          <w:szCs w:val="24"/>
          <w:highlight w:val="none"/>
          <w:lang w:val="en-US" w:eastAsia="zh-CN"/>
        </w:rPr>
        <w:t>2</w:t>
      </w:r>
      <w:r>
        <w:rPr>
          <w:rFonts w:hint="eastAsia" w:ascii="宋体" w:hAnsi="宋体" w:eastAsia="宋体" w:cs="Times New Roman"/>
          <w:b/>
          <w:bCs w:val="0"/>
          <w:color w:val="auto"/>
          <w:sz w:val="24"/>
          <w:szCs w:val="24"/>
          <w:highlight w:val="none"/>
        </w:rPr>
        <w:t>.在</w:t>
      </w:r>
      <w:r>
        <w:rPr>
          <w:rFonts w:hint="eastAsia" w:ascii="宋体" w:hAnsi="宋体" w:eastAsia="宋体" w:cs="Times New Roman"/>
          <w:b/>
          <w:bCs w:val="0"/>
          <w:color w:val="auto"/>
          <w:sz w:val="24"/>
          <w:szCs w:val="24"/>
          <w:highlight w:val="none"/>
          <w:lang w:val="en-US" w:eastAsia="zh-CN"/>
        </w:rPr>
        <w:t>商务标</w:t>
      </w:r>
      <w:r>
        <w:rPr>
          <w:rFonts w:hint="eastAsia" w:ascii="宋体" w:hAnsi="宋体" w:eastAsia="宋体" w:cs="Times New Roman"/>
          <w:b/>
          <w:bCs w:val="0"/>
          <w:color w:val="auto"/>
          <w:sz w:val="24"/>
          <w:szCs w:val="24"/>
          <w:highlight w:val="none"/>
        </w:rPr>
        <w:t>评审时，如发现下列情形之一的，投标文件将被视为无效：</w:t>
      </w:r>
    </w:p>
    <w:p w14:paraId="18DDE13D">
      <w:pPr>
        <w:snapToGrid w:val="0"/>
        <w:spacing w:line="360" w:lineRule="auto"/>
        <w:ind w:firstLine="480" w:firstLineChars="20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（1）未采用人民币报价或者未按照招标文件标明的币种报价的；</w:t>
      </w:r>
    </w:p>
    <w:p w14:paraId="566D313B">
      <w:pPr>
        <w:snapToGrid w:val="0"/>
        <w:spacing w:line="360" w:lineRule="auto"/>
        <w:ind w:firstLine="480" w:firstLineChars="20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（2）投标报价具有选择性，或者开标价格与投标文件承诺的优惠（折扣）价格不一致的；</w:t>
      </w:r>
    </w:p>
    <w:p w14:paraId="0F234CBE">
      <w:pPr>
        <w:snapToGrid w:val="0"/>
        <w:spacing w:line="360" w:lineRule="auto"/>
        <w:ind w:firstLine="480" w:firstLineChars="20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（3）投标报价不得超过单价最高限价或总价最高限价，超过单价最高限价或总价最高限价的报价为无效标。</w:t>
      </w:r>
    </w:p>
    <w:p w14:paraId="492A4492">
      <w:pPr>
        <w:snapToGrid w:val="0"/>
        <w:spacing w:line="360" w:lineRule="auto"/>
        <w:ind w:firstLine="480" w:firstLineChars="200"/>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rPr>
        <w:t>（4）</w:t>
      </w:r>
      <w:r>
        <w:rPr>
          <w:rFonts w:hint="eastAsia" w:ascii="宋体" w:hAnsi="宋体" w:eastAsia="宋体" w:cs="Times New Roman"/>
          <w:bCs/>
          <w:color w:val="auto"/>
          <w:sz w:val="24"/>
          <w:szCs w:val="24"/>
          <w:highlight w:val="none"/>
          <w:lang w:val="en-US" w:eastAsia="zh-CN"/>
        </w:rPr>
        <w:t>首席保险人份额低于40%；</w:t>
      </w:r>
    </w:p>
    <w:p w14:paraId="18B112C8">
      <w:pPr>
        <w:snapToGrid w:val="0"/>
        <w:spacing w:line="360" w:lineRule="auto"/>
        <w:ind w:firstLine="480" w:firstLineChars="20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lang w:val="en-US" w:eastAsia="zh-CN"/>
        </w:rPr>
        <w:t>5）</w:t>
      </w:r>
      <w:r>
        <w:rPr>
          <w:rFonts w:hint="eastAsia" w:ascii="宋体" w:hAnsi="宋体" w:eastAsia="宋体" w:cs="Times New Roman"/>
          <w:bCs/>
          <w:color w:val="auto"/>
          <w:sz w:val="24"/>
          <w:szCs w:val="24"/>
          <w:highlight w:val="none"/>
        </w:rPr>
        <w:t>评标委员会认为投标人的报价明显低于其他通过符合性审查投标人的报价，有可能影响</w:t>
      </w:r>
      <w:r>
        <w:rPr>
          <w:rFonts w:hint="eastAsia" w:ascii="宋体" w:hAnsi="宋体" w:eastAsia="宋体" w:cs="Times New Roman"/>
          <w:bCs/>
          <w:color w:val="auto"/>
          <w:sz w:val="24"/>
          <w:szCs w:val="24"/>
          <w:highlight w:val="none"/>
          <w:lang w:val="en-US" w:eastAsia="zh-CN"/>
        </w:rPr>
        <w:t>服务</w:t>
      </w:r>
      <w:r>
        <w:rPr>
          <w:rFonts w:hint="eastAsia" w:ascii="宋体" w:hAnsi="宋体" w:eastAsia="宋体" w:cs="Times New Roman"/>
          <w:bCs/>
          <w:color w:val="auto"/>
          <w:sz w:val="24"/>
          <w:szCs w:val="24"/>
          <w:highlight w:val="none"/>
        </w:rPr>
        <w:t>质量或者不能诚信履约的，应当要求其在评标程序中给予的合理时间内提供书面说明，必要时提交相关证明材料;投标人不能证明其报价合理性的，评标委员会应当将其作为无效投标处理。</w:t>
      </w:r>
    </w:p>
    <w:p w14:paraId="0AE52AED">
      <w:pPr>
        <w:pStyle w:val="16"/>
        <w:snapToGrid w:val="0"/>
        <w:spacing w:beforeLines="0" w:afterLines="0" w:line="360" w:lineRule="auto"/>
        <w:rPr>
          <w:rFonts w:hAnsi="宋体"/>
          <w:b/>
          <w:color w:val="auto"/>
          <w:sz w:val="30"/>
          <w:szCs w:val="30"/>
          <w:highlight w:val="none"/>
        </w:rPr>
      </w:pPr>
    </w:p>
    <w:p w14:paraId="7EAD3AAC">
      <w:pPr>
        <w:pStyle w:val="16"/>
        <w:snapToGrid w:val="0"/>
        <w:spacing w:beforeLines="0" w:afterLines="0" w:line="360" w:lineRule="auto"/>
        <w:rPr>
          <w:rFonts w:hAnsi="宋体"/>
          <w:b/>
          <w:color w:val="auto"/>
          <w:sz w:val="30"/>
          <w:szCs w:val="30"/>
          <w:highlight w:val="none"/>
        </w:rPr>
      </w:pPr>
      <w:r>
        <w:rPr>
          <w:rFonts w:hAnsi="宋体"/>
          <w:b/>
          <w:color w:val="auto"/>
          <w:sz w:val="30"/>
          <w:szCs w:val="30"/>
          <w:highlight w:val="none"/>
        </w:rPr>
        <w:t>四、开标</w:t>
      </w:r>
    </w:p>
    <w:p w14:paraId="2E71EE1F">
      <w:pPr>
        <w:pStyle w:val="16"/>
        <w:snapToGrid w:val="0"/>
        <w:spacing w:before="0" w:beforeLines="0" w:after="0" w:afterLines="0" w:line="360" w:lineRule="auto"/>
        <w:ind w:firstLine="470" w:firstLineChars="196"/>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（一）开标</w:t>
      </w:r>
    </w:p>
    <w:p w14:paraId="4321F4C7">
      <w:pPr>
        <w:pStyle w:val="27"/>
        <w:widowControl w:val="0"/>
        <w:snapToGrid w:val="0"/>
        <w:spacing w:before="120" w:beforeLines="50" w:beforeAutospacing="0" w:after="0" w:afterAutospacing="0" w:line="360" w:lineRule="auto"/>
        <w:ind w:firstLine="480" w:firstLineChars="200"/>
        <w:jc w:val="both"/>
        <w:rPr>
          <w:bCs/>
          <w:color w:val="auto"/>
          <w:highlight w:val="none"/>
        </w:rPr>
      </w:pPr>
      <w:r>
        <w:rPr>
          <w:color w:val="auto"/>
          <w:szCs w:val="21"/>
          <w:highlight w:val="none"/>
        </w:rPr>
        <w:t>投标人代表一律不参加现场开标，通过在线直播参与监督开标过程。直播网络地址：</w:t>
      </w:r>
      <w:r>
        <w:rPr>
          <w:color w:val="auto"/>
          <w:highlight w:val="none"/>
          <w:u w:val="single"/>
        </w:rPr>
        <w:t>http://www.tzwztb.com/live/</w:t>
      </w:r>
      <w:r>
        <w:rPr>
          <w:rFonts w:hint="default"/>
          <w:color w:val="auto"/>
          <w:highlight w:val="none"/>
          <w:u w:val="single"/>
        </w:rPr>
        <w:t xml:space="preserve"> </w:t>
      </w:r>
      <w:r>
        <w:rPr>
          <w:color w:val="auto"/>
          <w:highlight w:val="none"/>
        </w:rPr>
        <w:t>。</w:t>
      </w:r>
    </w:p>
    <w:p w14:paraId="6E2F4B95">
      <w:pPr>
        <w:pStyle w:val="16"/>
        <w:snapToGrid w:val="0"/>
        <w:spacing w:before="120" w:after="120"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（二）开标程序：</w:t>
      </w:r>
    </w:p>
    <w:p w14:paraId="78F3BC1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1、开标由招标代理机构工作人员主持。</w:t>
      </w:r>
    </w:p>
    <w:p w14:paraId="6655BFA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2、投标人可进行在线沟通。</w:t>
      </w:r>
    </w:p>
    <w:p w14:paraId="722A22D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3、评标委员会依法对资格进行审查。</w:t>
      </w:r>
    </w:p>
    <w:p w14:paraId="1180FDA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4、资格审查完成后，评标委员会对</w:t>
      </w:r>
      <w:r>
        <w:rPr>
          <w:rFonts w:hint="eastAsia" w:ascii="宋体" w:hAnsi="宋体" w:cs="宋体"/>
          <w:color w:val="auto"/>
          <w:sz w:val="24"/>
          <w:highlight w:val="none"/>
          <w:lang w:val="en-US" w:eastAsia="zh-CN"/>
        </w:rPr>
        <w:t>资信</w:t>
      </w:r>
      <w:r>
        <w:rPr>
          <w:rFonts w:hint="eastAsia" w:ascii="宋体" w:hAnsi="宋体" w:cs="宋体"/>
          <w:color w:val="auto"/>
          <w:sz w:val="24"/>
          <w:highlight w:val="none"/>
        </w:rPr>
        <w:t>技术标进行评审，主持人宣告技术标评审无效投标人名称及理由，公布经</w:t>
      </w:r>
      <w:r>
        <w:rPr>
          <w:rFonts w:hint="eastAsia" w:ascii="宋体" w:hAnsi="宋体" w:cs="宋体"/>
          <w:color w:val="auto"/>
          <w:sz w:val="24"/>
          <w:highlight w:val="none"/>
          <w:lang w:val="en-US" w:eastAsia="zh-CN"/>
        </w:rPr>
        <w:t>资信</w:t>
      </w:r>
      <w:r>
        <w:rPr>
          <w:rFonts w:hint="eastAsia" w:ascii="宋体" w:hAnsi="宋体" w:cs="宋体"/>
          <w:color w:val="auto"/>
          <w:sz w:val="24"/>
          <w:highlight w:val="none"/>
        </w:rPr>
        <w:t>技术标评审符合招标需求的投标人名单以及</w:t>
      </w:r>
      <w:r>
        <w:rPr>
          <w:rFonts w:hint="eastAsia" w:ascii="宋体" w:hAnsi="宋体" w:cs="宋体"/>
          <w:color w:val="auto"/>
          <w:sz w:val="24"/>
          <w:highlight w:val="none"/>
          <w:lang w:val="en-US" w:eastAsia="zh-CN"/>
        </w:rPr>
        <w:t>资信</w:t>
      </w:r>
      <w:r>
        <w:rPr>
          <w:rFonts w:hint="eastAsia" w:ascii="宋体" w:hAnsi="宋体" w:cs="宋体"/>
          <w:color w:val="auto"/>
          <w:sz w:val="24"/>
          <w:highlight w:val="none"/>
        </w:rPr>
        <w:t>技术标得分情况。</w:t>
      </w:r>
    </w:p>
    <w:p w14:paraId="07C6C76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5、开启各投标人商务标报价。</w:t>
      </w:r>
    </w:p>
    <w:p w14:paraId="0EF09BB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6、由评标委员会对投标人商务标报价的合理性、准确性等进行审查核实。</w:t>
      </w:r>
    </w:p>
    <w:p w14:paraId="2CA6E7D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7、评标结束后，主持人公布商务标得分、综合得分以及推荐中标候选人排序名单。</w:t>
      </w:r>
    </w:p>
    <w:p w14:paraId="705B1CA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8、开标会议结束。</w:t>
      </w:r>
    </w:p>
    <w:p w14:paraId="20FE29F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9、其他注意事项：</w:t>
      </w:r>
    </w:p>
    <w:p w14:paraId="5ECF4CBC">
      <w:pPr>
        <w:pStyle w:val="16"/>
        <w:spacing w:before="120" w:after="120" w:line="360" w:lineRule="auto"/>
        <w:ind w:firstLine="540" w:firstLineChars="225"/>
        <w:rPr>
          <w:rFonts w:hAnsi="宋体"/>
          <w:b w:val="0"/>
          <w:bCs/>
          <w:color w:val="auto"/>
          <w:sz w:val="24"/>
          <w:szCs w:val="24"/>
          <w:highlight w:val="none"/>
        </w:rPr>
      </w:pPr>
      <w:r>
        <w:rPr>
          <w:rFonts w:hAnsi="宋体"/>
          <w:b w:val="0"/>
          <w:bCs/>
          <w:color w:val="auto"/>
          <w:sz w:val="24"/>
          <w:szCs w:val="24"/>
          <w:highlight w:val="none"/>
        </w:rPr>
        <w:t xml:space="preserve">1）、投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 </w:t>
      </w:r>
    </w:p>
    <w:p w14:paraId="4F41237F">
      <w:pPr>
        <w:pStyle w:val="16"/>
        <w:spacing w:before="120" w:after="120" w:line="360" w:lineRule="auto"/>
        <w:ind w:firstLine="540" w:firstLineChars="225"/>
        <w:rPr>
          <w:rFonts w:hAnsi="宋体"/>
          <w:b w:val="0"/>
          <w:bCs/>
          <w:color w:val="auto"/>
          <w:sz w:val="24"/>
          <w:szCs w:val="24"/>
          <w:highlight w:val="none"/>
        </w:rPr>
      </w:pPr>
      <w:r>
        <w:rPr>
          <w:rFonts w:hAnsi="宋体"/>
          <w:b w:val="0"/>
          <w:bCs/>
          <w:color w:val="auto"/>
          <w:sz w:val="24"/>
          <w:szCs w:val="24"/>
          <w:highlight w:val="none"/>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14:paraId="1AB39420">
      <w:pPr>
        <w:autoSpaceDE w:val="0"/>
        <w:autoSpaceDN w:val="0"/>
        <w:adjustRightInd w:val="0"/>
        <w:spacing w:line="360" w:lineRule="auto"/>
        <w:ind w:right="-14" w:firstLine="480" w:firstLineChars="200"/>
        <w:jc w:val="left"/>
        <w:rPr>
          <w:rFonts w:hint="eastAsia" w:ascii="宋体" w:hAnsi="宋体"/>
          <w:bCs/>
          <w:color w:val="auto"/>
          <w:sz w:val="24"/>
          <w:szCs w:val="24"/>
          <w:highlight w:val="none"/>
        </w:rPr>
      </w:pPr>
      <w:r>
        <w:rPr>
          <w:rFonts w:ascii="宋体" w:hAnsi="宋体"/>
          <w:bCs/>
          <w:color w:val="auto"/>
          <w:sz w:val="24"/>
          <w:szCs w:val="24"/>
          <w:highlight w:val="none"/>
        </w:rPr>
        <w:t>3</w:t>
      </w:r>
      <w:r>
        <w:rPr>
          <w:rFonts w:hint="eastAsia" w:ascii="宋体" w:hAnsi="宋体"/>
          <w:bCs/>
          <w:color w:val="auto"/>
          <w:sz w:val="24"/>
          <w:szCs w:val="24"/>
          <w:highlight w:val="none"/>
        </w:rPr>
        <w:t>)、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1505FBAC">
      <w:pPr>
        <w:autoSpaceDE w:val="0"/>
        <w:autoSpaceDN w:val="0"/>
        <w:adjustRightInd w:val="0"/>
        <w:spacing w:line="360" w:lineRule="auto"/>
        <w:ind w:right="-14"/>
        <w:jc w:val="left"/>
        <w:rPr>
          <w:rFonts w:ascii="宋体" w:hAnsi="宋体"/>
          <w:b/>
          <w:color w:val="auto"/>
          <w:sz w:val="24"/>
          <w:highlight w:val="none"/>
        </w:rPr>
      </w:pPr>
    </w:p>
    <w:p w14:paraId="491AA8CA">
      <w:pPr>
        <w:autoSpaceDE w:val="0"/>
        <w:autoSpaceDN w:val="0"/>
        <w:adjustRightInd w:val="0"/>
        <w:spacing w:line="360" w:lineRule="auto"/>
        <w:ind w:right="-14"/>
        <w:jc w:val="left"/>
        <w:rPr>
          <w:rFonts w:hint="eastAsia" w:ascii="宋体" w:hAnsi="宋体"/>
          <w:b/>
          <w:color w:val="auto"/>
          <w:sz w:val="24"/>
          <w:highlight w:val="none"/>
        </w:rPr>
      </w:pPr>
      <w:r>
        <w:rPr>
          <w:rFonts w:hint="eastAsia" w:ascii="宋体" w:hAnsi="宋体"/>
          <w:b/>
          <w:color w:val="auto"/>
          <w:sz w:val="24"/>
          <w:highlight w:val="none"/>
        </w:rPr>
        <w:t>重要事项说明：</w:t>
      </w:r>
    </w:p>
    <w:p w14:paraId="415DB6A7">
      <w:pPr>
        <w:autoSpaceDE w:val="0"/>
        <w:autoSpaceDN w:val="0"/>
        <w:adjustRightInd w:val="0"/>
        <w:spacing w:line="360" w:lineRule="auto"/>
        <w:ind w:right="-14" w:firstLine="480" w:firstLineChars="200"/>
        <w:jc w:val="left"/>
        <w:rPr>
          <w:rFonts w:hint="eastAsia" w:ascii="宋体" w:hAnsi="宋体"/>
          <w:bCs/>
          <w:color w:val="auto"/>
          <w:sz w:val="24"/>
          <w:highlight w:val="none"/>
        </w:rPr>
      </w:pPr>
      <w:r>
        <w:rPr>
          <w:rFonts w:hint="eastAsia" w:ascii="宋体" w:hAnsi="宋体"/>
          <w:bCs/>
          <w:color w:val="auto"/>
          <w:sz w:val="24"/>
          <w:highlight w:val="none"/>
        </w:rPr>
        <w:t>（1）开标项目的时间均以国家授时中心发布的时间为准。</w:t>
      </w:r>
    </w:p>
    <w:p w14:paraId="67173620">
      <w:pPr>
        <w:autoSpaceDE w:val="0"/>
        <w:autoSpaceDN w:val="0"/>
        <w:adjustRightInd w:val="0"/>
        <w:spacing w:line="360" w:lineRule="auto"/>
        <w:ind w:right="-14" w:firstLine="480" w:firstLineChars="200"/>
        <w:jc w:val="left"/>
        <w:rPr>
          <w:rFonts w:hint="eastAsia" w:ascii="宋体" w:hAnsi="宋体"/>
          <w:bCs/>
          <w:color w:val="auto"/>
          <w:sz w:val="24"/>
          <w:highlight w:val="none"/>
        </w:rPr>
      </w:pPr>
      <w:r>
        <w:rPr>
          <w:rFonts w:hint="eastAsia" w:ascii="宋体" w:hAnsi="宋体"/>
          <w:bCs/>
          <w:color w:val="auto"/>
          <w:sz w:val="24"/>
          <w:highlight w:val="none"/>
        </w:rPr>
        <w:t>（2）若投标人已申请多把CA锁，请注意使用差别。因ca锁使用错误引发的问题，由投标人自己负责。</w:t>
      </w:r>
    </w:p>
    <w:p w14:paraId="76322BDF">
      <w:pPr>
        <w:pStyle w:val="16"/>
        <w:spacing w:before="120" w:after="120" w:line="360" w:lineRule="auto"/>
        <w:ind w:firstLine="480" w:firstLineChars="200"/>
        <w:rPr>
          <w:rFonts w:hAnsi="宋体"/>
          <w:b w:val="0"/>
          <w:bCs/>
          <w:color w:val="auto"/>
          <w:highlight w:val="none"/>
        </w:rPr>
      </w:pPr>
      <w:r>
        <w:rPr>
          <w:rFonts w:hAnsi="宋体"/>
          <w:b w:val="0"/>
          <w:bCs/>
          <w:color w:val="auto"/>
          <w:sz w:val="24"/>
          <w:szCs w:val="24"/>
          <w:highlight w:val="none"/>
        </w:rPr>
        <w:t>（3）如有疑问，请咨询平台技术服务电话：</w:t>
      </w:r>
      <w:r>
        <w:rPr>
          <w:rFonts w:hAnsi="宋体"/>
          <w:b w:val="0"/>
          <w:color w:val="auto"/>
          <w:sz w:val="24"/>
          <w:szCs w:val="24"/>
          <w:highlight w:val="none"/>
        </w:rPr>
        <w:t>蔡先生</w:t>
      </w:r>
      <w:r>
        <w:rPr>
          <w:rFonts w:hint="eastAsia" w:hAnsi="宋体"/>
          <w:b w:val="0"/>
          <w:color w:val="auto"/>
          <w:sz w:val="24"/>
          <w:szCs w:val="24"/>
          <w:highlight w:val="none"/>
          <w:lang w:eastAsia="zh-CN"/>
        </w:rPr>
        <w:t>、</w:t>
      </w:r>
      <w:r>
        <w:rPr>
          <w:rFonts w:hAnsi="宋体"/>
          <w:b w:val="0"/>
          <w:color w:val="auto"/>
          <w:sz w:val="24"/>
          <w:szCs w:val="24"/>
          <w:highlight w:val="none"/>
        </w:rPr>
        <w:t>王女士</w:t>
      </w:r>
      <w:r>
        <w:rPr>
          <w:rFonts w:hint="eastAsia" w:hAnsi="宋体"/>
          <w:b w:val="0"/>
          <w:color w:val="auto"/>
          <w:sz w:val="24"/>
          <w:szCs w:val="24"/>
          <w:highlight w:val="none"/>
          <w:lang w:eastAsia="zh-CN"/>
        </w:rPr>
        <w:t>，</w:t>
      </w:r>
      <w:r>
        <w:rPr>
          <w:rFonts w:hint="eastAsia" w:hAnsi="宋体"/>
          <w:b w:val="0"/>
          <w:color w:val="auto"/>
          <w:sz w:val="24"/>
          <w:szCs w:val="24"/>
          <w:highlight w:val="none"/>
        </w:rPr>
        <w:t>0576-88865509</w:t>
      </w:r>
      <w:r>
        <w:rPr>
          <w:rFonts w:hAnsi="宋体"/>
          <w:b w:val="0"/>
          <w:bCs/>
          <w:color w:val="auto"/>
          <w:sz w:val="24"/>
          <w:szCs w:val="24"/>
          <w:highlight w:val="none"/>
        </w:rPr>
        <w:t>。QQ “台州湾新区小额工程交易平台交流”（群号：435057190），进行业务咨询。此群也作为不见面开标的备用远程交互群</w:t>
      </w:r>
      <w:r>
        <w:rPr>
          <w:rFonts w:hAnsi="宋体"/>
          <w:b w:val="0"/>
          <w:bCs/>
          <w:color w:val="auto"/>
          <w:highlight w:val="none"/>
        </w:rPr>
        <w:t>。</w:t>
      </w:r>
    </w:p>
    <w:p w14:paraId="2C940A21">
      <w:pPr>
        <w:snapToGrid w:val="0"/>
        <w:spacing w:line="360" w:lineRule="auto"/>
        <w:ind w:firstLine="720" w:firstLineChars="300"/>
        <w:jc w:val="left"/>
        <w:rPr>
          <w:rFonts w:hint="eastAsia" w:ascii="宋体" w:hAnsi="宋体"/>
          <w:b/>
          <w:color w:val="auto"/>
          <w:kern w:val="0"/>
          <w:sz w:val="24"/>
          <w:highlight w:val="none"/>
        </w:rPr>
      </w:pPr>
      <w:r>
        <w:rPr>
          <w:rFonts w:hint="eastAsia" w:ascii="宋体" w:hAnsi="宋体"/>
          <w:b/>
          <w:color w:val="auto"/>
          <w:kern w:val="0"/>
          <w:sz w:val="24"/>
          <w:highlight w:val="none"/>
        </w:rPr>
        <w:t>（三）异常情况处理：</w:t>
      </w:r>
    </w:p>
    <w:p w14:paraId="226760CB">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开评标</w:t>
      </w:r>
      <w:r>
        <w:rPr>
          <w:rFonts w:hint="eastAsia" w:ascii="宋体" w:hAnsi="宋体"/>
          <w:color w:val="auto"/>
          <w:sz w:val="24"/>
          <w:highlight w:val="none"/>
        </w:rPr>
        <w:t>过程中出现以下情形，导致电子交易平台无法正常运行，或者无法保证电子交易的公平、公正和安全时，</w:t>
      </w:r>
      <w:r>
        <w:rPr>
          <w:rFonts w:hint="eastAsia" w:ascii="宋体" w:hAnsi="宋体"/>
          <w:color w:val="auto"/>
          <w:sz w:val="24"/>
          <w:highlight w:val="none"/>
          <w:lang w:val="en-US" w:eastAsia="zh-CN"/>
        </w:rPr>
        <w:t>招标代理</w:t>
      </w:r>
      <w:r>
        <w:rPr>
          <w:rFonts w:hint="eastAsia" w:ascii="宋体" w:hAnsi="宋体"/>
          <w:color w:val="auto"/>
          <w:sz w:val="24"/>
          <w:highlight w:val="none"/>
        </w:rPr>
        <w:t>机构可中止电子交易活动：</w:t>
      </w:r>
    </w:p>
    <w:p w14:paraId="00896F47">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1、电子交易平台发生故障而无法登录访问的；</w:t>
      </w:r>
    </w:p>
    <w:p w14:paraId="7479CF9E">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2、电子交易平台应用或数据库出现错误，不能进行正常操作的；</w:t>
      </w:r>
    </w:p>
    <w:p w14:paraId="61E7BE2C">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3、电子交易平台发现严重安全漏洞，有潜在泄密危险的；</w:t>
      </w:r>
    </w:p>
    <w:p w14:paraId="05D3093A">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4、病毒发作导致不能进行正常操作的；</w:t>
      </w:r>
    </w:p>
    <w:p w14:paraId="674097D6">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5、其他无法保证电子交易的公平、公正和安全的情况。</w:t>
      </w:r>
    </w:p>
    <w:p w14:paraId="04E36E4D">
      <w:pPr>
        <w:snapToGrid w:val="0"/>
        <w:spacing w:line="360" w:lineRule="auto"/>
        <w:ind w:firstLine="480" w:firstLineChars="200"/>
        <w:rPr>
          <w:color w:val="auto"/>
          <w:highlight w:val="none"/>
        </w:rPr>
      </w:pPr>
      <w:r>
        <w:rPr>
          <w:rFonts w:hint="eastAsia" w:ascii="宋体" w:hAnsi="宋体"/>
          <w:color w:val="auto"/>
          <w:sz w:val="24"/>
          <w:highlight w:val="none"/>
        </w:rPr>
        <w:t>出现前款规定情形，不影响</w:t>
      </w:r>
      <w:r>
        <w:rPr>
          <w:rFonts w:hint="eastAsia" w:ascii="宋体" w:hAnsi="宋体"/>
          <w:color w:val="auto"/>
          <w:sz w:val="24"/>
          <w:highlight w:val="none"/>
          <w:lang w:val="en-US" w:eastAsia="zh-CN"/>
        </w:rPr>
        <w:t>招标</w:t>
      </w:r>
      <w:r>
        <w:rPr>
          <w:rFonts w:hint="eastAsia" w:ascii="宋体" w:hAnsi="宋体"/>
          <w:color w:val="auto"/>
          <w:sz w:val="24"/>
          <w:highlight w:val="none"/>
        </w:rPr>
        <w:t>公平、公正性的，</w:t>
      </w:r>
      <w:r>
        <w:rPr>
          <w:rFonts w:hint="eastAsia" w:ascii="宋体" w:hAnsi="宋体"/>
          <w:color w:val="auto"/>
          <w:sz w:val="24"/>
          <w:highlight w:val="none"/>
          <w:lang w:val="en-US" w:eastAsia="zh-CN"/>
        </w:rPr>
        <w:t>招标代理</w:t>
      </w:r>
      <w:r>
        <w:rPr>
          <w:rFonts w:hint="eastAsia" w:ascii="宋体" w:hAnsi="宋体"/>
          <w:color w:val="auto"/>
          <w:sz w:val="24"/>
          <w:highlight w:val="none"/>
        </w:rPr>
        <w:t>机构可以待上述情形消除后继续组织电子交易活动。</w:t>
      </w:r>
    </w:p>
    <w:p w14:paraId="36110E89">
      <w:pPr>
        <w:pStyle w:val="16"/>
        <w:snapToGrid w:val="0"/>
        <w:spacing w:before="120" w:beforeLines="0" w:after="120" w:afterLines="0" w:line="240" w:lineRule="auto"/>
        <w:rPr>
          <w:rFonts w:ascii="宋体" w:hAnsi="宋体" w:eastAsia="宋体" w:cs="Times New Roman"/>
          <w:b/>
          <w:bCs/>
          <w:color w:val="auto"/>
          <w:sz w:val="30"/>
          <w:szCs w:val="30"/>
          <w:highlight w:val="none"/>
        </w:rPr>
      </w:pPr>
      <w:r>
        <w:rPr>
          <w:rFonts w:ascii="宋体" w:hAnsi="宋体" w:eastAsia="宋体" w:cs="Times New Roman"/>
          <w:b/>
          <w:bCs/>
          <w:color w:val="auto"/>
          <w:sz w:val="30"/>
          <w:szCs w:val="30"/>
          <w:highlight w:val="none"/>
        </w:rPr>
        <w:t>五、评标</w:t>
      </w:r>
    </w:p>
    <w:p w14:paraId="5D1A6899">
      <w:pPr>
        <w:pStyle w:val="16"/>
        <w:snapToGrid w:val="0"/>
        <w:spacing w:before="120" w:after="120" w:line="360" w:lineRule="auto"/>
        <w:ind w:left="785" w:leftChars="128" w:hanging="516" w:hangingChars="215"/>
        <w:rPr>
          <w:rFonts w:hAnsi="宋体"/>
          <w:b w:val="0"/>
          <w:color w:val="auto"/>
          <w:sz w:val="24"/>
          <w:szCs w:val="24"/>
          <w:highlight w:val="none"/>
        </w:rPr>
      </w:pPr>
      <w:r>
        <w:rPr>
          <w:rFonts w:hAnsi="宋体"/>
          <w:b w:val="0"/>
          <w:color w:val="auto"/>
          <w:sz w:val="24"/>
          <w:szCs w:val="24"/>
          <w:highlight w:val="none"/>
        </w:rPr>
        <w:t>（一）组建评标委员会</w:t>
      </w:r>
    </w:p>
    <w:p w14:paraId="2B2428F5">
      <w:pPr>
        <w:pStyle w:val="27"/>
        <w:widowControl w:val="0"/>
        <w:snapToGrid w:val="0"/>
        <w:spacing w:before="120" w:beforeLines="50" w:beforeAutospacing="0" w:after="0" w:afterAutospacing="0" w:line="360" w:lineRule="auto"/>
        <w:ind w:firstLine="480" w:firstLineChars="200"/>
        <w:jc w:val="both"/>
        <w:rPr>
          <w:color w:val="auto"/>
          <w:sz w:val="24"/>
          <w:szCs w:val="24"/>
          <w:highlight w:val="none"/>
        </w:rPr>
      </w:pPr>
      <w:r>
        <w:rPr>
          <w:color w:val="auto"/>
          <w:sz w:val="24"/>
          <w:szCs w:val="24"/>
          <w:highlight w:val="none"/>
        </w:rPr>
        <w:t>评标由招标人依法组建的评标委员会负责。</w:t>
      </w:r>
    </w:p>
    <w:p w14:paraId="2CBD2FA8">
      <w:pPr>
        <w:pStyle w:val="16"/>
        <w:snapToGrid w:val="0"/>
        <w:spacing w:before="120" w:after="120" w:line="360" w:lineRule="auto"/>
        <w:ind w:left="787" w:leftChars="129" w:hanging="516" w:hangingChars="215"/>
        <w:rPr>
          <w:rFonts w:hAnsi="宋体"/>
          <w:b w:val="0"/>
          <w:color w:val="auto"/>
          <w:sz w:val="24"/>
          <w:szCs w:val="24"/>
          <w:highlight w:val="none"/>
        </w:rPr>
      </w:pPr>
      <w:r>
        <w:rPr>
          <w:rFonts w:hAnsi="宋体"/>
          <w:b w:val="0"/>
          <w:color w:val="auto"/>
          <w:sz w:val="24"/>
          <w:szCs w:val="24"/>
          <w:highlight w:val="none"/>
        </w:rPr>
        <w:t>（二）评标的方式</w:t>
      </w:r>
    </w:p>
    <w:p w14:paraId="692B8704">
      <w:pPr>
        <w:pStyle w:val="16"/>
        <w:snapToGrid w:val="0"/>
        <w:spacing w:before="120" w:after="120" w:line="360" w:lineRule="auto"/>
        <w:ind w:left="719" w:leftChars="228" w:hanging="240" w:hangingChars="100"/>
        <w:rPr>
          <w:rFonts w:hAnsi="宋体"/>
          <w:b w:val="0"/>
          <w:bCs/>
          <w:color w:val="auto"/>
          <w:sz w:val="24"/>
          <w:szCs w:val="24"/>
          <w:highlight w:val="none"/>
        </w:rPr>
      </w:pPr>
      <w:r>
        <w:rPr>
          <w:rFonts w:hAnsi="宋体"/>
          <w:b w:val="0"/>
          <w:bCs/>
          <w:color w:val="auto"/>
          <w:sz w:val="24"/>
          <w:szCs w:val="24"/>
          <w:highlight w:val="none"/>
        </w:rPr>
        <w:t>本项目采用不公开方式评标，评标的依据为招标文件和投标文件。</w:t>
      </w:r>
    </w:p>
    <w:p w14:paraId="29BA3A55">
      <w:pPr>
        <w:pStyle w:val="16"/>
        <w:snapToGrid w:val="0"/>
        <w:spacing w:before="120" w:after="120" w:line="360" w:lineRule="auto"/>
        <w:ind w:left="787" w:leftChars="129" w:hanging="516" w:hangingChars="215"/>
        <w:rPr>
          <w:rFonts w:hAnsi="宋体"/>
          <w:b w:val="0"/>
          <w:color w:val="auto"/>
          <w:sz w:val="24"/>
          <w:szCs w:val="24"/>
          <w:highlight w:val="none"/>
        </w:rPr>
      </w:pPr>
      <w:r>
        <w:rPr>
          <w:rFonts w:hAnsi="宋体"/>
          <w:b w:val="0"/>
          <w:color w:val="auto"/>
          <w:sz w:val="24"/>
          <w:szCs w:val="24"/>
          <w:highlight w:val="none"/>
        </w:rPr>
        <w:t>（三）</w:t>
      </w:r>
      <w:r>
        <w:rPr>
          <w:rFonts w:hAnsi="宋体"/>
          <w:b w:val="0"/>
          <w:bCs/>
          <w:color w:val="auto"/>
          <w:sz w:val="24"/>
          <w:szCs w:val="24"/>
          <w:highlight w:val="none"/>
        </w:rPr>
        <w:t>评标程序</w:t>
      </w:r>
    </w:p>
    <w:p w14:paraId="6FA59CAE">
      <w:pPr>
        <w:snapToGrid w:val="0"/>
        <w:spacing w:line="360" w:lineRule="auto"/>
        <w:ind w:firstLine="471" w:firstLineChars="196"/>
        <w:rPr>
          <w:rFonts w:ascii="宋体" w:hAnsi="宋体"/>
          <w:b/>
          <w:bCs/>
          <w:color w:val="auto"/>
          <w:sz w:val="24"/>
          <w:szCs w:val="24"/>
          <w:highlight w:val="none"/>
        </w:rPr>
      </w:pPr>
      <w:r>
        <w:rPr>
          <w:rFonts w:ascii="宋体" w:hAnsi="宋体"/>
          <w:b/>
          <w:bCs/>
          <w:color w:val="auto"/>
          <w:sz w:val="24"/>
          <w:szCs w:val="24"/>
          <w:highlight w:val="none"/>
        </w:rPr>
        <w:t>1</w:t>
      </w:r>
      <w:r>
        <w:rPr>
          <w:rFonts w:hint="eastAsia" w:ascii="宋体" w:hAnsi="宋体"/>
          <w:b/>
          <w:bCs/>
          <w:color w:val="auto"/>
          <w:sz w:val="24"/>
          <w:szCs w:val="24"/>
          <w:highlight w:val="none"/>
        </w:rPr>
        <w:t>.</w:t>
      </w:r>
      <w:r>
        <w:rPr>
          <w:rFonts w:ascii="宋体" w:hAnsi="宋体"/>
          <w:b/>
          <w:bCs/>
          <w:color w:val="auto"/>
          <w:sz w:val="24"/>
          <w:szCs w:val="24"/>
          <w:highlight w:val="none"/>
        </w:rPr>
        <w:t>形式审查</w:t>
      </w:r>
    </w:p>
    <w:p w14:paraId="6C0F5CEC">
      <w:pPr>
        <w:snapToGrid w:val="0"/>
        <w:spacing w:line="360" w:lineRule="auto"/>
        <w:ind w:firstLine="480" w:firstLineChars="200"/>
        <w:rPr>
          <w:rFonts w:hint="eastAsia" w:ascii="宋体" w:hAnsi="宋体"/>
          <w:b/>
          <w:color w:val="auto"/>
          <w:sz w:val="24"/>
          <w:szCs w:val="24"/>
          <w:highlight w:val="none"/>
        </w:rPr>
      </w:pPr>
      <w:r>
        <w:rPr>
          <w:rFonts w:hint="eastAsia" w:ascii="宋体" w:hAnsi="宋体"/>
          <w:color w:val="auto"/>
          <w:sz w:val="24"/>
          <w:szCs w:val="24"/>
          <w:highlight w:val="none"/>
          <w:lang w:val="en-US" w:eastAsia="zh-CN"/>
        </w:rPr>
        <w:t>招标</w:t>
      </w:r>
      <w:r>
        <w:rPr>
          <w:rFonts w:hint="eastAsia" w:ascii="宋体" w:hAnsi="宋体"/>
          <w:color w:val="auto"/>
          <w:sz w:val="24"/>
          <w:szCs w:val="24"/>
          <w:highlight w:val="none"/>
        </w:rPr>
        <w:t>人代表和代理机构工作人员协助评标委员会对投标人的资格</w:t>
      </w:r>
      <w:r>
        <w:rPr>
          <w:rFonts w:ascii="宋体" w:hAnsi="宋体"/>
          <w:color w:val="auto"/>
          <w:sz w:val="24"/>
          <w:szCs w:val="24"/>
          <w:highlight w:val="none"/>
        </w:rPr>
        <w:t>和投标文件的完整性、合法性等进行审查。</w:t>
      </w:r>
    </w:p>
    <w:p w14:paraId="0CC87814">
      <w:pPr>
        <w:snapToGrid w:val="0"/>
        <w:spacing w:line="360" w:lineRule="auto"/>
        <w:ind w:firstLine="471" w:firstLineChars="196"/>
        <w:rPr>
          <w:rFonts w:ascii="宋体" w:hAnsi="宋体"/>
          <w:b/>
          <w:bCs/>
          <w:color w:val="auto"/>
          <w:sz w:val="24"/>
          <w:szCs w:val="24"/>
          <w:highlight w:val="none"/>
        </w:rPr>
      </w:pPr>
      <w:r>
        <w:rPr>
          <w:rFonts w:ascii="宋体" w:hAnsi="宋体"/>
          <w:b/>
          <w:bCs/>
          <w:color w:val="auto"/>
          <w:sz w:val="24"/>
          <w:szCs w:val="24"/>
          <w:highlight w:val="none"/>
        </w:rPr>
        <w:t>2</w:t>
      </w:r>
      <w:r>
        <w:rPr>
          <w:rFonts w:hint="eastAsia" w:ascii="宋体" w:hAnsi="宋体"/>
          <w:b/>
          <w:bCs/>
          <w:color w:val="auto"/>
          <w:sz w:val="24"/>
          <w:szCs w:val="24"/>
          <w:highlight w:val="none"/>
        </w:rPr>
        <w:t>.</w:t>
      </w:r>
      <w:r>
        <w:rPr>
          <w:rFonts w:ascii="宋体" w:hAnsi="宋体"/>
          <w:b/>
          <w:bCs/>
          <w:color w:val="auto"/>
          <w:sz w:val="24"/>
          <w:szCs w:val="24"/>
          <w:highlight w:val="none"/>
        </w:rPr>
        <w:t>实质审查与比较</w:t>
      </w:r>
    </w:p>
    <w:p w14:paraId="11E83FBD">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1）评标委员会审查投标文件的实质性内容是否符合招标文件的实质性要求。</w:t>
      </w:r>
    </w:p>
    <w:p w14:paraId="127FE87D">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2）评标委员会将根据投标人的投标文件进行审查、核对,如有疑问,将对投标人进行询标,投标人要向评标委员会澄清有关问题,并最终以书面形式进行答复。</w:t>
      </w:r>
      <w:r>
        <w:rPr>
          <w:rFonts w:hint="eastAsia" w:ascii="宋体" w:hAnsi="宋体"/>
          <w:color w:val="auto"/>
          <w:sz w:val="24"/>
          <w:szCs w:val="24"/>
          <w:highlight w:val="none"/>
        </w:rPr>
        <w:t>投标人代表未到场或者拒绝澄清或者澄清的内容改变了投标文件的实质性内容的，评标委员会有权对该投标文件作出不利于投标人的评判。</w:t>
      </w:r>
    </w:p>
    <w:p w14:paraId="61784CEC">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代理机构工作人员协助</w:t>
      </w:r>
      <w:r>
        <w:rPr>
          <w:rFonts w:ascii="宋体" w:hAnsi="宋体"/>
          <w:color w:val="auto"/>
          <w:sz w:val="24"/>
          <w:szCs w:val="24"/>
          <w:highlight w:val="none"/>
        </w:rPr>
        <w:t>评标委员会根据</w:t>
      </w:r>
      <w:r>
        <w:rPr>
          <w:rFonts w:hint="eastAsia" w:ascii="宋体" w:hAnsi="宋体"/>
          <w:color w:val="auto"/>
          <w:sz w:val="24"/>
          <w:szCs w:val="24"/>
          <w:highlight w:val="none"/>
        </w:rPr>
        <w:t>本项目的评分标准</w:t>
      </w:r>
      <w:r>
        <w:rPr>
          <w:rFonts w:ascii="宋体" w:hAnsi="宋体"/>
          <w:color w:val="auto"/>
          <w:sz w:val="24"/>
          <w:szCs w:val="24"/>
          <w:highlight w:val="none"/>
        </w:rPr>
        <w:t>计算各投标人的商务报价得分</w:t>
      </w:r>
      <w:r>
        <w:rPr>
          <w:rFonts w:hint="eastAsia" w:ascii="宋体" w:hAnsi="宋体"/>
          <w:color w:val="auto"/>
          <w:sz w:val="24"/>
          <w:szCs w:val="24"/>
          <w:highlight w:val="none"/>
        </w:rPr>
        <w:t>。</w:t>
      </w:r>
    </w:p>
    <w:p w14:paraId="3B6BD321">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）评标委员会完成评标后,评委对各部分得分汇总,</w:t>
      </w:r>
      <w:r>
        <w:rPr>
          <w:rFonts w:hint="eastAsia" w:ascii="宋体" w:hAnsi="宋体"/>
          <w:color w:val="auto"/>
          <w:sz w:val="24"/>
          <w:szCs w:val="24"/>
          <w:highlight w:val="none"/>
        </w:rPr>
        <w:t>计算</w:t>
      </w:r>
      <w:r>
        <w:rPr>
          <w:rFonts w:ascii="宋体" w:hAnsi="宋体"/>
          <w:color w:val="auto"/>
          <w:sz w:val="24"/>
          <w:szCs w:val="24"/>
          <w:highlight w:val="none"/>
        </w:rPr>
        <w:t>出本项目</w:t>
      </w:r>
      <w:r>
        <w:rPr>
          <w:rFonts w:hint="eastAsia" w:ascii="宋体" w:hAnsi="宋体"/>
          <w:color w:val="auto"/>
          <w:sz w:val="24"/>
          <w:szCs w:val="24"/>
          <w:highlight w:val="none"/>
        </w:rPr>
        <w:t>最终得分</w:t>
      </w:r>
      <w:r>
        <w:rPr>
          <w:rFonts w:ascii="宋体" w:hAnsi="宋体"/>
          <w:color w:val="auto"/>
          <w:sz w:val="24"/>
          <w:szCs w:val="24"/>
          <w:highlight w:val="none"/>
        </w:rPr>
        <w:t>。评标委员会按评标原则推荐中标候选人同时起草评标报告。</w:t>
      </w:r>
    </w:p>
    <w:p w14:paraId="0A344A52">
      <w:pPr>
        <w:snapToGrid w:val="0"/>
        <w:spacing w:line="360" w:lineRule="auto"/>
        <w:ind w:firstLine="358" w:firstLineChars="149"/>
        <w:rPr>
          <w:rFonts w:ascii="宋体" w:hAnsi="宋体"/>
          <w:b/>
          <w:color w:val="auto"/>
          <w:sz w:val="24"/>
          <w:szCs w:val="24"/>
          <w:highlight w:val="none"/>
        </w:rPr>
      </w:pPr>
      <w:r>
        <w:rPr>
          <w:rFonts w:hint="eastAsia" w:ascii="宋体" w:hAnsi="宋体"/>
          <w:b/>
          <w:color w:val="auto"/>
          <w:sz w:val="24"/>
          <w:szCs w:val="24"/>
          <w:highlight w:val="none"/>
        </w:rPr>
        <w:t>（四）澄清问题的形式</w:t>
      </w:r>
    </w:p>
    <w:p w14:paraId="4793C06A">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2E2696AA">
      <w:pPr>
        <w:pStyle w:val="16"/>
        <w:snapToGrid w:val="0"/>
        <w:spacing w:before="120" w:after="120" w:line="360" w:lineRule="auto"/>
        <w:ind w:left="784" w:leftChars="129" w:hanging="513" w:hangingChars="214"/>
        <w:rPr>
          <w:rFonts w:hAnsi="宋体"/>
          <w:b w:val="0"/>
          <w:color w:val="auto"/>
          <w:sz w:val="24"/>
          <w:szCs w:val="24"/>
          <w:highlight w:val="none"/>
        </w:rPr>
      </w:pPr>
      <w:r>
        <w:rPr>
          <w:rFonts w:hAnsi="宋体"/>
          <w:b w:val="0"/>
          <w:color w:val="auto"/>
          <w:sz w:val="24"/>
          <w:szCs w:val="24"/>
          <w:highlight w:val="none"/>
        </w:rPr>
        <w:t>（五）错误修正</w:t>
      </w:r>
    </w:p>
    <w:p w14:paraId="5CD56A06">
      <w:pPr>
        <w:pStyle w:val="27"/>
        <w:spacing w:before="0" w:beforeAutospacing="0" w:after="0" w:afterAutospacing="0" w:line="360" w:lineRule="auto"/>
        <w:ind w:firstLine="480" w:firstLineChars="200"/>
        <w:jc w:val="both"/>
        <w:rPr>
          <w:rFonts w:ascii="宋体" w:hAnsi="宋体" w:eastAsia="宋体" w:cs="Times New Roman"/>
          <w:b w:val="0"/>
          <w:bCs/>
          <w:color w:val="auto"/>
          <w:kern w:val="2"/>
          <w:sz w:val="24"/>
          <w:szCs w:val="24"/>
          <w:highlight w:val="none"/>
          <w:lang w:val="en-US" w:eastAsia="zh-CN" w:bidi="ar-SA"/>
        </w:rPr>
      </w:pPr>
      <w:r>
        <w:rPr>
          <w:rFonts w:ascii="宋体" w:hAnsi="宋体" w:eastAsia="宋体" w:cs="Times New Roman"/>
          <w:b w:val="0"/>
          <w:bCs/>
          <w:color w:val="auto"/>
          <w:kern w:val="2"/>
          <w:sz w:val="24"/>
          <w:szCs w:val="24"/>
          <w:highlight w:val="none"/>
          <w:lang w:val="en-US" w:eastAsia="zh-CN" w:bidi="ar-SA"/>
        </w:rPr>
        <w:t>投标文件报价出现前后不一致的，除招标文件另有规定外，按照下列规定修正：</w:t>
      </w:r>
    </w:p>
    <w:p w14:paraId="79F3FCE9">
      <w:pPr>
        <w:pStyle w:val="27"/>
        <w:numPr>
          <w:ilvl w:val="0"/>
          <w:numId w:val="6"/>
        </w:numPr>
        <w:spacing w:before="0" w:beforeAutospacing="0" w:after="0" w:afterAutospacing="0" w:line="360" w:lineRule="auto"/>
        <w:ind w:left="480" w:leftChars="0" w:firstLine="0" w:firstLineChars="0"/>
        <w:jc w:val="both"/>
        <w:rPr>
          <w:rFonts w:hint="eastAsia" w:ascii="宋体" w:hAnsi="宋体" w:eastAsia="宋体" w:cs="Times New Roman"/>
          <w:b w:val="0"/>
          <w:bCs/>
          <w:color w:val="auto"/>
          <w:kern w:val="2"/>
          <w:sz w:val="24"/>
          <w:szCs w:val="24"/>
          <w:highlight w:val="none"/>
          <w:lang w:val="en-US" w:eastAsia="zh-CN" w:bidi="ar-SA"/>
        </w:rPr>
      </w:pPr>
      <w:r>
        <w:rPr>
          <w:rFonts w:hint="eastAsia" w:ascii="宋体" w:hAnsi="宋体" w:eastAsia="宋体" w:cs="Times New Roman"/>
          <w:b w:val="0"/>
          <w:bCs/>
          <w:color w:val="auto"/>
          <w:kern w:val="2"/>
          <w:sz w:val="24"/>
          <w:szCs w:val="24"/>
          <w:highlight w:val="none"/>
          <w:lang w:val="en-US" w:eastAsia="zh-CN" w:bidi="ar-SA"/>
        </w:rPr>
        <w:t>“台州湾新区小额工程电子交易平台”上开启的投标报价与电子投标文</w:t>
      </w:r>
    </w:p>
    <w:p w14:paraId="0FC67C8D">
      <w:pPr>
        <w:pStyle w:val="27"/>
        <w:numPr>
          <w:ilvl w:val="0"/>
          <w:numId w:val="0"/>
        </w:numPr>
        <w:spacing w:before="0" w:beforeAutospacing="0" w:after="0" w:afterAutospacing="0" w:line="360" w:lineRule="auto"/>
        <w:jc w:val="both"/>
        <w:rPr>
          <w:rFonts w:hint="eastAsia" w:ascii="宋体" w:hAnsi="宋体" w:eastAsia="宋体" w:cs="Times New Roman"/>
          <w:b w:val="0"/>
          <w:bCs/>
          <w:color w:val="auto"/>
          <w:kern w:val="2"/>
          <w:sz w:val="24"/>
          <w:szCs w:val="24"/>
          <w:highlight w:val="none"/>
          <w:lang w:val="en-US" w:eastAsia="zh-CN" w:bidi="ar-SA"/>
        </w:rPr>
      </w:pPr>
      <w:r>
        <w:rPr>
          <w:rFonts w:hint="eastAsia" w:ascii="宋体" w:hAnsi="宋体" w:eastAsia="宋体" w:cs="Times New Roman"/>
          <w:b w:val="0"/>
          <w:bCs/>
          <w:color w:val="auto"/>
          <w:kern w:val="2"/>
          <w:sz w:val="24"/>
          <w:szCs w:val="24"/>
          <w:highlight w:val="none"/>
          <w:lang w:val="en-US" w:eastAsia="zh-CN" w:bidi="ar-SA"/>
        </w:rPr>
        <w:t>件中</w:t>
      </w:r>
      <w:r>
        <w:rPr>
          <w:rFonts w:ascii="宋体" w:hAnsi="宋体" w:eastAsia="宋体" w:cs="Times New Roman"/>
          <w:b w:val="0"/>
          <w:bCs/>
          <w:color w:val="auto"/>
          <w:kern w:val="2"/>
          <w:sz w:val="24"/>
          <w:szCs w:val="24"/>
          <w:highlight w:val="none"/>
          <w:lang w:val="en-US" w:eastAsia="zh-CN" w:bidi="ar-SA"/>
        </w:rPr>
        <w:t>开标一览表</w:t>
      </w:r>
      <w:r>
        <w:rPr>
          <w:rFonts w:hint="eastAsia" w:ascii="宋体" w:hAnsi="宋体" w:eastAsia="宋体" w:cs="Times New Roman"/>
          <w:b w:val="0"/>
          <w:bCs/>
          <w:color w:val="auto"/>
          <w:kern w:val="2"/>
          <w:sz w:val="24"/>
          <w:szCs w:val="24"/>
          <w:highlight w:val="none"/>
          <w:lang w:val="en-US" w:eastAsia="zh-CN" w:bidi="ar-SA"/>
        </w:rPr>
        <w:t>内容不一致的，以电子投标文件中开标一览表为准；</w:t>
      </w:r>
    </w:p>
    <w:p w14:paraId="4CF33AC8">
      <w:pPr>
        <w:pStyle w:val="27"/>
        <w:numPr>
          <w:ilvl w:val="0"/>
          <w:numId w:val="6"/>
        </w:numPr>
        <w:spacing w:before="0" w:beforeAutospacing="0" w:after="0" w:afterAutospacing="0" w:line="360" w:lineRule="auto"/>
        <w:ind w:left="480" w:leftChars="0" w:firstLine="0" w:firstLineChars="0"/>
        <w:jc w:val="both"/>
        <w:rPr>
          <w:rFonts w:ascii="宋体" w:hAnsi="宋体" w:eastAsia="宋体" w:cs="Times New Roman"/>
          <w:b w:val="0"/>
          <w:bCs/>
          <w:color w:val="auto"/>
          <w:kern w:val="2"/>
          <w:sz w:val="24"/>
          <w:szCs w:val="24"/>
          <w:highlight w:val="none"/>
          <w:lang w:val="en-US" w:eastAsia="zh-CN" w:bidi="ar-SA"/>
        </w:rPr>
      </w:pPr>
      <w:r>
        <w:rPr>
          <w:rFonts w:ascii="宋体" w:hAnsi="宋体" w:eastAsia="宋体" w:cs="Times New Roman"/>
          <w:b w:val="0"/>
          <w:bCs/>
          <w:color w:val="auto"/>
          <w:kern w:val="2"/>
          <w:sz w:val="24"/>
          <w:szCs w:val="24"/>
          <w:highlight w:val="none"/>
          <w:lang w:val="en-US" w:eastAsia="zh-CN" w:bidi="ar-SA"/>
        </w:rPr>
        <w:t>投标文件中开标一览表内容与投标文件中相应内容不一致的，以开标一</w:t>
      </w:r>
    </w:p>
    <w:p w14:paraId="11FBB5B9">
      <w:pPr>
        <w:pStyle w:val="27"/>
        <w:numPr>
          <w:ilvl w:val="0"/>
          <w:numId w:val="0"/>
        </w:numPr>
        <w:spacing w:before="0" w:beforeAutospacing="0" w:after="0" w:afterAutospacing="0" w:line="360" w:lineRule="auto"/>
        <w:jc w:val="both"/>
        <w:rPr>
          <w:rFonts w:ascii="宋体" w:hAnsi="宋体" w:eastAsia="宋体" w:cs="Times New Roman"/>
          <w:b w:val="0"/>
          <w:bCs/>
          <w:color w:val="auto"/>
          <w:kern w:val="2"/>
          <w:sz w:val="24"/>
          <w:szCs w:val="24"/>
          <w:highlight w:val="none"/>
          <w:lang w:val="en-US" w:eastAsia="zh-CN" w:bidi="ar-SA"/>
        </w:rPr>
      </w:pPr>
      <w:r>
        <w:rPr>
          <w:rFonts w:ascii="宋体" w:hAnsi="宋体" w:eastAsia="宋体" w:cs="Times New Roman"/>
          <w:b w:val="0"/>
          <w:bCs/>
          <w:color w:val="auto"/>
          <w:kern w:val="2"/>
          <w:sz w:val="24"/>
          <w:szCs w:val="24"/>
          <w:highlight w:val="none"/>
          <w:lang w:val="en-US" w:eastAsia="zh-CN" w:bidi="ar-SA"/>
        </w:rPr>
        <w:t>览表为准；</w:t>
      </w:r>
    </w:p>
    <w:p w14:paraId="7009B626">
      <w:pPr>
        <w:pStyle w:val="27"/>
        <w:numPr>
          <w:ilvl w:val="0"/>
          <w:numId w:val="6"/>
        </w:numPr>
        <w:spacing w:before="0" w:beforeAutospacing="0" w:after="0" w:afterAutospacing="0" w:line="360" w:lineRule="auto"/>
        <w:ind w:left="480" w:leftChars="0" w:firstLine="0" w:firstLineChars="0"/>
        <w:jc w:val="both"/>
        <w:rPr>
          <w:rFonts w:ascii="宋体" w:hAnsi="宋体" w:eastAsia="宋体" w:cs="Times New Roman"/>
          <w:b w:val="0"/>
          <w:bCs/>
          <w:color w:val="auto"/>
          <w:kern w:val="2"/>
          <w:sz w:val="24"/>
          <w:szCs w:val="24"/>
          <w:highlight w:val="none"/>
          <w:lang w:val="en-US" w:eastAsia="zh-CN" w:bidi="ar-SA"/>
        </w:rPr>
      </w:pPr>
      <w:r>
        <w:rPr>
          <w:rFonts w:ascii="宋体" w:hAnsi="宋体" w:eastAsia="宋体" w:cs="Times New Roman"/>
          <w:b w:val="0"/>
          <w:bCs/>
          <w:color w:val="auto"/>
          <w:kern w:val="2"/>
          <w:sz w:val="24"/>
          <w:szCs w:val="24"/>
          <w:highlight w:val="none"/>
          <w:lang w:val="en-US" w:eastAsia="zh-CN" w:bidi="ar-SA"/>
        </w:rPr>
        <w:t>投标文件中</w:t>
      </w:r>
      <w:r>
        <w:rPr>
          <w:rFonts w:hint="eastAsia" w:ascii="宋体" w:hAnsi="宋体" w:eastAsia="宋体" w:cs="Times New Roman"/>
          <w:b w:val="0"/>
          <w:bCs/>
          <w:color w:val="auto"/>
          <w:kern w:val="2"/>
          <w:sz w:val="24"/>
          <w:szCs w:val="24"/>
          <w:highlight w:val="none"/>
          <w:lang w:val="en-US" w:eastAsia="zh-CN" w:bidi="ar-SA"/>
        </w:rPr>
        <w:t>报价明细表</w:t>
      </w:r>
      <w:r>
        <w:rPr>
          <w:rFonts w:ascii="宋体" w:hAnsi="宋体" w:eastAsia="宋体" w:cs="Times New Roman"/>
          <w:b w:val="0"/>
          <w:bCs/>
          <w:color w:val="auto"/>
          <w:kern w:val="2"/>
          <w:sz w:val="24"/>
          <w:szCs w:val="24"/>
          <w:highlight w:val="none"/>
          <w:lang w:val="en-US" w:eastAsia="zh-CN" w:bidi="ar-SA"/>
        </w:rPr>
        <w:t>内容与</w:t>
      </w:r>
      <w:r>
        <w:rPr>
          <w:rFonts w:hint="eastAsia" w:ascii="宋体" w:hAnsi="宋体" w:eastAsia="宋体" w:cs="Times New Roman"/>
          <w:b w:val="0"/>
          <w:bCs/>
          <w:color w:val="auto"/>
          <w:kern w:val="2"/>
          <w:sz w:val="24"/>
          <w:szCs w:val="24"/>
          <w:highlight w:val="none"/>
          <w:lang w:val="en-US" w:eastAsia="zh-CN" w:bidi="ar-SA"/>
        </w:rPr>
        <w:t>开标一览表内容不一致的，</w:t>
      </w:r>
      <w:r>
        <w:rPr>
          <w:rFonts w:ascii="宋体" w:hAnsi="宋体" w:eastAsia="宋体" w:cs="Times New Roman"/>
          <w:b w:val="0"/>
          <w:bCs/>
          <w:color w:val="auto"/>
          <w:kern w:val="2"/>
          <w:sz w:val="24"/>
          <w:szCs w:val="24"/>
          <w:highlight w:val="none"/>
          <w:lang w:val="en-US" w:eastAsia="zh-CN" w:bidi="ar-SA"/>
        </w:rPr>
        <w:t>以开标一览表</w:t>
      </w:r>
    </w:p>
    <w:p w14:paraId="70569946">
      <w:pPr>
        <w:pStyle w:val="27"/>
        <w:numPr>
          <w:ilvl w:val="0"/>
          <w:numId w:val="0"/>
        </w:numPr>
        <w:spacing w:before="0" w:beforeAutospacing="0" w:after="0" w:afterAutospacing="0" w:line="360" w:lineRule="auto"/>
        <w:jc w:val="both"/>
        <w:rPr>
          <w:rFonts w:ascii="宋体" w:hAnsi="宋体" w:eastAsia="宋体" w:cs="Times New Roman"/>
          <w:b w:val="0"/>
          <w:bCs/>
          <w:color w:val="auto"/>
          <w:kern w:val="2"/>
          <w:sz w:val="24"/>
          <w:szCs w:val="24"/>
          <w:highlight w:val="none"/>
          <w:lang w:val="en-US" w:eastAsia="zh-CN" w:bidi="ar-SA"/>
        </w:rPr>
      </w:pPr>
      <w:r>
        <w:rPr>
          <w:rFonts w:ascii="宋体" w:hAnsi="宋体" w:eastAsia="宋体" w:cs="Times New Roman"/>
          <w:b w:val="0"/>
          <w:bCs/>
          <w:color w:val="auto"/>
          <w:kern w:val="2"/>
          <w:sz w:val="24"/>
          <w:szCs w:val="24"/>
          <w:highlight w:val="none"/>
          <w:lang w:val="en-US" w:eastAsia="zh-CN" w:bidi="ar-SA"/>
        </w:rPr>
        <w:t>为准；</w:t>
      </w:r>
    </w:p>
    <w:p w14:paraId="2150A349">
      <w:pPr>
        <w:pStyle w:val="27"/>
        <w:spacing w:before="0" w:beforeAutospacing="0" w:after="0" w:afterAutospacing="0" w:line="360" w:lineRule="auto"/>
        <w:jc w:val="both"/>
        <w:rPr>
          <w:rFonts w:ascii="宋体" w:hAnsi="宋体" w:eastAsia="宋体" w:cs="Times New Roman"/>
          <w:b w:val="0"/>
          <w:bCs/>
          <w:color w:val="auto"/>
          <w:kern w:val="2"/>
          <w:sz w:val="24"/>
          <w:szCs w:val="24"/>
          <w:highlight w:val="none"/>
          <w:lang w:val="en-US" w:eastAsia="zh-CN" w:bidi="ar-SA"/>
        </w:rPr>
      </w:pPr>
      <w:r>
        <w:rPr>
          <w:rFonts w:ascii="宋体" w:hAnsi="宋体" w:eastAsia="宋体" w:cs="Times New Roman"/>
          <w:b w:val="0"/>
          <w:bCs/>
          <w:color w:val="auto"/>
          <w:kern w:val="2"/>
          <w:sz w:val="24"/>
          <w:szCs w:val="24"/>
          <w:highlight w:val="none"/>
          <w:lang w:val="en-US" w:eastAsia="zh-CN" w:bidi="ar-SA"/>
        </w:rPr>
        <w:t>　　</w:t>
      </w:r>
      <w:r>
        <w:rPr>
          <w:rFonts w:hint="eastAsia" w:ascii="宋体" w:hAnsi="宋体" w:eastAsia="宋体" w:cs="Times New Roman"/>
          <w:b w:val="0"/>
          <w:bCs/>
          <w:color w:val="auto"/>
          <w:kern w:val="2"/>
          <w:sz w:val="24"/>
          <w:szCs w:val="24"/>
          <w:highlight w:val="none"/>
          <w:lang w:val="en-US" w:eastAsia="zh-CN" w:bidi="ar-SA"/>
        </w:rPr>
        <w:t>4</w:t>
      </w:r>
      <w:r>
        <w:rPr>
          <w:rFonts w:ascii="宋体" w:hAnsi="宋体" w:eastAsia="宋体" w:cs="Times New Roman"/>
          <w:b w:val="0"/>
          <w:bCs/>
          <w:color w:val="auto"/>
          <w:kern w:val="2"/>
          <w:sz w:val="24"/>
          <w:szCs w:val="24"/>
          <w:highlight w:val="none"/>
          <w:lang w:val="en-US" w:eastAsia="zh-CN" w:bidi="ar-SA"/>
        </w:rPr>
        <w:t>、大写金额和小写金额不一致的，以大写金额为准；</w:t>
      </w:r>
    </w:p>
    <w:p w14:paraId="65D7DB19">
      <w:pPr>
        <w:pStyle w:val="27"/>
        <w:spacing w:before="0" w:beforeAutospacing="0" w:after="0" w:afterAutospacing="0" w:line="360" w:lineRule="auto"/>
        <w:jc w:val="both"/>
        <w:rPr>
          <w:rFonts w:ascii="宋体" w:hAnsi="宋体" w:eastAsia="宋体" w:cs="Times New Roman"/>
          <w:b w:val="0"/>
          <w:bCs/>
          <w:color w:val="auto"/>
          <w:kern w:val="2"/>
          <w:sz w:val="24"/>
          <w:szCs w:val="24"/>
          <w:highlight w:val="none"/>
          <w:lang w:val="en-US" w:eastAsia="zh-CN" w:bidi="ar-SA"/>
        </w:rPr>
      </w:pPr>
      <w:r>
        <w:rPr>
          <w:rFonts w:ascii="宋体" w:hAnsi="宋体" w:eastAsia="宋体" w:cs="Times New Roman"/>
          <w:b w:val="0"/>
          <w:bCs/>
          <w:color w:val="auto"/>
          <w:kern w:val="2"/>
          <w:sz w:val="24"/>
          <w:szCs w:val="24"/>
          <w:highlight w:val="none"/>
          <w:lang w:val="en-US" w:eastAsia="zh-CN" w:bidi="ar-SA"/>
        </w:rPr>
        <w:t>　　</w:t>
      </w:r>
      <w:r>
        <w:rPr>
          <w:rFonts w:hint="eastAsia" w:ascii="宋体" w:hAnsi="宋体" w:eastAsia="宋体" w:cs="Times New Roman"/>
          <w:b w:val="0"/>
          <w:bCs/>
          <w:color w:val="auto"/>
          <w:kern w:val="2"/>
          <w:sz w:val="24"/>
          <w:szCs w:val="24"/>
          <w:highlight w:val="none"/>
          <w:lang w:val="en-US" w:eastAsia="zh-CN" w:bidi="ar-SA"/>
        </w:rPr>
        <w:t>5</w:t>
      </w:r>
      <w:r>
        <w:rPr>
          <w:rFonts w:ascii="宋体" w:hAnsi="宋体" w:eastAsia="宋体" w:cs="Times New Roman"/>
          <w:b w:val="0"/>
          <w:bCs/>
          <w:color w:val="auto"/>
          <w:kern w:val="2"/>
          <w:sz w:val="24"/>
          <w:szCs w:val="24"/>
          <w:highlight w:val="none"/>
          <w:lang w:val="en-US" w:eastAsia="zh-CN" w:bidi="ar-SA"/>
        </w:rPr>
        <w:t>、单价金额小数点或者百分比有明显错位的，以开标一览表的总价为准，并修改单价；</w:t>
      </w:r>
    </w:p>
    <w:p w14:paraId="4BCD7D56">
      <w:pPr>
        <w:pStyle w:val="27"/>
        <w:spacing w:before="0" w:beforeAutospacing="0" w:after="0" w:afterAutospacing="0" w:line="360" w:lineRule="auto"/>
        <w:jc w:val="both"/>
        <w:rPr>
          <w:rFonts w:ascii="宋体" w:hAnsi="宋体" w:eastAsia="宋体" w:cs="Times New Roman"/>
          <w:b w:val="0"/>
          <w:bCs/>
          <w:color w:val="auto"/>
          <w:kern w:val="2"/>
          <w:sz w:val="24"/>
          <w:szCs w:val="24"/>
          <w:highlight w:val="none"/>
          <w:lang w:val="en-US" w:eastAsia="zh-CN" w:bidi="ar-SA"/>
        </w:rPr>
      </w:pPr>
      <w:r>
        <w:rPr>
          <w:rFonts w:ascii="宋体" w:hAnsi="宋体" w:eastAsia="宋体" w:cs="Times New Roman"/>
          <w:b w:val="0"/>
          <w:bCs/>
          <w:color w:val="auto"/>
          <w:kern w:val="2"/>
          <w:sz w:val="24"/>
          <w:szCs w:val="24"/>
          <w:highlight w:val="none"/>
          <w:lang w:val="en-US" w:eastAsia="zh-CN" w:bidi="ar-SA"/>
        </w:rPr>
        <w:t>　　</w:t>
      </w:r>
      <w:r>
        <w:rPr>
          <w:rFonts w:hint="eastAsia" w:ascii="宋体" w:hAnsi="宋体" w:eastAsia="宋体" w:cs="Times New Roman"/>
          <w:b w:val="0"/>
          <w:bCs/>
          <w:color w:val="auto"/>
          <w:kern w:val="2"/>
          <w:sz w:val="24"/>
          <w:szCs w:val="24"/>
          <w:highlight w:val="none"/>
          <w:lang w:val="en-US" w:eastAsia="zh-CN" w:bidi="ar-SA"/>
        </w:rPr>
        <w:t>6</w:t>
      </w:r>
      <w:r>
        <w:rPr>
          <w:rFonts w:ascii="宋体" w:hAnsi="宋体" w:eastAsia="宋体" w:cs="Times New Roman"/>
          <w:b w:val="0"/>
          <w:bCs/>
          <w:color w:val="auto"/>
          <w:kern w:val="2"/>
          <w:sz w:val="24"/>
          <w:szCs w:val="24"/>
          <w:highlight w:val="none"/>
          <w:lang w:val="en-US" w:eastAsia="zh-CN" w:bidi="ar-SA"/>
        </w:rPr>
        <w:t>、总价金额与按单价汇总金额不一致的，以单价金额计算结果为准。</w:t>
      </w:r>
    </w:p>
    <w:p w14:paraId="11E3E30A">
      <w:pPr>
        <w:pStyle w:val="27"/>
        <w:spacing w:before="0" w:beforeAutospacing="0" w:after="0" w:afterAutospacing="0" w:line="360" w:lineRule="auto"/>
        <w:jc w:val="both"/>
        <w:rPr>
          <w:rFonts w:ascii="宋体" w:hAnsi="宋体" w:eastAsia="宋体" w:cs="Times New Roman"/>
          <w:b w:val="0"/>
          <w:bCs/>
          <w:color w:val="auto"/>
          <w:kern w:val="2"/>
          <w:sz w:val="24"/>
          <w:szCs w:val="24"/>
          <w:highlight w:val="none"/>
          <w:lang w:val="en-US" w:eastAsia="zh-CN" w:bidi="ar-SA"/>
        </w:rPr>
      </w:pPr>
      <w:r>
        <w:rPr>
          <w:rFonts w:ascii="宋体" w:hAnsi="宋体" w:eastAsia="宋体" w:cs="Times New Roman"/>
          <w:b w:val="0"/>
          <w:bCs/>
          <w:color w:val="auto"/>
          <w:kern w:val="2"/>
          <w:sz w:val="24"/>
          <w:szCs w:val="24"/>
          <w:highlight w:val="none"/>
          <w:lang w:val="en-US" w:eastAsia="zh-CN" w:bidi="ar-SA"/>
        </w:rPr>
        <w:t>　　同时出现两种以上不一致的，按照前款规定的顺序修正。修正应当采用书面形式，并加盖公章或者由法定代表人或其授权的代表签字。修正后的报价经投标人确认后产生约束力，投标人不确认的，其投标无效。</w:t>
      </w:r>
    </w:p>
    <w:p w14:paraId="2B7D5656">
      <w:pPr>
        <w:autoSpaceDE w:val="0"/>
        <w:autoSpaceDN w:val="0"/>
        <w:adjustRightInd w:val="0"/>
        <w:spacing w:line="360" w:lineRule="auto"/>
        <w:ind w:firstLine="358" w:firstLineChars="149"/>
        <w:rPr>
          <w:rFonts w:ascii="宋体" w:hAnsi="宋体"/>
          <w:b/>
          <w:color w:val="auto"/>
          <w:kern w:val="0"/>
          <w:sz w:val="24"/>
          <w:szCs w:val="24"/>
          <w:highlight w:val="none"/>
        </w:rPr>
      </w:pPr>
      <w:r>
        <w:rPr>
          <w:rFonts w:hint="eastAsia" w:ascii="宋体" w:hAnsi="宋体"/>
          <w:b/>
          <w:color w:val="auto"/>
          <w:kern w:val="0"/>
          <w:sz w:val="24"/>
          <w:szCs w:val="24"/>
          <w:highlight w:val="none"/>
        </w:rPr>
        <w:t>（六）有下列情况之一的，本次招标作为废标处理，除</w:t>
      </w:r>
      <w:r>
        <w:rPr>
          <w:rFonts w:hint="eastAsia" w:ascii="宋体" w:hAnsi="宋体"/>
          <w:b/>
          <w:color w:val="auto"/>
          <w:kern w:val="0"/>
          <w:sz w:val="24"/>
          <w:szCs w:val="24"/>
          <w:highlight w:val="none"/>
          <w:lang w:val="en-US" w:eastAsia="zh-CN"/>
        </w:rPr>
        <w:t>招标</w:t>
      </w:r>
      <w:r>
        <w:rPr>
          <w:rFonts w:hint="eastAsia" w:ascii="宋体" w:hAnsi="宋体"/>
          <w:b/>
          <w:color w:val="auto"/>
          <w:kern w:val="0"/>
          <w:sz w:val="24"/>
          <w:szCs w:val="24"/>
          <w:highlight w:val="none"/>
        </w:rPr>
        <w:t>任务取消外，由</w:t>
      </w:r>
      <w:r>
        <w:rPr>
          <w:rFonts w:hint="eastAsia" w:ascii="宋体" w:hAnsi="宋体"/>
          <w:b/>
          <w:color w:val="auto"/>
          <w:kern w:val="0"/>
          <w:sz w:val="24"/>
          <w:szCs w:val="24"/>
          <w:highlight w:val="none"/>
          <w:lang w:val="en-US" w:eastAsia="zh-CN"/>
        </w:rPr>
        <w:t>招标</w:t>
      </w:r>
      <w:r>
        <w:rPr>
          <w:rFonts w:hint="eastAsia" w:ascii="宋体" w:hAnsi="宋体"/>
          <w:b/>
          <w:color w:val="auto"/>
          <w:kern w:val="0"/>
          <w:sz w:val="24"/>
          <w:szCs w:val="24"/>
          <w:highlight w:val="none"/>
        </w:rPr>
        <w:t>人重新组织招标：</w:t>
      </w:r>
    </w:p>
    <w:p w14:paraId="53A82ABF">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1、符合专业条件的</w:t>
      </w:r>
      <w:r>
        <w:rPr>
          <w:rFonts w:hint="eastAsia" w:ascii="宋体" w:hAnsi="宋体"/>
          <w:color w:val="auto"/>
          <w:sz w:val="24"/>
          <w:szCs w:val="24"/>
          <w:highlight w:val="none"/>
          <w:lang w:val="en-US" w:eastAsia="zh-CN"/>
        </w:rPr>
        <w:t>投标单位</w:t>
      </w:r>
      <w:r>
        <w:rPr>
          <w:rFonts w:hint="eastAsia" w:ascii="宋体" w:hAnsi="宋体"/>
          <w:color w:val="auto"/>
          <w:sz w:val="24"/>
          <w:szCs w:val="24"/>
          <w:highlight w:val="none"/>
        </w:rPr>
        <w:t>或者对招标文件作实质响应的</w:t>
      </w:r>
      <w:r>
        <w:rPr>
          <w:rFonts w:hint="eastAsia" w:ascii="宋体" w:hAnsi="宋体"/>
          <w:color w:val="auto"/>
          <w:sz w:val="24"/>
          <w:szCs w:val="24"/>
          <w:highlight w:val="none"/>
          <w:lang w:val="en-US" w:eastAsia="zh-CN"/>
        </w:rPr>
        <w:t>投标单位</w:t>
      </w:r>
      <w:r>
        <w:rPr>
          <w:rFonts w:hint="eastAsia" w:ascii="宋体" w:hAnsi="宋体"/>
          <w:color w:val="auto"/>
          <w:sz w:val="24"/>
          <w:szCs w:val="24"/>
          <w:highlight w:val="none"/>
        </w:rPr>
        <w:t>不足三家，评标委员会认定投标明显缺乏竞争的；</w:t>
      </w:r>
    </w:p>
    <w:p w14:paraId="5A33BB95">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2、出现影响</w:t>
      </w:r>
      <w:r>
        <w:rPr>
          <w:rFonts w:hint="eastAsia" w:ascii="宋体" w:hAnsi="宋体"/>
          <w:color w:val="auto"/>
          <w:sz w:val="24"/>
          <w:szCs w:val="24"/>
          <w:highlight w:val="none"/>
          <w:lang w:val="en-US" w:eastAsia="zh-CN"/>
        </w:rPr>
        <w:t>招标</w:t>
      </w:r>
      <w:r>
        <w:rPr>
          <w:rFonts w:hint="eastAsia" w:ascii="宋体" w:hAnsi="宋体"/>
          <w:color w:val="auto"/>
          <w:sz w:val="24"/>
          <w:szCs w:val="24"/>
          <w:highlight w:val="none"/>
        </w:rPr>
        <w:t>公正的违法、违规行为的；</w:t>
      </w:r>
    </w:p>
    <w:p w14:paraId="4D996D70">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3、投标人的报价均超过了</w:t>
      </w:r>
      <w:r>
        <w:rPr>
          <w:rFonts w:hint="eastAsia" w:ascii="宋体" w:hAnsi="宋体"/>
          <w:color w:val="auto"/>
          <w:sz w:val="24"/>
          <w:szCs w:val="24"/>
          <w:highlight w:val="none"/>
          <w:lang w:val="en-US" w:eastAsia="zh-CN"/>
        </w:rPr>
        <w:t>招标</w:t>
      </w:r>
      <w:r>
        <w:rPr>
          <w:rFonts w:hint="eastAsia" w:ascii="宋体" w:hAnsi="宋体"/>
          <w:color w:val="auto"/>
          <w:sz w:val="24"/>
          <w:szCs w:val="24"/>
          <w:highlight w:val="none"/>
        </w:rPr>
        <w:t>预算，</w:t>
      </w:r>
      <w:r>
        <w:rPr>
          <w:rFonts w:hint="eastAsia" w:ascii="宋体" w:hAnsi="宋体"/>
          <w:color w:val="auto"/>
          <w:sz w:val="24"/>
          <w:szCs w:val="24"/>
          <w:highlight w:val="none"/>
          <w:lang w:val="en-US" w:eastAsia="zh-CN"/>
        </w:rPr>
        <w:t>招标</w:t>
      </w:r>
      <w:r>
        <w:rPr>
          <w:rFonts w:hint="eastAsia" w:ascii="宋体" w:hAnsi="宋体"/>
          <w:color w:val="auto"/>
          <w:sz w:val="24"/>
          <w:szCs w:val="24"/>
          <w:highlight w:val="none"/>
        </w:rPr>
        <w:t>人不能支付的；</w:t>
      </w:r>
    </w:p>
    <w:p w14:paraId="44851FFA">
      <w:pPr>
        <w:snapToGrid w:val="0"/>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4、因重大变故，</w:t>
      </w:r>
      <w:r>
        <w:rPr>
          <w:rFonts w:hint="eastAsia" w:ascii="宋体" w:hAnsi="宋体"/>
          <w:color w:val="auto"/>
          <w:sz w:val="24"/>
          <w:szCs w:val="24"/>
          <w:highlight w:val="none"/>
          <w:lang w:val="en-US" w:eastAsia="zh-CN"/>
        </w:rPr>
        <w:t>招标</w:t>
      </w:r>
      <w:r>
        <w:rPr>
          <w:rFonts w:ascii="宋体" w:hAnsi="宋体"/>
          <w:color w:val="auto"/>
          <w:sz w:val="24"/>
          <w:szCs w:val="24"/>
          <w:highlight w:val="none"/>
        </w:rPr>
        <w:t>任务取消的。</w:t>
      </w:r>
    </w:p>
    <w:p w14:paraId="1C47EBF9">
      <w:pPr>
        <w:pStyle w:val="16"/>
        <w:tabs>
          <w:tab w:val="left" w:pos="630"/>
        </w:tabs>
        <w:snapToGrid w:val="0"/>
        <w:spacing w:before="120" w:after="120" w:line="360" w:lineRule="auto"/>
        <w:ind w:firstLine="357" w:firstLineChars="149"/>
        <w:rPr>
          <w:rFonts w:hAnsi="宋体"/>
          <w:b w:val="0"/>
          <w:color w:val="auto"/>
          <w:sz w:val="24"/>
          <w:szCs w:val="24"/>
          <w:highlight w:val="none"/>
        </w:rPr>
      </w:pPr>
      <w:r>
        <w:rPr>
          <w:rFonts w:hAnsi="宋体"/>
          <w:b w:val="0"/>
          <w:color w:val="auto"/>
          <w:sz w:val="24"/>
          <w:szCs w:val="24"/>
          <w:highlight w:val="none"/>
        </w:rPr>
        <w:t>（七）评标原则和评标办法</w:t>
      </w:r>
    </w:p>
    <w:p w14:paraId="248550E5">
      <w:pPr>
        <w:pStyle w:val="16"/>
        <w:snapToGrid w:val="0"/>
        <w:spacing w:before="120" w:after="120" w:line="360" w:lineRule="auto"/>
        <w:ind w:firstLine="480" w:firstLineChars="200"/>
        <w:rPr>
          <w:rFonts w:hAnsi="宋体"/>
          <w:color w:val="auto"/>
          <w:sz w:val="24"/>
          <w:szCs w:val="24"/>
          <w:highlight w:val="none"/>
        </w:rPr>
      </w:pPr>
      <w:r>
        <w:rPr>
          <w:rFonts w:hAnsi="宋体"/>
          <w:color w:val="auto"/>
          <w:sz w:val="24"/>
          <w:szCs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5E4DEACC">
      <w:pPr>
        <w:pStyle w:val="16"/>
        <w:snapToGrid w:val="0"/>
        <w:spacing w:before="120" w:after="120" w:line="360" w:lineRule="auto"/>
        <w:ind w:firstLine="480" w:firstLineChars="200"/>
        <w:rPr>
          <w:rFonts w:hAnsi="宋体"/>
          <w:color w:val="auto"/>
          <w:sz w:val="24"/>
          <w:szCs w:val="24"/>
          <w:highlight w:val="none"/>
        </w:rPr>
      </w:pPr>
      <w:r>
        <w:rPr>
          <w:rFonts w:hAnsi="宋体"/>
          <w:color w:val="auto"/>
          <w:sz w:val="24"/>
          <w:szCs w:val="24"/>
          <w:highlight w:val="none"/>
        </w:rPr>
        <w:t>2、评标办法。具体评标内容及评分标准等详见《第四章：评标办法及评分标准》。</w:t>
      </w:r>
    </w:p>
    <w:p w14:paraId="2CA0FC03">
      <w:pPr>
        <w:pStyle w:val="16"/>
        <w:snapToGrid w:val="0"/>
        <w:spacing w:before="120" w:after="120" w:line="360" w:lineRule="auto"/>
        <w:ind w:firstLine="357" w:firstLineChars="149"/>
        <w:rPr>
          <w:rFonts w:hAnsi="宋体"/>
          <w:b w:val="0"/>
          <w:color w:val="auto"/>
          <w:sz w:val="24"/>
          <w:szCs w:val="24"/>
          <w:highlight w:val="none"/>
        </w:rPr>
      </w:pPr>
      <w:r>
        <w:rPr>
          <w:rFonts w:hAnsi="宋体"/>
          <w:b w:val="0"/>
          <w:color w:val="auto"/>
          <w:sz w:val="24"/>
          <w:szCs w:val="24"/>
          <w:highlight w:val="none"/>
        </w:rPr>
        <w:t>（八）评标过程的监控</w:t>
      </w:r>
    </w:p>
    <w:p w14:paraId="06AC0EDC">
      <w:pPr>
        <w:pStyle w:val="27"/>
        <w:spacing w:before="0" w:beforeAutospacing="0" w:after="0" w:afterAutospacing="0" w:line="360" w:lineRule="auto"/>
        <w:ind w:firstLine="480" w:firstLineChars="200"/>
        <w:jc w:val="both"/>
        <w:rPr>
          <w:color w:val="auto"/>
          <w:sz w:val="24"/>
          <w:szCs w:val="24"/>
          <w:highlight w:val="none"/>
        </w:rPr>
      </w:pPr>
      <w:r>
        <w:rPr>
          <w:color w:val="auto"/>
          <w:sz w:val="24"/>
          <w:szCs w:val="24"/>
          <w:highlight w:val="none"/>
        </w:rPr>
        <w:t>本项目评标过程实行全程录音、录像监控，投标人在评标过程中所进行的试图影响评标结果的不公正活动，可能导致其投标被拒绝。</w:t>
      </w:r>
    </w:p>
    <w:p w14:paraId="5A09786D">
      <w:pPr>
        <w:pStyle w:val="75"/>
        <w:spacing w:line="240" w:lineRule="auto"/>
        <w:ind w:left="0" w:firstLine="0"/>
        <w:rPr>
          <w:rFonts w:hint="default" w:ascii="宋体" w:hAnsi="宋体" w:eastAsia="宋体" w:cs="Times New Roman"/>
          <w:b/>
          <w:bCs/>
          <w:color w:val="auto"/>
          <w:kern w:val="2"/>
          <w:sz w:val="30"/>
          <w:szCs w:val="30"/>
          <w:highlight w:val="none"/>
          <w:lang w:val="en-US" w:eastAsia="zh-CN" w:bidi="ar-SA"/>
        </w:rPr>
      </w:pPr>
      <w:r>
        <w:rPr>
          <w:rFonts w:hint="eastAsia" w:ascii="宋体" w:hAnsi="宋体" w:eastAsia="宋体" w:cs="Times New Roman"/>
          <w:b/>
          <w:bCs/>
          <w:color w:val="auto"/>
          <w:kern w:val="2"/>
          <w:sz w:val="30"/>
          <w:szCs w:val="30"/>
          <w:highlight w:val="none"/>
          <w:lang w:val="en-US" w:eastAsia="zh-CN" w:bidi="ar-SA"/>
        </w:rPr>
        <w:t>六、</w:t>
      </w:r>
      <w:bookmarkStart w:id="6" w:name="_Toc169487814"/>
      <w:bookmarkStart w:id="7" w:name="_Toc155342567"/>
      <w:r>
        <w:rPr>
          <w:rFonts w:hint="default" w:ascii="宋体" w:hAnsi="宋体" w:eastAsia="宋体" w:cs="Times New Roman"/>
          <w:b/>
          <w:bCs/>
          <w:color w:val="auto"/>
          <w:kern w:val="2"/>
          <w:sz w:val="30"/>
          <w:szCs w:val="30"/>
          <w:highlight w:val="none"/>
          <w:lang w:val="en-US" w:eastAsia="zh-CN" w:bidi="ar-SA"/>
        </w:rPr>
        <w:t>中标候选人公示</w:t>
      </w:r>
      <w:bookmarkEnd w:id="6"/>
      <w:bookmarkEnd w:id="7"/>
    </w:p>
    <w:p w14:paraId="5C1720AD">
      <w:pPr>
        <w:pStyle w:val="27"/>
        <w:spacing w:before="0" w:beforeAutospacing="0" w:after="0" w:afterAutospacing="0" w:line="360" w:lineRule="auto"/>
        <w:ind w:firstLine="480" w:firstLineChars="200"/>
        <w:jc w:val="both"/>
        <w:rPr>
          <w:rFonts w:hint="eastAsia" w:ascii="宋体" w:hAnsi="宋体" w:eastAsia="宋体" w:cs="Times New Roman"/>
          <w:b w:val="0"/>
          <w:bCs/>
          <w:color w:val="auto"/>
          <w:kern w:val="2"/>
          <w:sz w:val="24"/>
          <w:szCs w:val="24"/>
          <w:highlight w:val="none"/>
          <w:lang w:val="en-US" w:eastAsia="zh-CN" w:bidi="ar-SA"/>
        </w:rPr>
      </w:pPr>
      <w:r>
        <w:rPr>
          <w:rFonts w:hint="eastAsia" w:ascii="宋体" w:hAnsi="宋体" w:eastAsia="宋体" w:cs="Times New Roman"/>
          <w:b w:val="0"/>
          <w:bCs/>
          <w:color w:val="auto"/>
          <w:kern w:val="2"/>
          <w:sz w:val="24"/>
          <w:szCs w:val="24"/>
          <w:highlight w:val="none"/>
          <w:lang w:val="en-US" w:eastAsia="zh-CN" w:bidi="ar-SA"/>
        </w:rPr>
        <w:t>1、招标人应当将评标委员会推荐的中标候选人在交易平台（发布招标公告的媒体上）进行公示，公示期不得少于3日（最后一日为工作日）。</w:t>
      </w:r>
    </w:p>
    <w:p w14:paraId="362BB63B">
      <w:pPr>
        <w:pStyle w:val="27"/>
        <w:spacing w:before="0" w:beforeAutospacing="0" w:after="0" w:afterAutospacing="0" w:line="360" w:lineRule="auto"/>
        <w:ind w:firstLine="480" w:firstLineChars="200"/>
        <w:jc w:val="both"/>
        <w:rPr>
          <w:rFonts w:hint="eastAsia" w:ascii="宋体" w:hAnsi="宋体" w:eastAsia="宋体" w:cs="Times New Roman"/>
          <w:b w:val="0"/>
          <w:bCs/>
          <w:color w:val="auto"/>
          <w:kern w:val="2"/>
          <w:sz w:val="24"/>
          <w:szCs w:val="24"/>
          <w:highlight w:val="none"/>
          <w:lang w:val="en-US" w:eastAsia="zh-CN" w:bidi="ar-SA"/>
        </w:rPr>
      </w:pPr>
      <w:r>
        <w:rPr>
          <w:rFonts w:hint="eastAsia" w:ascii="宋体" w:hAnsi="宋体" w:eastAsia="宋体" w:cs="Times New Roman"/>
          <w:b w:val="0"/>
          <w:bCs/>
          <w:color w:val="auto"/>
          <w:kern w:val="2"/>
          <w:sz w:val="24"/>
          <w:szCs w:val="24"/>
          <w:highlight w:val="none"/>
          <w:lang w:val="en-US" w:eastAsia="zh-CN" w:bidi="ar-SA"/>
        </w:rPr>
        <w:t>2、属于《中华人民共和国招标投标法实施条例》第二十二条、第四十四条、第五十四条规定事项投诉的，应当向招标人（招标代理机构）提出（附相关有效证明材料），招标人（招标代理机构）应给予答复。投标人对答复不服或认为招标人（招标代理机构）有违反有关规定及其他弄虚作假情形的，可在接到答复之日起 3 日内向招标监管机构申请核查，并提交相关材料。</w:t>
      </w:r>
    </w:p>
    <w:p w14:paraId="0F5F2E89">
      <w:pPr>
        <w:pStyle w:val="27"/>
        <w:spacing w:before="0" w:beforeAutospacing="0" w:after="0" w:afterAutospacing="0" w:line="360" w:lineRule="auto"/>
        <w:ind w:firstLine="480" w:firstLineChars="200"/>
        <w:jc w:val="both"/>
        <w:rPr>
          <w:rFonts w:hint="eastAsia" w:ascii="宋体" w:hAnsi="宋体" w:eastAsia="宋体" w:cs="Times New Roman"/>
          <w:b w:val="0"/>
          <w:bCs/>
          <w:color w:val="auto"/>
          <w:kern w:val="2"/>
          <w:sz w:val="24"/>
          <w:szCs w:val="24"/>
          <w:highlight w:val="none"/>
          <w:lang w:val="en-US" w:eastAsia="zh-CN" w:bidi="ar-SA"/>
        </w:rPr>
      </w:pPr>
      <w:bookmarkStart w:id="8" w:name="_Toc283886232"/>
      <w:bookmarkStart w:id="9" w:name="_Toc288556274"/>
      <w:bookmarkStart w:id="10" w:name="_Toc282596287"/>
      <w:bookmarkStart w:id="11" w:name="_Toc4450"/>
      <w:bookmarkStart w:id="12" w:name="_Toc372899849"/>
      <w:bookmarkStart w:id="13" w:name="_Toc321925409"/>
      <w:bookmarkStart w:id="14" w:name="_Toc237768817"/>
      <w:bookmarkStart w:id="15" w:name="_Toc237769281"/>
      <w:bookmarkStart w:id="16" w:name="_Toc283976523"/>
      <w:bookmarkStart w:id="17" w:name="_Toc394573920"/>
      <w:bookmarkStart w:id="18" w:name="_Toc372899726"/>
      <w:r>
        <w:rPr>
          <w:rFonts w:hint="eastAsia" w:ascii="宋体" w:hAnsi="宋体" w:eastAsia="宋体" w:cs="Times New Roman"/>
          <w:b w:val="0"/>
          <w:bCs/>
          <w:color w:val="auto"/>
          <w:kern w:val="2"/>
          <w:sz w:val="24"/>
          <w:szCs w:val="24"/>
          <w:highlight w:val="none"/>
          <w:lang w:val="en-US" w:eastAsia="zh-CN" w:bidi="ar-SA"/>
        </w:rPr>
        <w:t>3、中标候选人有以下情形之一的，其资格无效：</w:t>
      </w:r>
    </w:p>
    <w:p w14:paraId="1D270F0B">
      <w:pPr>
        <w:pStyle w:val="27"/>
        <w:spacing w:before="0" w:beforeAutospacing="0" w:after="0" w:afterAutospacing="0" w:line="360" w:lineRule="auto"/>
        <w:ind w:firstLine="480" w:firstLineChars="200"/>
        <w:jc w:val="both"/>
        <w:rPr>
          <w:rFonts w:hint="eastAsia" w:ascii="宋体" w:hAnsi="宋体" w:eastAsia="宋体" w:cs="Times New Roman"/>
          <w:b w:val="0"/>
          <w:bCs/>
          <w:color w:val="auto"/>
          <w:kern w:val="2"/>
          <w:sz w:val="24"/>
          <w:szCs w:val="24"/>
          <w:highlight w:val="none"/>
          <w:lang w:val="en-US" w:eastAsia="zh-CN" w:bidi="ar-SA"/>
        </w:rPr>
      </w:pPr>
      <w:r>
        <w:rPr>
          <w:rFonts w:hint="eastAsia" w:ascii="宋体" w:hAnsi="宋体" w:eastAsia="宋体" w:cs="Times New Roman"/>
          <w:b w:val="0"/>
          <w:bCs/>
          <w:color w:val="auto"/>
          <w:kern w:val="2"/>
          <w:sz w:val="24"/>
          <w:szCs w:val="24"/>
          <w:highlight w:val="none"/>
          <w:lang w:val="en-US" w:eastAsia="zh-CN" w:bidi="ar-SA"/>
        </w:rPr>
        <w:t>（1）投标资格不符合第一章第四项投标人的资格要求规定的；</w:t>
      </w:r>
    </w:p>
    <w:p w14:paraId="0FFB42D7">
      <w:pPr>
        <w:pStyle w:val="27"/>
        <w:spacing w:before="0" w:beforeAutospacing="0" w:after="0" w:afterAutospacing="0" w:line="360" w:lineRule="auto"/>
        <w:ind w:firstLine="480" w:firstLineChars="200"/>
        <w:jc w:val="both"/>
        <w:rPr>
          <w:rFonts w:hint="eastAsia" w:ascii="宋体" w:hAnsi="宋体" w:eastAsia="宋体" w:cs="Times New Roman"/>
          <w:b w:val="0"/>
          <w:bCs/>
          <w:color w:val="auto"/>
          <w:kern w:val="2"/>
          <w:sz w:val="24"/>
          <w:szCs w:val="24"/>
          <w:highlight w:val="none"/>
          <w:lang w:val="en-US" w:eastAsia="zh-CN" w:bidi="ar-SA"/>
        </w:rPr>
      </w:pPr>
      <w:r>
        <w:rPr>
          <w:rFonts w:hint="eastAsia" w:ascii="宋体" w:hAnsi="宋体" w:eastAsia="宋体" w:cs="Times New Roman"/>
          <w:b w:val="0"/>
          <w:bCs/>
          <w:color w:val="auto"/>
          <w:kern w:val="2"/>
          <w:sz w:val="24"/>
          <w:szCs w:val="24"/>
          <w:highlight w:val="none"/>
          <w:lang w:val="en-US" w:eastAsia="zh-CN" w:bidi="ar-SA"/>
        </w:rPr>
        <w:t>（2）投标人提供虚假材料骗取投标资格的；</w:t>
      </w:r>
    </w:p>
    <w:p w14:paraId="065215F9">
      <w:pPr>
        <w:pStyle w:val="27"/>
        <w:spacing w:before="0" w:beforeAutospacing="0" w:after="0" w:afterAutospacing="0" w:line="360" w:lineRule="auto"/>
        <w:ind w:firstLine="480" w:firstLineChars="200"/>
        <w:jc w:val="both"/>
        <w:rPr>
          <w:rFonts w:hint="eastAsia" w:ascii="宋体" w:hAnsi="宋体" w:eastAsia="宋体" w:cs="Times New Roman"/>
          <w:b w:val="0"/>
          <w:bCs/>
          <w:color w:val="auto"/>
          <w:kern w:val="2"/>
          <w:sz w:val="24"/>
          <w:szCs w:val="24"/>
          <w:highlight w:val="none"/>
          <w:lang w:val="en-US" w:eastAsia="zh-CN" w:bidi="ar-SA"/>
        </w:rPr>
      </w:pPr>
      <w:r>
        <w:rPr>
          <w:rFonts w:hint="eastAsia" w:ascii="宋体" w:hAnsi="宋体" w:eastAsia="宋体" w:cs="Times New Roman"/>
          <w:b w:val="0"/>
          <w:bCs/>
          <w:color w:val="auto"/>
          <w:kern w:val="2"/>
          <w:sz w:val="24"/>
          <w:szCs w:val="24"/>
          <w:highlight w:val="none"/>
          <w:lang w:val="en-US" w:eastAsia="zh-CN" w:bidi="ar-SA"/>
        </w:rPr>
        <w:t>（3）按第四章“评标办法及评分标准”规定应作无效标处理的；</w:t>
      </w:r>
    </w:p>
    <w:p w14:paraId="0E8FCC49">
      <w:pPr>
        <w:pStyle w:val="27"/>
        <w:spacing w:before="0" w:beforeAutospacing="0" w:after="0" w:afterAutospacing="0" w:line="360" w:lineRule="auto"/>
        <w:ind w:firstLine="480" w:firstLineChars="200"/>
        <w:jc w:val="both"/>
        <w:rPr>
          <w:rFonts w:hint="eastAsia" w:ascii="宋体" w:hAnsi="宋体" w:eastAsia="宋体" w:cs="Times New Roman"/>
          <w:b w:val="0"/>
          <w:bCs/>
          <w:color w:val="auto"/>
          <w:kern w:val="2"/>
          <w:sz w:val="24"/>
          <w:szCs w:val="24"/>
          <w:highlight w:val="none"/>
          <w:lang w:val="en-US" w:eastAsia="zh-CN" w:bidi="ar-SA"/>
        </w:rPr>
      </w:pPr>
      <w:r>
        <w:rPr>
          <w:rFonts w:hint="eastAsia" w:ascii="宋体" w:hAnsi="宋体" w:eastAsia="宋体" w:cs="Times New Roman"/>
          <w:b w:val="0"/>
          <w:bCs/>
          <w:color w:val="auto"/>
          <w:kern w:val="2"/>
          <w:sz w:val="24"/>
          <w:szCs w:val="24"/>
          <w:highlight w:val="none"/>
          <w:lang w:val="en-US" w:eastAsia="zh-CN" w:bidi="ar-SA"/>
        </w:rPr>
        <w:t>（4）法律法规规定作无效标处理的其它情形。</w:t>
      </w:r>
    </w:p>
    <w:p w14:paraId="409866BD">
      <w:pPr>
        <w:pStyle w:val="75"/>
        <w:spacing w:line="240" w:lineRule="auto"/>
        <w:ind w:left="0" w:firstLine="0"/>
        <w:rPr>
          <w:rFonts w:hint="default" w:ascii="宋体" w:hAnsi="宋体" w:eastAsia="宋体" w:cs="Times New Roman"/>
          <w:b/>
          <w:bCs/>
          <w:color w:val="auto"/>
          <w:kern w:val="2"/>
          <w:sz w:val="30"/>
          <w:szCs w:val="30"/>
          <w:highlight w:val="none"/>
          <w:lang w:val="en-US" w:eastAsia="zh-CN" w:bidi="ar-SA"/>
        </w:rPr>
      </w:pPr>
      <w:r>
        <w:rPr>
          <w:rFonts w:hint="default" w:ascii="宋体" w:hAnsi="宋体" w:eastAsia="宋体" w:cs="Times New Roman"/>
          <w:b/>
          <w:bCs/>
          <w:color w:val="auto"/>
          <w:kern w:val="2"/>
          <w:sz w:val="30"/>
          <w:szCs w:val="30"/>
          <w:highlight w:val="none"/>
          <w:lang w:val="en-US" w:eastAsia="zh-CN" w:bidi="ar-SA"/>
        </w:rPr>
        <w:t>七、中标通知书</w:t>
      </w:r>
      <w:bookmarkEnd w:id="8"/>
      <w:bookmarkEnd w:id="9"/>
      <w:bookmarkEnd w:id="10"/>
      <w:bookmarkEnd w:id="11"/>
      <w:bookmarkEnd w:id="12"/>
      <w:bookmarkEnd w:id="13"/>
      <w:bookmarkEnd w:id="14"/>
      <w:bookmarkEnd w:id="15"/>
      <w:bookmarkEnd w:id="16"/>
      <w:bookmarkEnd w:id="17"/>
      <w:bookmarkEnd w:id="18"/>
    </w:p>
    <w:p w14:paraId="37768FE6">
      <w:pPr>
        <w:pStyle w:val="27"/>
        <w:spacing w:before="0" w:beforeAutospacing="0" w:after="0" w:afterAutospacing="0" w:line="360" w:lineRule="auto"/>
        <w:ind w:firstLine="480" w:firstLineChars="200"/>
        <w:jc w:val="both"/>
        <w:rPr>
          <w:rFonts w:hint="eastAsia" w:ascii="宋体" w:hAnsi="宋体" w:eastAsia="宋体" w:cs="Times New Roman"/>
          <w:b w:val="0"/>
          <w:bCs/>
          <w:color w:val="auto"/>
          <w:kern w:val="2"/>
          <w:sz w:val="24"/>
          <w:szCs w:val="24"/>
          <w:highlight w:val="none"/>
          <w:lang w:val="en-US" w:eastAsia="zh-CN" w:bidi="ar-SA"/>
        </w:rPr>
      </w:pPr>
      <w:r>
        <w:rPr>
          <w:rFonts w:hint="eastAsia" w:ascii="宋体" w:hAnsi="宋体" w:eastAsia="宋体" w:cs="Times New Roman"/>
          <w:b w:val="0"/>
          <w:bCs/>
          <w:color w:val="auto"/>
          <w:kern w:val="2"/>
          <w:sz w:val="24"/>
          <w:szCs w:val="24"/>
          <w:highlight w:val="none"/>
          <w:lang w:val="en-US" w:eastAsia="zh-CN" w:bidi="ar-SA"/>
        </w:rPr>
        <w:t>1、招标人应当确定第一中标候选人为中标人。</w:t>
      </w:r>
    </w:p>
    <w:p w14:paraId="3BDC8E53">
      <w:pPr>
        <w:pStyle w:val="27"/>
        <w:spacing w:before="0" w:beforeAutospacing="0" w:after="0" w:afterAutospacing="0" w:line="360" w:lineRule="auto"/>
        <w:ind w:firstLine="480" w:firstLineChars="200"/>
        <w:jc w:val="both"/>
        <w:rPr>
          <w:rFonts w:hint="eastAsia" w:ascii="宋体" w:hAnsi="宋体" w:eastAsia="宋体" w:cs="Times New Roman"/>
          <w:b w:val="0"/>
          <w:bCs/>
          <w:color w:val="auto"/>
          <w:kern w:val="2"/>
          <w:sz w:val="24"/>
          <w:szCs w:val="24"/>
          <w:highlight w:val="none"/>
          <w:lang w:val="en-US" w:eastAsia="zh-CN" w:bidi="ar-SA"/>
        </w:rPr>
      </w:pPr>
      <w:r>
        <w:rPr>
          <w:rFonts w:hint="eastAsia" w:ascii="宋体" w:hAnsi="宋体" w:eastAsia="宋体" w:cs="Times New Roman"/>
          <w:b w:val="0"/>
          <w:bCs/>
          <w:color w:val="auto"/>
          <w:kern w:val="2"/>
          <w:sz w:val="24"/>
          <w:szCs w:val="24"/>
          <w:highlight w:val="none"/>
          <w:lang w:val="en-US" w:eastAsia="zh-CN" w:bidi="ar-SA"/>
        </w:rPr>
        <w:t>2、第一中标候选人放弃中标，或者因不可抗力提出不能履行合同，或者因违反本章第六条第3项规定造成其资格无效的，本次招标失败，重新组织招标。</w:t>
      </w:r>
    </w:p>
    <w:p w14:paraId="713C710D">
      <w:pPr>
        <w:pStyle w:val="27"/>
        <w:spacing w:before="0" w:beforeAutospacing="0" w:after="0" w:afterAutospacing="0" w:line="360" w:lineRule="auto"/>
        <w:ind w:firstLine="480" w:firstLineChars="200"/>
        <w:jc w:val="both"/>
        <w:rPr>
          <w:rFonts w:hint="eastAsia" w:ascii="宋体" w:hAnsi="宋体" w:eastAsia="宋体" w:cs="Times New Roman"/>
          <w:b w:val="0"/>
          <w:bCs/>
          <w:color w:val="auto"/>
          <w:kern w:val="2"/>
          <w:sz w:val="24"/>
          <w:szCs w:val="24"/>
          <w:highlight w:val="none"/>
          <w:lang w:val="en-US" w:eastAsia="zh-CN" w:bidi="ar-SA"/>
        </w:rPr>
      </w:pPr>
      <w:r>
        <w:rPr>
          <w:rFonts w:hint="eastAsia" w:ascii="宋体" w:hAnsi="宋体" w:eastAsia="宋体" w:cs="Times New Roman"/>
          <w:b w:val="0"/>
          <w:bCs/>
          <w:color w:val="auto"/>
          <w:kern w:val="2"/>
          <w:sz w:val="24"/>
          <w:szCs w:val="24"/>
          <w:highlight w:val="none"/>
          <w:lang w:val="en-US" w:eastAsia="zh-CN" w:bidi="ar-SA"/>
        </w:rPr>
        <w:t>3、中标人确定后，招标人应当向中标人发出《中标通知书》。</w:t>
      </w:r>
    </w:p>
    <w:p w14:paraId="675EB1CF">
      <w:pPr>
        <w:pStyle w:val="27"/>
        <w:spacing w:before="0" w:beforeAutospacing="0" w:after="0" w:afterAutospacing="0" w:line="360" w:lineRule="auto"/>
        <w:ind w:firstLine="480" w:firstLineChars="200"/>
        <w:jc w:val="both"/>
        <w:rPr>
          <w:rFonts w:hint="eastAsia" w:ascii="宋体" w:hAnsi="宋体" w:eastAsia="宋体" w:cs="Times New Roman"/>
          <w:b w:val="0"/>
          <w:bCs/>
          <w:color w:val="auto"/>
          <w:kern w:val="2"/>
          <w:sz w:val="24"/>
          <w:szCs w:val="24"/>
          <w:highlight w:val="none"/>
          <w:lang w:val="en-US" w:eastAsia="zh-CN" w:bidi="ar-SA"/>
        </w:rPr>
      </w:pPr>
      <w:r>
        <w:rPr>
          <w:rFonts w:hint="eastAsia" w:ascii="宋体" w:hAnsi="宋体" w:eastAsia="宋体" w:cs="Times New Roman"/>
          <w:b w:val="0"/>
          <w:bCs/>
          <w:color w:val="auto"/>
          <w:kern w:val="2"/>
          <w:sz w:val="24"/>
          <w:szCs w:val="24"/>
          <w:highlight w:val="none"/>
          <w:lang w:val="en-US" w:eastAsia="zh-CN" w:bidi="ar-SA"/>
        </w:rPr>
        <w:t>4、《中标通知书》对招标人和中标人具有法律约束力。《中标通知书》发出后，如中标人因违反法律法规规定而中标无效的，应承担相应的法律责任，本次招标失败，应重新组织招标。</w:t>
      </w:r>
    </w:p>
    <w:p w14:paraId="3A79982C">
      <w:pPr>
        <w:pStyle w:val="16"/>
        <w:snapToGrid w:val="0"/>
        <w:spacing w:before="120" w:beforeLines="0" w:after="120" w:afterLines="0" w:line="240" w:lineRule="auto"/>
        <w:rPr>
          <w:rFonts w:ascii="宋体" w:hAnsi="宋体" w:eastAsia="宋体" w:cs="Times New Roman"/>
          <w:b/>
          <w:bCs/>
          <w:color w:val="auto"/>
          <w:sz w:val="30"/>
          <w:szCs w:val="30"/>
          <w:highlight w:val="none"/>
        </w:rPr>
      </w:pPr>
      <w:r>
        <w:rPr>
          <w:rFonts w:hint="eastAsia" w:ascii="宋体" w:hAnsi="宋体" w:eastAsia="宋体" w:cs="Times New Roman"/>
          <w:b/>
          <w:bCs/>
          <w:color w:val="auto"/>
          <w:sz w:val="30"/>
          <w:szCs w:val="30"/>
          <w:highlight w:val="none"/>
          <w:lang w:val="en-US" w:eastAsia="zh-CN"/>
        </w:rPr>
        <w:t>八</w:t>
      </w:r>
      <w:r>
        <w:rPr>
          <w:rFonts w:ascii="宋体" w:hAnsi="宋体" w:eastAsia="宋体" w:cs="Times New Roman"/>
          <w:b/>
          <w:bCs/>
          <w:color w:val="auto"/>
          <w:sz w:val="30"/>
          <w:szCs w:val="30"/>
          <w:highlight w:val="none"/>
        </w:rPr>
        <w:t>、合同授予</w:t>
      </w:r>
    </w:p>
    <w:p w14:paraId="646E62C6">
      <w:pPr>
        <w:spacing w:line="360" w:lineRule="auto"/>
        <w:ind w:firstLine="480" w:firstLineChars="200"/>
        <w:rPr>
          <w:rFonts w:hAnsi="宋体"/>
          <w:b/>
          <w:color w:val="auto"/>
          <w:sz w:val="30"/>
          <w:szCs w:val="30"/>
          <w:highlight w:val="none"/>
        </w:rPr>
      </w:pPr>
      <w:r>
        <w:rPr>
          <w:rFonts w:hint="eastAsia" w:ascii="宋体" w:hAnsi="宋体" w:cs="宋体"/>
          <w:b/>
          <w:color w:val="auto"/>
          <w:sz w:val="24"/>
          <w:highlight w:val="none"/>
          <w:lang w:bidi="ar"/>
        </w:rPr>
        <w:t>（一）签订合同</w:t>
      </w:r>
    </w:p>
    <w:p w14:paraId="4BF9138B">
      <w:pPr>
        <w:pStyle w:val="27"/>
        <w:spacing w:before="0" w:beforeAutospacing="0" w:after="0" w:afterAutospacing="0" w:line="360" w:lineRule="auto"/>
        <w:ind w:firstLine="600" w:firstLineChars="250"/>
        <w:jc w:val="both"/>
        <w:rPr>
          <w:color w:val="auto"/>
          <w:highlight w:val="none"/>
        </w:rPr>
      </w:pPr>
      <w:r>
        <w:rPr>
          <w:color w:val="auto"/>
          <w:highlight w:val="none"/>
        </w:rPr>
        <w:t>1、</w:t>
      </w:r>
      <w:r>
        <w:rPr>
          <w:rFonts w:hint="eastAsia"/>
          <w:color w:val="auto"/>
          <w:highlight w:val="none"/>
          <w:lang w:val="en-US" w:eastAsia="zh-CN"/>
        </w:rPr>
        <w:t>招标</w:t>
      </w:r>
      <w:r>
        <w:rPr>
          <w:color w:val="auto"/>
          <w:highlight w:val="none"/>
        </w:rPr>
        <w:t>人应当自中标通知书发出之日起</w:t>
      </w:r>
      <w:r>
        <w:rPr>
          <w:b/>
          <w:bCs/>
          <w:color w:val="auto"/>
          <w:highlight w:val="none"/>
          <w:u w:val="single"/>
        </w:rPr>
        <w:t>30</w:t>
      </w:r>
      <w:r>
        <w:rPr>
          <w:color w:val="auto"/>
          <w:highlight w:val="none"/>
        </w:rPr>
        <w:t>日内，按照招标文件和中标人投标文件的规定，与中标人签订书面合同。所签订的合同不得对招标文件确定的事项和中标人投标文件作实质性修改。</w:t>
      </w:r>
    </w:p>
    <w:p w14:paraId="3C890868">
      <w:pPr>
        <w:pStyle w:val="27"/>
        <w:spacing w:before="0" w:beforeAutospacing="0" w:after="0" w:afterAutospacing="0" w:line="360" w:lineRule="auto"/>
        <w:ind w:firstLine="600" w:firstLineChars="250"/>
        <w:jc w:val="both"/>
        <w:rPr>
          <w:color w:val="auto"/>
          <w:highlight w:val="none"/>
        </w:rPr>
      </w:pPr>
      <w:r>
        <w:rPr>
          <w:color w:val="auto"/>
          <w:highlight w:val="none"/>
        </w:rPr>
        <w:t>2、</w:t>
      </w:r>
      <w:r>
        <w:rPr>
          <w:rFonts w:hint="eastAsia"/>
          <w:color w:val="auto"/>
          <w:highlight w:val="none"/>
          <w:lang w:val="en-US" w:eastAsia="zh-CN"/>
        </w:rPr>
        <w:t>招标</w:t>
      </w:r>
      <w:r>
        <w:rPr>
          <w:color w:val="auto"/>
          <w:highlight w:val="none"/>
        </w:rPr>
        <w:t>人不得向中标人提出任何不合理的要求作为签订合同的条件。</w:t>
      </w:r>
    </w:p>
    <w:p w14:paraId="6BC9177C">
      <w:pPr>
        <w:pStyle w:val="27"/>
        <w:spacing w:before="0" w:beforeAutospacing="0" w:after="0" w:afterAutospacing="0" w:line="360" w:lineRule="auto"/>
        <w:ind w:firstLine="600" w:firstLineChars="250"/>
        <w:jc w:val="both"/>
        <w:rPr>
          <w:color w:val="auto"/>
          <w:highlight w:val="none"/>
        </w:rPr>
      </w:pPr>
      <w:r>
        <w:rPr>
          <w:color w:val="auto"/>
          <w:highlight w:val="none"/>
        </w:rPr>
        <w:t>3、中标</w:t>
      </w:r>
      <w:r>
        <w:rPr>
          <w:rFonts w:hint="eastAsia"/>
          <w:color w:val="auto"/>
          <w:highlight w:val="none"/>
          <w:lang w:eastAsia="zh-CN"/>
        </w:rPr>
        <w:t>人</w:t>
      </w:r>
      <w:r>
        <w:rPr>
          <w:color w:val="auto"/>
          <w:highlight w:val="none"/>
        </w:rPr>
        <w:t>无故拖延、拒签合同的,投标保证金将不予退回并取消中标资格。</w:t>
      </w:r>
    </w:p>
    <w:p w14:paraId="6416BA1F">
      <w:pPr>
        <w:pStyle w:val="27"/>
        <w:spacing w:before="0" w:beforeAutospacing="0" w:after="0" w:afterAutospacing="0" w:line="360" w:lineRule="auto"/>
        <w:ind w:firstLine="600" w:firstLineChars="250"/>
        <w:jc w:val="both"/>
        <w:rPr>
          <w:color w:val="auto"/>
          <w:sz w:val="24"/>
          <w:szCs w:val="24"/>
          <w:highlight w:val="none"/>
        </w:rPr>
      </w:pPr>
      <w:r>
        <w:rPr>
          <w:color w:val="auto"/>
          <w:highlight w:val="none"/>
        </w:rPr>
        <w:t>4、中标</w:t>
      </w:r>
      <w:r>
        <w:rPr>
          <w:rFonts w:hint="eastAsia"/>
          <w:color w:val="auto"/>
          <w:highlight w:val="none"/>
          <w:lang w:eastAsia="zh-CN"/>
        </w:rPr>
        <w:t>人</w:t>
      </w:r>
      <w:r>
        <w:rPr>
          <w:color w:val="auto"/>
          <w:highlight w:val="none"/>
        </w:rPr>
        <w:t>拒绝与</w:t>
      </w:r>
      <w:r>
        <w:rPr>
          <w:rFonts w:hint="eastAsia"/>
          <w:color w:val="auto"/>
          <w:highlight w:val="none"/>
          <w:lang w:val="en-US" w:eastAsia="zh-CN"/>
        </w:rPr>
        <w:t>招标</w:t>
      </w:r>
      <w:r>
        <w:rPr>
          <w:color w:val="auto"/>
          <w:highlight w:val="none"/>
        </w:rPr>
        <w:t>人签订合同的，重新开展</w:t>
      </w:r>
      <w:r>
        <w:rPr>
          <w:rFonts w:hint="eastAsia"/>
          <w:color w:val="auto"/>
          <w:highlight w:val="none"/>
          <w:lang w:val="en-US" w:eastAsia="zh-CN"/>
        </w:rPr>
        <w:t>招标</w:t>
      </w:r>
      <w:r>
        <w:rPr>
          <w:color w:val="auto"/>
          <w:highlight w:val="none"/>
        </w:rPr>
        <w:t>活动。</w:t>
      </w:r>
    </w:p>
    <w:p w14:paraId="0776F3F0">
      <w:pPr>
        <w:numPr>
          <w:ilvl w:val="0"/>
          <w:numId w:val="0"/>
        </w:numPr>
        <w:tabs>
          <w:tab w:val="left" w:pos="0"/>
        </w:tabs>
        <w:spacing w:line="360" w:lineRule="auto"/>
        <w:ind w:left="0" w:leftChars="0" w:firstLine="0" w:firstLineChars="0"/>
        <w:jc w:val="center"/>
        <w:rPr>
          <w:rFonts w:hint="eastAsia" w:ascii="宋体"/>
          <w:b/>
          <w:color w:val="auto"/>
          <w:sz w:val="36"/>
          <w:szCs w:val="36"/>
          <w:highlight w:val="none"/>
        </w:rPr>
      </w:pPr>
      <w:r>
        <w:rPr>
          <w:color w:val="auto"/>
          <w:sz w:val="24"/>
          <w:szCs w:val="24"/>
          <w:highlight w:val="none"/>
        </w:rPr>
        <w:br w:type="page"/>
      </w:r>
      <w:bookmarkStart w:id="19" w:name="_Toc28048_WPSOffice_Level1"/>
      <w:r>
        <w:rPr>
          <w:rFonts w:hint="eastAsia" w:ascii="宋体" w:cs="Times New Roman"/>
          <w:b/>
          <w:color w:val="auto"/>
          <w:kern w:val="2"/>
          <w:sz w:val="36"/>
          <w:szCs w:val="36"/>
          <w:highlight w:val="none"/>
          <w:lang w:val="en-US" w:eastAsia="zh-CN" w:bidi="ar-SA"/>
        </w:rPr>
        <w:t xml:space="preserve">第三章 </w:t>
      </w:r>
      <w:r>
        <w:rPr>
          <w:rFonts w:hint="eastAsia" w:ascii="宋体"/>
          <w:b/>
          <w:color w:val="auto"/>
          <w:sz w:val="36"/>
          <w:szCs w:val="36"/>
          <w:highlight w:val="none"/>
        </w:rPr>
        <w:t>公开招标需求</w:t>
      </w:r>
      <w:bookmarkEnd w:id="19"/>
    </w:p>
    <w:p w14:paraId="3717A724">
      <w:pPr>
        <w:spacing w:line="480" w:lineRule="exact"/>
        <w:ind w:firstLine="315" w:firstLineChars="150"/>
        <w:outlineLvl w:val="1"/>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一、项目简介</w:t>
      </w:r>
    </w:p>
    <w:p w14:paraId="4DEDA8F0">
      <w:pPr>
        <w:spacing w:line="500" w:lineRule="exact"/>
        <w:ind w:firstLine="356"/>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本项目为台州湾陆岛联动综合码头工程（一期）</w:t>
      </w:r>
      <w:r>
        <w:rPr>
          <w:rFonts w:hint="eastAsia" w:ascii="宋体" w:hAnsi="宋体" w:eastAsia="宋体"/>
          <w:color w:val="auto"/>
          <w:sz w:val="21"/>
          <w:szCs w:val="21"/>
          <w:highlight w:val="none"/>
          <w:lang w:eastAsia="zh-CN"/>
        </w:rPr>
        <w:t>建筑工程一切险</w:t>
      </w:r>
      <w:r>
        <w:rPr>
          <w:rFonts w:hint="eastAsia" w:ascii="宋体" w:hAnsi="宋体" w:eastAsia="宋体"/>
          <w:color w:val="auto"/>
          <w:sz w:val="21"/>
          <w:szCs w:val="21"/>
          <w:highlight w:val="none"/>
        </w:rPr>
        <w:t>及安全生产责任险保险</w:t>
      </w:r>
      <w:r>
        <w:rPr>
          <w:rFonts w:hint="eastAsia" w:ascii="宋体" w:hAnsi="宋体" w:eastAsia="宋体"/>
          <w:color w:val="auto"/>
          <w:sz w:val="21"/>
          <w:szCs w:val="21"/>
          <w:highlight w:val="none"/>
          <w:lang w:eastAsia="zh-CN"/>
        </w:rPr>
        <w:t>报务。</w:t>
      </w:r>
    </w:p>
    <w:p w14:paraId="07B747AF">
      <w:pPr>
        <w:spacing w:line="480" w:lineRule="exact"/>
        <w:ind w:firstLine="315" w:firstLineChars="15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二、服务内容及服务期</w:t>
      </w:r>
    </w:p>
    <w:p w14:paraId="51190698">
      <w:pPr>
        <w:adjustRightInd w:val="0"/>
        <w:snapToGrid w:val="0"/>
        <w:spacing w:line="440" w:lineRule="exact"/>
        <w:ind w:firstLine="356"/>
        <w:rPr>
          <w:rFonts w:hint="eastAsia" w:ascii="宋体" w:hAnsi="宋体" w:eastAsia="宋体"/>
          <w:color w:val="auto"/>
          <w:sz w:val="21"/>
          <w:szCs w:val="21"/>
          <w:highlight w:val="none"/>
          <w:lang w:bidi="ar"/>
        </w:rPr>
      </w:pPr>
      <w:r>
        <w:rPr>
          <w:rFonts w:hint="eastAsia" w:ascii="宋体" w:hAnsi="宋体" w:eastAsia="宋体"/>
          <w:color w:val="auto"/>
          <w:sz w:val="21"/>
          <w:szCs w:val="21"/>
          <w:highlight w:val="none"/>
          <w:lang w:bidi="ar"/>
        </w:rPr>
        <w:t>1、本项目保险服务内容及范围：</w:t>
      </w:r>
    </w:p>
    <w:p w14:paraId="06C7DFCF">
      <w:pPr>
        <w:adjustRightInd w:val="0"/>
        <w:snapToGrid w:val="0"/>
        <w:spacing w:line="440" w:lineRule="exact"/>
        <w:ind w:firstLine="356"/>
        <w:rPr>
          <w:rFonts w:hint="eastAsia" w:ascii="宋体" w:hAnsi="宋体" w:eastAsia="宋体"/>
          <w:color w:val="auto"/>
          <w:sz w:val="21"/>
          <w:szCs w:val="21"/>
          <w:highlight w:val="none"/>
          <w:lang w:bidi="ar"/>
        </w:rPr>
      </w:pPr>
      <w:r>
        <w:rPr>
          <w:rFonts w:hint="eastAsia" w:ascii="宋体" w:hAnsi="宋体" w:eastAsia="宋体"/>
          <w:color w:val="auto"/>
          <w:sz w:val="21"/>
          <w:szCs w:val="21"/>
          <w:highlight w:val="none"/>
          <w:lang w:bidi="ar"/>
        </w:rPr>
        <w:t>本次招标的台州湾陆岛联动综合码头工程（一期）</w:t>
      </w:r>
      <w:r>
        <w:rPr>
          <w:rFonts w:hint="eastAsia" w:ascii="宋体" w:hAnsi="宋体" w:eastAsia="宋体"/>
          <w:color w:val="auto"/>
          <w:sz w:val="21"/>
          <w:szCs w:val="21"/>
          <w:highlight w:val="none"/>
          <w:lang w:eastAsia="zh-CN" w:bidi="ar"/>
        </w:rPr>
        <w:t>建筑工程一切险</w:t>
      </w:r>
      <w:r>
        <w:rPr>
          <w:rFonts w:hint="eastAsia" w:ascii="宋体" w:hAnsi="宋体" w:eastAsia="宋体"/>
          <w:color w:val="auto"/>
          <w:sz w:val="21"/>
          <w:szCs w:val="21"/>
          <w:highlight w:val="none"/>
          <w:lang w:bidi="ar"/>
        </w:rPr>
        <w:t>及安全生产责任险保险。</w:t>
      </w:r>
    </w:p>
    <w:p w14:paraId="40792E3B">
      <w:pPr>
        <w:adjustRightInd w:val="0"/>
        <w:snapToGrid w:val="0"/>
        <w:spacing w:line="440" w:lineRule="exact"/>
        <w:ind w:firstLine="356"/>
        <w:rPr>
          <w:rFonts w:hint="eastAsia" w:ascii="宋体" w:hAnsi="宋体" w:eastAsia="宋体"/>
          <w:color w:val="auto"/>
          <w:sz w:val="21"/>
          <w:szCs w:val="21"/>
          <w:highlight w:val="none"/>
          <w:lang w:eastAsia="zh-CN" w:bidi="ar"/>
        </w:rPr>
      </w:pPr>
      <w:r>
        <w:rPr>
          <w:rFonts w:hint="eastAsia" w:ascii="宋体" w:hAnsi="宋体" w:eastAsia="宋体"/>
          <w:color w:val="auto"/>
          <w:sz w:val="21"/>
          <w:szCs w:val="21"/>
          <w:highlight w:val="none"/>
          <w:lang w:bidi="ar"/>
        </w:rPr>
        <w:t>建筑工程施工：码头及引桥（包括客运泊位、滚装泊位、通用泊位一期工程即第一至第四结构段、长约5.5km的引桥）、引桥亮化美化工程、交通安全设施、生产辅助建筑物及配套工程（给排水、消防、供电、照明、节能、控制、通信等）、疏浚工程、大桥被动防碰撞设施、导助航工程等实施、完成及缺陷修复（不包括装卸工艺、滚装泊位的钢吊桥系统、水上监控预警系统、大桥主动防碰撞系统）。</w:t>
      </w:r>
      <w:r>
        <w:rPr>
          <w:rFonts w:hint="eastAsia" w:ascii="宋体" w:hAnsi="宋体" w:eastAsia="宋体"/>
          <w:color w:val="auto"/>
          <w:sz w:val="21"/>
          <w:szCs w:val="21"/>
          <w:highlight w:val="none"/>
          <w:lang w:val="en-US" w:eastAsia="zh-CN" w:bidi="ar"/>
        </w:rPr>
        <w:t>本项目</w:t>
      </w:r>
      <w:r>
        <w:rPr>
          <w:rFonts w:hint="eastAsia" w:ascii="宋体" w:hAnsi="宋体" w:eastAsia="宋体"/>
          <w:color w:val="auto"/>
          <w:sz w:val="21"/>
          <w:szCs w:val="21"/>
          <w:highlight w:val="none"/>
          <w:lang w:bidi="ar"/>
        </w:rPr>
        <w:t>含甲供材料运输及安装</w:t>
      </w:r>
      <w:r>
        <w:rPr>
          <w:rFonts w:hint="eastAsia" w:ascii="宋体" w:hAnsi="宋体" w:eastAsia="宋体"/>
          <w:color w:val="auto"/>
          <w:sz w:val="21"/>
          <w:szCs w:val="21"/>
          <w:highlight w:val="none"/>
          <w:lang w:eastAsia="zh-CN" w:bidi="ar"/>
        </w:rPr>
        <w:t>。</w:t>
      </w:r>
    </w:p>
    <w:p w14:paraId="6E980887">
      <w:pPr>
        <w:adjustRightInd w:val="0"/>
        <w:snapToGrid w:val="0"/>
        <w:spacing w:line="440" w:lineRule="exact"/>
        <w:ind w:firstLine="356"/>
        <w:rPr>
          <w:rFonts w:hint="eastAsia" w:ascii="宋体" w:hAnsi="宋体" w:eastAsia="宋体"/>
          <w:color w:val="auto"/>
          <w:sz w:val="21"/>
          <w:szCs w:val="21"/>
          <w:highlight w:val="none"/>
          <w:lang w:bidi="ar"/>
        </w:rPr>
      </w:pPr>
      <w:r>
        <w:rPr>
          <w:rFonts w:hint="eastAsia" w:ascii="宋体" w:hAnsi="宋体" w:eastAsia="宋体"/>
          <w:color w:val="auto"/>
          <w:sz w:val="21"/>
          <w:szCs w:val="21"/>
          <w:highlight w:val="none"/>
          <w:lang w:bidi="ar"/>
        </w:rPr>
        <w:t>2、服务期限</w:t>
      </w:r>
    </w:p>
    <w:p w14:paraId="335A0C2F">
      <w:pPr>
        <w:spacing w:line="360" w:lineRule="auto"/>
        <w:ind w:firstLine="420" w:firstLineChars="200"/>
        <w:rPr>
          <w:rFonts w:hint="eastAsia" w:ascii="宋体" w:cs="宋体"/>
          <w:b/>
          <w:bCs/>
          <w:color w:val="auto"/>
          <w:sz w:val="24"/>
          <w:highlight w:val="none"/>
          <w:lang w:val="en-US" w:eastAsia="zh-CN"/>
        </w:rPr>
      </w:pPr>
      <w:r>
        <w:rPr>
          <w:rFonts w:hint="eastAsia" w:eastAsia="宋体" w:cs="宋体"/>
          <w:bCs/>
          <w:color w:val="auto"/>
          <w:sz w:val="21"/>
          <w:szCs w:val="21"/>
          <w:highlight w:val="none"/>
        </w:rPr>
        <w:t>（</w:t>
      </w:r>
      <w:r>
        <w:rPr>
          <w:rFonts w:hint="eastAsia" w:eastAsia="宋体" w:cs="宋体"/>
          <w:bCs/>
          <w:color w:val="auto"/>
          <w:sz w:val="21"/>
          <w:szCs w:val="21"/>
          <w:highlight w:val="none"/>
          <w:lang w:val="en-US" w:eastAsia="zh-CN"/>
        </w:rPr>
        <w:t>1</w:t>
      </w:r>
      <w:r>
        <w:rPr>
          <w:rFonts w:hint="eastAsia" w:eastAsia="宋体" w:cs="宋体"/>
          <w:bCs/>
          <w:color w:val="auto"/>
          <w:sz w:val="21"/>
          <w:szCs w:val="21"/>
          <w:highlight w:val="none"/>
        </w:rPr>
        <w:t>）</w:t>
      </w:r>
      <w:r>
        <w:rPr>
          <w:rFonts w:hint="eastAsia" w:ascii="宋体" w:cs="宋体"/>
          <w:b/>
          <w:bCs/>
          <w:color w:val="auto"/>
          <w:sz w:val="24"/>
          <w:highlight w:val="none"/>
          <w:lang w:val="en-US" w:eastAsia="zh-CN"/>
        </w:rPr>
        <w:t>建筑工程一切险及安全生产责任险保险期限：</w:t>
      </w:r>
    </w:p>
    <w:p w14:paraId="40698912">
      <w:pPr>
        <w:spacing w:line="360" w:lineRule="auto"/>
        <w:ind w:firstLine="480" w:firstLineChars="200"/>
        <w:rPr>
          <w:rFonts w:hint="eastAsia" w:ascii="宋体" w:hAnsi="Times New Roman" w:eastAsia="宋体" w:cs="宋体"/>
          <w:b/>
          <w:bCs/>
          <w:color w:val="auto"/>
          <w:sz w:val="24"/>
          <w:highlight w:val="none"/>
          <w:lang w:val="en-US" w:eastAsia="zh-CN"/>
        </w:rPr>
      </w:pPr>
      <w:r>
        <w:rPr>
          <w:rFonts w:hint="eastAsia" w:ascii="宋体" w:cs="宋体"/>
          <w:b/>
          <w:bCs/>
          <w:color w:val="auto"/>
          <w:sz w:val="24"/>
          <w:highlight w:val="none"/>
          <w:lang w:val="en-US" w:eastAsia="zh-CN"/>
        </w:rPr>
        <w:t>自本保险合同签订之日起至本工程竣工验收合格之日止，保险服务期为30个月。如遇工期延期，本保险期限将免费延期12个月，且不加收任何附加保险费，被保险人须提前30天通知保险人。如在免费延期12个月后仍未完工，投保人在缴纳本保险合同项下按日比例计算的保险费后，保险期限可以继续延长。超过12个月部分的保费=本项目建筑工程一切险保险金额（815892366元）×（建筑工程一切险保</w:t>
      </w:r>
      <w:r>
        <w:rPr>
          <w:rFonts w:hint="eastAsia" w:ascii="宋体" w:hAnsi="Times New Roman" w:eastAsia="宋体" w:cs="宋体"/>
          <w:b/>
          <w:bCs/>
          <w:color w:val="auto"/>
          <w:sz w:val="24"/>
          <w:highlight w:val="none"/>
          <w:lang w:val="en-US" w:eastAsia="zh-CN"/>
        </w:rPr>
        <w:t>险费率+安全生产责任险</w:t>
      </w:r>
      <w:r>
        <w:rPr>
          <w:rFonts w:hint="eastAsia" w:ascii="宋体" w:cs="宋体"/>
          <w:b/>
          <w:bCs/>
          <w:color w:val="auto"/>
          <w:sz w:val="24"/>
          <w:highlight w:val="none"/>
          <w:lang w:val="en-US" w:eastAsia="zh-CN"/>
        </w:rPr>
        <w:t>保</w:t>
      </w:r>
      <w:r>
        <w:rPr>
          <w:rFonts w:hint="eastAsia" w:ascii="宋体" w:hAnsi="Times New Roman" w:eastAsia="宋体" w:cs="宋体"/>
          <w:b/>
          <w:bCs/>
          <w:color w:val="auto"/>
          <w:sz w:val="24"/>
          <w:highlight w:val="none"/>
          <w:lang w:val="en-US" w:eastAsia="zh-CN"/>
        </w:rPr>
        <w:t>险费率）×（延期时间-365天）/900天。</w:t>
      </w:r>
    </w:p>
    <w:p w14:paraId="3C4580F6">
      <w:pPr>
        <w:spacing w:line="360" w:lineRule="auto"/>
        <w:ind w:firstLine="420" w:firstLineChars="200"/>
        <w:rPr>
          <w:rFonts w:eastAsia="宋体" w:cs="宋体"/>
          <w:bCs/>
          <w:color w:val="auto"/>
          <w:sz w:val="21"/>
          <w:szCs w:val="21"/>
          <w:highlight w:val="none"/>
        </w:rPr>
      </w:pPr>
      <w:r>
        <w:rPr>
          <w:rFonts w:hint="eastAsia" w:eastAsia="宋体" w:cs="宋体"/>
          <w:bCs/>
          <w:color w:val="auto"/>
          <w:sz w:val="21"/>
          <w:szCs w:val="21"/>
          <w:highlight w:val="none"/>
        </w:rPr>
        <w:t>（</w:t>
      </w:r>
      <w:r>
        <w:rPr>
          <w:rFonts w:hint="eastAsia" w:eastAsia="宋体" w:cs="宋体"/>
          <w:bCs/>
          <w:color w:val="auto"/>
          <w:sz w:val="21"/>
          <w:szCs w:val="21"/>
          <w:highlight w:val="none"/>
          <w:lang w:val="en-US" w:eastAsia="zh-CN"/>
        </w:rPr>
        <w:t>2</w:t>
      </w:r>
      <w:r>
        <w:rPr>
          <w:rFonts w:hint="eastAsia" w:eastAsia="宋体" w:cs="宋体"/>
          <w:bCs/>
          <w:color w:val="auto"/>
          <w:sz w:val="21"/>
          <w:szCs w:val="21"/>
          <w:highlight w:val="none"/>
        </w:rPr>
        <w:t>）</w:t>
      </w:r>
      <w:r>
        <w:rPr>
          <w:rFonts w:hint="eastAsia" w:eastAsia="宋体" w:cs="宋体"/>
          <w:bCs/>
          <w:color w:val="auto"/>
          <w:sz w:val="21"/>
          <w:szCs w:val="21"/>
          <w:highlight w:val="none"/>
          <w:lang w:eastAsia="zh-CN"/>
        </w:rPr>
        <w:t>建筑工程一切险</w:t>
      </w:r>
      <w:r>
        <w:rPr>
          <w:rFonts w:hint="eastAsia" w:eastAsia="宋体" w:cs="宋体"/>
          <w:bCs/>
          <w:color w:val="auto"/>
          <w:sz w:val="21"/>
          <w:szCs w:val="21"/>
          <w:highlight w:val="none"/>
        </w:rPr>
        <w:t>及安全生产责任险保证期：</w:t>
      </w:r>
    </w:p>
    <w:p w14:paraId="229DFFFA">
      <w:pPr>
        <w:adjustRightInd w:val="0"/>
        <w:snapToGrid w:val="0"/>
        <w:spacing w:line="440" w:lineRule="exact"/>
        <w:ind w:firstLine="420" w:firstLineChars="200"/>
        <w:rPr>
          <w:rFonts w:hint="eastAsia" w:eastAsia="宋体" w:cs="宋体"/>
          <w:bCs/>
          <w:color w:val="auto"/>
          <w:sz w:val="21"/>
          <w:szCs w:val="21"/>
          <w:highlight w:val="none"/>
        </w:rPr>
      </w:pPr>
      <w:r>
        <w:rPr>
          <w:rFonts w:hint="eastAsia" w:eastAsia="宋体" w:cs="宋体"/>
          <w:bCs/>
          <w:color w:val="auto"/>
          <w:sz w:val="21"/>
          <w:szCs w:val="21"/>
          <w:highlight w:val="none"/>
        </w:rPr>
        <w:t>本工程竣工验收合格之日起至本工程缺陷责任期终止证书颁发之日止，预计</w:t>
      </w:r>
      <w:r>
        <w:rPr>
          <w:rFonts w:hint="eastAsia" w:eastAsia="宋体" w:cs="宋体"/>
          <w:bCs/>
          <w:color w:val="auto"/>
          <w:sz w:val="21"/>
          <w:szCs w:val="21"/>
          <w:highlight w:val="none"/>
          <w:lang w:val="en-US" w:eastAsia="zh-CN"/>
        </w:rPr>
        <w:t>12</w:t>
      </w:r>
      <w:r>
        <w:rPr>
          <w:rFonts w:hint="eastAsia" w:eastAsia="宋体" w:cs="宋体"/>
          <w:bCs/>
          <w:color w:val="auto"/>
          <w:sz w:val="21"/>
          <w:szCs w:val="21"/>
          <w:highlight w:val="none"/>
        </w:rPr>
        <w:t>个月。如遇工期延期，则保证期相应顺延。</w:t>
      </w:r>
    </w:p>
    <w:p w14:paraId="2BE38284">
      <w:pPr>
        <w:adjustRightInd w:val="0"/>
        <w:snapToGrid w:val="0"/>
        <w:spacing w:line="440" w:lineRule="exact"/>
        <w:ind w:firstLine="356"/>
        <w:rPr>
          <w:rFonts w:hint="eastAsia" w:ascii="宋体" w:hAnsi="宋体" w:eastAsia="宋体"/>
          <w:color w:val="auto"/>
          <w:sz w:val="21"/>
          <w:szCs w:val="21"/>
          <w:highlight w:val="none"/>
          <w:lang w:bidi="ar"/>
        </w:rPr>
      </w:pPr>
      <w:r>
        <w:rPr>
          <w:rFonts w:hint="eastAsia" w:ascii="宋体" w:hAnsi="宋体" w:eastAsia="宋体"/>
          <w:color w:val="auto"/>
          <w:sz w:val="21"/>
          <w:szCs w:val="21"/>
          <w:highlight w:val="none"/>
          <w:lang w:bidi="ar"/>
        </w:rPr>
        <w:t>3、保险方案</w:t>
      </w:r>
    </w:p>
    <w:p w14:paraId="606F9EF0">
      <w:pPr>
        <w:adjustRightInd w:val="0"/>
        <w:snapToGrid w:val="0"/>
        <w:spacing w:line="440" w:lineRule="exact"/>
        <w:ind w:firstLine="356"/>
        <w:rPr>
          <w:rFonts w:hint="eastAsia" w:ascii="宋体" w:hAnsi="宋体" w:eastAsia="宋体"/>
          <w:color w:val="auto"/>
          <w:sz w:val="21"/>
          <w:szCs w:val="21"/>
          <w:highlight w:val="none"/>
          <w:lang w:bidi="ar"/>
        </w:rPr>
      </w:pPr>
      <w:r>
        <w:rPr>
          <w:rFonts w:hint="eastAsia" w:ascii="宋体" w:hAnsi="宋体" w:eastAsia="宋体"/>
          <w:color w:val="auto"/>
          <w:sz w:val="21"/>
          <w:szCs w:val="21"/>
          <w:highlight w:val="none"/>
          <w:lang w:bidi="ar"/>
        </w:rPr>
        <w:t>见第</w:t>
      </w:r>
      <w:r>
        <w:rPr>
          <w:rFonts w:hint="eastAsia" w:ascii="宋体" w:hAnsi="宋体" w:eastAsia="宋体"/>
          <w:color w:val="auto"/>
          <w:sz w:val="21"/>
          <w:szCs w:val="21"/>
          <w:highlight w:val="none"/>
          <w:lang w:val="en-US" w:eastAsia="zh-CN" w:bidi="ar"/>
        </w:rPr>
        <w:t>五</w:t>
      </w:r>
      <w:r>
        <w:rPr>
          <w:rFonts w:hint="eastAsia" w:ascii="宋体" w:hAnsi="宋体" w:eastAsia="宋体"/>
          <w:color w:val="auto"/>
          <w:sz w:val="21"/>
          <w:szCs w:val="21"/>
          <w:highlight w:val="none"/>
          <w:lang w:bidi="ar"/>
        </w:rPr>
        <w:t>章合同条款及格式。</w:t>
      </w:r>
    </w:p>
    <w:p w14:paraId="64DFD3EC">
      <w:pPr>
        <w:spacing w:line="480" w:lineRule="exact"/>
        <w:ind w:firstLine="315" w:firstLineChars="15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三、其他要求</w:t>
      </w:r>
    </w:p>
    <w:p w14:paraId="1E89C7A9">
      <w:pPr>
        <w:adjustRightInd w:val="0"/>
        <w:snapToGrid w:val="0"/>
        <w:spacing w:line="440" w:lineRule="exact"/>
        <w:ind w:firstLine="356"/>
        <w:rPr>
          <w:rFonts w:hint="eastAsia" w:ascii="宋体" w:hAnsi="宋体" w:eastAsia="宋体"/>
          <w:color w:val="auto"/>
          <w:sz w:val="21"/>
          <w:szCs w:val="21"/>
          <w:highlight w:val="none"/>
          <w:lang w:bidi="ar"/>
        </w:rPr>
      </w:pPr>
      <w:r>
        <w:rPr>
          <w:rFonts w:hint="eastAsia" w:ascii="宋体" w:hAnsi="宋体" w:eastAsia="宋体"/>
          <w:color w:val="auto"/>
          <w:sz w:val="21"/>
          <w:szCs w:val="21"/>
          <w:highlight w:val="none"/>
          <w:lang w:bidi="ar"/>
        </w:rPr>
        <w:t>1、首席保险人为本项目的拟中标单位，全面负责一切对招标人之服务(包括承保、出单、 收取/划拨保险费、风险管控和理赔)和共保人协调工作。</w:t>
      </w:r>
    </w:p>
    <w:p w14:paraId="67F6F8E8">
      <w:pPr>
        <w:adjustRightInd w:val="0"/>
        <w:snapToGrid w:val="0"/>
        <w:spacing w:line="440" w:lineRule="exact"/>
        <w:ind w:firstLine="356"/>
        <w:rPr>
          <w:rFonts w:hint="eastAsia" w:ascii="宋体" w:hAnsi="宋体" w:eastAsia="宋体"/>
          <w:color w:val="auto"/>
          <w:sz w:val="21"/>
          <w:szCs w:val="21"/>
          <w:highlight w:val="none"/>
          <w:lang w:bidi="ar"/>
        </w:rPr>
      </w:pPr>
      <w:r>
        <w:rPr>
          <w:rFonts w:hint="eastAsia" w:ascii="宋体" w:hAnsi="宋体" w:eastAsia="宋体"/>
          <w:color w:val="auto"/>
          <w:sz w:val="21"/>
          <w:szCs w:val="21"/>
          <w:highlight w:val="none"/>
          <w:lang w:bidi="ar"/>
        </w:rPr>
        <w:t>本保险合同项下的保险由首席保险人和各共同保险人按比例共同承保， 一旦发生保险事 故， 首先由首席保险人无条件优先履行全部赔偿， 首席保险人对共同保险人享有请求权。各 保险人承担的保险责任， 按各保险人承保比例计算。保险费、赔款和共保各方共同确定的费 用支出由共保各方按共保比例分享和承担。首席保险人具体负责与投保人的联系以及办理承 保、防灾、理赔(包括确定赔偿金额) 等保险事务， 共同保险人有权参与上述事务。若共保 人意见不同的，以首席保险人的意见为准， 作为保险人的最终意见。若共保人之间产生争议的，其他各方概不负责。</w:t>
      </w:r>
    </w:p>
    <w:p w14:paraId="7C18FB8D">
      <w:pPr>
        <w:spacing w:line="360" w:lineRule="auto"/>
        <w:rPr>
          <w:rFonts w:hint="eastAsia" w:ascii="宋体" w:cs="宋体"/>
          <w:color w:val="auto"/>
          <w:sz w:val="21"/>
          <w:szCs w:val="21"/>
          <w:highlight w:val="none"/>
        </w:rPr>
      </w:pPr>
    </w:p>
    <w:p w14:paraId="23934A2D">
      <w:pPr>
        <w:numPr>
          <w:ilvl w:val="0"/>
          <w:numId w:val="0"/>
        </w:numPr>
        <w:tabs>
          <w:tab w:val="left" w:pos="0"/>
        </w:tabs>
        <w:spacing w:line="360" w:lineRule="auto"/>
        <w:ind w:left="0" w:leftChars="0" w:firstLine="0" w:firstLineChars="0"/>
        <w:jc w:val="center"/>
        <w:rPr>
          <w:rFonts w:hint="eastAsia" w:ascii="宋体" w:hAnsi="Times New Roman" w:eastAsia="宋体" w:cs="Times New Roman"/>
          <w:b/>
          <w:color w:val="auto"/>
          <w:kern w:val="2"/>
          <w:sz w:val="36"/>
          <w:szCs w:val="36"/>
          <w:highlight w:val="none"/>
          <w:lang w:val="en-US" w:eastAsia="zh-CN" w:bidi="ar-SA"/>
        </w:rPr>
      </w:pPr>
    </w:p>
    <w:p w14:paraId="7949A071">
      <w:pPr>
        <w:numPr>
          <w:ilvl w:val="0"/>
          <w:numId w:val="0"/>
        </w:numPr>
        <w:tabs>
          <w:tab w:val="left" w:pos="0"/>
        </w:tabs>
        <w:spacing w:line="360" w:lineRule="auto"/>
        <w:ind w:left="0" w:leftChars="0" w:firstLine="0" w:firstLineChars="0"/>
        <w:jc w:val="center"/>
        <w:rPr>
          <w:rFonts w:hint="eastAsia" w:ascii="宋体" w:hAnsi="Times New Roman" w:eastAsia="宋体" w:cs="Times New Roman"/>
          <w:b/>
          <w:color w:val="auto"/>
          <w:kern w:val="2"/>
          <w:sz w:val="36"/>
          <w:szCs w:val="36"/>
          <w:highlight w:val="none"/>
          <w:lang w:val="en-US" w:eastAsia="zh-CN" w:bidi="ar-SA"/>
        </w:rPr>
      </w:pPr>
    </w:p>
    <w:p w14:paraId="555D0B0A">
      <w:pPr>
        <w:rPr>
          <w:rFonts w:hint="eastAsia"/>
          <w:color w:val="auto"/>
          <w:highlight w:val="none"/>
          <w:lang w:val="en-US" w:eastAsia="zh-CN"/>
        </w:rPr>
      </w:pPr>
    </w:p>
    <w:p w14:paraId="77D11C45">
      <w:pPr>
        <w:rPr>
          <w:rFonts w:hint="eastAsia"/>
          <w:color w:val="auto"/>
          <w:highlight w:val="none"/>
          <w:lang w:val="en-US" w:eastAsia="zh-CN"/>
        </w:rPr>
      </w:pPr>
    </w:p>
    <w:p w14:paraId="21A061F3">
      <w:pPr>
        <w:rPr>
          <w:rFonts w:hint="eastAsia"/>
          <w:color w:val="auto"/>
          <w:highlight w:val="none"/>
          <w:lang w:val="en-US" w:eastAsia="zh-CN"/>
        </w:rPr>
      </w:pPr>
    </w:p>
    <w:p w14:paraId="756DED74">
      <w:pPr>
        <w:rPr>
          <w:rFonts w:hint="eastAsia"/>
          <w:color w:val="auto"/>
          <w:highlight w:val="none"/>
          <w:lang w:val="en-US" w:eastAsia="zh-CN"/>
        </w:rPr>
      </w:pPr>
    </w:p>
    <w:p w14:paraId="5C108A2A">
      <w:pPr>
        <w:rPr>
          <w:rFonts w:hint="eastAsia"/>
          <w:color w:val="auto"/>
          <w:highlight w:val="none"/>
          <w:lang w:val="en-US" w:eastAsia="zh-CN"/>
        </w:rPr>
      </w:pPr>
    </w:p>
    <w:p w14:paraId="5565632C">
      <w:pPr>
        <w:rPr>
          <w:rFonts w:hint="eastAsia"/>
          <w:color w:val="auto"/>
          <w:highlight w:val="none"/>
          <w:lang w:val="en-US" w:eastAsia="zh-CN"/>
        </w:rPr>
      </w:pPr>
    </w:p>
    <w:p w14:paraId="5696FC36">
      <w:pPr>
        <w:numPr>
          <w:ilvl w:val="0"/>
          <w:numId w:val="0"/>
        </w:numPr>
        <w:tabs>
          <w:tab w:val="left" w:pos="0"/>
        </w:tabs>
        <w:spacing w:line="360" w:lineRule="auto"/>
        <w:ind w:left="0" w:leftChars="0" w:firstLine="0" w:firstLineChars="0"/>
        <w:jc w:val="center"/>
        <w:rPr>
          <w:rFonts w:hint="eastAsia" w:ascii="宋体" w:hAnsi="Times New Roman" w:eastAsia="宋体" w:cs="Times New Roman"/>
          <w:b/>
          <w:color w:val="auto"/>
          <w:kern w:val="2"/>
          <w:sz w:val="36"/>
          <w:szCs w:val="36"/>
          <w:highlight w:val="none"/>
          <w:lang w:val="en-US" w:eastAsia="zh-CN" w:bidi="ar-SA"/>
        </w:rPr>
        <w:sectPr>
          <w:headerReference r:id="rId8" w:type="default"/>
          <w:footerReference r:id="rId9" w:type="default"/>
          <w:pgSz w:w="11906" w:h="16838"/>
          <w:pgMar w:top="1440" w:right="1800" w:bottom="1440" w:left="1800" w:header="851" w:footer="992" w:gutter="0"/>
          <w:pgNumType w:fmt="numberInDash"/>
          <w:cols w:space="720" w:num="1"/>
          <w:docGrid w:type="lines" w:linePitch="312" w:charSpace="0"/>
        </w:sectPr>
      </w:pPr>
    </w:p>
    <w:p w14:paraId="30B41A1F">
      <w:pPr>
        <w:numPr>
          <w:ilvl w:val="0"/>
          <w:numId w:val="0"/>
        </w:numPr>
        <w:tabs>
          <w:tab w:val="left" w:pos="0"/>
        </w:tabs>
        <w:spacing w:line="360" w:lineRule="auto"/>
        <w:ind w:left="0" w:leftChars="0" w:firstLine="0" w:firstLineChars="0"/>
        <w:jc w:val="center"/>
        <w:rPr>
          <w:rFonts w:hint="eastAsia" w:ascii="宋体" w:hAnsi="Times New Roman" w:eastAsia="宋体" w:cs="Times New Roman"/>
          <w:b/>
          <w:color w:val="auto"/>
          <w:sz w:val="36"/>
          <w:szCs w:val="36"/>
          <w:highlight w:val="none"/>
        </w:rPr>
      </w:pPr>
      <w:bookmarkStart w:id="20" w:name="_Toc29458_WPSOffice_Level1"/>
      <w:r>
        <w:rPr>
          <w:rFonts w:hint="eastAsia" w:ascii="宋体" w:hAnsi="Times New Roman" w:eastAsia="宋体" w:cs="Times New Roman"/>
          <w:b/>
          <w:color w:val="auto"/>
          <w:kern w:val="2"/>
          <w:sz w:val="36"/>
          <w:szCs w:val="36"/>
          <w:highlight w:val="none"/>
          <w:lang w:val="en-US" w:eastAsia="zh-CN" w:bidi="ar-SA"/>
        </w:rPr>
        <w:t xml:space="preserve">第四章 </w:t>
      </w:r>
      <w:r>
        <w:rPr>
          <w:rFonts w:hint="eastAsia" w:ascii="宋体" w:hAnsi="Times New Roman" w:eastAsia="宋体" w:cs="Times New Roman"/>
          <w:b/>
          <w:color w:val="auto"/>
          <w:sz w:val="36"/>
          <w:szCs w:val="36"/>
          <w:highlight w:val="none"/>
        </w:rPr>
        <w:t>评标办法及评分标准</w:t>
      </w:r>
      <w:bookmarkEnd w:id="20"/>
    </w:p>
    <w:p w14:paraId="2B1D05B9">
      <w:pPr>
        <w:spacing w:before="120" w:beforeLines="50" w:after="120" w:afterLines="50" w:line="360" w:lineRule="auto"/>
        <w:rPr>
          <w:rFonts w:hint="eastAsia" w:ascii="宋体" w:hAnsi="宋体" w:cs="宋体"/>
          <w:b/>
          <w:color w:val="auto"/>
          <w:sz w:val="24"/>
          <w:highlight w:val="none"/>
        </w:rPr>
      </w:pPr>
      <w:r>
        <w:rPr>
          <w:rFonts w:hint="eastAsia" w:ascii="宋体" w:hAnsi="宋体" w:cs="宋体"/>
          <w:b/>
          <w:color w:val="auto"/>
          <w:sz w:val="24"/>
          <w:highlight w:val="none"/>
        </w:rPr>
        <w:t>一、总则</w:t>
      </w:r>
    </w:p>
    <w:p w14:paraId="647D1C62">
      <w:pPr>
        <w:spacing w:before="156" w:beforeLines="50" w:after="156" w:afterLines="50"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评标工作应遵循公开、公平、公正、科学、择优原则，科学、严谨的态度，认真进行评标，推进技术进步，确保服务质量，节约投资，最大限度的保护当事人权益。严格按照招标文件的商务、技术要求，对投标文件进行评定，编写评标报告。对落标单位，评委会不作任何落标解释。投标供应商不得以任何方式干扰招投标工作的进行，一经发现其投标文件将被拒绝。</w:t>
      </w:r>
    </w:p>
    <w:p w14:paraId="56A8E6EF">
      <w:pPr>
        <w:numPr>
          <w:ilvl w:val="0"/>
          <w:numId w:val="7"/>
        </w:numPr>
        <w:spacing w:before="156" w:beforeLines="50" w:after="156" w:afterLines="50" w:line="360" w:lineRule="auto"/>
        <w:ind w:left="0" w:leftChars="0" w:firstLine="0" w:firstLineChars="0"/>
        <w:rPr>
          <w:rFonts w:hint="eastAsia" w:ascii="宋体" w:hAnsi="宋体" w:cs="宋体"/>
          <w:b/>
          <w:color w:val="auto"/>
          <w:sz w:val="24"/>
          <w:highlight w:val="none"/>
        </w:rPr>
      </w:pPr>
      <w:r>
        <w:rPr>
          <w:rFonts w:hint="eastAsia" w:ascii="宋体" w:hAnsi="宋体" w:cs="宋体"/>
          <w:b/>
          <w:color w:val="auto"/>
          <w:sz w:val="24"/>
          <w:highlight w:val="none"/>
        </w:rPr>
        <w:t>评标内容及标准</w:t>
      </w:r>
    </w:p>
    <w:p w14:paraId="7967918E">
      <w:pPr>
        <w:snapToGrid w:val="0"/>
        <w:spacing w:line="360" w:lineRule="auto"/>
        <w:rPr>
          <w:rFonts w:hint="eastAsia" w:ascii="Times New Roman" w:hAnsi="Times New Roman" w:eastAsia="宋体" w:cs="Times New Roman"/>
          <w:b/>
          <w:bCs/>
          <w:color w:val="auto"/>
          <w:kern w:val="2"/>
          <w:sz w:val="24"/>
          <w:highlight w:val="none"/>
          <w:lang w:val="en-US" w:eastAsia="zh-CN"/>
        </w:rPr>
      </w:pPr>
      <w:r>
        <w:rPr>
          <w:rFonts w:hint="eastAsia" w:ascii="Times New Roman" w:hAnsi="Times New Roman" w:eastAsia="宋体" w:cs="Times New Roman"/>
          <w:b/>
          <w:bCs/>
          <w:color w:val="auto"/>
          <w:kern w:val="2"/>
          <w:sz w:val="24"/>
          <w:highlight w:val="none"/>
          <w:lang w:val="en-US" w:eastAsia="zh-CN"/>
        </w:rPr>
        <w:t>（一）资格审查</w:t>
      </w:r>
    </w:p>
    <w:p w14:paraId="672A8DC6">
      <w:pPr>
        <w:pStyle w:val="28"/>
        <w:tabs>
          <w:tab w:val="left" w:pos="574"/>
        </w:tabs>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评标委员会按照招标文件载明的资格后审条款，对投标人的资格要求等进行审查，凡不符合资格后审要求的，以无效标处理，不再进入下一阶段评审。</w:t>
      </w:r>
    </w:p>
    <w:p w14:paraId="42BFA088">
      <w:pPr>
        <w:numPr>
          <w:ilvl w:val="0"/>
          <w:numId w:val="0"/>
        </w:numPr>
        <w:snapToGrid w:val="0"/>
        <w:spacing w:line="360" w:lineRule="auto"/>
        <w:ind w:firstLine="480" w:firstLineChars="200"/>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 xml:space="preserve">投标人不得存在下列情形之一： </w:t>
      </w:r>
    </w:p>
    <w:p w14:paraId="5E76F323">
      <w:pPr>
        <w:numPr>
          <w:ilvl w:val="0"/>
          <w:numId w:val="0"/>
        </w:numPr>
        <w:snapToGrid w:val="0"/>
        <w:spacing w:line="360" w:lineRule="auto"/>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 xml:space="preserve">（1）为本项目提供招标代理服务的； </w:t>
      </w:r>
    </w:p>
    <w:p w14:paraId="5D57F5AE">
      <w:pPr>
        <w:numPr>
          <w:ilvl w:val="0"/>
          <w:numId w:val="0"/>
        </w:numPr>
        <w:snapToGrid w:val="0"/>
        <w:spacing w:line="360" w:lineRule="auto"/>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 xml:space="preserve">（2）为本项目的代建人； </w:t>
      </w:r>
    </w:p>
    <w:p w14:paraId="344561EF">
      <w:pPr>
        <w:numPr>
          <w:ilvl w:val="0"/>
          <w:numId w:val="0"/>
        </w:numPr>
        <w:snapToGrid w:val="0"/>
        <w:spacing w:line="360" w:lineRule="auto"/>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 xml:space="preserve">（3）与本项目的代建人或招标代理机构同为一个法定代表人的； </w:t>
      </w:r>
    </w:p>
    <w:p w14:paraId="14CF5A8E">
      <w:pPr>
        <w:numPr>
          <w:ilvl w:val="0"/>
          <w:numId w:val="0"/>
        </w:numPr>
        <w:snapToGrid w:val="0"/>
        <w:spacing w:line="360" w:lineRule="auto"/>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 xml:space="preserve">（4）与本项目的代建人或招标代理机构相互任职或工作的； </w:t>
      </w:r>
    </w:p>
    <w:p w14:paraId="0A60027A">
      <w:pPr>
        <w:numPr>
          <w:ilvl w:val="0"/>
          <w:numId w:val="0"/>
        </w:numPr>
        <w:snapToGrid w:val="0"/>
        <w:spacing w:line="360" w:lineRule="auto"/>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 xml:space="preserve">（5）与本项目的代建人或招标代理机构相互控股或参股的； </w:t>
      </w:r>
    </w:p>
    <w:p w14:paraId="65F56B2D">
      <w:pPr>
        <w:numPr>
          <w:ilvl w:val="0"/>
          <w:numId w:val="0"/>
        </w:numPr>
        <w:snapToGrid w:val="0"/>
        <w:spacing w:line="360" w:lineRule="auto"/>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 xml:space="preserve">（6）被责令停业的； </w:t>
      </w:r>
    </w:p>
    <w:p w14:paraId="293A3036">
      <w:pPr>
        <w:numPr>
          <w:ilvl w:val="0"/>
          <w:numId w:val="0"/>
        </w:numPr>
        <w:snapToGrid w:val="0"/>
        <w:spacing w:line="360" w:lineRule="auto"/>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 xml:space="preserve">（7）被暂停或取消投标资格的（包括投标人、项目负责人）； </w:t>
      </w:r>
    </w:p>
    <w:p w14:paraId="123E2A4E">
      <w:pPr>
        <w:numPr>
          <w:ilvl w:val="0"/>
          <w:numId w:val="0"/>
        </w:numPr>
        <w:snapToGrid w:val="0"/>
        <w:spacing w:line="360" w:lineRule="auto"/>
        <w:rPr>
          <w:rFonts w:hint="default" w:ascii="宋体" w:hAnsi="宋体" w:cs="宋体"/>
          <w:b/>
          <w:bCs/>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8）根据转发最高人民检察院国家发展改革委《关于在招标投标活动中全面开展行贿犯罪档案查询的通知》的通知（浙检发预字[2015]号）规定，投标人（包括法定代表人）和项目负责人其一有行贿犯罪记录的【由电子投标文件网上截止之日上溯3年，行贿犯罪记录日期以中国裁判文书网（http://wenshu.court.gov.cn/）查询结果为准】。</w:t>
      </w:r>
    </w:p>
    <w:p w14:paraId="312E5A0B">
      <w:pPr>
        <w:numPr>
          <w:ilvl w:val="0"/>
          <w:numId w:val="0"/>
        </w:numPr>
        <w:snapToGrid w:val="0"/>
        <w:spacing w:line="360" w:lineRule="auto"/>
        <w:rPr>
          <w:rFonts w:hint="eastAsia" w:ascii="宋体" w:hAnsi="宋体" w:cs="宋体"/>
          <w:b/>
          <w:bCs/>
          <w:color w:val="auto"/>
          <w:sz w:val="24"/>
          <w:highlight w:val="none"/>
          <w:lang w:eastAsia="zh-CN"/>
        </w:rPr>
      </w:pPr>
      <w:r>
        <w:rPr>
          <w:rFonts w:hint="eastAsia" w:ascii="宋体" w:hAnsi="宋体" w:cs="宋体"/>
          <w:b/>
          <w:bCs/>
          <w:color w:val="auto"/>
          <w:kern w:val="2"/>
          <w:sz w:val="24"/>
          <w:szCs w:val="24"/>
          <w:highlight w:val="none"/>
          <w:lang w:val="en-US" w:eastAsia="zh-CN" w:bidi="ar-SA"/>
        </w:rPr>
        <w:t>（二）</w:t>
      </w:r>
      <w:r>
        <w:rPr>
          <w:rFonts w:hint="eastAsia" w:ascii="宋体" w:hAnsi="宋体" w:cs="宋体"/>
          <w:b/>
          <w:bCs/>
          <w:color w:val="auto"/>
          <w:sz w:val="24"/>
          <w:highlight w:val="none"/>
          <w:lang w:val="en-US" w:eastAsia="zh-CN"/>
        </w:rPr>
        <w:t>资信技术标</w:t>
      </w:r>
      <w:r>
        <w:rPr>
          <w:rFonts w:hint="eastAsia" w:ascii="宋体" w:hAnsi="宋体" w:cs="宋体"/>
          <w:b/>
          <w:bCs/>
          <w:color w:val="auto"/>
          <w:sz w:val="24"/>
          <w:highlight w:val="none"/>
        </w:rPr>
        <w:t>评</w:t>
      </w:r>
      <w:r>
        <w:rPr>
          <w:rFonts w:hint="eastAsia" w:ascii="宋体" w:hAnsi="宋体" w:cs="宋体"/>
          <w:b/>
          <w:bCs/>
          <w:color w:val="auto"/>
          <w:sz w:val="24"/>
          <w:highlight w:val="none"/>
          <w:lang w:val="en-US" w:eastAsia="zh-CN"/>
        </w:rPr>
        <w:t>审</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40分</w:t>
      </w:r>
      <w:r>
        <w:rPr>
          <w:rFonts w:hint="eastAsia" w:ascii="宋体" w:hAnsi="宋体" w:cs="宋体"/>
          <w:b/>
          <w:bCs/>
          <w:color w:val="auto"/>
          <w:sz w:val="24"/>
          <w:highlight w:val="none"/>
          <w:lang w:eastAsia="zh-CN"/>
        </w:rPr>
        <w:t>）</w:t>
      </w:r>
    </w:p>
    <w:p w14:paraId="41592578">
      <w:pPr>
        <w:autoSpaceDE w:val="0"/>
        <w:autoSpaceDN w:val="0"/>
        <w:adjustRightInd w:val="0"/>
        <w:spacing w:line="360" w:lineRule="auto"/>
        <w:ind w:firstLine="360" w:firstLineChars="15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val="en-US" w:eastAsia="zh-CN"/>
        </w:rPr>
        <w:t>1</w:t>
      </w:r>
      <w:r>
        <w:rPr>
          <w:rFonts w:hint="eastAsia"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val="en-US" w:eastAsia="zh-CN"/>
        </w:rPr>
        <w:t>资信</w:t>
      </w:r>
      <w:r>
        <w:rPr>
          <w:rFonts w:hint="eastAsia" w:ascii="Times New Roman" w:hAnsi="Times New Roman" w:eastAsia="宋体" w:cs="Times New Roman"/>
          <w:color w:val="auto"/>
          <w:sz w:val="24"/>
          <w:highlight w:val="none"/>
        </w:rPr>
        <w:t>技术标评审（</w:t>
      </w:r>
      <w:r>
        <w:rPr>
          <w:rFonts w:hint="eastAsia" w:ascii="Times New Roman" w:hAnsi="Times New Roman" w:eastAsia="宋体" w:cs="Times New Roman"/>
          <w:color w:val="auto"/>
          <w:sz w:val="24"/>
          <w:highlight w:val="none"/>
          <w:lang w:val="en-US" w:eastAsia="zh-CN"/>
        </w:rPr>
        <w:t>40</w:t>
      </w:r>
      <w:r>
        <w:rPr>
          <w:rFonts w:hint="eastAsia" w:ascii="Times New Roman" w:hAnsi="Times New Roman" w:eastAsia="宋体" w:cs="Times New Roman"/>
          <w:color w:val="auto"/>
          <w:sz w:val="24"/>
          <w:highlight w:val="none"/>
        </w:rPr>
        <w:t>分）</w:t>
      </w:r>
    </w:p>
    <w:p w14:paraId="68E50E9C">
      <w:pPr>
        <w:autoSpaceDE w:val="0"/>
        <w:autoSpaceDN w:val="0"/>
        <w:adjustRightInd w:val="0"/>
        <w:spacing w:line="360" w:lineRule="auto"/>
        <w:ind w:firstLine="360" w:firstLineChars="150"/>
        <w:rPr>
          <w:rFonts w:ascii="宋体"/>
          <w:b/>
          <w:color w:val="auto"/>
          <w:kern w:val="0"/>
          <w:sz w:val="30"/>
          <w:highlight w:val="none"/>
        </w:rPr>
      </w:pPr>
      <w:r>
        <w:rPr>
          <w:rFonts w:hint="eastAsia" w:ascii="宋体" w:hAnsi="宋体"/>
          <w:color w:val="auto"/>
          <w:sz w:val="24"/>
          <w:highlight w:val="none"/>
          <w:lang w:val="en-US" w:eastAsia="zh-CN"/>
        </w:rPr>
        <w:t>资信</w:t>
      </w:r>
      <w:r>
        <w:rPr>
          <w:rFonts w:hint="eastAsia" w:ascii="宋体" w:hAnsi="宋体"/>
          <w:bCs/>
          <w:color w:val="auto"/>
          <w:sz w:val="24"/>
          <w:highlight w:val="none"/>
        </w:rPr>
        <w:t>技术标</w:t>
      </w:r>
      <w:r>
        <w:rPr>
          <w:rFonts w:hint="eastAsia"/>
          <w:color w:val="auto"/>
          <w:sz w:val="24"/>
          <w:highlight w:val="none"/>
        </w:rPr>
        <w:t>按照评标委员会成员的独立评分结果取平均值，为投标人的</w:t>
      </w:r>
      <w:r>
        <w:rPr>
          <w:rFonts w:hint="eastAsia" w:ascii="宋体" w:hAnsi="宋体"/>
          <w:color w:val="auto"/>
          <w:sz w:val="24"/>
          <w:highlight w:val="none"/>
          <w:lang w:val="en-US" w:eastAsia="zh-CN"/>
        </w:rPr>
        <w:t>资信</w:t>
      </w:r>
      <w:r>
        <w:rPr>
          <w:rFonts w:hint="eastAsia" w:ascii="宋体" w:hAnsi="宋体"/>
          <w:bCs/>
          <w:color w:val="auto"/>
          <w:sz w:val="24"/>
          <w:highlight w:val="none"/>
        </w:rPr>
        <w:t>技术标</w:t>
      </w:r>
      <w:r>
        <w:rPr>
          <w:rFonts w:hint="eastAsia"/>
          <w:color w:val="auto"/>
          <w:sz w:val="24"/>
          <w:highlight w:val="none"/>
        </w:rPr>
        <w:t>得分。（评委评分结果保留一位小数，每项平均值小数点后保留2位，第3位四舍五入）。</w:t>
      </w:r>
      <w:r>
        <w:rPr>
          <w:rFonts w:hint="eastAsia" w:ascii="宋体"/>
          <w:b/>
          <w:color w:val="auto"/>
          <w:kern w:val="0"/>
          <w:sz w:val="30"/>
          <w:highlight w:val="none"/>
        </w:rPr>
        <w:t xml:space="preserve"> </w:t>
      </w:r>
    </w:p>
    <w:p w14:paraId="3E771A01">
      <w:pPr>
        <w:spacing w:line="360" w:lineRule="auto"/>
        <w:ind w:right="-275" w:rightChars="-131"/>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资信</w:t>
      </w:r>
      <w:r>
        <w:rPr>
          <w:rFonts w:hint="eastAsia" w:ascii="宋体" w:hAnsi="宋体"/>
          <w:bCs/>
          <w:color w:val="auto"/>
          <w:sz w:val="24"/>
          <w:highlight w:val="none"/>
        </w:rPr>
        <w:t>技术标内容缺项的，该项得0分，以下各项的总和为投标人的</w:t>
      </w:r>
      <w:r>
        <w:rPr>
          <w:rFonts w:hint="eastAsia" w:ascii="宋体" w:hAnsi="宋体"/>
          <w:color w:val="auto"/>
          <w:sz w:val="24"/>
          <w:highlight w:val="none"/>
          <w:lang w:val="en-US" w:eastAsia="zh-CN"/>
        </w:rPr>
        <w:t>资信</w:t>
      </w:r>
      <w:r>
        <w:rPr>
          <w:rFonts w:hint="eastAsia" w:ascii="宋体" w:hAnsi="宋体"/>
          <w:bCs/>
          <w:color w:val="auto"/>
          <w:sz w:val="24"/>
          <w:highlight w:val="none"/>
        </w:rPr>
        <w:t>技术标得分。</w:t>
      </w:r>
    </w:p>
    <w:tbl>
      <w:tblPr>
        <w:tblStyle w:val="30"/>
        <w:tblW w:w="86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29"/>
        <w:gridCol w:w="6617"/>
        <w:gridCol w:w="817"/>
      </w:tblGrid>
      <w:tr w14:paraId="666C5C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1229" w:type="dxa"/>
            <w:tcBorders>
              <w:top w:val="single" w:color="auto" w:sz="4" w:space="0"/>
              <w:left w:val="single" w:color="auto" w:sz="4" w:space="0"/>
              <w:bottom w:val="single" w:color="auto" w:sz="4" w:space="0"/>
              <w:right w:val="single" w:color="auto" w:sz="4" w:space="0"/>
            </w:tcBorders>
            <w:noWrap w:val="0"/>
            <w:vAlign w:val="center"/>
          </w:tcPr>
          <w:p w14:paraId="16BBE731">
            <w:pPr>
              <w:pStyle w:val="24"/>
              <w:keepNext w:val="0"/>
              <w:keepLines w:val="0"/>
              <w:pageBreakBefore w:val="0"/>
              <w:kinsoku/>
              <w:wordWrap/>
              <w:overflowPunct/>
              <w:topLinePunct w:val="0"/>
              <w:bidi w:val="0"/>
              <w:spacing w:line="360" w:lineRule="auto"/>
              <w:ind w:left="0" w:leftChars="0"/>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评审内容</w:t>
            </w:r>
          </w:p>
        </w:tc>
        <w:tc>
          <w:tcPr>
            <w:tcW w:w="6617" w:type="dxa"/>
            <w:tcBorders>
              <w:top w:val="single" w:color="auto" w:sz="4" w:space="0"/>
              <w:left w:val="single" w:color="auto" w:sz="4" w:space="0"/>
              <w:bottom w:val="single" w:color="auto" w:sz="4" w:space="0"/>
              <w:right w:val="single" w:color="auto" w:sz="4" w:space="0"/>
            </w:tcBorders>
            <w:noWrap w:val="0"/>
            <w:vAlign w:val="center"/>
          </w:tcPr>
          <w:p w14:paraId="37979382">
            <w:pPr>
              <w:pStyle w:val="24"/>
              <w:keepNext w:val="0"/>
              <w:keepLines w:val="0"/>
              <w:pageBreakBefore w:val="0"/>
              <w:kinsoku/>
              <w:wordWrap/>
              <w:overflowPunct/>
              <w:topLinePunct w:val="0"/>
              <w:bidi w:val="0"/>
              <w:spacing w:line="360" w:lineRule="auto"/>
              <w:ind w:left="0" w:leftChars="0"/>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评分标准</w:t>
            </w:r>
          </w:p>
        </w:tc>
        <w:tc>
          <w:tcPr>
            <w:tcW w:w="817" w:type="dxa"/>
            <w:tcBorders>
              <w:top w:val="single" w:color="auto" w:sz="4" w:space="0"/>
              <w:left w:val="single" w:color="auto" w:sz="4" w:space="0"/>
              <w:bottom w:val="single" w:color="auto" w:sz="4" w:space="0"/>
              <w:right w:val="single" w:color="auto" w:sz="4" w:space="0"/>
            </w:tcBorders>
            <w:noWrap w:val="0"/>
            <w:vAlign w:val="center"/>
          </w:tcPr>
          <w:p w14:paraId="2645F1A5">
            <w:pPr>
              <w:pStyle w:val="24"/>
              <w:keepNext w:val="0"/>
              <w:keepLines w:val="0"/>
              <w:pageBreakBefore w:val="0"/>
              <w:kinsoku/>
              <w:wordWrap/>
              <w:overflowPunct/>
              <w:topLinePunct w:val="0"/>
              <w:bidi w:val="0"/>
              <w:spacing w:line="360" w:lineRule="auto"/>
              <w:ind w:left="0" w:leftChars="0"/>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分值</w:t>
            </w:r>
          </w:p>
        </w:tc>
      </w:tr>
      <w:tr w14:paraId="405269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3" w:hRule="atLeast"/>
          <w:jc w:val="center"/>
        </w:trPr>
        <w:tc>
          <w:tcPr>
            <w:tcW w:w="1229" w:type="dxa"/>
            <w:tcBorders>
              <w:top w:val="single" w:color="auto" w:sz="4" w:space="0"/>
              <w:left w:val="single" w:color="auto" w:sz="4" w:space="0"/>
              <w:bottom w:val="single" w:color="auto" w:sz="4" w:space="0"/>
              <w:right w:val="single" w:color="auto" w:sz="4" w:space="0"/>
            </w:tcBorders>
            <w:noWrap w:val="0"/>
            <w:vAlign w:val="center"/>
          </w:tcPr>
          <w:p w14:paraId="08D20C0C">
            <w:pPr>
              <w:pStyle w:val="16"/>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kern w:val="2"/>
                <w:sz w:val="22"/>
                <w:szCs w:val="22"/>
                <w:highlight w:val="none"/>
                <w:lang w:val="en-US" w:eastAsia="zh-CN" w:bidi="ar-SA"/>
              </w:rPr>
              <w:t>偿付能力充足率</w:t>
            </w:r>
          </w:p>
        </w:tc>
        <w:tc>
          <w:tcPr>
            <w:tcW w:w="6617" w:type="dxa"/>
            <w:tcBorders>
              <w:top w:val="single" w:color="auto" w:sz="4" w:space="0"/>
              <w:left w:val="single" w:color="auto" w:sz="4" w:space="0"/>
              <w:bottom w:val="single" w:color="auto" w:sz="4" w:space="0"/>
              <w:right w:val="single" w:color="auto" w:sz="4" w:space="0"/>
            </w:tcBorders>
            <w:noWrap w:val="0"/>
            <w:vAlign w:val="center"/>
          </w:tcPr>
          <w:p w14:paraId="38CEA46D">
            <w:pPr>
              <w:keepNext w:val="0"/>
              <w:keepLines w:val="0"/>
              <w:pageBreakBefore w:val="0"/>
              <w:widowControl/>
              <w:kinsoku/>
              <w:wordWrap/>
              <w:overflowPunct/>
              <w:topLinePunct w:val="0"/>
              <w:bidi w:val="0"/>
              <w:spacing w:line="360" w:lineRule="auto"/>
              <w:jc w:val="lef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对投标人总公司的偿付能力从高到低进行排名，偿付能力排名前</w:t>
            </w:r>
            <w:r>
              <w:rPr>
                <w:rFonts w:hint="eastAsia" w:asciiTheme="minorEastAsia" w:hAnsiTheme="minorEastAsia" w:eastAsiaTheme="minorEastAsia" w:cstheme="minorEastAsia"/>
                <w:color w:val="auto"/>
                <w:sz w:val="22"/>
                <w:szCs w:val="22"/>
                <w:highlight w:val="none"/>
                <w:lang w:val="en-US" w:eastAsia="zh-CN"/>
              </w:rPr>
              <w:t>50</w:t>
            </w:r>
            <w:r>
              <w:rPr>
                <w:rFonts w:hint="eastAsia" w:asciiTheme="minorEastAsia" w:hAnsiTheme="minorEastAsia" w:eastAsiaTheme="minorEastAsia" w:cstheme="minorEastAsia"/>
                <w:color w:val="auto"/>
                <w:sz w:val="22"/>
                <w:szCs w:val="22"/>
                <w:highlight w:val="none"/>
              </w:rPr>
              <w:t>%的投标单位得2分,偿付能力排名</w:t>
            </w:r>
            <w:r>
              <w:rPr>
                <w:rFonts w:hint="eastAsia" w:asciiTheme="minorEastAsia" w:hAnsiTheme="minorEastAsia" w:eastAsiaTheme="minorEastAsia" w:cstheme="minorEastAsia"/>
                <w:color w:val="auto"/>
                <w:sz w:val="22"/>
                <w:szCs w:val="22"/>
                <w:highlight w:val="none"/>
                <w:lang w:val="en-US" w:eastAsia="zh-CN"/>
              </w:rPr>
              <w:t>50%以下</w:t>
            </w:r>
            <w:r>
              <w:rPr>
                <w:rFonts w:hint="eastAsia" w:asciiTheme="minorEastAsia" w:hAnsiTheme="minorEastAsia" w:eastAsiaTheme="minorEastAsia" w:cstheme="minorEastAsia"/>
                <w:color w:val="auto"/>
                <w:sz w:val="22"/>
                <w:szCs w:val="22"/>
                <w:highlight w:val="none"/>
              </w:rPr>
              <w:t>的投标单位得1分。得分单位数量按百分比计算后</w:t>
            </w:r>
            <w:r>
              <w:rPr>
                <w:rFonts w:hint="eastAsia" w:asciiTheme="minorEastAsia" w:hAnsiTheme="minorEastAsia" w:eastAsiaTheme="minorEastAsia" w:cstheme="minorEastAsia"/>
                <w:color w:val="auto"/>
                <w:sz w:val="22"/>
                <w:szCs w:val="22"/>
                <w:highlight w:val="none"/>
                <w:lang w:val="en-US" w:eastAsia="zh-CN"/>
              </w:rPr>
              <w:t>按小数点后</w:t>
            </w:r>
            <w:r>
              <w:rPr>
                <w:rFonts w:hint="eastAsia" w:asciiTheme="minorEastAsia" w:hAnsiTheme="minorEastAsia" w:eastAsiaTheme="minorEastAsia" w:cstheme="minorEastAsia"/>
                <w:color w:val="auto"/>
                <w:sz w:val="22"/>
                <w:szCs w:val="22"/>
                <w:highlight w:val="none"/>
              </w:rPr>
              <w:t>直接舍去取整</w:t>
            </w:r>
            <w:r>
              <w:rPr>
                <w:rFonts w:hint="eastAsia" w:asciiTheme="minorEastAsia" w:hAnsiTheme="minorEastAsia" w:eastAsiaTheme="minorEastAsia" w:cstheme="minorEastAsia"/>
                <w:color w:val="auto"/>
                <w:sz w:val="22"/>
                <w:szCs w:val="22"/>
                <w:highlight w:val="none"/>
                <w:lang w:val="en-US" w:eastAsia="zh-CN"/>
              </w:rPr>
              <w:t>计入</w:t>
            </w:r>
            <w:r>
              <w:rPr>
                <w:rFonts w:hint="eastAsia" w:asciiTheme="minorEastAsia" w:hAnsiTheme="minorEastAsia" w:eastAsiaTheme="minorEastAsia" w:cstheme="minorEastAsia"/>
                <w:color w:val="auto"/>
                <w:sz w:val="22"/>
                <w:szCs w:val="22"/>
                <w:highlight w:val="none"/>
              </w:rPr>
              <w:t>。如各得分区间排名存在并列，则排名区间末位的所有投标单位均得本区间分值。</w:t>
            </w:r>
          </w:p>
          <w:p w14:paraId="31977058">
            <w:pPr>
              <w:keepNext w:val="0"/>
              <w:keepLines w:val="0"/>
              <w:pageBreakBefore w:val="0"/>
              <w:widowControl/>
              <w:kinsoku/>
              <w:wordWrap/>
              <w:overflowPunct/>
              <w:topLinePunct w:val="0"/>
              <w:bidi w:val="0"/>
              <w:spacing w:line="360" w:lineRule="auto"/>
              <w:jc w:val="lef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bCs/>
                <w:color w:val="auto"/>
                <w:sz w:val="22"/>
                <w:szCs w:val="22"/>
                <w:highlight w:val="none"/>
              </w:rPr>
              <w:t>(证明材料:以投标人法人机构 2024年第2季度偿付能力报告的数据为准。)</w:t>
            </w:r>
          </w:p>
        </w:tc>
        <w:tc>
          <w:tcPr>
            <w:tcW w:w="817" w:type="dxa"/>
            <w:tcBorders>
              <w:top w:val="single" w:color="auto" w:sz="4" w:space="0"/>
              <w:left w:val="single" w:color="auto" w:sz="4" w:space="0"/>
              <w:bottom w:val="single" w:color="auto" w:sz="4" w:space="0"/>
              <w:right w:val="single" w:color="auto" w:sz="4" w:space="0"/>
            </w:tcBorders>
            <w:noWrap w:val="0"/>
            <w:vAlign w:val="center"/>
          </w:tcPr>
          <w:p w14:paraId="7343B41F">
            <w:pPr>
              <w:keepNext w:val="0"/>
              <w:keepLines w:val="0"/>
              <w:pageBreakBefore w:val="0"/>
              <w:widowControl/>
              <w:kinsoku/>
              <w:wordWrap/>
              <w:overflowPunct/>
              <w:topLinePunct w:val="0"/>
              <w:bidi w:val="0"/>
              <w:spacing w:line="360" w:lineRule="auto"/>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p>
        </w:tc>
      </w:tr>
      <w:tr w14:paraId="50AF8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71" w:hRule="atLeast"/>
          <w:jc w:val="center"/>
        </w:trPr>
        <w:tc>
          <w:tcPr>
            <w:tcW w:w="1229" w:type="dxa"/>
            <w:tcBorders>
              <w:top w:val="single" w:color="auto" w:sz="4" w:space="0"/>
              <w:left w:val="single" w:color="auto" w:sz="4" w:space="0"/>
              <w:right w:val="single" w:color="auto" w:sz="4" w:space="0"/>
            </w:tcBorders>
            <w:noWrap w:val="0"/>
            <w:vAlign w:val="center"/>
          </w:tcPr>
          <w:p w14:paraId="5F99D67B">
            <w:pPr>
              <w:pStyle w:val="16"/>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kern w:val="2"/>
                <w:sz w:val="22"/>
                <w:szCs w:val="22"/>
                <w:highlight w:val="none"/>
                <w:lang w:val="en-US" w:eastAsia="zh-CN" w:bidi="ar-SA"/>
              </w:rPr>
              <w:t>万张保单投诉量</w:t>
            </w:r>
          </w:p>
        </w:tc>
        <w:tc>
          <w:tcPr>
            <w:tcW w:w="6617" w:type="dxa"/>
            <w:tcBorders>
              <w:top w:val="single" w:color="auto" w:sz="4" w:space="0"/>
              <w:left w:val="single" w:color="auto" w:sz="4" w:space="0"/>
              <w:bottom w:val="single" w:color="auto" w:sz="4" w:space="0"/>
              <w:right w:val="single" w:color="auto" w:sz="4" w:space="0"/>
            </w:tcBorders>
            <w:noWrap w:val="0"/>
            <w:vAlign w:val="center"/>
          </w:tcPr>
          <w:p w14:paraId="749B71FA">
            <w:pPr>
              <w:keepNext w:val="0"/>
              <w:keepLines w:val="0"/>
              <w:pageBreakBefore w:val="0"/>
              <w:widowControl/>
              <w:kinsoku/>
              <w:wordWrap/>
              <w:overflowPunct/>
              <w:topLinePunct w:val="0"/>
              <w:bidi w:val="0"/>
              <w:spacing w:line="360" w:lineRule="auto"/>
              <w:jc w:val="left"/>
              <w:textAlignment w:val="auto"/>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kern w:val="2"/>
                <w:sz w:val="22"/>
                <w:szCs w:val="22"/>
                <w:highlight w:val="none"/>
                <w:lang w:val="en-US" w:eastAsia="zh-CN" w:bidi="ar-SA"/>
              </w:rPr>
              <w:t>以投标人法人机构的万张保单投诉量进行打分，万张保单投诉量为0.00的，得2分；投诉量在0.01（含）至0.3之间的，得1分；其余得0.5分。</w:t>
            </w:r>
          </w:p>
          <w:p w14:paraId="6EFE2972">
            <w:pPr>
              <w:keepNext w:val="0"/>
              <w:keepLines w:val="0"/>
              <w:pageBreakBefore w:val="0"/>
              <w:widowControl/>
              <w:kinsoku/>
              <w:wordWrap/>
              <w:overflowPunct/>
              <w:topLinePunct w:val="0"/>
              <w:bidi w:val="0"/>
              <w:spacing w:line="360" w:lineRule="auto"/>
              <w:jc w:val="left"/>
              <w:textAlignment w:val="auto"/>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b/>
                <w:bCs/>
                <w:color w:val="auto"/>
                <w:kern w:val="2"/>
                <w:sz w:val="22"/>
                <w:szCs w:val="22"/>
                <w:highlight w:val="none"/>
                <w:lang w:val="en-US" w:eastAsia="zh-CN" w:bidi="ar-SA"/>
              </w:rPr>
              <w:t>注：</w:t>
            </w:r>
            <w:r>
              <w:rPr>
                <w:rFonts w:hint="eastAsia" w:asciiTheme="minorEastAsia" w:hAnsiTheme="minorEastAsia" w:eastAsiaTheme="minorEastAsia" w:cstheme="minorEastAsia"/>
                <w:b/>
                <w:bCs/>
                <w:color w:val="auto"/>
                <w:kern w:val="2"/>
                <w:sz w:val="22"/>
                <w:szCs w:val="22"/>
                <w:highlight w:val="none"/>
                <w:u w:val="none"/>
                <w:lang w:val="en-US" w:eastAsia="zh-CN" w:bidi="ar-SA"/>
              </w:rPr>
              <w:t>①万张保单投诉量以原银保监会消费者权益保护局关于2023年第一季度保险消费投诉情况的通报（银保监消保发〔2023〕6号）中的附件2023年第一季度保险消费投诉情况通报附件1-2.xlsx的数据为准，需提供清晰扫描件并加盖投标人单位电子公章。</w:t>
            </w:r>
          </w:p>
        </w:tc>
        <w:tc>
          <w:tcPr>
            <w:tcW w:w="817" w:type="dxa"/>
            <w:tcBorders>
              <w:top w:val="single" w:color="auto" w:sz="4" w:space="0"/>
              <w:left w:val="single" w:color="auto" w:sz="4" w:space="0"/>
              <w:bottom w:val="single" w:color="auto" w:sz="4" w:space="0"/>
              <w:right w:val="single" w:color="auto" w:sz="4" w:space="0"/>
            </w:tcBorders>
            <w:noWrap w:val="0"/>
            <w:vAlign w:val="center"/>
          </w:tcPr>
          <w:p w14:paraId="330474D8">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2</w:t>
            </w:r>
          </w:p>
        </w:tc>
      </w:tr>
      <w:tr w14:paraId="05B7F8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82" w:hRule="atLeast"/>
          <w:jc w:val="center"/>
        </w:trPr>
        <w:tc>
          <w:tcPr>
            <w:tcW w:w="1229" w:type="dxa"/>
            <w:tcBorders>
              <w:top w:val="single" w:color="auto" w:sz="4" w:space="0"/>
              <w:left w:val="single" w:color="auto" w:sz="4" w:space="0"/>
              <w:bottom w:val="single" w:color="auto" w:sz="4" w:space="0"/>
              <w:right w:val="single" w:color="auto" w:sz="4" w:space="0"/>
            </w:tcBorders>
            <w:noWrap w:val="0"/>
            <w:vAlign w:val="center"/>
          </w:tcPr>
          <w:p w14:paraId="57091835">
            <w:pPr>
              <w:pStyle w:val="16"/>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承保业绩</w:t>
            </w:r>
          </w:p>
        </w:tc>
        <w:tc>
          <w:tcPr>
            <w:tcW w:w="6617" w:type="dxa"/>
            <w:tcBorders>
              <w:top w:val="single" w:color="auto" w:sz="4" w:space="0"/>
              <w:left w:val="single" w:color="auto" w:sz="4" w:space="0"/>
              <w:bottom w:val="single" w:color="auto" w:sz="4" w:space="0"/>
              <w:right w:val="single" w:color="auto" w:sz="4" w:space="0"/>
            </w:tcBorders>
            <w:noWrap w:val="0"/>
            <w:vAlign w:val="center"/>
          </w:tcPr>
          <w:p w14:paraId="748FE296">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对投标人自 2019 年1月1日以来(以合同签订时间为准)独家或首席承担过的交通基础设施建设项目的建筑工程一切险保险服务的单个项目保险承保业绩保险(投保)金额从高到低进行排名，排名前</w:t>
            </w:r>
            <w:r>
              <w:rPr>
                <w:rFonts w:hint="eastAsia" w:ascii="宋体" w:hAnsi="宋体" w:eastAsia="宋体" w:cs="宋体"/>
                <w:color w:val="auto"/>
                <w:sz w:val="22"/>
                <w:szCs w:val="22"/>
                <w:highlight w:val="none"/>
                <w:lang w:val="en-US" w:eastAsia="zh-CN"/>
              </w:rPr>
              <w:t>50</w:t>
            </w:r>
            <w:r>
              <w:rPr>
                <w:rFonts w:hint="eastAsia" w:ascii="宋体" w:hAnsi="宋体" w:eastAsia="宋体" w:cs="宋体"/>
                <w:color w:val="auto"/>
                <w:sz w:val="22"/>
                <w:szCs w:val="22"/>
                <w:highlight w:val="none"/>
              </w:rPr>
              <w:t>%的投标单位得2分，排名</w:t>
            </w:r>
            <w:r>
              <w:rPr>
                <w:rFonts w:hint="eastAsia" w:ascii="宋体" w:hAnsi="宋体" w:eastAsia="宋体" w:cs="宋体"/>
                <w:color w:val="auto"/>
                <w:sz w:val="22"/>
                <w:szCs w:val="22"/>
                <w:highlight w:val="none"/>
                <w:lang w:val="en-US" w:eastAsia="zh-CN"/>
              </w:rPr>
              <w:t>50</w:t>
            </w:r>
            <w:r>
              <w:rPr>
                <w:rFonts w:hint="eastAsia" w:ascii="宋体" w:hAnsi="宋体" w:eastAsia="宋体" w:cs="宋体"/>
                <w:color w:val="auto"/>
                <w:sz w:val="22"/>
                <w:szCs w:val="22"/>
                <w:highlight w:val="none"/>
              </w:rPr>
              <w:t>%以下得投标单位得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分。得分单位数量按百分比计算后</w:t>
            </w:r>
            <w:r>
              <w:rPr>
                <w:rFonts w:hint="eastAsia" w:asciiTheme="minorEastAsia" w:hAnsiTheme="minorEastAsia" w:eastAsiaTheme="minorEastAsia" w:cstheme="minorEastAsia"/>
                <w:color w:val="auto"/>
                <w:sz w:val="22"/>
                <w:szCs w:val="22"/>
                <w:highlight w:val="none"/>
                <w:lang w:val="en-US" w:eastAsia="zh-CN"/>
              </w:rPr>
              <w:t>按小数点后</w:t>
            </w:r>
            <w:r>
              <w:rPr>
                <w:rFonts w:hint="eastAsia" w:asciiTheme="minorEastAsia" w:hAnsiTheme="minorEastAsia" w:eastAsiaTheme="minorEastAsia" w:cstheme="minorEastAsia"/>
                <w:color w:val="auto"/>
                <w:sz w:val="22"/>
                <w:szCs w:val="22"/>
                <w:highlight w:val="none"/>
              </w:rPr>
              <w:t>直接舍去取整</w:t>
            </w:r>
            <w:r>
              <w:rPr>
                <w:rFonts w:hint="eastAsia" w:asciiTheme="minorEastAsia" w:hAnsiTheme="minorEastAsia" w:eastAsiaTheme="minorEastAsia" w:cstheme="minorEastAsia"/>
                <w:color w:val="auto"/>
                <w:sz w:val="22"/>
                <w:szCs w:val="22"/>
                <w:highlight w:val="none"/>
                <w:lang w:val="en-US" w:eastAsia="zh-CN"/>
              </w:rPr>
              <w:t>计入</w:t>
            </w:r>
            <w:r>
              <w:rPr>
                <w:rFonts w:hint="eastAsia" w:ascii="宋体" w:hAnsi="宋体" w:eastAsia="宋体" w:cs="宋体"/>
                <w:color w:val="auto"/>
                <w:sz w:val="22"/>
                <w:szCs w:val="22"/>
                <w:highlight w:val="none"/>
              </w:rPr>
              <w:t>。如各得分区间排名存在并列，则排名区间末位的所有投标单位均得本区间分值。</w:t>
            </w:r>
          </w:p>
          <w:p w14:paraId="077A22A7">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注:业绩证明材料为①须提供能体现投标人与项目关系的保险合同或保险单。②认可总公司及其下属所有分支机构的承保服务业绩。③交通基础设施建设项目包含:公路、水运、铁路、轨道交通、机场等基础设施建设项目。</w:t>
            </w:r>
          </w:p>
        </w:tc>
        <w:tc>
          <w:tcPr>
            <w:tcW w:w="817" w:type="dxa"/>
            <w:tcBorders>
              <w:top w:val="single" w:color="auto" w:sz="4" w:space="0"/>
              <w:left w:val="single" w:color="auto" w:sz="4" w:space="0"/>
              <w:bottom w:val="single" w:color="auto" w:sz="4" w:space="0"/>
              <w:right w:val="single" w:color="auto" w:sz="4" w:space="0"/>
            </w:tcBorders>
            <w:noWrap w:val="0"/>
            <w:vAlign w:val="center"/>
          </w:tcPr>
          <w:p w14:paraId="1F2C3391">
            <w:pPr>
              <w:keepNext w:val="0"/>
              <w:keepLines w:val="0"/>
              <w:pageBreakBefore w:val="0"/>
              <w:widowControl/>
              <w:kinsoku/>
              <w:wordWrap/>
              <w:overflowPunct/>
              <w:topLinePunct w:val="0"/>
              <w:bidi w:val="0"/>
              <w:spacing w:line="360" w:lineRule="auto"/>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p>
        </w:tc>
      </w:tr>
      <w:tr w14:paraId="1105E8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75" w:hRule="atLeast"/>
          <w:jc w:val="center"/>
        </w:trPr>
        <w:tc>
          <w:tcPr>
            <w:tcW w:w="1229" w:type="dxa"/>
            <w:tcBorders>
              <w:top w:val="single" w:color="auto" w:sz="4" w:space="0"/>
              <w:left w:val="single" w:color="auto" w:sz="4" w:space="0"/>
              <w:bottom w:val="single" w:color="auto" w:sz="4" w:space="0"/>
              <w:right w:val="single" w:color="auto" w:sz="4" w:space="0"/>
            </w:tcBorders>
            <w:noWrap w:val="0"/>
            <w:vAlign w:val="center"/>
          </w:tcPr>
          <w:p w14:paraId="2B8FAE4F">
            <w:pPr>
              <w:pStyle w:val="16"/>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理赔业绩</w:t>
            </w:r>
          </w:p>
        </w:tc>
        <w:tc>
          <w:tcPr>
            <w:tcW w:w="6617" w:type="dxa"/>
            <w:tcBorders>
              <w:top w:val="single" w:color="auto" w:sz="4" w:space="0"/>
              <w:left w:val="single" w:color="auto" w:sz="4" w:space="0"/>
              <w:bottom w:val="single" w:color="auto" w:sz="4" w:space="0"/>
              <w:right w:val="single" w:color="auto" w:sz="4" w:space="0"/>
            </w:tcBorders>
            <w:noWrap w:val="0"/>
            <w:vAlign w:val="center"/>
          </w:tcPr>
          <w:p w14:paraId="661736AA">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自201</w:t>
            </w: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rPr>
              <w:t>年1月1日以来（以赔款计算书中的出险日期为准）（以支付凭证出具日期为准）独家或首席承保的</w:t>
            </w:r>
            <w:r>
              <w:rPr>
                <w:rFonts w:hint="eastAsia" w:ascii="宋体" w:hAnsi="宋体" w:eastAsia="宋体" w:cs="宋体"/>
                <w:color w:val="auto"/>
                <w:sz w:val="22"/>
                <w:szCs w:val="22"/>
                <w:highlight w:val="none"/>
                <w:lang w:val="en-US" w:eastAsia="zh-CN"/>
              </w:rPr>
              <w:t>交通基础设施建设项目</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lang w:eastAsia="zh-CN"/>
              </w:rPr>
              <w:t>建筑工程一切险</w:t>
            </w:r>
            <w:r>
              <w:rPr>
                <w:rFonts w:hint="eastAsia" w:ascii="宋体" w:hAnsi="宋体" w:eastAsia="宋体" w:cs="宋体"/>
                <w:color w:val="auto"/>
                <w:sz w:val="22"/>
                <w:szCs w:val="22"/>
                <w:highlight w:val="none"/>
              </w:rPr>
              <w:t>保险服务已结案件实际单笔赔款金额（投标人份额内）人民币</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00万元及以上的保险理赔业绩，每有一个得1分，最多加2分。</w:t>
            </w:r>
          </w:p>
          <w:p w14:paraId="7A8471AF">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注：①需附赔款计算书以及相应的保险合同或其他理赔证明；②投标人分支机构经营予以认可；③同一立案编号视为同一案件。</w:t>
            </w:r>
            <w:r>
              <w:rPr>
                <w:rFonts w:hint="eastAsia" w:ascii="宋体" w:hAnsi="宋体" w:eastAsia="宋体" w:cs="宋体"/>
                <w:color w:val="auto"/>
                <w:sz w:val="22"/>
                <w:szCs w:val="22"/>
                <w:highlight w:val="none"/>
                <w:lang w:val="en-US" w:eastAsia="zh-CN"/>
              </w:rPr>
              <w:t>③交通基础设施建设项目包含：公路、水运、铁路、轨道交通、机场等基础设施建设项目。</w:t>
            </w:r>
          </w:p>
        </w:tc>
        <w:tc>
          <w:tcPr>
            <w:tcW w:w="817" w:type="dxa"/>
            <w:tcBorders>
              <w:top w:val="single" w:color="auto" w:sz="4" w:space="0"/>
              <w:left w:val="single" w:color="auto" w:sz="4" w:space="0"/>
              <w:bottom w:val="single" w:color="auto" w:sz="4" w:space="0"/>
              <w:right w:val="single" w:color="auto" w:sz="4" w:space="0"/>
            </w:tcBorders>
            <w:noWrap w:val="0"/>
            <w:vAlign w:val="center"/>
          </w:tcPr>
          <w:p w14:paraId="08FB7F19">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p>
        </w:tc>
      </w:tr>
      <w:tr w14:paraId="477D66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229" w:type="dxa"/>
            <w:tcBorders>
              <w:left w:val="single" w:color="auto" w:sz="4" w:space="0"/>
              <w:right w:val="single" w:color="auto" w:sz="4" w:space="0"/>
            </w:tcBorders>
            <w:noWrap w:val="0"/>
            <w:vAlign w:val="center"/>
          </w:tcPr>
          <w:p w14:paraId="6DBA4BAB">
            <w:pPr>
              <w:pStyle w:val="16"/>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投标人理赔权限</w:t>
            </w:r>
          </w:p>
        </w:tc>
        <w:tc>
          <w:tcPr>
            <w:tcW w:w="6617" w:type="dxa"/>
            <w:tcBorders>
              <w:top w:val="single" w:color="auto" w:sz="4" w:space="0"/>
              <w:left w:val="single" w:color="auto" w:sz="4" w:space="0"/>
              <w:bottom w:val="single" w:color="auto" w:sz="4" w:space="0"/>
              <w:right w:val="single" w:color="auto" w:sz="4" w:space="0"/>
            </w:tcBorders>
            <w:noWrap w:val="0"/>
            <w:vAlign w:val="center"/>
          </w:tcPr>
          <w:p w14:paraId="0AE910ED">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投标人法人机构授权本项目投标人理赔权限的授权额度在100万元以下的不得分，授权额度在100万元（含）～200万元（不含）的得1分，授权额度在200万元及以上的得2分；以投标人法人机构针对本项目的授权额度为准。</w:t>
            </w:r>
          </w:p>
          <w:p w14:paraId="49B66928">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注：①如投标人为法人机构，则须提供该法人机构针对本项目的授权额度授权文件，否则不得分；②如投标人为分支机构，则须投标人法人机构授权给本项目分支机构理赔权限授权文件，否则不得分。</w:t>
            </w:r>
          </w:p>
        </w:tc>
        <w:tc>
          <w:tcPr>
            <w:tcW w:w="817" w:type="dxa"/>
            <w:tcBorders>
              <w:top w:val="single" w:color="auto" w:sz="4" w:space="0"/>
              <w:left w:val="single" w:color="auto" w:sz="4" w:space="0"/>
              <w:bottom w:val="single" w:color="auto" w:sz="4" w:space="0"/>
              <w:right w:val="single" w:color="auto" w:sz="4" w:space="0"/>
            </w:tcBorders>
            <w:noWrap w:val="0"/>
            <w:vAlign w:val="center"/>
          </w:tcPr>
          <w:p w14:paraId="6CDF6CE2">
            <w:pPr>
              <w:keepNext w:val="0"/>
              <w:keepLines w:val="0"/>
              <w:pageBreakBefore w:val="0"/>
              <w:widowControl/>
              <w:kinsoku/>
              <w:wordWrap/>
              <w:overflowPunct/>
              <w:topLinePunct w:val="0"/>
              <w:bidi w:val="0"/>
              <w:spacing w:line="360" w:lineRule="auto"/>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p>
        </w:tc>
      </w:tr>
      <w:tr w14:paraId="2EEE5F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28" w:hRule="atLeast"/>
          <w:jc w:val="center"/>
        </w:trPr>
        <w:tc>
          <w:tcPr>
            <w:tcW w:w="1229" w:type="dxa"/>
            <w:tcBorders>
              <w:top w:val="single" w:color="auto" w:sz="4" w:space="0"/>
              <w:left w:val="single" w:color="auto" w:sz="4" w:space="0"/>
              <w:bottom w:val="single" w:color="auto" w:sz="4" w:space="0"/>
              <w:right w:val="single" w:color="auto" w:sz="4" w:space="0"/>
            </w:tcBorders>
            <w:noWrap w:val="0"/>
            <w:vAlign w:val="center"/>
          </w:tcPr>
          <w:p w14:paraId="0E3CBCA5">
            <w:pPr>
              <w:pStyle w:val="16"/>
              <w:keepNext w:val="0"/>
              <w:keepLines w:val="0"/>
              <w:pageBreakBefore w:val="0"/>
              <w:kinsoku/>
              <w:wordWrap/>
              <w:overflowPunct/>
              <w:topLinePunct w:val="0"/>
              <w:bidi w:val="0"/>
              <w:spacing w:line="360" w:lineRule="auto"/>
              <w:jc w:val="center"/>
              <w:textAlignment w:val="auto"/>
              <w:rPr>
                <w:rFonts w:hint="default"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服务方案</w:t>
            </w:r>
          </w:p>
        </w:tc>
        <w:tc>
          <w:tcPr>
            <w:tcW w:w="6617" w:type="dxa"/>
            <w:tcBorders>
              <w:left w:val="single" w:color="auto" w:sz="4" w:space="0"/>
              <w:bottom w:val="single" w:color="auto" w:sz="4" w:space="0"/>
              <w:right w:val="single" w:color="auto" w:sz="4" w:space="0"/>
            </w:tcBorders>
            <w:noWrap w:val="0"/>
            <w:vAlign w:val="center"/>
          </w:tcPr>
          <w:p w14:paraId="7AF7E824">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服务方案的内容是否全面；相关人员的组织分工是否合理；项目风险分析、防灾防损服务是否合理进行评审：</w:t>
            </w:r>
          </w:p>
          <w:p w14:paraId="32975EF3">
            <w:pPr>
              <w:keepNext w:val="0"/>
              <w:keepLines w:val="0"/>
              <w:pageBreakBefore w:val="0"/>
              <w:widowControl/>
              <w:numPr>
                <w:ilvl w:val="0"/>
                <w:numId w:val="8"/>
              </w:numPr>
              <w:kinsoku/>
              <w:wordWrap/>
              <w:overflowPunct/>
              <w:topLinePunct w:val="0"/>
              <w:bidi w:val="0"/>
              <w:spacing w:line="360" w:lineRule="auto"/>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服务方案的内容、相关人员的组织分工、风险分析、防灾防损等服务内容全面、分工明确、</w:t>
            </w:r>
            <w:r>
              <w:rPr>
                <w:rFonts w:hint="eastAsia" w:ascii="宋体" w:hAnsi="宋体" w:eastAsia="宋体" w:cs="宋体"/>
                <w:color w:val="auto"/>
                <w:kern w:val="2"/>
                <w:sz w:val="22"/>
                <w:szCs w:val="22"/>
                <w:highlight w:val="none"/>
                <w:lang w:val="zh-CN" w:eastAsia="zh-CN" w:bidi="ar-SA"/>
              </w:rPr>
              <w:t>阐述</w:t>
            </w:r>
            <w:r>
              <w:rPr>
                <w:rFonts w:hint="eastAsia" w:ascii="宋体" w:hAnsi="宋体" w:eastAsia="宋体" w:cs="宋体"/>
                <w:color w:val="auto"/>
                <w:kern w:val="2"/>
                <w:sz w:val="22"/>
                <w:szCs w:val="22"/>
                <w:highlight w:val="none"/>
                <w:lang w:val="en-US" w:eastAsia="zh-CN" w:bidi="ar-SA"/>
              </w:rPr>
              <w:t>详</w:t>
            </w:r>
            <w:r>
              <w:rPr>
                <w:rFonts w:hint="eastAsia" w:ascii="宋体" w:hAnsi="宋体" w:eastAsia="宋体" w:cs="宋体"/>
                <w:color w:val="auto"/>
                <w:kern w:val="2"/>
                <w:sz w:val="22"/>
                <w:szCs w:val="22"/>
                <w:highlight w:val="none"/>
                <w:lang w:val="zh-CN" w:eastAsia="zh-CN" w:bidi="ar-SA"/>
              </w:rPr>
              <w:t>细</w:t>
            </w:r>
            <w:r>
              <w:rPr>
                <w:rFonts w:hint="eastAsia" w:ascii="宋体" w:hAnsi="宋体" w:eastAsia="宋体" w:cs="宋体"/>
                <w:color w:val="auto"/>
                <w:kern w:val="2"/>
                <w:sz w:val="22"/>
                <w:szCs w:val="22"/>
                <w:highlight w:val="none"/>
                <w:lang w:val="en-US" w:eastAsia="zh-CN" w:bidi="ar-SA"/>
              </w:rPr>
              <w:t>的得9-13分；</w:t>
            </w:r>
          </w:p>
          <w:p w14:paraId="4791A120">
            <w:pPr>
              <w:keepNext w:val="0"/>
              <w:keepLines w:val="0"/>
              <w:pageBreakBefore w:val="0"/>
              <w:widowControl/>
              <w:numPr>
                <w:ilvl w:val="0"/>
                <w:numId w:val="8"/>
              </w:numPr>
              <w:kinsoku/>
              <w:wordWrap/>
              <w:overflowPunct/>
              <w:topLinePunct w:val="0"/>
              <w:bidi w:val="0"/>
              <w:spacing w:line="360" w:lineRule="auto"/>
              <w:jc w:val="left"/>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服务方案的内容、相关人员的组织分工、风险分析、防灾防损等服务内容欠全面、分工欠明确、</w:t>
            </w:r>
            <w:r>
              <w:rPr>
                <w:rFonts w:hint="eastAsia" w:ascii="宋体" w:hAnsi="宋体" w:eastAsia="宋体" w:cs="宋体"/>
                <w:color w:val="auto"/>
                <w:kern w:val="2"/>
                <w:sz w:val="22"/>
                <w:szCs w:val="22"/>
                <w:highlight w:val="none"/>
                <w:lang w:val="zh-CN" w:eastAsia="zh-CN" w:bidi="ar-SA"/>
              </w:rPr>
              <w:t>阐述</w:t>
            </w:r>
            <w:r>
              <w:rPr>
                <w:rFonts w:hint="eastAsia" w:ascii="宋体" w:hAnsi="宋体" w:eastAsia="宋体" w:cs="宋体"/>
                <w:color w:val="auto"/>
                <w:kern w:val="2"/>
                <w:sz w:val="22"/>
                <w:szCs w:val="22"/>
                <w:highlight w:val="none"/>
                <w:lang w:val="en-US" w:eastAsia="zh-CN" w:bidi="ar-SA"/>
              </w:rPr>
              <w:t>欠详</w:t>
            </w:r>
            <w:r>
              <w:rPr>
                <w:rFonts w:hint="eastAsia" w:ascii="宋体" w:hAnsi="宋体" w:eastAsia="宋体" w:cs="宋体"/>
                <w:color w:val="auto"/>
                <w:kern w:val="2"/>
                <w:sz w:val="22"/>
                <w:szCs w:val="22"/>
                <w:highlight w:val="none"/>
                <w:lang w:val="zh-CN" w:eastAsia="zh-CN" w:bidi="ar-SA"/>
              </w:rPr>
              <w:t>细</w:t>
            </w:r>
            <w:r>
              <w:rPr>
                <w:rFonts w:hint="eastAsia" w:ascii="宋体" w:hAnsi="宋体" w:eastAsia="宋体" w:cs="宋体"/>
                <w:color w:val="auto"/>
                <w:kern w:val="2"/>
                <w:sz w:val="22"/>
                <w:szCs w:val="22"/>
                <w:highlight w:val="none"/>
                <w:lang w:val="en-US" w:eastAsia="zh-CN" w:bidi="ar-SA"/>
              </w:rPr>
              <w:t>的得5-8.9分；</w:t>
            </w:r>
          </w:p>
          <w:p w14:paraId="3EB617DC">
            <w:pPr>
              <w:keepNext w:val="0"/>
              <w:keepLines w:val="0"/>
              <w:pageBreakBefore w:val="0"/>
              <w:widowControl/>
              <w:numPr>
                <w:ilvl w:val="0"/>
                <w:numId w:val="0"/>
              </w:numPr>
              <w:kinsoku/>
              <w:wordWrap/>
              <w:overflowPunct/>
              <w:topLinePunct w:val="0"/>
              <w:bidi w:val="0"/>
              <w:spacing w:line="360" w:lineRule="auto"/>
              <w:jc w:val="left"/>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（3）服务方案的内容、相关人员的组织分工、风险分析、防灾防损等服务内容不全面、分工不明确、</w:t>
            </w:r>
            <w:r>
              <w:rPr>
                <w:rFonts w:hint="eastAsia" w:ascii="宋体" w:hAnsi="宋体" w:eastAsia="宋体" w:cs="宋体"/>
                <w:color w:val="auto"/>
                <w:kern w:val="2"/>
                <w:sz w:val="22"/>
                <w:szCs w:val="22"/>
                <w:highlight w:val="none"/>
                <w:lang w:val="zh-CN" w:eastAsia="zh-CN" w:bidi="ar-SA"/>
              </w:rPr>
              <w:t>阐述</w:t>
            </w:r>
            <w:r>
              <w:rPr>
                <w:rFonts w:hint="eastAsia" w:ascii="宋体" w:hAnsi="宋体" w:eastAsia="宋体" w:cs="宋体"/>
                <w:color w:val="auto"/>
                <w:kern w:val="2"/>
                <w:sz w:val="22"/>
                <w:szCs w:val="22"/>
                <w:highlight w:val="none"/>
                <w:lang w:val="en-US" w:eastAsia="zh-CN" w:bidi="ar-SA"/>
              </w:rPr>
              <w:t>不清楚的得0-4.9分。</w:t>
            </w:r>
          </w:p>
        </w:tc>
        <w:tc>
          <w:tcPr>
            <w:tcW w:w="817" w:type="dxa"/>
            <w:tcBorders>
              <w:left w:val="single" w:color="auto" w:sz="4" w:space="0"/>
              <w:right w:val="single" w:color="auto" w:sz="4" w:space="0"/>
            </w:tcBorders>
            <w:noWrap w:val="0"/>
            <w:vAlign w:val="center"/>
          </w:tcPr>
          <w:p w14:paraId="6F7844EC">
            <w:pPr>
              <w:keepNext w:val="0"/>
              <w:keepLines w:val="0"/>
              <w:pageBreakBefore w:val="0"/>
              <w:widowControl/>
              <w:kinsoku/>
              <w:wordWrap/>
              <w:overflowPunct/>
              <w:topLinePunct w:val="0"/>
              <w:bidi w:val="0"/>
              <w:spacing w:line="360" w:lineRule="auto"/>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13</w:t>
            </w:r>
          </w:p>
        </w:tc>
      </w:tr>
      <w:tr w14:paraId="418C4E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1229" w:type="dxa"/>
            <w:tcBorders>
              <w:top w:val="single" w:color="auto" w:sz="4" w:space="0"/>
              <w:left w:val="single" w:color="auto" w:sz="4" w:space="0"/>
              <w:right w:val="single" w:color="auto" w:sz="4" w:space="0"/>
            </w:tcBorders>
            <w:noWrap w:val="0"/>
            <w:vAlign w:val="center"/>
          </w:tcPr>
          <w:p w14:paraId="681678F0">
            <w:pPr>
              <w:keepNext w:val="0"/>
              <w:keepLines w:val="0"/>
              <w:pageBreakBefore w:val="0"/>
              <w:widowControl/>
              <w:kinsoku/>
              <w:wordWrap/>
              <w:overflowPunct/>
              <w:topLinePunct w:val="0"/>
              <w:bidi w:val="0"/>
              <w:spacing w:line="360" w:lineRule="auto"/>
              <w:jc w:val="center"/>
              <w:textAlignment w:val="auto"/>
              <w:rPr>
                <w:rFonts w:hint="default"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流程合理性</w:t>
            </w:r>
          </w:p>
        </w:tc>
        <w:tc>
          <w:tcPr>
            <w:tcW w:w="6617" w:type="dxa"/>
            <w:tcBorders>
              <w:top w:val="single" w:color="auto" w:sz="4" w:space="0"/>
              <w:left w:val="single" w:color="auto" w:sz="4" w:space="0"/>
              <w:right w:val="single" w:color="auto" w:sz="4" w:space="0"/>
            </w:tcBorders>
            <w:noWrap w:val="0"/>
            <w:vAlign w:val="center"/>
          </w:tcPr>
          <w:p w14:paraId="52FF90C9">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理赔流程是否合理进行评审：</w:t>
            </w:r>
          </w:p>
          <w:p w14:paraId="359F2CD6">
            <w:pPr>
              <w:keepNext w:val="0"/>
              <w:keepLines w:val="0"/>
              <w:pageBreakBefore w:val="0"/>
              <w:widowControl/>
              <w:kinsoku/>
              <w:wordWrap/>
              <w:overflowPunct/>
              <w:topLinePunct w:val="0"/>
              <w:bidi w:val="0"/>
              <w:spacing w:line="360" w:lineRule="auto"/>
              <w:jc w:val="left"/>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（1）理赔流程非常合理，流程非常规范的得4-5分；（2）理赔流程欠合理，流程欠规范的得2-3.9分；（3）理赔流程不合理，流程不规范的得0-1.9分；</w:t>
            </w:r>
          </w:p>
        </w:tc>
        <w:tc>
          <w:tcPr>
            <w:tcW w:w="817" w:type="dxa"/>
            <w:tcBorders>
              <w:top w:val="single" w:color="auto" w:sz="4" w:space="0"/>
              <w:left w:val="single" w:color="auto" w:sz="4" w:space="0"/>
              <w:right w:val="single" w:color="auto" w:sz="4" w:space="0"/>
            </w:tcBorders>
            <w:noWrap w:val="0"/>
            <w:vAlign w:val="center"/>
          </w:tcPr>
          <w:p w14:paraId="0B3A6F08">
            <w:pPr>
              <w:pStyle w:val="24"/>
              <w:keepNext w:val="0"/>
              <w:keepLines w:val="0"/>
              <w:pageBreakBefore w:val="0"/>
              <w:kinsoku/>
              <w:wordWrap/>
              <w:overflowPunct/>
              <w:topLinePunct w:val="0"/>
              <w:bidi w:val="0"/>
              <w:spacing w:line="360" w:lineRule="auto"/>
              <w:ind w:left="480" w:leftChars="0" w:hanging="480"/>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5</w:t>
            </w:r>
          </w:p>
        </w:tc>
      </w:tr>
      <w:tr w14:paraId="64DEFA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3" w:hRule="atLeast"/>
          <w:jc w:val="center"/>
        </w:trPr>
        <w:tc>
          <w:tcPr>
            <w:tcW w:w="1229" w:type="dxa"/>
            <w:tcBorders>
              <w:top w:val="single" w:color="auto" w:sz="4" w:space="0"/>
              <w:left w:val="single" w:color="auto" w:sz="4" w:space="0"/>
              <w:bottom w:val="single" w:color="auto" w:sz="4" w:space="0"/>
              <w:right w:val="single" w:color="auto" w:sz="4" w:space="0"/>
            </w:tcBorders>
            <w:noWrap w:val="0"/>
            <w:vAlign w:val="center"/>
          </w:tcPr>
          <w:p w14:paraId="179DAF22">
            <w:pPr>
              <w:pStyle w:val="16"/>
              <w:keepNext w:val="0"/>
              <w:keepLines w:val="0"/>
              <w:pageBreakBefore w:val="0"/>
              <w:kinsoku/>
              <w:wordWrap/>
              <w:overflowPunct/>
              <w:topLinePunct w:val="0"/>
              <w:bidi w:val="0"/>
              <w:spacing w:line="360" w:lineRule="auto"/>
              <w:jc w:val="center"/>
              <w:textAlignment w:val="auto"/>
              <w:rPr>
                <w:rFonts w:hint="default"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优惠条件</w:t>
            </w:r>
          </w:p>
        </w:tc>
        <w:tc>
          <w:tcPr>
            <w:tcW w:w="6617" w:type="dxa"/>
            <w:tcBorders>
              <w:top w:val="single" w:color="auto" w:sz="4" w:space="0"/>
              <w:left w:val="single" w:color="auto" w:sz="4" w:space="0"/>
              <w:bottom w:val="single" w:color="auto" w:sz="4" w:space="0"/>
              <w:right w:val="single" w:color="auto" w:sz="4" w:space="0"/>
            </w:tcBorders>
            <w:noWrap w:val="0"/>
            <w:vAlign w:val="center"/>
          </w:tcPr>
          <w:p w14:paraId="5669FE77">
            <w:pPr>
              <w:pStyle w:val="4"/>
              <w:spacing w:before="156" w:after="156"/>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针对第五章保险合同条款十、每次事故绝对免赔额：</w:t>
            </w:r>
          </w:p>
          <w:p w14:paraId="5D5F4E19">
            <w:pPr>
              <w:pStyle w:val="58"/>
              <w:numPr>
                <w:ilvl w:val="0"/>
                <w:numId w:val="9"/>
              </w:numPr>
              <w:spacing w:line="360" w:lineRule="auto"/>
              <w:ind w:firstLineChars="0"/>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适用物质损失部分：</w:t>
            </w:r>
          </w:p>
          <w:p w14:paraId="52F5683D">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每提出一条降低免赔额及免赔率5%以上优惠条件的得2分，最高得6分。</w:t>
            </w:r>
          </w:p>
          <w:p w14:paraId="3A072291">
            <w:pPr>
              <w:pStyle w:val="2"/>
              <w:numPr>
                <w:ilvl w:val="0"/>
                <w:numId w:val="9"/>
              </w:numPr>
              <w:ind w:left="765" w:leftChars="0" w:hanging="765" w:firstLineChars="0"/>
              <w:jc w:val="both"/>
              <w:rPr>
                <w:rFonts w:hint="eastAsia" w:ascii="宋体" w:hAnsi="宋体" w:eastAsia="宋体" w:cs="宋体"/>
                <w:b w:val="0"/>
                <w:bCs w:val="0"/>
                <w:color w:val="auto"/>
                <w:spacing w:val="0"/>
                <w:kern w:val="2"/>
                <w:sz w:val="22"/>
                <w:szCs w:val="22"/>
                <w:highlight w:val="none"/>
                <w:lang w:val="en-US" w:eastAsia="zh-CN" w:bidi="ar-SA"/>
              </w:rPr>
            </w:pPr>
            <w:r>
              <w:rPr>
                <w:rFonts w:hint="eastAsia" w:ascii="宋体" w:hAnsi="宋体" w:eastAsia="宋体" w:cs="宋体"/>
                <w:b w:val="0"/>
                <w:bCs w:val="0"/>
                <w:color w:val="auto"/>
                <w:spacing w:val="0"/>
                <w:kern w:val="2"/>
                <w:sz w:val="22"/>
                <w:szCs w:val="22"/>
                <w:highlight w:val="none"/>
                <w:lang w:val="en-US" w:eastAsia="zh-CN" w:bidi="ar-SA"/>
              </w:rPr>
              <w:t>适用安全生产责任险部分：</w:t>
            </w:r>
          </w:p>
          <w:p w14:paraId="4941E8D3">
            <w:pPr>
              <w:keepNext w:val="0"/>
              <w:keepLines w:val="0"/>
              <w:pageBreakBefore w:val="0"/>
              <w:widowControl/>
              <w:kinsoku/>
              <w:wordWrap/>
              <w:overflowPunct/>
              <w:topLinePunct w:val="0"/>
              <w:bidi w:val="0"/>
              <w:spacing w:line="360" w:lineRule="auto"/>
              <w:jc w:val="left"/>
              <w:textAlignment w:val="auto"/>
              <w:rPr>
                <w:rFonts w:hint="eastAsia"/>
                <w:color w:val="auto"/>
                <w:highlight w:val="none"/>
                <w:lang w:val="en-US" w:eastAsia="zh-CN"/>
              </w:rPr>
            </w:pPr>
            <w:r>
              <w:rPr>
                <w:rFonts w:hint="eastAsia" w:ascii="宋体" w:hAnsi="宋体" w:eastAsia="宋体" w:cs="宋体"/>
                <w:b w:val="0"/>
                <w:bCs w:val="0"/>
                <w:color w:val="auto"/>
                <w:kern w:val="2"/>
                <w:sz w:val="22"/>
                <w:szCs w:val="22"/>
                <w:highlight w:val="none"/>
                <w:lang w:val="en-US" w:eastAsia="zh-CN" w:bidi="ar-SA"/>
              </w:rPr>
              <w:t>每提出一条降低免赔额5%以上优惠条件的得2分，最高得4分。</w:t>
            </w:r>
          </w:p>
        </w:tc>
        <w:tc>
          <w:tcPr>
            <w:tcW w:w="817" w:type="dxa"/>
            <w:tcBorders>
              <w:top w:val="single" w:color="auto" w:sz="4" w:space="0"/>
              <w:left w:val="single" w:color="auto" w:sz="4" w:space="0"/>
              <w:bottom w:val="single" w:color="auto" w:sz="4" w:space="0"/>
              <w:right w:val="single" w:color="auto" w:sz="4" w:space="0"/>
            </w:tcBorders>
            <w:noWrap w:val="0"/>
            <w:vAlign w:val="center"/>
          </w:tcPr>
          <w:p w14:paraId="77900F6F">
            <w:pPr>
              <w:keepNext w:val="0"/>
              <w:keepLines w:val="0"/>
              <w:pageBreakBefore w:val="0"/>
              <w:widowControl/>
              <w:kinsoku/>
              <w:wordWrap/>
              <w:overflowPunct/>
              <w:topLinePunct w:val="0"/>
              <w:bidi w:val="0"/>
              <w:spacing w:line="360" w:lineRule="auto"/>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kern w:val="2"/>
                <w:sz w:val="22"/>
                <w:szCs w:val="22"/>
                <w:highlight w:val="none"/>
                <w:lang w:val="en-US" w:eastAsia="zh-CN" w:bidi="ar-SA"/>
              </w:rPr>
              <w:t>10</w:t>
            </w:r>
          </w:p>
        </w:tc>
      </w:tr>
      <w:tr w14:paraId="52A20E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77" w:hRule="atLeast"/>
          <w:jc w:val="center"/>
        </w:trPr>
        <w:tc>
          <w:tcPr>
            <w:tcW w:w="1229" w:type="dxa"/>
            <w:tcBorders>
              <w:top w:val="single" w:color="auto" w:sz="4" w:space="0"/>
              <w:left w:val="single" w:color="auto" w:sz="4" w:space="0"/>
              <w:right w:val="single" w:color="auto" w:sz="4" w:space="0"/>
            </w:tcBorders>
            <w:noWrap w:val="0"/>
            <w:vAlign w:val="center"/>
          </w:tcPr>
          <w:p w14:paraId="7C296BFC">
            <w:pPr>
              <w:pStyle w:val="16"/>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保险培训方案</w:t>
            </w:r>
          </w:p>
        </w:tc>
        <w:tc>
          <w:tcPr>
            <w:tcW w:w="6617" w:type="dxa"/>
            <w:tcBorders>
              <w:top w:val="single" w:color="auto" w:sz="4" w:space="0"/>
              <w:left w:val="single" w:color="auto" w:sz="4" w:space="0"/>
              <w:right w:val="single" w:color="auto" w:sz="4" w:space="0"/>
            </w:tcBorders>
            <w:noWrap w:val="0"/>
            <w:vAlign w:val="center"/>
          </w:tcPr>
          <w:p w14:paraId="77D0AFC0">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根据投标人的培训次数、时间安排、培训内容的针对性等方面综合确定。</w:t>
            </w:r>
          </w:p>
        </w:tc>
        <w:tc>
          <w:tcPr>
            <w:tcW w:w="817" w:type="dxa"/>
            <w:tcBorders>
              <w:top w:val="single" w:color="auto" w:sz="4" w:space="0"/>
              <w:left w:val="single" w:color="auto" w:sz="4" w:space="0"/>
              <w:right w:val="single" w:color="auto" w:sz="4" w:space="0"/>
            </w:tcBorders>
            <w:noWrap w:val="0"/>
            <w:vAlign w:val="center"/>
          </w:tcPr>
          <w:p w14:paraId="68E116BC">
            <w:pPr>
              <w:keepNext w:val="0"/>
              <w:keepLines w:val="0"/>
              <w:pageBreakBefore w:val="0"/>
              <w:widowControl/>
              <w:kinsoku/>
              <w:wordWrap/>
              <w:overflowPunct/>
              <w:topLinePunct w:val="0"/>
              <w:bidi w:val="0"/>
              <w:spacing w:line="360" w:lineRule="auto"/>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w:t>
            </w:r>
          </w:p>
        </w:tc>
      </w:tr>
    </w:tbl>
    <w:p w14:paraId="6FED4574">
      <w:pPr>
        <w:numPr>
          <w:ilvl w:val="0"/>
          <w:numId w:val="0"/>
        </w:numPr>
        <w:spacing w:before="120" w:beforeLines="50" w:after="120" w:afterLines="50" w:line="360" w:lineRule="auto"/>
        <w:rPr>
          <w:rFonts w:hint="eastAsia" w:ascii="宋体" w:hAnsi="宋体" w:eastAsia="宋体" w:cs="Times New Roman"/>
          <w:color w:val="auto"/>
          <w:kern w:val="2"/>
          <w:sz w:val="24"/>
          <w:szCs w:val="24"/>
          <w:highlight w:val="none"/>
          <w:lang w:val="en-US" w:eastAsia="zh-CN" w:bidi="ar-SA"/>
        </w:rPr>
      </w:pPr>
      <w:r>
        <w:rPr>
          <w:rFonts w:hint="eastAsia" w:ascii="Times New Roman" w:hAnsi="Times New Roman" w:cs="Times New Roman"/>
          <w:b/>
          <w:bCs/>
          <w:color w:val="auto"/>
          <w:kern w:val="2"/>
          <w:sz w:val="24"/>
          <w:highlight w:val="none"/>
        </w:rPr>
        <w:t>（</w:t>
      </w:r>
      <w:r>
        <w:rPr>
          <w:rFonts w:hint="eastAsia" w:ascii="Times New Roman" w:hAnsi="Times New Roman" w:cs="Times New Roman"/>
          <w:b/>
          <w:bCs/>
          <w:color w:val="auto"/>
          <w:kern w:val="2"/>
          <w:sz w:val="24"/>
          <w:highlight w:val="none"/>
          <w:lang w:val="en-US" w:eastAsia="zh-CN"/>
        </w:rPr>
        <w:t>三</w:t>
      </w:r>
      <w:r>
        <w:rPr>
          <w:rFonts w:hint="eastAsia" w:ascii="Times New Roman" w:hAnsi="Times New Roman" w:cs="Times New Roman"/>
          <w:b/>
          <w:bCs/>
          <w:color w:val="auto"/>
          <w:kern w:val="2"/>
          <w:sz w:val="24"/>
          <w:highlight w:val="none"/>
        </w:rPr>
        <w:t>）</w:t>
      </w:r>
      <w:r>
        <w:rPr>
          <w:rFonts w:hint="eastAsia" w:ascii="宋体" w:hAnsi="宋体" w:cs="宋体"/>
          <w:b/>
          <w:bCs/>
          <w:color w:val="auto"/>
          <w:sz w:val="24"/>
          <w:highlight w:val="none"/>
          <w:lang w:val="en-US" w:eastAsia="zh-CN"/>
        </w:rPr>
        <w:t>商务标</w:t>
      </w:r>
      <w:r>
        <w:rPr>
          <w:rFonts w:hint="eastAsia" w:ascii="宋体" w:hAnsi="宋体" w:cs="宋体"/>
          <w:b/>
          <w:bCs/>
          <w:color w:val="auto"/>
          <w:sz w:val="24"/>
          <w:highlight w:val="none"/>
        </w:rPr>
        <w:t>评</w:t>
      </w:r>
      <w:r>
        <w:rPr>
          <w:rFonts w:hint="eastAsia" w:ascii="宋体" w:hAnsi="宋体" w:cs="宋体"/>
          <w:b/>
          <w:bCs/>
          <w:color w:val="auto"/>
          <w:sz w:val="24"/>
          <w:highlight w:val="none"/>
          <w:lang w:val="en-US" w:eastAsia="zh-CN"/>
        </w:rPr>
        <w:t>审</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60分</w:t>
      </w:r>
      <w:r>
        <w:rPr>
          <w:rFonts w:hint="eastAsia" w:ascii="宋体" w:hAnsi="宋体" w:cs="宋体"/>
          <w:b/>
          <w:bCs/>
          <w:color w:val="auto"/>
          <w:sz w:val="24"/>
          <w:highlight w:val="none"/>
          <w:lang w:eastAsia="zh-CN"/>
        </w:rPr>
        <w:t>）</w:t>
      </w:r>
      <w:r>
        <w:rPr>
          <w:rFonts w:hint="eastAsia" w:ascii="宋体" w:hAnsi="宋体" w:cs="宋体"/>
          <w:color w:val="auto"/>
          <w:sz w:val="24"/>
          <w:highlight w:val="none"/>
        </w:rPr>
        <w:t>（以下除注明外，计算结果小数点后保留2位，第3位四舍五入）。</w:t>
      </w:r>
    </w:p>
    <w:p w14:paraId="173FA280">
      <w:pPr>
        <w:pStyle w:val="11"/>
        <w:spacing w:line="360" w:lineRule="auto"/>
        <w:ind w:firstLine="720" w:firstLineChars="300"/>
        <w:rPr>
          <w:rFonts w:ascii="宋体" w:hAnsi="宋体" w:cs="宋体"/>
          <w:color w:val="auto"/>
          <w:sz w:val="24"/>
          <w:highlight w:val="none"/>
          <w:lang w:val="zh-CN"/>
        </w:rPr>
      </w:pPr>
      <w:r>
        <w:rPr>
          <w:rFonts w:hint="eastAsia" w:ascii="宋体" w:hAnsi="宋体" w:cs="宋体"/>
          <w:color w:val="auto"/>
          <w:sz w:val="24"/>
          <w:highlight w:val="none"/>
        </w:rPr>
        <w:t>（1）取所有有效报价的平均价作为评标基准价；投标人的投标报价得分按下列方式计算：</w:t>
      </w:r>
    </w:p>
    <w:p w14:paraId="0E465B18">
      <w:pPr>
        <w:pStyle w:val="11"/>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lang w:val="zh-CN"/>
        </w:rPr>
        <w:t>①投标评标价等于评标基准价时，得</w:t>
      </w:r>
      <w:r>
        <w:rPr>
          <w:rFonts w:hint="eastAsia" w:ascii="宋体" w:hAnsi="宋体" w:cs="宋体"/>
          <w:color w:val="auto"/>
          <w:sz w:val="24"/>
          <w:highlight w:val="none"/>
          <w:lang w:val="en-US" w:eastAsia="zh-CN"/>
        </w:rPr>
        <w:t>60</w:t>
      </w:r>
      <w:r>
        <w:rPr>
          <w:rFonts w:hint="eastAsia" w:ascii="宋体" w:hAnsi="宋体" w:cs="宋体"/>
          <w:color w:val="auto"/>
          <w:sz w:val="24"/>
          <w:highlight w:val="none"/>
          <w:lang w:val="zh-CN"/>
        </w:rPr>
        <w:t>分；</w:t>
      </w:r>
    </w:p>
    <w:p w14:paraId="04A8BDEE">
      <w:pPr>
        <w:pStyle w:val="11"/>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②投标评标价每低于评标基准价1个百分点，扣</w:t>
      </w:r>
      <w:r>
        <w:rPr>
          <w:rFonts w:hint="eastAsia" w:ascii="宋体" w:hAnsi="宋体" w:cs="宋体"/>
          <w:color w:val="auto"/>
          <w:sz w:val="24"/>
          <w:highlight w:val="none"/>
        </w:rPr>
        <w:t>0.5</w:t>
      </w:r>
      <w:r>
        <w:rPr>
          <w:rFonts w:hint="eastAsia" w:ascii="宋体" w:hAnsi="宋体" w:cs="宋体"/>
          <w:color w:val="auto"/>
          <w:sz w:val="24"/>
          <w:highlight w:val="none"/>
          <w:lang w:val="zh-CN"/>
        </w:rPr>
        <w:t>分，</w:t>
      </w:r>
      <w:r>
        <w:rPr>
          <w:rFonts w:hint="eastAsia" w:ascii="宋体" w:hAnsi="宋体" w:cs="宋体"/>
          <w:color w:val="auto"/>
          <w:sz w:val="24"/>
          <w:highlight w:val="none"/>
        </w:rPr>
        <w:t>即商务标</w:t>
      </w:r>
      <w:r>
        <w:rPr>
          <w:rFonts w:hint="eastAsia" w:ascii="宋体" w:hAnsi="宋体" w:cs="宋体"/>
          <w:color w:val="auto"/>
          <w:sz w:val="24"/>
          <w:highlight w:val="none"/>
          <w:lang w:val="en-US" w:eastAsia="zh-CN"/>
        </w:rPr>
        <w:t>得分</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0-│（投标报价-评标基准价）│/评标基准价×</w:t>
      </w:r>
      <w:r>
        <w:rPr>
          <w:rFonts w:hint="eastAsia" w:ascii="宋体" w:hAnsi="宋体" w:cs="宋体"/>
          <w:color w:val="auto"/>
          <w:sz w:val="24"/>
          <w:highlight w:val="none"/>
          <w:lang w:val="en-US" w:eastAsia="zh-CN"/>
        </w:rPr>
        <w:t>60</w:t>
      </w:r>
      <w:r>
        <w:rPr>
          <w:rFonts w:hint="eastAsia" w:ascii="宋体" w:hAnsi="宋体" w:cs="宋体"/>
          <w:color w:val="auto"/>
          <w:sz w:val="24"/>
          <w:highlight w:val="none"/>
        </w:rPr>
        <w:t>×0.5（商务标得分计算结果小数点后保留2位，小数点后第3位四舍五入）</w:t>
      </w:r>
      <w:r>
        <w:rPr>
          <w:rFonts w:hint="eastAsia" w:ascii="宋体" w:hAnsi="宋体" w:cs="宋体"/>
          <w:color w:val="auto"/>
          <w:sz w:val="24"/>
          <w:highlight w:val="none"/>
          <w:lang w:val="zh-CN"/>
        </w:rPr>
        <w:t>；</w:t>
      </w:r>
    </w:p>
    <w:p w14:paraId="6E8F07CE">
      <w:pPr>
        <w:pStyle w:val="1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③投标评标价每高于评标基准价1个百分点，扣</w:t>
      </w:r>
      <w:r>
        <w:rPr>
          <w:rFonts w:hint="eastAsia" w:ascii="宋体" w:hAnsi="宋体" w:cs="宋体"/>
          <w:color w:val="auto"/>
          <w:sz w:val="24"/>
          <w:highlight w:val="none"/>
        </w:rPr>
        <w:t>1</w:t>
      </w:r>
      <w:r>
        <w:rPr>
          <w:rFonts w:hint="eastAsia" w:ascii="宋体" w:hAnsi="宋体" w:cs="宋体"/>
          <w:color w:val="auto"/>
          <w:sz w:val="24"/>
          <w:highlight w:val="none"/>
          <w:lang w:val="zh-CN"/>
        </w:rPr>
        <w:t>分，</w:t>
      </w:r>
      <w:r>
        <w:rPr>
          <w:rFonts w:hint="eastAsia" w:ascii="宋体" w:hAnsi="宋体" w:cs="宋体"/>
          <w:color w:val="auto"/>
          <w:sz w:val="24"/>
          <w:highlight w:val="none"/>
        </w:rPr>
        <w:t>即商务标得分=</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0-│（投标报价-评标基准价）│/评标基准价×</w:t>
      </w:r>
      <w:r>
        <w:rPr>
          <w:rFonts w:hint="eastAsia" w:ascii="宋体" w:hAnsi="宋体" w:cs="宋体"/>
          <w:color w:val="auto"/>
          <w:sz w:val="24"/>
          <w:highlight w:val="none"/>
          <w:lang w:val="en-US" w:eastAsia="zh-CN"/>
        </w:rPr>
        <w:t>60</w:t>
      </w:r>
      <w:r>
        <w:rPr>
          <w:rFonts w:hint="eastAsia" w:ascii="宋体" w:hAnsi="宋体" w:cs="宋体"/>
          <w:color w:val="auto"/>
          <w:sz w:val="24"/>
          <w:highlight w:val="none"/>
        </w:rPr>
        <w:t>×1（商务标得分计算结果小数点后保留2位，小数点后第3位四舍五入）</w:t>
      </w:r>
      <w:r>
        <w:rPr>
          <w:rFonts w:hint="eastAsia" w:ascii="宋体" w:hAnsi="宋体" w:cs="宋体"/>
          <w:color w:val="auto"/>
          <w:sz w:val="24"/>
          <w:highlight w:val="none"/>
          <w:lang w:val="zh-CN"/>
        </w:rPr>
        <w:t>。</w:t>
      </w:r>
    </w:p>
    <w:p w14:paraId="0AA707ED">
      <w:pPr>
        <w:spacing w:line="360" w:lineRule="auto"/>
        <w:ind w:firstLine="720" w:firstLineChars="300"/>
        <w:rPr>
          <w:rFonts w:hint="eastAsia" w:ascii="宋体" w:hAnsi="宋体" w:cs="宋体"/>
          <w:b/>
          <w:bCs/>
          <w:color w:val="auto"/>
          <w:sz w:val="24"/>
          <w:highlight w:val="none"/>
          <w:u w:val="single"/>
        </w:rPr>
      </w:pPr>
      <w:r>
        <w:rPr>
          <w:rFonts w:hint="eastAsia" w:ascii="宋体" w:hAnsi="宋体" w:cs="宋体"/>
          <w:b/>
          <w:bCs/>
          <w:color w:val="auto"/>
          <w:sz w:val="24"/>
          <w:highlight w:val="none"/>
        </w:rPr>
        <w:t>（2）</w:t>
      </w:r>
      <w:r>
        <w:rPr>
          <w:rFonts w:hint="eastAsia" w:ascii="宋体" w:hAnsi="宋体" w:cs="宋体"/>
          <w:b/>
          <w:bCs/>
          <w:color w:val="auto"/>
          <w:sz w:val="24"/>
          <w:highlight w:val="none"/>
          <w:u w:val="single"/>
        </w:rPr>
        <w:t>▲本项目</w:t>
      </w:r>
      <w:r>
        <w:rPr>
          <w:rFonts w:hint="eastAsia" w:ascii="宋体" w:hAnsi="宋体" w:cs="宋体"/>
          <w:b/>
          <w:bCs/>
          <w:color w:val="auto"/>
          <w:sz w:val="24"/>
          <w:highlight w:val="none"/>
          <w:u w:val="single"/>
          <w:lang w:val="en-US" w:eastAsia="zh-CN"/>
        </w:rPr>
        <w:t>保险费合计</w:t>
      </w:r>
      <w:r>
        <w:rPr>
          <w:rFonts w:hint="eastAsia" w:ascii="宋体" w:hAnsi="宋体" w:cs="宋体"/>
          <w:b/>
          <w:bCs/>
          <w:color w:val="auto"/>
          <w:sz w:val="24"/>
          <w:highlight w:val="none"/>
          <w:u w:val="single"/>
        </w:rPr>
        <w:t>最高限价：</w:t>
      </w:r>
      <w:r>
        <w:rPr>
          <w:rFonts w:hint="eastAsia" w:ascii="宋体" w:hAnsi="宋体" w:cs="宋体"/>
          <w:b/>
          <w:bCs/>
          <w:color w:val="auto"/>
          <w:sz w:val="24"/>
          <w:highlight w:val="none"/>
          <w:u w:val="single"/>
          <w:lang w:val="en-US" w:eastAsia="zh-CN"/>
        </w:rPr>
        <w:t>4079462</w:t>
      </w:r>
      <w:r>
        <w:rPr>
          <w:rFonts w:hint="eastAsia" w:ascii="宋体" w:hAnsi="宋体" w:cs="宋体"/>
          <w:b/>
          <w:bCs/>
          <w:color w:val="auto"/>
          <w:sz w:val="24"/>
          <w:highlight w:val="none"/>
          <w:u w:val="single"/>
        </w:rPr>
        <w:t>元</w:t>
      </w:r>
      <w:r>
        <w:rPr>
          <w:rFonts w:hint="eastAsia" w:ascii="宋体" w:hAnsi="宋体" w:cs="宋体"/>
          <w:b/>
          <w:bCs/>
          <w:color w:val="auto"/>
          <w:sz w:val="24"/>
          <w:highlight w:val="none"/>
          <w:u w:val="single"/>
          <w:lang w:eastAsia="zh-CN"/>
        </w:rPr>
        <w:t>；建筑工程一切险</w:t>
      </w:r>
      <w:r>
        <w:rPr>
          <w:rFonts w:hint="eastAsia" w:ascii="宋体" w:hAnsi="宋体" w:cs="宋体"/>
          <w:b/>
          <w:bCs/>
          <w:color w:val="auto"/>
          <w:sz w:val="24"/>
          <w:highlight w:val="none"/>
          <w:u w:val="single"/>
          <w:lang w:val="en-US" w:eastAsia="zh-CN"/>
        </w:rPr>
        <w:t>保险费最高限价2447677元，保险费率上限3‰；安全生产责任险保险费最高限价1631785元，保险费率上限2‰。</w:t>
      </w:r>
    </w:p>
    <w:p w14:paraId="6BBA0EDF">
      <w:pPr>
        <w:spacing w:line="360" w:lineRule="auto"/>
        <w:ind w:firstLine="720" w:firstLineChars="300"/>
        <w:rPr>
          <w:rFonts w:hint="eastAsia" w:ascii="宋体" w:hAnsi="宋体" w:cs="宋体"/>
          <w:b/>
          <w:bCs/>
          <w:color w:val="auto"/>
          <w:sz w:val="24"/>
          <w:highlight w:val="none"/>
          <w:u w:val="single"/>
        </w:rPr>
      </w:pPr>
      <w:r>
        <w:rPr>
          <w:rFonts w:hint="eastAsia" w:ascii="宋体" w:hAnsi="宋体" w:cs="宋体"/>
          <w:b/>
          <w:bCs/>
          <w:color w:val="auto"/>
          <w:sz w:val="24"/>
          <w:highlight w:val="none"/>
          <w:u w:val="single"/>
        </w:rPr>
        <w:t>如投标人报价超过最高限价</w:t>
      </w:r>
      <w:r>
        <w:rPr>
          <w:rFonts w:hint="eastAsia" w:ascii="宋体" w:hAnsi="宋体" w:cs="宋体"/>
          <w:b/>
          <w:bCs/>
          <w:color w:val="auto"/>
          <w:sz w:val="24"/>
          <w:highlight w:val="none"/>
          <w:u w:val="single"/>
          <w:lang w:val="en-US" w:eastAsia="zh-CN"/>
        </w:rPr>
        <w:t>及费率上限</w:t>
      </w:r>
      <w:r>
        <w:rPr>
          <w:rFonts w:hint="eastAsia" w:ascii="宋体" w:hAnsi="宋体" w:cs="宋体"/>
          <w:b/>
          <w:bCs/>
          <w:color w:val="auto"/>
          <w:sz w:val="24"/>
          <w:highlight w:val="none"/>
          <w:u w:val="single"/>
        </w:rPr>
        <w:t>，其投标文件作无效标处理。</w:t>
      </w:r>
    </w:p>
    <w:p w14:paraId="455E6224">
      <w:pPr>
        <w:pStyle w:val="11"/>
        <w:tabs>
          <w:tab w:val="left" w:pos="574"/>
        </w:tabs>
        <w:snapToGrid w:val="0"/>
        <w:spacing w:after="0"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（3）评标委员会认为投标人的报价明显低于其他通过符合性审查投标人的报价，有可能影响</w:t>
      </w: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质量或者不能诚信履约的，应当要求其在评标程序中给予的合理的时间内提供书面说明，必要时提交相关证明材料；投标人不能证明其报价合理性的，评标委员会应当将其作为无效投标处理。</w:t>
      </w:r>
    </w:p>
    <w:p w14:paraId="1750AEF8">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（4）所有投标人商务报价均超采购最高限价，本次招标失败，重新组织招标。</w:t>
      </w:r>
    </w:p>
    <w:p w14:paraId="706E8C70">
      <w:pPr>
        <w:spacing w:line="360" w:lineRule="auto"/>
        <w:ind w:left="420"/>
        <w:rPr>
          <w:rFonts w:ascii="宋体" w:hAnsi="宋体" w:cs="宋体"/>
          <w:color w:val="auto"/>
          <w:sz w:val="24"/>
          <w:highlight w:val="none"/>
        </w:rPr>
      </w:pPr>
      <w:r>
        <w:rPr>
          <w:rFonts w:hint="eastAsia" w:ascii="宋体" w:hAnsi="宋体" w:cs="宋体"/>
          <w:color w:val="auto"/>
          <w:sz w:val="24"/>
          <w:highlight w:val="none"/>
        </w:rPr>
        <w:t>（四）总得分的统计及中标人的确定。</w:t>
      </w:r>
    </w:p>
    <w:p w14:paraId="3998B23C">
      <w:pPr>
        <w:spacing w:line="360" w:lineRule="auto"/>
        <w:ind w:left="420"/>
        <w:rPr>
          <w:rFonts w:ascii="宋体" w:hAnsi="宋体" w:cs="宋体"/>
          <w:b/>
          <w:bCs/>
          <w:color w:val="auto"/>
          <w:sz w:val="24"/>
          <w:highlight w:val="none"/>
        </w:rPr>
      </w:pPr>
      <w:r>
        <w:rPr>
          <w:rFonts w:hint="eastAsia" w:ascii="宋体" w:hAnsi="宋体" w:cs="宋体"/>
          <w:b/>
          <w:bCs/>
          <w:color w:val="auto"/>
          <w:sz w:val="24"/>
          <w:highlight w:val="none"/>
        </w:rPr>
        <w:t>评标总得分的确定：</w:t>
      </w:r>
    </w:p>
    <w:p w14:paraId="17D0853A">
      <w:pPr>
        <w:spacing w:line="360" w:lineRule="auto"/>
        <w:ind w:left="420"/>
        <w:rPr>
          <w:rFonts w:hint="eastAsia" w:ascii="宋体" w:hAnsi="宋体" w:cs="宋体"/>
          <w:b/>
          <w:bCs/>
          <w:color w:val="auto"/>
          <w:sz w:val="24"/>
          <w:highlight w:val="none"/>
        </w:rPr>
      </w:pPr>
      <w:r>
        <w:rPr>
          <w:rFonts w:hint="eastAsia" w:ascii="宋体" w:hAnsi="宋体" w:cs="宋体"/>
          <w:b/>
          <w:bCs/>
          <w:color w:val="auto"/>
          <w:sz w:val="24"/>
          <w:highlight w:val="none"/>
        </w:rPr>
        <w:t>投标人的总得分＝资信技术得分+商务标得分。</w:t>
      </w:r>
    </w:p>
    <w:p w14:paraId="170DDAE0">
      <w:pPr>
        <w:spacing w:line="360" w:lineRule="auto"/>
        <w:ind w:left="420"/>
        <w:rPr>
          <w:rFonts w:ascii="宋体" w:hAnsi="宋体"/>
          <w:b/>
          <w:color w:val="auto"/>
          <w:sz w:val="24"/>
          <w:highlight w:val="none"/>
        </w:rPr>
      </w:pPr>
      <w:r>
        <w:rPr>
          <w:rFonts w:hint="eastAsia" w:ascii="宋体" w:hAnsi="宋体" w:eastAsia="宋体"/>
          <w:b/>
          <w:color w:val="auto"/>
          <w:sz w:val="24"/>
          <w:highlight w:val="none"/>
          <w:lang w:val="en-US" w:eastAsia="zh-CN"/>
        </w:rPr>
        <w:t>中标候选人</w:t>
      </w:r>
      <w:r>
        <w:rPr>
          <w:rFonts w:hint="eastAsia" w:ascii="宋体" w:hAnsi="宋体"/>
          <w:b/>
          <w:color w:val="auto"/>
          <w:sz w:val="24"/>
          <w:highlight w:val="none"/>
        </w:rPr>
        <w:t>的确定：</w:t>
      </w:r>
    </w:p>
    <w:p w14:paraId="64DECFE2">
      <w:pPr>
        <w:adjustRightInd w:val="0"/>
        <w:spacing w:line="360" w:lineRule="auto"/>
        <w:ind w:firstLine="480" w:firstLineChars="200"/>
        <w:jc w:val="left"/>
        <w:rPr>
          <w:rFonts w:hint="eastAsia" w:ascii="宋体" w:hAnsi="宋体"/>
          <w:bCs/>
          <w:color w:val="auto"/>
          <w:sz w:val="24"/>
          <w:highlight w:val="none"/>
        </w:rPr>
      </w:pPr>
      <w:r>
        <w:rPr>
          <w:rFonts w:hint="eastAsia" w:ascii="宋体" w:hAnsi="宋体" w:eastAsia="宋体"/>
          <w:bCs/>
          <w:color w:val="auto"/>
          <w:sz w:val="24"/>
          <w:highlight w:val="none"/>
          <w:lang w:val="en-US" w:eastAsia="zh-CN"/>
        </w:rPr>
        <w:t>中标候选人</w:t>
      </w:r>
      <w:r>
        <w:rPr>
          <w:rFonts w:hint="eastAsia" w:ascii="宋体" w:hAnsi="宋体"/>
          <w:bCs/>
          <w:color w:val="auto"/>
          <w:sz w:val="24"/>
          <w:highlight w:val="none"/>
        </w:rPr>
        <w:t>的排名次序按投标人总得分从高到低顺序排列，即总得分最高者为中标候选人</w:t>
      </w:r>
      <w:r>
        <w:rPr>
          <w:rFonts w:hint="eastAsia" w:ascii="宋体" w:hAnsi="宋体"/>
          <w:bCs/>
          <w:color w:val="auto"/>
          <w:sz w:val="24"/>
          <w:highlight w:val="none"/>
          <w:lang w:eastAsia="zh-CN"/>
        </w:rPr>
        <w:t>，</w:t>
      </w:r>
      <w:r>
        <w:rPr>
          <w:rFonts w:hint="eastAsia" w:ascii="宋体" w:hAnsi="宋体"/>
          <w:bCs/>
          <w:color w:val="auto"/>
          <w:sz w:val="24"/>
          <w:highlight w:val="none"/>
        </w:rPr>
        <w:t>若出现总得分相同时，按资信技术标得分由高到低顺序排列；若以上均相同的，则抽签确定。</w:t>
      </w:r>
    </w:p>
    <w:p w14:paraId="51D12A6F">
      <w:pPr>
        <w:spacing w:line="360" w:lineRule="auto"/>
        <w:ind w:firstLine="482" w:firstLineChars="200"/>
        <w:jc w:val="center"/>
        <w:rPr>
          <w:rFonts w:hint="default"/>
          <w:b/>
          <w:bCs w:val="0"/>
          <w:color w:val="auto"/>
          <w:sz w:val="36"/>
          <w:szCs w:val="36"/>
          <w:highlight w:val="none"/>
          <w:lang w:val="en-US"/>
        </w:rPr>
      </w:pPr>
      <w:r>
        <w:rPr>
          <w:rFonts w:hint="eastAsia" w:ascii="宋体" w:hAnsi="Times New Roman" w:eastAsia="宋体" w:cs="宋体"/>
          <w:b/>
          <w:bCs/>
          <w:color w:val="auto"/>
          <w:sz w:val="24"/>
          <w:szCs w:val="24"/>
          <w:highlight w:val="none"/>
          <w:lang w:val="en-US" w:eastAsia="zh-CN"/>
        </w:rPr>
        <w:br w:type="page"/>
      </w:r>
      <w:r>
        <w:rPr>
          <w:rFonts w:hint="eastAsia"/>
          <w:b/>
          <w:bCs w:val="0"/>
          <w:color w:val="auto"/>
          <w:sz w:val="36"/>
          <w:szCs w:val="36"/>
          <w:highlight w:val="none"/>
        </w:rPr>
        <w:t>第五</w:t>
      </w:r>
      <w:r>
        <w:rPr>
          <w:rFonts w:hint="eastAsia" w:eastAsia="宋体"/>
          <w:b/>
          <w:bCs w:val="0"/>
          <w:color w:val="auto"/>
          <w:sz w:val="36"/>
          <w:szCs w:val="36"/>
          <w:highlight w:val="none"/>
          <w:lang w:val="en-US" w:eastAsia="zh-CN"/>
        </w:rPr>
        <w:t>章</w:t>
      </w:r>
      <w:r>
        <w:rPr>
          <w:rFonts w:hint="eastAsia"/>
          <w:b/>
          <w:bCs w:val="0"/>
          <w:color w:val="auto"/>
          <w:sz w:val="36"/>
          <w:szCs w:val="36"/>
          <w:highlight w:val="none"/>
        </w:rPr>
        <w:t xml:space="preserve"> </w:t>
      </w:r>
      <w:r>
        <w:rPr>
          <w:rFonts w:hint="eastAsia"/>
          <w:b/>
          <w:bCs w:val="0"/>
          <w:color w:val="auto"/>
          <w:sz w:val="36"/>
          <w:szCs w:val="36"/>
          <w:highlight w:val="none"/>
          <w:lang w:val="en-US" w:eastAsia="zh-CN"/>
        </w:rPr>
        <w:t xml:space="preserve">    合同条款</w:t>
      </w:r>
    </w:p>
    <w:p w14:paraId="5DA5F6FD">
      <w:pPr>
        <w:pStyle w:val="3"/>
        <w:spacing w:before="0" w:after="0"/>
        <w:ind w:firstLine="481"/>
        <w:jc w:val="center"/>
        <w:rPr>
          <w:rFonts w:hint="eastAsia" w:ascii="宋体" w:hAnsi="宋体" w:cs="宋体"/>
          <w:color w:val="auto"/>
          <w:sz w:val="24"/>
          <w:szCs w:val="22"/>
          <w:highlight w:val="none"/>
        </w:rPr>
      </w:pPr>
      <w:r>
        <w:rPr>
          <w:rFonts w:hint="eastAsia" w:ascii="宋体" w:hAnsi="宋体" w:cs="宋体"/>
          <w:color w:val="auto"/>
          <w:sz w:val="24"/>
          <w:szCs w:val="22"/>
          <w:highlight w:val="none"/>
        </w:rPr>
        <w:t>（此稿为合同样本，最终定稿待双方协商后定）</w:t>
      </w:r>
    </w:p>
    <w:p w14:paraId="03F91AC0">
      <w:pPr>
        <w:jc w:val="center"/>
        <w:rPr>
          <w:rFonts w:hint="eastAsia"/>
          <w:color w:val="auto"/>
          <w:sz w:val="32"/>
          <w:szCs w:val="18"/>
          <w:highlight w:val="none"/>
          <w:lang w:val="en-US" w:eastAsia="zh-CN"/>
        </w:rPr>
      </w:pPr>
      <w:r>
        <w:rPr>
          <w:rFonts w:hint="eastAsia" w:eastAsia="宋体"/>
          <w:b/>
          <w:color w:val="auto"/>
          <w:kern w:val="44"/>
          <w:sz w:val="32"/>
          <w:szCs w:val="18"/>
          <w:highlight w:val="none"/>
          <w:lang w:val="en-US" w:eastAsia="zh-CN" w:bidi="ar-SA"/>
        </w:rPr>
        <w:t>台州湾陆岛联动综合码头工程（一期）</w:t>
      </w:r>
    </w:p>
    <w:p w14:paraId="2BF2964D">
      <w:pPr>
        <w:pStyle w:val="3"/>
        <w:jc w:val="center"/>
        <w:rPr>
          <w:rFonts w:hint="eastAsia" w:eastAsia="宋体"/>
          <w:color w:val="auto"/>
          <w:sz w:val="32"/>
          <w:szCs w:val="18"/>
          <w:highlight w:val="none"/>
          <w:lang w:eastAsia="zh-CN"/>
        </w:rPr>
      </w:pPr>
      <w:r>
        <w:rPr>
          <w:rFonts w:hint="eastAsia"/>
          <w:color w:val="auto"/>
          <w:sz w:val="32"/>
          <w:szCs w:val="18"/>
          <w:highlight w:val="none"/>
          <w:lang w:eastAsia="zh-CN"/>
        </w:rPr>
        <w:t>建筑工程一切险</w:t>
      </w:r>
      <w:r>
        <w:rPr>
          <w:rFonts w:hint="eastAsia"/>
          <w:color w:val="auto"/>
          <w:sz w:val="32"/>
          <w:szCs w:val="18"/>
          <w:highlight w:val="none"/>
        </w:rPr>
        <w:t>及</w:t>
      </w:r>
      <w:r>
        <w:rPr>
          <w:rFonts w:hint="eastAsia"/>
          <w:color w:val="auto"/>
          <w:sz w:val="32"/>
          <w:szCs w:val="18"/>
          <w:highlight w:val="none"/>
          <w:lang w:val="en-US" w:eastAsia="zh-CN"/>
        </w:rPr>
        <w:t>安全生产</w:t>
      </w:r>
      <w:r>
        <w:rPr>
          <w:rFonts w:hint="eastAsia"/>
          <w:color w:val="auto"/>
          <w:sz w:val="32"/>
          <w:szCs w:val="18"/>
          <w:highlight w:val="none"/>
        </w:rPr>
        <w:t>责任险保险</w:t>
      </w:r>
      <w:r>
        <w:rPr>
          <w:rFonts w:hint="eastAsia"/>
          <w:color w:val="auto"/>
          <w:sz w:val="32"/>
          <w:szCs w:val="18"/>
          <w:highlight w:val="none"/>
          <w:lang w:val="en-US" w:eastAsia="zh-CN"/>
        </w:rPr>
        <w:t>服务</w:t>
      </w:r>
    </w:p>
    <w:p w14:paraId="3CE3F772">
      <w:pPr>
        <w:rPr>
          <w:rFonts w:hint="eastAsia"/>
          <w:color w:val="auto"/>
          <w:highlight w:val="none"/>
        </w:rPr>
      </w:pPr>
    </w:p>
    <w:p w14:paraId="0E2C0F3D">
      <w:pPr>
        <w:spacing w:line="360" w:lineRule="auto"/>
        <w:ind w:firstLine="420"/>
        <w:rPr>
          <w:rFonts w:eastAsia="宋体" w:cs="宋体"/>
          <w:bCs/>
          <w:color w:val="auto"/>
          <w:sz w:val="21"/>
          <w:szCs w:val="21"/>
          <w:highlight w:val="none"/>
        </w:rPr>
      </w:pPr>
      <w:r>
        <w:rPr>
          <w:rFonts w:hint="eastAsia" w:eastAsia="宋体" w:cs="宋体"/>
          <w:bCs/>
          <w:color w:val="auto"/>
          <w:sz w:val="21"/>
          <w:szCs w:val="21"/>
          <w:highlight w:val="none"/>
        </w:rPr>
        <w:t>投保人</w:t>
      </w:r>
      <w:r>
        <w:rPr>
          <w:rFonts w:hint="eastAsia" w:eastAsia="宋体" w:cs="宋体"/>
          <w:bCs/>
          <w:color w:val="auto"/>
          <w:sz w:val="21"/>
          <w:szCs w:val="21"/>
          <w:highlight w:val="none"/>
          <w:lang w:eastAsia="zh-CN"/>
        </w:rPr>
        <w:t>：</w:t>
      </w:r>
      <w:r>
        <w:rPr>
          <w:rFonts w:hint="eastAsia" w:cs="宋体"/>
          <w:bCs/>
          <w:color w:val="auto"/>
          <w:szCs w:val="21"/>
          <w:highlight w:val="none"/>
          <w:shd w:val="clear" w:color="auto" w:fill="auto"/>
          <w:lang w:val="en-US" w:eastAsia="zh-CN"/>
        </w:rPr>
        <w:t xml:space="preserve">                   </w:t>
      </w:r>
      <w:r>
        <w:rPr>
          <w:rFonts w:hint="eastAsia" w:eastAsia="宋体" w:cs="宋体"/>
          <w:bCs/>
          <w:color w:val="auto"/>
          <w:sz w:val="21"/>
          <w:szCs w:val="21"/>
          <w:highlight w:val="none"/>
        </w:rPr>
        <w:t>（以下简称甲方）</w:t>
      </w:r>
    </w:p>
    <w:p w14:paraId="03AB7BBA">
      <w:pPr>
        <w:spacing w:line="360" w:lineRule="auto"/>
        <w:ind w:firstLine="420"/>
        <w:rPr>
          <w:rFonts w:eastAsia="宋体" w:cs="宋体"/>
          <w:bCs/>
          <w:color w:val="auto"/>
          <w:sz w:val="21"/>
          <w:szCs w:val="21"/>
          <w:highlight w:val="none"/>
        </w:rPr>
      </w:pPr>
      <w:r>
        <w:rPr>
          <w:rFonts w:hint="eastAsia" w:eastAsia="宋体" w:cs="宋体"/>
          <w:bCs/>
          <w:color w:val="auto"/>
          <w:sz w:val="21"/>
          <w:szCs w:val="21"/>
          <w:highlight w:val="none"/>
        </w:rPr>
        <w:t>保险人</w:t>
      </w:r>
      <w:r>
        <w:rPr>
          <w:rFonts w:hint="eastAsia" w:eastAsia="宋体" w:cs="宋体"/>
          <w:bCs/>
          <w:color w:val="auto"/>
          <w:sz w:val="21"/>
          <w:szCs w:val="21"/>
          <w:highlight w:val="none"/>
          <w:lang w:eastAsia="zh-CN"/>
        </w:rPr>
        <w:t>：</w:t>
      </w:r>
      <w:r>
        <w:rPr>
          <w:rFonts w:hint="eastAsia" w:eastAsia="宋体" w:cs="宋体"/>
          <w:bCs/>
          <w:color w:val="auto"/>
          <w:sz w:val="21"/>
          <w:szCs w:val="21"/>
          <w:highlight w:val="none"/>
          <w:lang w:val="en-US" w:eastAsia="zh-CN"/>
        </w:rPr>
        <w:t xml:space="preserve">                    </w:t>
      </w:r>
      <w:r>
        <w:rPr>
          <w:rFonts w:hint="eastAsia" w:eastAsia="宋体" w:cs="宋体"/>
          <w:bCs/>
          <w:color w:val="auto"/>
          <w:sz w:val="21"/>
          <w:szCs w:val="21"/>
          <w:highlight w:val="none"/>
        </w:rPr>
        <w:t>（以下简称乙方）</w:t>
      </w:r>
    </w:p>
    <w:p w14:paraId="150F1984">
      <w:pPr>
        <w:tabs>
          <w:tab w:val="left" w:pos="0"/>
        </w:tabs>
        <w:spacing w:line="360" w:lineRule="auto"/>
        <w:ind w:firstLine="420"/>
        <w:rPr>
          <w:rFonts w:hint="eastAsia" w:ascii="宋体" w:hAnsi="宋体" w:eastAsia="宋体" w:cs="宋体"/>
          <w:color w:val="auto"/>
          <w:sz w:val="28"/>
          <w:highlight w:val="none"/>
          <w:u w:val="single"/>
        </w:rPr>
      </w:pPr>
      <w:r>
        <w:rPr>
          <w:rFonts w:hint="eastAsia" w:eastAsia="宋体" w:cs="宋体"/>
          <w:bCs/>
          <w:color w:val="auto"/>
          <w:sz w:val="21"/>
          <w:szCs w:val="21"/>
          <w:highlight w:val="none"/>
        </w:rPr>
        <w:t>发包人：</w:t>
      </w:r>
      <w:r>
        <w:rPr>
          <w:rFonts w:hint="eastAsia" w:cs="宋体"/>
          <w:bCs/>
          <w:color w:val="auto"/>
          <w:szCs w:val="21"/>
          <w:highlight w:val="none"/>
          <w:shd w:val="clear" w:color="auto" w:fill="auto"/>
          <w:lang w:eastAsia="zh-CN"/>
        </w:rPr>
        <w:t>台州西廊港口开发有限公司</w:t>
      </w:r>
      <w:r>
        <w:rPr>
          <w:rFonts w:hint="eastAsia" w:eastAsia="宋体" w:cs="宋体"/>
          <w:bCs/>
          <w:color w:val="auto"/>
          <w:sz w:val="21"/>
          <w:szCs w:val="21"/>
          <w:highlight w:val="none"/>
        </w:rPr>
        <w:t>（以下简称丙方）</w:t>
      </w:r>
    </w:p>
    <w:p w14:paraId="03D143FC">
      <w:pPr>
        <w:spacing w:line="400" w:lineRule="exact"/>
        <w:ind w:firstLine="420" w:firstLineChars="200"/>
        <w:rPr>
          <w:rFonts w:hint="eastAsia" w:cs="宋体"/>
          <w:bCs/>
          <w:color w:val="auto"/>
          <w:szCs w:val="21"/>
          <w:highlight w:val="none"/>
        </w:rPr>
      </w:pPr>
      <w:r>
        <w:rPr>
          <w:rFonts w:hint="eastAsia" w:eastAsia="宋体" w:cs="宋体"/>
          <w:bCs/>
          <w:color w:val="auto"/>
          <w:sz w:val="21"/>
          <w:szCs w:val="21"/>
          <w:highlight w:val="none"/>
        </w:rPr>
        <w:t>经纪人：</w:t>
      </w:r>
      <w:r>
        <w:rPr>
          <w:rFonts w:hint="eastAsia" w:eastAsia="宋体" w:cs="宋体"/>
          <w:bCs/>
          <w:color w:val="auto"/>
          <w:sz w:val="21"/>
          <w:szCs w:val="21"/>
          <w:highlight w:val="none"/>
          <w:lang w:val="en-US" w:eastAsia="zh-CN"/>
        </w:rPr>
        <w:t>浙江涌嘉保险经纪有限公司</w:t>
      </w:r>
      <w:r>
        <w:rPr>
          <w:rFonts w:hint="eastAsia" w:eastAsia="宋体" w:cs="宋体"/>
          <w:bCs/>
          <w:color w:val="auto"/>
          <w:sz w:val="21"/>
          <w:szCs w:val="21"/>
          <w:highlight w:val="none"/>
        </w:rPr>
        <w:t>（以下简称丁方）</w:t>
      </w:r>
    </w:p>
    <w:p w14:paraId="6100250F">
      <w:pPr>
        <w:spacing w:before="157" w:beforeLines="50" w:after="157" w:afterLines="50" w:line="400" w:lineRule="exact"/>
        <w:ind w:firstLine="560" w:firstLineChars="200"/>
        <w:jc w:val="center"/>
        <w:rPr>
          <w:rFonts w:hint="eastAsia" w:cs="宋体"/>
          <w:bCs/>
          <w:color w:val="auto"/>
          <w:szCs w:val="21"/>
          <w:highlight w:val="none"/>
        </w:rPr>
      </w:pPr>
      <w:r>
        <w:rPr>
          <w:rFonts w:hint="eastAsia" w:ascii="Arial" w:hAnsi="Arial" w:cs="Times New Roman"/>
          <w:b/>
          <w:bCs w:val="0"/>
          <w:color w:val="auto"/>
          <w:sz w:val="28"/>
          <w:szCs w:val="22"/>
          <w:highlight w:val="none"/>
          <w:shd w:val="clear" w:color="auto" w:fill="auto"/>
          <w:lang w:val="en-US" w:eastAsia="zh-CN"/>
        </w:rPr>
        <w:t>前言</w:t>
      </w:r>
    </w:p>
    <w:p w14:paraId="7065D92D">
      <w:pPr>
        <w:spacing w:line="400" w:lineRule="exact"/>
        <w:ind w:left="420" w:leftChars="200" w:firstLine="0" w:firstLineChars="0"/>
        <w:rPr>
          <w:rFonts w:hint="eastAsia" w:cs="宋体"/>
          <w:bCs/>
          <w:color w:val="auto"/>
          <w:szCs w:val="21"/>
          <w:highlight w:val="none"/>
          <w:shd w:val="clear" w:color="auto" w:fill="auto"/>
        </w:rPr>
      </w:pPr>
      <w:r>
        <w:rPr>
          <w:rFonts w:hint="eastAsia" w:cs="宋体"/>
          <w:bCs/>
          <w:color w:val="auto"/>
          <w:szCs w:val="21"/>
          <w:highlight w:val="none"/>
        </w:rPr>
        <w:t>为全面保障</w:t>
      </w:r>
      <w:r>
        <w:rPr>
          <w:rFonts w:hint="eastAsia" w:cs="宋体"/>
          <w:bCs/>
          <w:color w:val="auto"/>
          <w:szCs w:val="21"/>
          <w:highlight w:val="none"/>
          <w:lang w:eastAsia="zh-CN"/>
        </w:rPr>
        <w:t>台州湾陆岛联动综合码头工程（</w:t>
      </w:r>
      <w:r>
        <w:rPr>
          <w:rFonts w:hint="eastAsia" w:cs="宋体"/>
          <w:bCs/>
          <w:color w:val="auto"/>
          <w:szCs w:val="21"/>
          <w:highlight w:val="none"/>
          <w:lang w:val="en-US" w:eastAsia="zh-CN"/>
        </w:rPr>
        <w:t>一期</w:t>
      </w:r>
      <w:r>
        <w:rPr>
          <w:rFonts w:hint="eastAsia" w:cs="宋体"/>
          <w:bCs/>
          <w:color w:val="auto"/>
          <w:szCs w:val="21"/>
          <w:highlight w:val="none"/>
          <w:lang w:eastAsia="zh-CN"/>
        </w:rPr>
        <w:t>）</w:t>
      </w:r>
      <w:r>
        <w:rPr>
          <w:rFonts w:hint="eastAsia" w:cs="宋体"/>
          <w:bCs/>
          <w:color w:val="auto"/>
          <w:szCs w:val="21"/>
          <w:highlight w:val="none"/>
        </w:rPr>
        <w:t>施工</w:t>
      </w:r>
      <w:r>
        <w:rPr>
          <w:rFonts w:hint="eastAsia" w:cs="宋体"/>
          <w:bCs/>
          <w:color w:val="auto"/>
          <w:szCs w:val="21"/>
          <w:highlight w:val="none"/>
          <w:lang w:eastAsia="zh-CN"/>
        </w:rPr>
        <w:t>安全</w:t>
      </w:r>
      <w:r>
        <w:rPr>
          <w:rFonts w:hint="eastAsia" w:cs="宋体"/>
          <w:bCs/>
          <w:color w:val="auto"/>
          <w:szCs w:val="21"/>
          <w:highlight w:val="none"/>
        </w:rPr>
        <w:t>，实施风险管理，充分发挥经济效益，根据《中华人民共和国</w:t>
      </w:r>
      <w:r>
        <w:rPr>
          <w:rFonts w:hint="eastAsia" w:eastAsia="宋体" w:cs="宋体"/>
          <w:bCs/>
          <w:color w:val="auto"/>
          <w:sz w:val="21"/>
          <w:szCs w:val="21"/>
          <w:highlight w:val="none"/>
        </w:rPr>
        <w:t>民法典</w:t>
      </w:r>
      <w:r>
        <w:rPr>
          <w:rFonts w:hint="eastAsia" w:cs="宋体"/>
          <w:bCs/>
          <w:color w:val="auto"/>
          <w:szCs w:val="21"/>
          <w:highlight w:val="none"/>
        </w:rPr>
        <w:t>》、《中华人民共和国保险法》及其他相关法律、行政法规、规章的规定</w:t>
      </w:r>
      <w:r>
        <w:rPr>
          <w:rFonts w:hint="eastAsia" w:cs="宋体"/>
          <w:bCs/>
          <w:color w:val="auto"/>
          <w:szCs w:val="21"/>
          <w:highlight w:val="none"/>
          <w:lang w:eastAsia="zh-CN"/>
        </w:rPr>
        <w:t>及</w:t>
      </w:r>
      <w:r>
        <w:rPr>
          <w:rFonts w:hint="eastAsia" w:cs="宋体"/>
          <w:bCs/>
          <w:color w:val="auto"/>
          <w:szCs w:val="21"/>
          <w:highlight w:val="none"/>
          <w:shd w:val="clear" w:color="auto" w:fill="auto"/>
          <w:lang w:eastAsia="zh-CN"/>
        </w:rPr>
        <w:t>台州西廊港口开发有限公司、中交第三航务工程局有限公司</w:t>
      </w:r>
      <w:r>
        <w:rPr>
          <w:rFonts w:hint="eastAsia" w:cs="宋体"/>
          <w:bCs/>
          <w:color w:val="auto"/>
          <w:szCs w:val="21"/>
          <w:highlight w:val="none"/>
          <w:lang w:eastAsia="zh-CN"/>
        </w:rPr>
        <w:t>对本标段保险项目的招标结果，并</w:t>
      </w:r>
      <w:r>
        <w:rPr>
          <w:rFonts w:hint="eastAsia" w:cs="宋体"/>
          <w:bCs/>
          <w:color w:val="auto"/>
          <w:szCs w:val="21"/>
          <w:highlight w:val="none"/>
        </w:rPr>
        <w:t>遵循诚实信用和公平原则，自愿签订本保险合同</w:t>
      </w:r>
      <w:r>
        <w:rPr>
          <w:rFonts w:hint="eastAsia" w:cs="宋体"/>
          <w:bCs/>
          <w:color w:val="auto"/>
          <w:szCs w:val="21"/>
          <w:highlight w:val="none"/>
          <w:shd w:val="clear" w:color="auto" w:fill="auto"/>
        </w:rPr>
        <w:t>。</w:t>
      </w:r>
    </w:p>
    <w:p w14:paraId="7608F382">
      <w:pPr>
        <w:spacing w:line="400" w:lineRule="exact"/>
        <w:ind w:left="420" w:leftChars="200" w:firstLine="0" w:firstLineChars="0"/>
        <w:rPr>
          <w:rFonts w:hint="eastAsia" w:cs="宋体"/>
          <w:bCs/>
          <w:color w:val="auto"/>
          <w:szCs w:val="21"/>
          <w:highlight w:val="none"/>
          <w:shd w:val="clear" w:color="auto" w:fill="auto"/>
        </w:rPr>
      </w:pPr>
      <w:r>
        <w:rPr>
          <w:rFonts w:hint="eastAsia" w:cs="宋体"/>
          <w:bCs/>
          <w:color w:val="auto"/>
          <w:szCs w:val="21"/>
          <w:highlight w:val="none"/>
          <w:shd w:val="clear" w:color="auto" w:fill="auto"/>
        </w:rPr>
        <w:t>本合同中的主险条款和</w:t>
      </w:r>
      <w:r>
        <w:rPr>
          <w:rFonts w:hint="eastAsia" w:cs="宋体"/>
          <w:bCs/>
          <w:color w:val="auto"/>
          <w:szCs w:val="21"/>
          <w:highlight w:val="none"/>
          <w:shd w:val="clear" w:color="auto" w:fill="auto"/>
          <w:lang w:eastAsia="zh-CN"/>
        </w:rPr>
        <w:t>扩展</w:t>
      </w:r>
      <w:r>
        <w:rPr>
          <w:rFonts w:hint="eastAsia" w:cs="宋体"/>
          <w:bCs/>
          <w:color w:val="auto"/>
          <w:szCs w:val="21"/>
          <w:highlight w:val="none"/>
          <w:shd w:val="clear" w:color="auto" w:fill="auto"/>
        </w:rPr>
        <w:t>条款有冲突的，优先适用</w:t>
      </w:r>
      <w:r>
        <w:rPr>
          <w:rFonts w:hint="eastAsia" w:cs="宋体"/>
          <w:bCs/>
          <w:color w:val="auto"/>
          <w:szCs w:val="21"/>
          <w:highlight w:val="none"/>
          <w:shd w:val="clear" w:color="auto" w:fill="auto"/>
          <w:lang w:eastAsia="zh-CN"/>
        </w:rPr>
        <w:t>扩展</w:t>
      </w:r>
      <w:r>
        <w:rPr>
          <w:rFonts w:hint="eastAsia" w:cs="宋体"/>
          <w:bCs/>
          <w:color w:val="auto"/>
          <w:szCs w:val="21"/>
          <w:highlight w:val="none"/>
          <w:shd w:val="clear" w:color="auto" w:fill="auto"/>
        </w:rPr>
        <w:t>条款；</w:t>
      </w:r>
      <w:r>
        <w:rPr>
          <w:rFonts w:hint="eastAsia" w:cs="宋体"/>
          <w:bCs/>
          <w:color w:val="auto"/>
          <w:szCs w:val="21"/>
          <w:highlight w:val="none"/>
          <w:shd w:val="clear" w:color="auto" w:fill="auto"/>
          <w:lang w:eastAsia="zh-CN"/>
        </w:rPr>
        <w:t>扩展</w:t>
      </w:r>
      <w:r>
        <w:rPr>
          <w:rFonts w:hint="eastAsia" w:cs="宋体"/>
          <w:bCs/>
          <w:color w:val="auto"/>
          <w:szCs w:val="21"/>
          <w:highlight w:val="none"/>
          <w:shd w:val="clear" w:color="auto" w:fill="auto"/>
        </w:rPr>
        <w:t>条款</w:t>
      </w:r>
      <w:r>
        <w:rPr>
          <w:rFonts w:hint="eastAsia" w:cs="宋体"/>
          <w:bCs/>
          <w:color w:val="auto"/>
          <w:szCs w:val="21"/>
          <w:highlight w:val="none"/>
          <w:shd w:val="clear" w:color="auto" w:fill="auto"/>
          <w:lang w:val="en-US" w:eastAsia="zh-CN"/>
        </w:rPr>
        <w:t>与特别</w:t>
      </w:r>
      <w:r>
        <w:rPr>
          <w:rFonts w:hint="eastAsia" w:cs="宋体"/>
          <w:bCs/>
          <w:color w:val="auto"/>
          <w:szCs w:val="21"/>
          <w:highlight w:val="none"/>
          <w:shd w:val="clear" w:color="auto" w:fill="auto"/>
        </w:rPr>
        <w:t>约定条款有冲突的，优先适用</w:t>
      </w:r>
      <w:r>
        <w:rPr>
          <w:rFonts w:hint="eastAsia" w:cs="宋体"/>
          <w:bCs/>
          <w:color w:val="auto"/>
          <w:szCs w:val="21"/>
          <w:highlight w:val="none"/>
          <w:shd w:val="clear" w:color="auto" w:fill="auto"/>
          <w:lang w:val="en-US" w:eastAsia="zh-CN"/>
        </w:rPr>
        <w:t>特别</w:t>
      </w:r>
      <w:r>
        <w:rPr>
          <w:rFonts w:hint="eastAsia" w:cs="宋体"/>
          <w:bCs/>
          <w:color w:val="auto"/>
          <w:szCs w:val="21"/>
          <w:highlight w:val="none"/>
          <w:shd w:val="clear" w:color="auto" w:fill="auto"/>
        </w:rPr>
        <w:t>约定条款；</w:t>
      </w:r>
      <w:r>
        <w:rPr>
          <w:rFonts w:hint="eastAsia" w:cs="宋体"/>
          <w:bCs/>
          <w:color w:val="auto"/>
          <w:szCs w:val="21"/>
          <w:highlight w:val="none"/>
          <w:shd w:val="clear" w:color="auto" w:fill="auto"/>
          <w:lang w:eastAsia="zh-CN"/>
        </w:rPr>
        <w:t>扩展</w:t>
      </w:r>
      <w:r>
        <w:rPr>
          <w:rFonts w:hint="eastAsia" w:cs="宋体"/>
          <w:bCs/>
          <w:color w:val="auto"/>
          <w:szCs w:val="21"/>
          <w:highlight w:val="none"/>
          <w:shd w:val="clear" w:color="auto" w:fill="auto"/>
        </w:rPr>
        <w:t>条款</w:t>
      </w:r>
      <w:r>
        <w:rPr>
          <w:rFonts w:hint="eastAsia" w:cs="宋体"/>
          <w:bCs/>
          <w:color w:val="auto"/>
          <w:szCs w:val="21"/>
          <w:highlight w:val="none"/>
          <w:shd w:val="clear" w:color="auto" w:fill="auto"/>
          <w:lang w:val="en-US" w:eastAsia="zh-CN"/>
        </w:rPr>
        <w:t>与特别</w:t>
      </w:r>
      <w:r>
        <w:rPr>
          <w:rFonts w:hint="eastAsia" w:cs="宋体"/>
          <w:bCs/>
          <w:color w:val="auto"/>
          <w:szCs w:val="21"/>
          <w:highlight w:val="none"/>
          <w:shd w:val="clear" w:color="auto" w:fill="auto"/>
        </w:rPr>
        <w:t>约定条款之间有冲突的，优先适用有利于被保险人的条款。</w:t>
      </w:r>
    </w:p>
    <w:p w14:paraId="7B3D9C4E">
      <w:pPr>
        <w:spacing w:line="400" w:lineRule="exact"/>
        <w:ind w:left="420" w:leftChars="200" w:firstLine="0" w:firstLineChars="0"/>
        <w:rPr>
          <w:rFonts w:hint="eastAsia" w:cs="宋体"/>
          <w:bCs/>
          <w:color w:val="auto"/>
          <w:szCs w:val="21"/>
          <w:highlight w:val="none"/>
        </w:rPr>
      </w:pPr>
      <w:r>
        <w:rPr>
          <w:rFonts w:hint="eastAsia" w:cs="宋体"/>
          <w:bCs/>
          <w:color w:val="auto"/>
          <w:szCs w:val="21"/>
          <w:highlight w:val="none"/>
          <w:shd w:val="clear" w:color="auto" w:fill="auto"/>
        </w:rPr>
        <w:t>本保险合同项下的保险由</w:t>
      </w:r>
      <w:bookmarkStart w:id="21" w:name="OLE_LINK1"/>
      <w:r>
        <w:rPr>
          <w:rFonts w:hint="eastAsia" w:cs="宋体"/>
          <w:bCs/>
          <w:color w:val="auto"/>
          <w:szCs w:val="21"/>
          <w:highlight w:val="none"/>
          <w:shd w:val="clear" w:color="auto" w:fill="auto"/>
        </w:rPr>
        <w:t>首席</w:t>
      </w:r>
      <w:bookmarkEnd w:id="21"/>
      <w:r>
        <w:rPr>
          <w:rFonts w:hint="eastAsia" w:cs="宋体"/>
          <w:bCs/>
          <w:color w:val="auto"/>
          <w:szCs w:val="21"/>
          <w:highlight w:val="none"/>
          <w:shd w:val="clear" w:color="auto" w:fill="auto"/>
        </w:rPr>
        <w:t>保险人和各</w:t>
      </w:r>
      <w:bookmarkStart w:id="22" w:name="OLE_LINK2"/>
      <w:r>
        <w:rPr>
          <w:rFonts w:hint="eastAsia" w:cs="宋体"/>
          <w:bCs/>
          <w:color w:val="auto"/>
          <w:szCs w:val="21"/>
          <w:highlight w:val="none"/>
          <w:shd w:val="clear" w:color="auto" w:fill="auto"/>
        </w:rPr>
        <w:t>共同</w:t>
      </w:r>
      <w:bookmarkEnd w:id="22"/>
      <w:r>
        <w:rPr>
          <w:rFonts w:hint="eastAsia" w:cs="宋体"/>
          <w:bCs/>
          <w:color w:val="auto"/>
          <w:szCs w:val="21"/>
          <w:highlight w:val="none"/>
          <w:shd w:val="clear" w:color="auto" w:fill="auto"/>
        </w:rPr>
        <w:t>保险人按比例共同承保，一旦发生保险事故，首先由首席保险人无条件优先履行全部赔偿，首席保险人对共同保险人享有请求权。各保险人承担的保险责任，按各保险人承保比例计算。保险费、赔款和共保各方共同确定的费用支出由共保各方按共保比例分享和承担。首席保险人具体负责与投保人的联系以及办理承保、防灾、理赔（包括确定赔偿金额）等保险事务，共同保险人有权参与上述事务。若共保人意见不同的，以首席</w:t>
      </w:r>
      <w:bookmarkStart w:id="23" w:name="OLE_LINK5"/>
      <w:r>
        <w:rPr>
          <w:rFonts w:hint="eastAsia" w:cs="宋体"/>
          <w:bCs/>
          <w:color w:val="auto"/>
          <w:szCs w:val="21"/>
          <w:highlight w:val="none"/>
          <w:shd w:val="clear" w:color="auto" w:fill="auto"/>
        </w:rPr>
        <w:t>保险人</w:t>
      </w:r>
      <w:bookmarkEnd w:id="23"/>
      <w:r>
        <w:rPr>
          <w:rFonts w:hint="eastAsia" w:cs="宋体"/>
          <w:bCs/>
          <w:color w:val="auto"/>
          <w:szCs w:val="21"/>
          <w:highlight w:val="none"/>
          <w:shd w:val="clear" w:color="auto" w:fill="auto"/>
        </w:rPr>
        <w:t>的意见为准，首席保险人的意见作为保险人的最终意见。若共保人之间产生争议的，其他各方概不负责。</w:t>
      </w:r>
    </w:p>
    <w:p w14:paraId="0BF25299">
      <w:pPr>
        <w:pStyle w:val="4"/>
        <w:spacing w:before="156" w:after="156"/>
        <w:rPr>
          <w:rFonts w:hint="eastAsia"/>
          <w:color w:val="auto"/>
          <w:sz w:val="24"/>
          <w:szCs w:val="24"/>
          <w:highlight w:val="none"/>
        </w:rPr>
      </w:pPr>
      <w:bookmarkStart w:id="24" w:name="_Toc15661"/>
      <w:bookmarkStart w:id="25" w:name="_Toc9165"/>
      <w:bookmarkStart w:id="26" w:name="_Toc28099"/>
      <w:r>
        <w:rPr>
          <w:rFonts w:hint="eastAsia"/>
          <w:color w:val="auto"/>
          <w:sz w:val="24"/>
          <w:szCs w:val="24"/>
          <w:highlight w:val="none"/>
        </w:rPr>
        <w:t>一、投保人名称、地址</w:t>
      </w:r>
      <w:bookmarkEnd w:id="24"/>
      <w:bookmarkEnd w:id="25"/>
      <w:bookmarkEnd w:id="26"/>
      <w:r>
        <w:rPr>
          <w:rFonts w:hint="eastAsia"/>
          <w:color w:val="auto"/>
          <w:sz w:val="24"/>
          <w:szCs w:val="24"/>
          <w:highlight w:val="none"/>
        </w:rPr>
        <w:t>：</w:t>
      </w:r>
    </w:p>
    <w:p w14:paraId="76B042BE">
      <w:pPr>
        <w:spacing w:line="400" w:lineRule="exact"/>
        <w:ind w:firstLine="420" w:firstLineChars="200"/>
        <w:rPr>
          <w:color w:val="auto"/>
          <w:highlight w:val="none"/>
          <w:u w:val="none"/>
        </w:rPr>
      </w:pPr>
      <w:r>
        <w:rPr>
          <w:rFonts w:hint="eastAsia" w:cs="宋体"/>
          <w:bCs/>
          <w:color w:val="auto"/>
          <w:szCs w:val="21"/>
          <w:highlight w:val="none"/>
        </w:rPr>
        <w:t xml:space="preserve">    投保人名称：</w:t>
      </w:r>
      <w:r>
        <w:rPr>
          <w:rFonts w:hint="eastAsia" w:cs="宋体"/>
          <w:bCs/>
          <w:color w:val="auto"/>
          <w:szCs w:val="21"/>
          <w:highlight w:val="none"/>
          <w:shd w:val="clear" w:color="auto" w:fill="auto"/>
          <w:lang w:eastAsia="zh-CN"/>
        </w:rPr>
        <w:t xml:space="preserve">中交第三航务工程局有限公司      </w:t>
      </w:r>
    </w:p>
    <w:p w14:paraId="16ACDF35">
      <w:pPr>
        <w:spacing w:line="400" w:lineRule="exact"/>
        <w:ind w:firstLine="420" w:firstLineChars="200"/>
        <w:rPr>
          <w:rFonts w:hint="default" w:eastAsia="宋体" w:cs="宋体"/>
          <w:bCs/>
          <w:color w:val="auto"/>
          <w:szCs w:val="21"/>
          <w:highlight w:val="none"/>
          <w:shd w:val="clear" w:color="auto" w:fill="auto"/>
          <w:lang w:val="en-US" w:eastAsia="zh-CN"/>
        </w:rPr>
      </w:pPr>
      <w:r>
        <w:rPr>
          <w:rFonts w:hint="eastAsia" w:cs="宋体"/>
          <w:bCs/>
          <w:color w:val="auto"/>
          <w:szCs w:val="21"/>
          <w:highlight w:val="none"/>
        </w:rPr>
        <w:t xml:space="preserve">    地      址：</w:t>
      </w:r>
      <w:r>
        <w:rPr>
          <w:rFonts w:hint="eastAsia" w:cs="宋体"/>
          <w:bCs/>
          <w:color w:val="auto"/>
          <w:szCs w:val="21"/>
          <w:highlight w:val="none"/>
          <w:lang w:val="en-US" w:eastAsia="zh-CN"/>
        </w:rPr>
        <w:t>上海市徐汇区平江路139号</w:t>
      </w:r>
    </w:p>
    <w:p w14:paraId="074A3059">
      <w:pPr>
        <w:pStyle w:val="4"/>
        <w:spacing w:before="156" w:after="156"/>
        <w:rPr>
          <w:rFonts w:hint="eastAsia"/>
          <w:color w:val="auto"/>
          <w:sz w:val="24"/>
          <w:szCs w:val="24"/>
          <w:highlight w:val="none"/>
        </w:rPr>
      </w:pPr>
      <w:r>
        <w:rPr>
          <w:rFonts w:hint="eastAsia"/>
          <w:color w:val="auto"/>
          <w:sz w:val="24"/>
          <w:szCs w:val="24"/>
          <w:highlight w:val="none"/>
        </w:rPr>
        <w:t>二、被保险人名称：</w:t>
      </w:r>
    </w:p>
    <w:p w14:paraId="2205F487">
      <w:pPr>
        <w:spacing w:line="400" w:lineRule="exact"/>
        <w:ind w:firstLine="420" w:firstLineChars="200"/>
        <w:rPr>
          <w:rFonts w:hint="eastAsia" w:cs="宋体"/>
          <w:bCs/>
          <w:color w:val="auto"/>
          <w:szCs w:val="21"/>
          <w:highlight w:val="none"/>
        </w:rPr>
      </w:pPr>
      <w:bookmarkStart w:id="27" w:name="_Toc26859"/>
      <w:bookmarkStart w:id="28" w:name="_Toc4494"/>
      <w:r>
        <w:rPr>
          <w:rFonts w:hint="eastAsia" w:cs="宋体"/>
          <w:bCs/>
          <w:color w:val="auto"/>
          <w:szCs w:val="21"/>
          <w:highlight w:val="none"/>
        </w:rPr>
        <w:t>（一）</w:t>
      </w:r>
      <w:r>
        <w:rPr>
          <w:rFonts w:hint="eastAsia" w:cs="宋体"/>
          <w:bCs/>
          <w:color w:val="auto"/>
          <w:szCs w:val="21"/>
          <w:highlight w:val="none"/>
          <w:shd w:val="clear" w:color="auto" w:fill="auto"/>
          <w:lang w:eastAsia="zh-CN"/>
        </w:rPr>
        <w:t>中交第三航务工程局有限公司</w:t>
      </w:r>
      <w:r>
        <w:rPr>
          <w:rFonts w:hint="eastAsia" w:cs="宋体"/>
          <w:bCs/>
          <w:color w:val="auto"/>
          <w:szCs w:val="21"/>
          <w:highlight w:val="none"/>
        </w:rPr>
        <w:t>；</w:t>
      </w:r>
      <w:bookmarkEnd w:id="27"/>
      <w:bookmarkEnd w:id="28"/>
    </w:p>
    <w:p w14:paraId="4BC7A4CF">
      <w:pPr>
        <w:spacing w:line="400" w:lineRule="exact"/>
        <w:ind w:firstLine="420" w:firstLineChars="200"/>
        <w:rPr>
          <w:rFonts w:hint="eastAsia" w:cs="宋体"/>
          <w:bCs/>
          <w:color w:val="auto"/>
          <w:szCs w:val="21"/>
          <w:highlight w:val="none"/>
          <w:shd w:val="clear" w:color="auto" w:fill="auto"/>
        </w:rPr>
      </w:pPr>
      <w:bookmarkStart w:id="29" w:name="_Toc26767"/>
      <w:bookmarkStart w:id="30" w:name="_Toc27547"/>
      <w:bookmarkStart w:id="31" w:name="_Toc116"/>
      <w:bookmarkStart w:id="32" w:name="_Toc11313"/>
      <w:bookmarkStart w:id="33" w:name="_Toc27532"/>
      <w:r>
        <w:rPr>
          <w:rFonts w:hint="eastAsia" w:cs="宋体"/>
          <w:bCs/>
          <w:color w:val="auto"/>
          <w:szCs w:val="21"/>
          <w:highlight w:val="none"/>
          <w:shd w:val="clear" w:color="auto" w:fill="auto"/>
        </w:rPr>
        <w:t>（</w:t>
      </w:r>
      <w:r>
        <w:rPr>
          <w:rFonts w:hint="eastAsia" w:cs="宋体"/>
          <w:bCs/>
          <w:color w:val="auto"/>
          <w:szCs w:val="21"/>
          <w:highlight w:val="none"/>
          <w:shd w:val="clear" w:color="auto" w:fill="auto"/>
          <w:lang w:val="en-US" w:eastAsia="zh-CN"/>
        </w:rPr>
        <w:t>二</w:t>
      </w:r>
      <w:r>
        <w:rPr>
          <w:rFonts w:hint="eastAsia" w:cs="宋体"/>
          <w:bCs/>
          <w:color w:val="auto"/>
          <w:szCs w:val="21"/>
          <w:highlight w:val="none"/>
          <w:shd w:val="clear" w:color="auto" w:fill="auto"/>
        </w:rPr>
        <w:t>）</w:t>
      </w:r>
      <w:r>
        <w:rPr>
          <w:rFonts w:hint="eastAsia" w:cs="宋体"/>
          <w:bCs/>
          <w:color w:val="auto"/>
          <w:szCs w:val="21"/>
          <w:highlight w:val="none"/>
          <w:shd w:val="clear" w:color="auto" w:fill="auto"/>
          <w:lang w:eastAsia="zh-CN"/>
        </w:rPr>
        <w:t>台州西廊港口开发有限公司</w:t>
      </w:r>
      <w:r>
        <w:rPr>
          <w:rFonts w:hint="eastAsia" w:cs="宋体"/>
          <w:bCs/>
          <w:color w:val="auto"/>
          <w:szCs w:val="21"/>
          <w:highlight w:val="none"/>
          <w:shd w:val="clear" w:color="auto" w:fill="auto"/>
        </w:rPr>
        <w:t>；</w:t>
      </w:r>
      <w:bookmarkEnd w:id="29"/>
      <w:bookmarkEnd w:id="30"/>
    </w:p>
    <w:p w14:paraId="7F30A0B8">
      <w:pPr>
        <w:spacing w:line="400" w:lineRule="exact"/>
        <w:ind w:left="1050" w:leftChars="200" w:hanging="630" w:hangingChars="300"/>
        <w:rPr>
          <w:rFonts w:hint="eastAsia" w:eastAsia="宋体" w:cs="宋体"/>
          <w:bCs/>
          <w:color w:val="auto"/>
          <w:szCs w:val="21"/>
          <w:highlight w:val="none"/>
          <w:shd w:val="clear" w:color="auto" w:fill="auto"/>
          <w:lang w:eastAsia="zh-CN"/>
        </w:rPr>
      </w:pPr>
      <w:bookmarkStart w:id="34" w:name="_Toc2031"/>
      <w:bookmarkStart w:id="35" w:name="_Toc27276"/>
      <w:r>
        <w:rPr>
          <w:rFonts w:hint="eastAsia" w:cs="宋体"/>
          <w:bCs/>
          <w:color w:val="auto"/>
          <w:szCs w:val="21"/>
          <w:highlight w:val="none"/>
          <w:shd w:val="clear" w:color="auto" w:fill="auto"/>
        </w:rPr>
        <w:t>（</w:t>
      </w:r>
      <w:r>
        <w:rPr>
          <w:rFonts w:hint="eastAsia" w:cs="宋体"/>
          <w:bCs/>
          <w:color w:val="auto"/>
          <w:szCs w:val="21"/>
          <w:highlight w:val="none"/>
          <w:shd w:val="clear" w:color="auto" w:fill="auto"/>
          <w:lang w:eastAsia="zh-CN"/>
        </w:rPr>
        <w:t>三</w:t>
      </w:r>
      <w:r>
        <w:rPr>
          <w:rFonts w:hint="eastAsia" w:cs="宋体"/>
          <w:bCs/>
          <w:color w:val="auto"/>
          <w:szCs w:val="21"/>
          <w:highlight w:val="none"/>
          <w:shd w:val="clear" w:color="auto" w:fill="auto"/>
        </w:rPr>
        <w:t>）</w:t>
      </w:r>
      <w:r>
        <w:rPr>
          <w:rFonts w:hint="eastAsia" w:cs="宋体"/>
          <w:bCs/>
          <w:color w:val="auto"/>
          <w:szCs w:val="21"/>
          <w:highlight w:val="none"/>
          <w:shd w:val="clear" w:color="auto" w:fill="auto"/>
          <w:lang w:eastAsia="zh-CN"/>
        </w:rPr>
        <w:t>台州湾陆岛联动综合码头工程（</w:t>
      </w:r>
      <w:r>
        <w:rPr>
          <w:rFonts w:hint="eastAsia" w:cs="宋体"/>
          <w:bCs/>
          <w:color w:val="auto"/>
          <w:szCs w:val="21"/>
          <w:highlight w:val="none"/>
          <w:shd w:val="clear" w:color="auto" w:fill="auto"/>
          <w:lang w:val="en-US" w:eastAsia="zh-CN"/>
        </w:rPr>
        <w:t>一期</w:t>
      </w:r>
      <w:r>
        <w:rPr>
          <w:rFonts w:hint="eastAsia" w:cs="宋体"/>
          <w:bCs/>
          <w:color w:val="auto"/>
          <w:szCs w:val="21"/>
          <w:highlight w:val="none"/>
          <w:shd w:val="clear" w:color="auto" w:fill="auto"/>
          <w:lang w:eastAsia="zh-CN"/>
        </w:rPr>
        <w:t>）</w:t>
      </w:r>
      <w:r>
        <w:rPr>
          <w:rFonts w:hint="eastAsia" w:cs="宋体"/>
          <w:bCs/>
          <w:color w:val="auto"/>
          <w:szCs w:val="21"/>
          <w:highlight w:val="none"/>
          <w:shd w:val="clear" w:color="auto" w:fill="auto"/>
          <w:lang w:val="en-US" w:eastAsia="zh-CN"/>
        </w:rPr>
        <w:t>的</w:t>
      </w:r>
      <w:r>
        <w:rPr>
          <w:rFonts w:hint="eastAsia" w:cs="宋体"/>
          <w:bCs/>
          <w:color w:val="auto"/>
          <w:szCs w:val="21"/>
          <w:highlight w:val="none"/>
          <w:shd w:val="clear" w:color="auto" w:fill="auto"/>
        </w:rPr>
        <w:t>设计方、监理方、</w:t>
      </w:r>
      <w:r>
        <w:rPr>
          <w:rFonts w:hint="eastAsia" w:cs="宋体"/>
          <w:bCs/>
          <w:color w:val="auto"/>
          <w:szCs w:val="21"/>
          <w:highlight w:val="none"/>
          <w:shd w:val="clear" w:color="auto" w:fill="auto"/>
          <w:lang w:val="en-US" w:eastAsia="zh-CN"/>
        </w:rPr>
        <w:t>物资</w:t>
      </w:r>
      <w:r>
        <w:rPr>
          <w:rFonts w:hint="eastAsia" w:cs="宋体"/>
          <w:bCs/>
          <w:color w:val="auto"/>
          <w:szCs w:val="21"/>
          <w:highlight w:val="none"/>
          <w:shd w:val="clear" w:color="auto" w:fill="auto"/>
        </w:rPr>
        <w:t>供应商及其相关协作方</w:t>
      </w:r>
      <w:r>
        <w:rPr>
          <w:rFonts w:hint="eastAsia" w:cs="宋体"/>
          <w:bCs/>
          <w:color w:val="auto"/>
          <w:szCs w:val="21"/>
          <w:highlight w:val="none"/>
          <w:shd w:val="clear" w:color="auto" w:fill="auto"/>
          <w:lang w:eastAsia="zh-CN"/>
        </w:rPr>
        <w:t>；</w:t>
      </w:r>
    </w:p>
    <w:p w14:paraId="538D7A7A">
      <w:pPr>
        <w:spacing w:line="400" w:lineRule="exact"/>
        <w:ind w:firstLine="420" w:firstLineChars="200"/>
        <w:rPr>
          <w:rFonts w:hint="eastAsia" w:cs="宋体"/>
          <w:bCs/>
          <w:color w:val="auto"/>
          <w:szCs w:val="21"/>
          <w:highlight w:val="none"/>
          <w:shd w:val="clear" w:color="auto" w:fill="auto"/>
          <w:lang w:val="en-US" w:eastAsia="zh-CN"/>
        </w:rPr>
      </w:pPr>
      <w:r>
        <w:rPr>
          <w:rFonts w:hint="eastAsia" w:cs="宋体"/>
          <w:bCs/>
          <w:color w:val="auto"/>
          <w:szCs w:val="21"/>
          <w:highlight w:val="none"/>
          <w:shd w:val="clear" w:color="auto" w:fill="auto"/>
        </w:rPr>
        <w:t>（</w:t>
      </w:r>
      <w:r>
        <w:rPr>
          <w:rFonts w:hint="eastAsia" w:cs="宋体"/>
          <w:bCs/>
          <w:color w:val="auto"/>
          <w:szCs w:val="21"/>
          <w:highlight w:val="none"/>
          <w:shd w:val="clear" w:color="auto" w:fill="auto"/>
          <w:lang w:eastAsia="zh-CN"/>
        </w:rPr>
        <w:t>四</w:t>
      </w:r>
      <w:r>
        <w:rPr>
          <w:rFonts w:hint="eastAsia" w:cs="宋体"/>
          <w:bCs/>
          <w:color w:val="auto"/>
          <w:szCs w:val="21"/>
          <w:highlight w:val="none"/>
          <w:shd w:val="clear" w:color="auto" w:fill="auto"/>
        </w:rPr>
        <w:t>）</w:t>
      </w:r>
      <w:r>
        <w:rPr>
          <w:rFonts w:hint="eastAsia" w:cs="宋体"/>
          <w:bCs/>
          <w:color w:val="auto"/>
          <w:szCs w:val="21"/>
          <w:highlight w:val="none"/>
          <w:shd w:val="clear" w:color="auto" w:fill="auto"/>
          <w:lang w:eastAsia="zh-CN"/>
        </w:rPr>
        <w:t>工程所有</w:t>
      </w:r>
      <w:r>
        <w:rPr>
          <w:rFonts w:hint="eastAsia" w:cs="宋体"/>
          <w:bCs/>
          <w:color w:val="auto"/>
          <w:szCs w:val="21"/>
          <w:highlight w:val="none"/>
          <w:shd w:val="clear" w:color="auto" w:fill="auto"/>
        </w:rPr>
        <w:t>承包人所有的下属单位，及相关协作单位，但所有相关方以其各自在本</w:t>
      </w:r>
      <w:r>
        <w:rPr>
          <w:rFonts w:hint="eastAsia" w:cs="宋体"/>
          <w:bCs/>
          <w:color w:val="auto"/>
          <w:szCs w:val="21"/>
          <w:highlight w:val="none"/>
          <w:shd w:val="clear" w:color="auto" w:fill="auto"/>
          <w:lang w:val="en-US" w:eastAsia="zh-CN"/>
        </w:rPr>
        <w:t xml:space="preserve">  </w:t>
      </w:r>
    </w:p>
    <w:p w14:paraId="7AFF98BD">
      <w:pPr>
        <w:spacing w:line="400" w:lineRule="exact"/>
        <w:ind w:firstLine="420" w:firstLineChars="200"/>
        <w:rPr>
          <w:rFonts w:hint="eastAsia" w:cs="宋体"/>
          <w:bCs/>
          <w:color w:val="auto"/>
          <w:szCs w:val="21"/>
          <w:highlight w:val="none"/>
          <w:shd w:val="clear" w:color="auto" w:fill="auto"/>
        </w:rPr>
      </w:pPr>
      <w:r>
        <w:rPr>
          <w:rFonts w:hint="eastAsia" w:cs="宋体"/>
          <w:bCs/>
          <w:color w:val="auto"/>
          <w:szCs w:val="21"/>
          <w:highlight w:val="none"/>
          <w:shd w:val="clear" w:color="auto" w:fill="auto"/>
        </w:rPr>
        <w:t>保险单中的可保利益为限，且一方违背保单相应规定不影响其它各方的保险利益。</w:t>
      </w:r>
      <w:bookmarkEnd w:id="34"/>
      <w:bookmarkEnd w:id="35"/>
    </w:p>
    <w:p w14:paraId="17FCA282">
      <w:pPr>
        <w:pStyle w:val="4"/>
        <w:spacing w:before="156" w:after="156"/>
        <w:rPr>
          <w:rFonts w:hint="eastAsia"/>
          <w:color w:val="auto"/>
          <w:sz w:val="24"/>
          <w:szCs w:val="24"/>
          <w:highlight w:val="none"/>
        </w:rPr>
      </w:pPr>
      <w:r>
        <w:rPr>
          <w:rFonts w:hint="eastAsia"/>
          <w:color w:val="auto"/>
          <w:sz w:val="24"/>
          <w:szCs w:val="24"/>
          <w:highlight w:val="none"/>
        </w:rPr>
        <w:t>三、保险人名称、地址及承保份额：</w:t>
      </w:r>
      <w:bookmarkEnd w:id="31"/>
      <w:bookmarkEnd w:id="32"/>
      <w:bookmarkEnd w:id="33"/>
    </w:p>
    <w:p w14:paraId="3E1EAB6E">
      <w:pPr>
        <w:spacing w:line="400" w:lineRule="exact"/>
        <w:ind w:firstLine="420" w:firstLineChars="200"/>
        <w:rPr>
          <w:rFonts w:hint="eastAsia" w:cs="宋体"/>
          <w:bCs/>
          <w:color w:val="auto"/>
          <w:szCs w:val="21"/>
          <w:highlight w:val="none"/>
          <w:shd w:val="clear" w:color="auto" w:fill="auto"/>
        </w:rPr>
      </w:pPr>
      <w:r>
        <w:rPr>
          <w:rFonts w:hint="eastAsia" w:cs="宋体"/>
          <w:bCs/>
          <w:color w:val="auto"/>
          <w:szCs w:val="21"/>
          <w:highlight w:val="none"/>
          <w:shd w:val="clear" w:color="auto" w:fill="auto"/>
          <w:lang w:val="en-US" w:eastAsia="zh-CN"/>
        </w:rPr>
        <w:t>保险人由首席保人和</w:t>
      </w:r>
      <w:r>
        <w:rPr>
          <w:rFonts w:hint="eastAsia" w:cs="宋体"/>
          <w:bCs/>
          <w:color w:val="auto"/>
          <w:szCs w:val="21"/>
          <w:highlight w:val="none"/>
          <w:shd w:val="clear" w:color="auto" w:fill="auto"/>
        </w:rPr>
        <w:t>共同保险人</w:t>
      </w:r>
      <w:r>
        <w:rPr>
          <w:rFonts w:hint="eastAsia" w:cs="宋体"/>
          <w:bCs/>
          <w:color w:val="auto"/>
          <w:szCs w:val="21"/>
          <w:highlight w:val="none"/>
          <w:shd w:val="clear" w:color="auto" w:fill="auto"/>
          <w:lang w:val="en-US" w:eastAsia="zh-CN"/>
        </w:rPr>
        <w:t>共同组成，保险人名称及</w:t>
      </w:r>
      <w:r>
        <w:rPr>
          <w:rFonts w:hint="eastAsia" w:cs="宋体"/>
          <w:bCs/>
          <w:color w:val="auto"/>
          <w:szCs w:val="21"/>
          <w:highlight w:val="none"/>
          <w:shd w:val="clear" w:color="auto" w:fill="auto"/>
        </w:rPr>
        <w:t>份额如下：</w:t>
      </w:r>
    </w:p>
    <w:p w14:paraId="207906FA">
      <w:pPr>
        <w:spacing w:line="400" w:lineRule="exact"/>
        <w:ind w:right="-92" w:rightChars="-44" w:firstLine="420" w:firstLineChars="200"/>
        <w:rPr>
          <w:rFonts w:hint="eastAsia" w:cs="宋体"/>
          <w:bCs/>
          <w:color w:val="auto"/>
          <w:szCs w:val="21"/>
          <w:highlight w:val="none"/>
        </w:rPr>
      </w:pPr>
      <w:r>
        <w:rPr>
          <w:rFonts w:hint="eastAsia" w:cs="宋体"/>
          <w:bCs/>
          <w:color w:val="auto"/>
          <w:szCs w:val="21"/>
          <w:highlight w:val="none"/>
          <w:lang w:val="en-US" w:eastAsia="zh-CN"/>
        </w:rPr>
        <w:t>首席</w:t>
      </w:r>
      <w:r>
        <w:rPr>
          <w:rFonts w:hint="eastAsia" w:cs="宋体"/>
          <w:bCs/>
          <w:color w:val="auto"/>
          <w:szCs w:val="21"/>
          <w:highlight w:val="none"/>
        </w:rPr>
        <w:t>保人：</w:t>
      </w:r>
      <w:r>
        <w:rPr>
          <w:rFonts w:hint="eastAsia" w:cs="宋体"/>
          <w:bCs/>
          <w:color w:val="auto"/>
          <w:szCs w:val="21"/>
          <w:highlight w:val="none"/>
          <w:lang w:val="en-US" w:eastAsia="zh-CN"/>
        </w:rPr>
        <w:t xml:space="preserve"> </w:t>
      </w:r>
      <w:r>
        <w:rPr>
          <w:rFonts w:hint="eastAsia" w:cs="宋体"/>
          <w:bCs/>
          <w:color w:val="auto"/>
          <w:szCs w:val="21"/>
          <w:highlight w:val="none"/>
        </w:rPr>
        <w:t xml:space="preserve">  </w:t>
      </w:r>
      <w:r>
        <w:rPr>
          <w:rFonts w:hint="eastAsia" w:cs="宋体"/>
          <w:bCs/>
          <w:color w:val="auto"/>
          <w:szCs w:val="21"/>
          <w:highlight w:val="none"/>
          <w:lang w:val="en-US" w:eastAsia="zh-CN"/>
        </w:rPr>
        <w:t xml:space="preserve">              </w:t>
      </w:r>
      <w:r>
        <w:rPr>
          <w:rFonts w:hint="eastAsia" w:cs="宋体"/>
          <w:bCs/>
          <w:color w:val="auto"/>
          <w:szCs w:val="21"/>
          <w:highlight w:val="none"/>
        </w:rPr>
        <w:t xml:space="preserve"> </w:t>
      </w:r>
      <w:r>
        <w:rPr>
          <w:rFonts w:hint="eastAsia" w:cs="宋体"/>
          <w:bCs/>
          <w:color w:val="auto"/>
          <w:szCs w:val="21"/>
          <w:highlight w:val="none"/>
          <w:lang w:val="en-US" w:eastAsia="zh-CN"/>
        </w:rPr>
        <w:t xml:space="preserve">             </w:t>
      </w:r>
      <w:r>
        <w:rPr>
          <w:rFonts w:hint="eastAsia" w:cs="宋体"/>
          <w:bCs/>
          <w:color w:val="auto"/>
          <w:szCs w:val="21"/>
          <w:highlight w:val="none"/>
        </w:rPr>
        <w:t xml:space="preserve"> 份额%</w:t>
      </w:r>
    </w:p>
    <w:p w14:paraId="11818379">
      <w:pPr>
        <w:spacing w:line="400" w:lineRule="exact"/>
        <w:ind w:right="-92" w:rightChars="-44"/>
        <w:rPr>
          <w:rFonts w:hint="eastAsia" w:cs="宋体"/>
          <w:bCs/>
          <w:color w:val="auto"/>
          <w:szCs w:val="21"/>
          <w:highlight w:val="none"/>
        </w:rPr>
      </w:pPr>
      <w:r>
        <w:rPr>
          <w:rFonts w:hint="eastAsia" w:cs="宋体"/>
          <w:bCs/>
          <w:color w:val="auto"/>
          <w:szCs w:val="21"/>
          <w:highlight w:val="none"/>
        </w:rPr>
        <w:t xml:space="preserve">    共同保险人： </w:t>
      </w:r>
      <w:r>
        <w:rPr>
          <w:rFonts w:hint="eastAsia" w:cs="宋体"/>
          <w:bCs/>
          <w:color w:val="auto"/>
          <w:szCs w:val="21"/>
          <w:highlight w:val="none"/>
          <w:lang w:val="en-US" w:eastAsia="zh-CN"/>
        </w:rPr>
        <w:t xml:space="preserve">            </w:t>
      </w:r>
      <w:r>
        <w:rPr>
          <w:rFonts w:hint="eastAsia" w:cs="宋体"/>
          <w:bCs/>
          <w:color w:val="auto"/>
          <w:szCs w:val="21"/>
          <w:highlight w:val="none"/>
        </w:rPr>
        <w:t xml:space="preserve"> </w:t>
      </w:r>
      <w:r>
        <w:rPr>
          <w:rFonts w:hint="eastAsia" w:cs="宋体"/>
          <w:bCs/>
          <w:color w:val="auto"/>
          <w:szCs w:val="21"/>
          <w:highlight w:val="none"/>
          <w:lang w:val="en-US" w:eastAsia="zh-CN"/>
        </w:rPr>
        <w:t xml:space="preserve"> </w:t>
      </w:r>
      <w:r>
        <w:rPr>
          <w:rFonts w:hint="eastAsia" w:cs="宋体"/>
          <w:bCs/>
          <w:color w:val="auto"/>
          <w:szCs w:val="21"/>
          <w:highlight w:val="none"/>
        </w:rPr>
        <w:t xml:space="preserve"> </w:t>
      </w:r>
      <w:r>
        <w:rPr>
          <w:rFonts w:hint="eastAsia" w:cs="宋体"/>
          <w:bCs/>
          <w:color w:val="auto"/>
          <w:szCs w:val="21"/>
          <w:highlight w:val="none"/>
          <w:lang w:val="en-US" w:eastAsia="zh-CN"/>
        </w:rPr>
        <w:t xml:space="preserve">            </w:t>
      </w:r>
      <w:r>
        <w:rPr>
          <w:rFonts w:hint="eastAsia" w:cs="宋体"/>
          <w:bCs/>
          <w:color w:val="auto"/>
          <w:szCs w:val="21"/>
          <w:highlight w:val="none"/>
        </w:rPr>
        <w:t xml:space="preserve"> </w:t>
      </w:r>
      <w:r>
        <w:rPr>
          <w:rFonts w:hint="eastAsia" w:cs="宋体"/>
          <w:bCs/>
          <w:color w:val="auto"/>
          <w:szCs w:val="21"/>
          <w:highlight w:val="none"/>
          <w:lang w:val="en-US" w:eastAsia="zh-CN"/>
        </w:rPr>
        <w:t xml:space="preserve"> </w:t>
      </w:r>
      <w:r>
        <w:rPr>
          <w:rFonts w:hint="eastAsia" w:cs="宋体"/>
          <w:bCs/>
          <w:color w:val="auto"/>
          <w:szCs w:val="21"/>
          <w:highlight w:val="none"/>
        </w:rPr>
        <w:t>份额</w:t>
      </w:r>
      <w:r>
        <w:rPr>
          <w:rFonts w:hint="eastAsia" w:cs="宋体"/>
          <w:bCs/>
          <w:color w:val="auto"/>
          <w:szCs w:val="21"/>
          <w:highlight w:val="none"/>
          <w:lang w:val="en-US" w:eastAsia="zh-CN"/>
        </w:rPr>
        <w:t xml:space="preserve">% </w:t>
      </w:r>
    </w:p>
    <w:p w14:paraId="0159E99A">
      <w:pPr>
        <w:tabs>
          <w:tab w:val="left" w:pos="1980"/>
          <w:tab w:val="left" w:pos="2160"/>
        </w:tabs>
        <w:spacing w:line="400" w:lineRule="exact"/>
        <w:ind w:left="210" w:right="-334" w:rightChars="-159" w:hanging="210" w:hangingChars="100"/>
        <w:rPr>
          <w:rFonts w:hint="default" w:eastAsia="宋体" w:cs="宋体"/>
          <w:bCs/>
          <w:color w:val="auto"/>
          <w:szCs w:val="21"/>
          <w:highlight w:val="none"/>
          <w:lang w:val="en-US" w:eastAsia="zh-CN"/>
        </w:rPr>
      </w:pPr>
      <w:r>
        <w:rPr>
          <w:rFonts w:hint="eastAsia" w:cs="宋体"/>
          <w:bCs/>
          <w:color w:val="auto"/>
          <w:szCs w:val="21"/>
          <w:highlight w:val="none"/>
        </w:rPr>
        <w:t xml:space="preserve">    共同保险人：   </w:t>
      </w:r>
      <w:r>
        <w:rPr>
          <w:rFonts w:hint="eastAsia" w:cs="宋体"/>
          <w:bCs/>
          <w:color w:val="auto"/>
          <w:szCs w:val="21"/>
          <w:highlight w:val="none"/>
          <w:lang w:val="en-US" w:eastAsia="zh-CN"/>
        </w:rPr>
        <w:t xml:space="preserve">   </w:t>
      </w:r>
      <w:r>
        <w:rPr>
          <w:rFonts w:hint="eastAsia" w:cs="宋体"/>
          <w:bCs/>
          <w:color w:val="auto"/>
          <w:szCs w:val="21"/>
          <w:highlight w:val="none"/>
        </w:rPr>
        <w:t xml:space="preserve"> </w:t>
      </w:r>
      <w:r>
        <w:rPr>
          <w:rFonts w:hint="eastAsia" w:cs="宋体"/>
          <w:bCs/>
          <w:color w:val="auto"/>
          <w:szCs w:val="21"/>
          <w:highlight w:val="none"/>
          <w:lang w:val="en-US" w:eastAsia="zh-CN"/>
        </w:rPr>
        <w:t xml:space="preserve">            </w:t>
      </w:r>
      <w:r>
        <w:rPr>
          <w:rFonts w:hint="eastAsia" w:cs="宋体"/>
          <w:bCs/>
          <w:color w:val="auto"/>
          <w:szCs w:val="21"/>
          <w:highlight w:val="none"/>
        </w:rPr>
        <w:t xml:space="preserve"> </w:t>
      </w:r>
      <w:r>
        <w:rPr>
          <w:rFonts w:hint="eastAsia" w:cs="宋体"/>
          <w:bCs/>
          <w:color w:val="auto"/>
          <w:szCs w:val="21"/>
          <w:highlight w:val="none"/>
          <w:lang w:val="en-US" w:eastAsia="zh-CN"/>
        </w:rPr>
        <w:t xml:space="preserve">   </w:t>
      </w:r>
      <w:r>
        <w:rPr>
          <w:rFonts w:hint="eastAsia" w:cs="宋体"/>
          <w:bCs/>
          <w:color w:val="auto"/>
          <w:szCs w:val="21"/>
          <w:highlight w:val="none"/>
        </w:rPr>
        <w:t xml:space="preserve"> </w:t>
      </w:r>
      <w:r>
        <w:rPr>
          <w:rFonts w:hint="eastAsia" w:cs="宋体"/>
          <w:bCs/>
          <w:color w:val="auto"/>
          <w:szCs w:val="21"/>
          <w:highlight w:val="none"/>
          <w:lang w:val="en-US" w:eastAsia="zh-CN"/>
        </w:rPr>
        <w:t xml:space="preserve">      </w:t>
      </w:r>
      <w:r>
        <w:rPr>
          <w:rFonts w:hint="eastAsia" w:cs="宋体"/>
          <w:bCs/>
          <w:color w:val="auto"/>
          <w:szCs w:val="21"/>
          <w:highlight w:val="none"/>
        </w:rPr>
        <w:t>份额%</w:t>
      </w:r>
    </w:p>
    <w:p w14:paraId="27417067">
      <w:pPr>
        <w:pStyle w:val="4"/>
        <w:spacing w:before="156" w:after="156"/>
        <w:rPr>
          <w:rFonts w:hint="eastAsia"/>
          <w:color w:val="auto"/>
          <w:sz w:val="24"/>
          <w:szCs w:val="24"/>
          <w:highlight w:val="none"/>
        </w:rPr>
      </w:pPr>
      <w:r>
        <w:rPr>
          <w:rFonts w:hint="eastAsia"/>
          <w:color w:val="auto"/>
          <w:sz w:val="24"/>
          <w:szCs w:val="24"/>
          <w:highlight w:val="none"/>
        </w:rPr>
        <w:t>四、保险经纪人名称、地址：</w:t>
      </w:r>
    </w:p>
    <w:p w14:paraId="4FB34BB0">
      <w:pPr>
        <w:spacing w:line="400" w:lineRule="exact"/>
        <w:ind w:firstLine="420" w:firstLineChars="200"/>
        <w:rPr>
          <w:rFonts w:hint="eastAsia" w:eastAsia="宋体" w:cs="宋体"/>
          <w:bCs/>
          <w:color w:val="auto"/>
          <w:szCs w:val="21"/>
          <w:highlight w:val="none"/>
          <w:lang w:eastAsia="zh-CN"/>
        </w:rPr>
      </w:pPr>
      <w:r>
        <w:rPr>
          <w:rFonts w:hint="eastAsia" w:cs="宋体"/>
          <w:bCs/>
          <w:color w:val="auto"/>
          <w:szCs w:val="21"/>
          <w:highlight w:val="none"/>
        </w:rPr>
        <w:t>经纪人名称：</w:t>
      </w:r>
      <w:r>
        <w:rPr>
          <w:rFonts w:hint="eastAsia" w:eastAsia="宋体" w:cs="宋体"/>
          <w:bCs/>
          <w:color w:val="auto"/>
          <w:sz w:val="21"/>
          <w:szCs w:val="21"/>
          <w:highlight w:val="none"/>
          <w:lang w:val="en-US" w:eastAsia="zh-CN"/>
        </w:rPr>
        <w:t>浙江涌嘉保险经纪有限公司</w:t>
      </w:r>
      <w:r>
        <w:rPr>
          <w:rFonts w:hint="eastAsia" w:cs="宋体"/>
          <w:bCs/>
          <w:color w:val="auto"/>
          <w:szCs w:val="21"/>
          <w:highlight w:val="none"/>
          <w:lang w:eastAsia="zh-CN"/>
        </w:rPr>
        <w:t xml:space="preserve">  </w:t>
      </w:r>
    </w:p>
    <w:p w14:paraId="5985D1C8">
      <w:pPr>
        <w:spacing w:line="400" w:lineRule="exact"/>
        <w:ind w:firstLine="420" w:firstLineChars="200"/>
        <w:rPr>
          <w:rFonts w:hint="default" w:eastAsia="宋体" w:cs="宋体"/>
          <w:bCs/>
          <w:color w:val="auto"/>
          <w:szCs w:val="21"/>
          <w:highlight w:val="none"/>
          <w:lang w:val="en-US" w:eastAsia="zh-CN"/>
        </w:rPr>
      </w:pPr>
      <w:r>
        <w:rPr>
          <w:rFonts w:hint="eastAsia" w:cs="宋体"/>
          <w:bCs/>
          <w:color w:val="auto"/>
          <w:szCs w:val="21"/>
          <w:highlight w:val="none"/>
        </w:rPr>
        <w:t>地      址：</w:t>
      </w:r>
      <w:r>
        <w:rPr>
          <w:rFonts w:hint="eastAsia" w:cs="宋体"/>
          <w:bCs/>
          <w:color w:val="auto"/>
          <w:szCs w:val="21"/>
          <w:highlight w:val="none"/>
          <w:lang w:val="en-US" w:eastAsia="zh-CN"/>
        </w:rPr>
        <w:t>浙江省杭州市</w:t>
      </w:r>
    </w:p>
    <w:p w14:paraId="2D795732">
      <w:pPr>
        <w:pStyle w:val="4"/>
        <w:spacing w:before="156" w:after="156"/>
        <w:rPr>
          <w:rFonts w:hint="eastAsia"/>
          <w:color w:val="auto"/>
          <w:sz w:val="24"/>
          <w:szCs w:val="24"/>
          <w:highlight w:val="none"/>
        </w:rPr>
      </w:pPr>
      <w:r>
        <w:rPr>
          <w:rFonts w:hint="eastAsia"/>
          <w:color w:val="auto"/>
          <w:sz w:val="24"/>
          <w:szCs w:val="24"/>
          <w:highlight w:val="none"/>
        </w:rPr>
        <w:t>五、保险工程名称：</w:t>
      </w:r>
    </w:p>
    <w:p w14:paraId="09DDED1F">
      <w:pPr>
        <w:rPr>
          <w:rFonts w:hint="eastAsia"/>
          <w:color w:val="auto"/>
          <w:highlight w:val="none"/>
        </w:rPr>
      </w:pP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lang w:eastAsia="zh-CN"/>
        </w:rPr>
        <w:t>台州湾陆岛联动综合码头工程（</w:t>
      </w:r>
      <w:r>
        <w:rPr>
          <w:rFonts w:hint="eastAsia"/>
          <w:color w:val="auto"/>
          <w:highlight w:val="none"/>
          <w:lang w:val="en-US" w:eastAsia="zh-CN"/>
        </w:rPr>
        <w:t>一期</w:t>
      </w:r>
      <w:r>
        <w:rPr>
          <w:rFonts w:hint="eastAsia"/>
          <w:color w:val="auto"/>
          <w:highlight w:val="none"/>
          <w:lang w:eastAsia="zh-CN"/>
        </w:rPr>
        <w:t>）</w:t>
      </w:r>
      <w:r>
        <w:rPr>
          <w:rFonts w:hint="eastAsia"/>
          <w:color w:val="auto"/>
          <w:highlight w:val="none"/>
          <w:shd w:val="clear" w:color="auto" w:fill="auto"/>
          <w:lang w:eastAsia="zh-CN"/>
        </w:rPr>
        <w:t>（</w:t>
      </w:r>
      <w:r>
        <w:rPr>
          <w:rFonts w:hint="eastAsia"/>
          <w:color w:val="auto"/>
          <w:highlight w:val="none"/>
          <w:shd w:val="clear" w:color="auto" w:fill="auto"/>
          <w:lang w:val="en-US" w:eastAsia="zh-CN"/>
        </w:rPr>
        <w:t>简称“工程”、“本工程”、“保险工程”）</w:t>
      </w:r>
    </w:p>
    <w:p w14:paraId="7E4C2D8D">
      <w:pPr>
        <w:pStyle w:val="4"/>
        <w:spacing w:before="156" w:after="156"/>
        <w:rPr>
          <w:rFonts w:hint="eastAsia"/>
          <w:color w:val="auto"/>
          <w:sz w:val="24"/>
          <w:szCs w:val="24"/>
          <w:highlight w:val="none"/>
        </w:rPr>
      </w:pPr>
      <w:r>
        <w:rPr>
          <w:rFonts w:hint="eastAsia"/>
          <w:color w:val="auto"/>
          <w:sz w:val="24"/>
          <w:szCs w:val="24"/>
          <w:highlight w:val="none"/>
        </w:rPr>
        <w:t>六、保险标的地址</w:t>
      </w:r>
      <w:r>
        <w:rPr>
          <w:rFonts w:hint="eastAsia"/>
          <w:color w:val="auto"/>
          <w:sz w:val="24"/>
          <w:szCs w:val="24"/>
          <w:highlight w:val="none"/>
          <w:lang w:eastAsia="zh-CN"/>
        </w:rPr>
        <w:t>、</w:t>
      </w:r>
      <w:r>
        <w:rPr>
          <w:rFonts w:hint="eastAsia"/>
          <w:color w:val="auto"/>
          <w:sz w:val="24"/>
          <w:szCs w:val="24"/>
          <w:highlight w:val="none"/>
          <w:lang w:val="en-US" w:eastAsia="zh-CN"/>
        </w:rPr>
        <w:t>里程</w:t>
      </w:r>
      <w:r>
        <w:rPr>
          <w:rFonts w:hint="eastAsia"/>
          <w:color w:val="auto"/>
          <w:sz w:val="24"/>
          <w:szCs w:val="24"/>
          <w:highlight w:val="none"/>
        </w:rPr>
        <w:t>：</w:t>
      </w:r>
    </w:p>
    <w:p w14:paraId="22767177">
      <w:pPr>
        <w:spacing w:line="400" w:lineRule="exact"/>
        <w:ind w:firstLine="420" w:firstLineChars="200"/>
        <w:rPr>
          <w:rFonts w:hint="default" w:eastAsia="宋体" w:cs="宋体"/>
          <w:bCs/>
          <w:color w:val="auto"/>
          <w:szCs w:val="21"/>
          <w:highlight w:val="none"/>
          <w:lang w:val="en-US" w:eastAsia="zh-CN"/>
        </w:rPr>
      </w:pPr>
      <w:r>
        <w:rPr>
          <w:rFonts w:hint="eastAsia" w:cs="宋体"/>
          <w:bCs/>
          <w:color w:val="auto"/>
          <w:szCs w:val="21"/>
          <w:highlight w:val="none"/>
        </w:rPr>
        <w:t>本工程位于</w:t>
      </w:r>
      <w:r>
        <w:rPr>
          <w:rFonts w:hint="eastAsia" w:cs="宋体"/>
          <w:bCs/>
          <w:color w:val="auto"/>
          <w:szCs w:val="21"/>
          <w:highlight w:val="none"/>
          <w:lang w:val="en-US" w:eastAsia="zh-CN"/>
        </w:rPr>
        <w:t xml:space="preserve">浙江省台州市 </w:t>
      </w:r>
    </w:p>
    <w:p w14:paraId="4154DC0C">
      <w:pPr>
        <w:pStyle w:val="4"/>
        <w:numPr>
          <w:ilvl w:val="0"/>
          <w:numId w:val="10"/>
        </w:numPr>
        <w:spacing w:before="156" w:after="156"/>
        <w:rPr>
          <w:rFonts w:hint="eastAsia"/>
          <w:color w:val="auto"/>
          <w:sz w:val="24"/>
          <w:szCs w:val="24"/>
          <w:highlight w:val="none"/>
        </w:rPr>
      </w:pPr>
      <w:r>
        <w:rPr>
          <w:rFonts w:hint="eastAsia"/>
          <w:color w:val="auto"/>
          <w:sz w:val="24"/>
          <w:szCs w:val="24"/>
          <w:highlight w:val="none"/>
        </w:rPr>
        <w:t>施工范围：</w:t>
      </w:r>
    </w:p>
    <w:p w14:paraId="77CC08D7">
      <w:pPr>
        <w:spacing w:line="440" w:lineRule="exact"/>
        <w:ind w:left="420" w:leftChars="200" w:firstLine="0" w:firstLineChars="0"/>
        <w:rPr>
          <w:rFonts w:hint="eastAsia" w:ascii="宋体" w:hAnsi="宋体"/>
          <w:color w:val="auto"/>
          <w:sz w:val="21"/>
          <w:szCs w:val="21"/>
          <w:highlight w:val="none"/>
        </w:rPr>
      </w:pPr>
      <w:r>
        <w:rPr>
          <w:rFonts w:hint="eastAsia" w:ascii="宋体" w:hAnsi="宋体"/>
          <w:color w:val="auto"/>
          <w:sz w:val="21"/>
          <w:szCs w:val="21"/>
          <w:highlight w:val="none"/>
        </w:rPr>
        <w:t>本项目一期工程拟建设西侧3个2000吨级通用泊位（水工结构按5000吨级设计），2个2000吨级滚装泊位（水工结构按5000吨级设计），2个1000GT及1个500GT客运泊位，引桥长度5504m，同时布置相关配套设施。</w:t>
      </w:r>
    </w:p>
    <w:p w14:paraId="59C5D56B">
      <w:pPr>
        <w:spacing w:line="440" w:lineRule="exact"/>
        <w:ind w:left="420" w:leftChars="200" w:firstLine="0" w:firstLineChars="0"/>
        <w:rPr>
          <w:rFonts w:hint="eastAsia" w:ascii="宋体" w:hAnsi="宋体"/>
          <w:color w:val="auto"/>
          <w:sz w:val="21"/>
          <w:szCs w:val="21"/>
          <w:highlight w:val="none"/>
        </w:rPr>
      </w:pPr>
      <w:r>
        <w:rPr>
          <w:rFonts w:hint="eastAsia" w:ascii="宋体" w:hAnsi="宋体"/>
          <w:color w:val="auto"/>
          <w:sz w:val="21"/>
          <w:szCs w:val="21"/>
          <w:highlight w:val="none"/>
        </w:rPr>
        <w:t>主要工程内容包括：码头及引桥（包括客运泊位、滚装泊位、通用泊位一期工程即第一至第四结构段、长约5.5km的引桥）、引桥亮化美化工程、交通安全设施、生产辅助建筑物及配套工程（给排水、消防、供电、照明、节能、控制、通信等）、疏浚工程、大桥被动防碰撞设施、导助航工程等实施、完成及缺陷修复（不包括装卸工艺、滚装泊位的钢吊桥系统、水上监控预警系统、大桥主动防碰撞系统）。</w:t>
      </w:r>
      <w:r>
        <w:rPr>
          <w:rFonts w:hint="eastAsia" w:ascii="宋体" w:hAnsi="宋体" w:eastAsia="宋体"/>
          <w:color w:val="auto"/>
          <w:sz w:val="21"/>
          <w:szCs w:val="21"/>
          <w:highlight w:val="none"/>
          <w:lang w:val="en-US" w:eastAsia="zh-CN" w:bidi="ar"/>
        </w:rPr>
        <w:t>本项目</w:t>
      </w:r>
      <w:r>
        <w:rPr>
          <w:rFonts w:hint="eastAsia" w:ascii="宋体" w:hAnsi="宋体" w:eastAsia="宋体"/>
          <w:color w:val="auto"/>
          <w:sz w:val="21"/>
          <w:szCs w:val="21"/>
          <w:highlight w:val="none"/>
          <w:lang w:bidi="ar"/>
        </w:rPr>
        <w:t>含甲供材料运输及安装</w:t>
      </w:r>
      <w:r>
        <w:rPr>
          <w:rFonts w:hint="eastAsia" w:ascii="宋体" w:hAnsi="宋体" w:eastAsia="宋体"/>
          <w:color w:val="auto"/>
          <w:sz w:val="21"/>
          <w:szCs w:val="21"/>
          <w:highlight w:val="none"/>
          <w:lang w:eastAsia="zh-CN" w:bidi="ar"/>
        </w:rPr>
        <w:t>。</w:t>
      </w:r>
    </w:p>
    <w:p w14:paraId="70BBFE6A">
      <w:pPr>
        <w:rPr>
          <w:rFonts w:hint="eastAsia"/>
          <w:color w:val="auto"/>
          <w:highlight w:val="none"/>
        </w:rPr>
      </w:pPr>
    </w:p>
    <w:p w14:paraId="0BA7F600">
      <w:pPr>
        <w:pStyle w:val="4"/>
        <w:spacing w:before="156" w:after="156"/>
        <w:rPr>
          <w:rFonts w:hint="eastAsia"/>
          <w:color w:val="auto"/>
          <w:sz w:val="24"/>
          <w:szCs w:val="24"/>
          <w:highlight w:val="none"/>
        </w:rPr>
      </w:pPr>
      <w:r>
        <w:rPr>
          <w:rFonts w:hint="eastAsia"/>
          <w:color w:val="auto"/>
          <w:sz w:val="24"/>
          <w:szCs w:val="24"/>
          <w:highlight w:val="none"/>
        </w:rPr>
        <w:t>八、投保险种：</w:t>
      </w:r>
    </w:p>
    <w:p w14:paraId="3812FD12">
      <w:pPr>
        <w:spacing w:line="400" w:lineRule="exact"/>
        <w:ind w:firstLine="630" w:firstLineChars="300"/>
        <w:rPr>
          <w:rFonts w:hint="eastAsia" w:cs="宋体"/>
          <w:bCs/>
          <w:color w:val="auto"/>
          <w:szCs w:val="21"/>
          <w:highlight w:val="none"/>
        </w:rPr>
      </w:pPr>
      <w:r>
        <w:rPr>
          <w:rFonts w:hint="eastAsia" w:cs="宋体"/>
          <w:bCs/>
          <w:color w:val="auto"/>
          <w:szCs w:val="21"/>
          <w:highlight w:val="none"/>
        </w:rPr>
        <w:t>建筑工程一切险及</w:t>
      </w:r>
      <w:r>
        <w:rPr>
          <w:rFonts w:hint="eastAsia" w:cs="宋体"/>
          <w:bCs/>
          <w:color w:val="auto"/>
          <w:szCs w:val="21"/>
          <w:highlight w:val="none"/>
          <w:lang w:val="en-US" w:eastAsia="zh-CN"/>
        </w:rPr>
        <w:t>安全生产</w:t>
      </w:r>
      <w:r>
        <w:rPr>
          <w:rFonts w:hint="eastAsia" w:cs="宋体"/>
          <w:bCs/>
          <w:color w:val="auto"/>
          <w:szCs w:val="21"/>
          <w:highlight w:val="none"/>
        </w:rPr>
        <w:t>责任险</w:t>
      </w:r>
    </w:p>
    <w:p w14:paraId="7D22C38B">
      <w:pPr>
        <w:pStyle w:val="4"/>
        <w:numPr>
          <w:ilvl w:val="0"/>
          <w:numId w:val="11"/>
        </w:numPr>
        <w:spacing w:before="156" w:after="156"/>
        <w:rPr>
          <w:rFonts w:hint="eastAsia"/>
          <w:color w:val="auto"/>
          <w:sz w:val="24"/>
          <w:szCs w:val="24"/>
          <w:highlight w:val="none"/>
        </w:rPr>
      </w:pPr>
      <w:r>
        <w:rPr>
          <w:rFonts w:hint="eastAsia"/>
          <w:color w:val="auto"/>
          <w:sz w:val="24"/>
          <w:szCs w:val="24"/>
          <w:highlight w:val="none"/>
        </w:rPr>
        <w:t>保险项目及保险金额：</w:t>
      </w:r>
    </w:p>
    <w:p w14:paraId="2C986DF6">
      <w:pPr>
        <w:pStyle w:val="5"/>
        <w:numPr>
          <w:ilvl w:val="0"/>
          <w:numId w:val="12"/>
        </w:numPr>
        <w:spacing w:before="156" w:after="156"/>
        <w:rPr>
          <w:rFonts w:hint="eastAsia"/>
          <w:color w:val="auto"/>
          <w:highlight w:val="none"/>
        </w:rPr>
      </w:pPr>
      <w:r>
        <w:rPr>
          <w:rFonts w:hint="eastAsia"/>
          <w:color w:val="auto"/>
          <w:highlight w:val="none"/>
        </w:rPr>
        <w:t>物质损失部分：</w:t>
      </w:r>
    </w:p>
    <w:p w14:paraId="49593CBF">
      <w:pPr>
        <w:spacing w:line="360" w:lineRule="auto"/>
        <w:ind w:firstLine="422" w:firstLineChars="200"/>
        <w:rPr>
          <w:rFonts w:eastAsia="宋体" w:cs="宋体"/>
          <w:bCs/>
          <w:color w:val="auto"/>
          <w:sz w:val="21"/>
          <w:szCs w:val="21"/>
          <w:highlight w:val="none"/>
        </w:rPr>
      </w:pPr>
      <w:r>
        <w:rPr>
          <w:rFonts w:hint="eastAsia" w:eastAsia="宋体" w:cs="宋体"/>
          <w:b/>
          <w:color w:val="auto"/>
          <w:sz w:val="21"/>
          <w:szCs w:val="21"/>
          <w:highlight w:val="none"/>
          <w:lang w:val="en-US" w:eastAsia="zh-CN"/>
        </w:rPr>
        <w:t>1、</w:t>
      </w:r>
      <w:r>
        <w:rPr>
          <w:rFonts w:hint="eastAsia" w:eastAsia="宋体" w:cs="宋体"/>
          <w:b/>
          <w:color w:val="auto"/>
          <w:sz w:val="21"/>
          <w:szCs w:val="21"/>
          <w:highlight w:val="none"/>
          <w:lang w:eastAsia="zh-CN"/>
        </w:rPr>
        <w:t>建筑工程一切险</w:t>
      </w:r>
      <w:r>
        <w:rPr>
          <w:rFonts w:hint="eastAsia" w:eastAsia="宋体" w:cs="宋体"/>
          <w:b/>
          <w:color w:val="auto"/>
          <w:sz w:val="21"/>
          <w:szCs w:val="21"/>
          <w:highlight w:val="none"/>
        </w:rPr>
        <w:t>：</w:t>
      </w:r>
    </w:p>
    <w:p w14:paraId="32749F98">
      <w:pPr>
        <w:spacing w:line="360" w:lineRule="auto"/>
        <w:ind w:firstLine="420" w:firstLineChars="200"/>
        <w:rPr>
          <w:rFonts w:eastAsia="宋体" w:cs="宋体"/>
          <w:bCs/>
          <w:color w:val="auto"/>
          <w:sz w:val="21"/>
          <w:szCs w:val="21"/>
          <w:highlight w:val="none"/>
        </w:rPr>
      </w:pPr>
      <w:r>
        <w:rPr>
          <w:rFonts w:hint="eastAsia" w:eastAsia="宋体" w:cs="宋体"/>
          <w:bCs/>
          <w:color w:val="auto"/>
          <w:sz w:val="21"/>
          <w:szCs w:val="21"/>
          <w:highlight w:val="none"/>
        </w:rPr>
        <w:t>（1）工程物质损失保险金额：</w:t>
      </w:r>
    </w:p>
    <w:p w14:paraId="5AA30B9B">
      <w:pPr>
        <w:spacing w:line="360" w:lineRule="auto"/>
        <w:ind w:firstLine="840" w:firstLineChars="400"/>
        <w:rPr>
          <w:rFonts w:eastAsia="宋体" w:cs="宋体"/>
          <w:bCs/>
          <w:color w:val="auto"/>
          <w:sz w:val="21"/>
          <w:szCs w:val="21"/>
          <w:highlight w:val="none"/>
        </w:rPr>
      </w:pPr>
      <w:r>
        <w:rPr>
          <w:rFonts w:hint="eastAsia" w:eastAsia="宋体" w:cs="宋体"/>
          <w:bCs/>
          <w:color w:val="auto"/>
          <w:sz w:val="21"/>
          <w:szCs w:val="21"/>
          <w:highlight w:val="none"/>
        </w:rPr>
        <w:t>建筑工程</w:t>
      </w:r>
      <w:r>
        <w:rPr>
          <w:rFonts w:hint="eastAsia" w:eastAsia="宋体" w:cs="宋体"/>
          <w:bCs/>
          <w:color w:val="auto"/>
          <w:sz w:val="21"/>
          <w:szCs w:val="21"/>
          <w:highlight w:val="none"/>
          <w:lang w:val="en-US" w:eastAsia="zh-CN"/>
        </w:rPr>
        <w:t>一切险</w:t>
      </w:r>
      <w:r>
        <w:rPr>
          <w:rFonts w:hint="eastAsia" w:eastAsia="宋体" w:cs="宋体"/>
          <w:bCs/>
          <w:color w:val="auto"/>
          <w:sz w:val="21"/>
          <w:szCs w:val="21"/>
          <w:highlight w:val="none"/>
        </w:rPr>
        <w:t xml:space="preserve">保险金额为：RMB </w:t>
      </w:r>
      <w:r>
        <w:rPr>
          <w:rFonts w:hint="eastAsia" w:ascii="宋体" w:hAnsi="宋体" w:eastAsia="宋体"/>
          <w:color w:val="auto"/>
          <w:sz w:val="21"/>
          <w:szCs w:val="21"/>
          <w:highlight w:val="none"/>
          <w:u w:val="single"/>
          <w:lang w:val="en-US" w:eastAsia="zh-CN"/>
        </w:rPr>
        <w:t xml:space="preserve">                   </w:t>
      </w:r>
      <w:r>
        <w:rPr>
          <w:rFonts w:hint="eastAsia" w:eastAsia="宋体" w:cs="宋体"/>
          <w:bCs/>
          <w:color w:val="auto"/>
          <w:sz w:val="21"/>
          <w:szCs w:val="21"/>
          <w:highlight w:val="none"/>
        </w:rPr>
        <w:t>元。</w:t>
      </w:r>
    </w:p>
    <w:p w14:paraId="153913F2">
      <w:pPr>
        <w:numPr>
          <w:ilvl w:val="0"/>
          <w:numId w:val="13"/>
        </w:numPr>
        <w:spacing w:line="360" w:lineRule="auto"/>
        <w:ind w:firstLine="420" w:firstLineChars="200"/>
        <w:rPr>
          <w:rFonts w:hint="eastAsia" w:eastAsia="宋体" w:cs="宋体"/>
          <w:bCs/>
          <w:color w:val="auto"/>
          <w:sz w:val="21"/>
          <w:szCs w:val="21"/>
          <w:highlight w:val="none"/>
        </w:rPr>
      </w:pPr>
      <w:r>
        <w:rPr>
          <w:rFonts w:hint="eastAsia" w:eastAsia="宋体" w:cs="宋体"/>
          <w:bCs/>
          <w:color w:val="auto"/>
          <w:sz w:val="21"/>
          <w:szCs w:val="21"/>
          <w:highlight w:val="none"/>
        </w:rPr>
        <w:t>累计清除残骸费用限额：RMB</w:t>
      </w:r>
      <w:r>
        <w:rPr>
          <w:rFonts w:hint="eastAsia" w:eastAsia="宋体" w:cs="宋体"/>
          <w:bCs/>
          <w:color w:val="auto"/>
          <w:sz w:val="21"/>
          <w:szCs w:val="21"/>
          <w:highlight w:val="none"/>
          <w:u w:val="single"/>
          <w:lang w:val="en-US" w:eastAsia="zh-CN"/>
        </w:rPr>
        <w:t>1500万</w:t>
      </w:r>
      <w:r>
        <w:rPr>
          <w:rFonts w:hint="eastAsia" w:eastAsia="宋体" w:cs="宋体"/>
          <w:bCs/>
          <w:color w:val="auto"/>
          <w:sz w:val="21"/>
          <w:szCs w:val="21"/>
          <w:highlight w:val="none"/>
        </w:rPr>
        <w:t>元；每次清理残骸费用限额：RMB</w:t>
      </w:r>
      <w:r>
        <w:rPr>
          <w:rFonts w:hint="eastAsia" w:eastAsia="宋体" w:cs="宋体"/>
          <w:bCs/>
          <w:color w:val="auto"/>
          <w:sz w:val="21"/>
          <w:szCs w:val="21"/>
          <w:highlight w:val="none"/>
          <w:u w:val="single"/>
          <w:lang w:val="en-US" w:eastAsia="zh-CN"/>
        </w:rPr>
        <w:t>1000万</w:t>
      </w:r>
      <w:r>
        <w:rPr>
          <w:rFonts w:hint="eastAsia" w:eastAsia="宋体" w:cs="宋体"/>
          <w:bCs/>
          <w:color w:val="auto"/>
          <w:sz w:val="21"/>
          <w:szCs w:val="21"/>
          <w:highlight w:val="none"/>
        </w:rPr>
        <w:t>元；</w:t>
      </w:r>
    </w:p>
    <w:p w14:paraId="4B0DE518">
      <w:pPr>
        <w:spacing w:line="520" w:lineRule="exact"/>
        <w:ind w:firstLine="420"/>
        <w:rPr>
          <w:color w:val="auto"/>
          <w:highlight w:val="none"/>
        </w:rPr>
      </w:pPr>
      <w:r>
        <w:rPr>
          <w:rFonts w:ascii="宋体" w:hAnsi="宋体" w:eastAsia="宋体" w:cs="Times New Roman"/>
          <w:bCs/>
          <w:color w:val="auto"/>
          <w:szCs w:val="21"/>
          <w:highlight w:val="none"/>
        </w:rPr>
        <w:t xml:space="preserve">（3）施工机具赔偿限额：RMB </w:t>
      </w:r>
      <w:r>
        <w:rPr>
          <w:rFonts w:hint="eastAsia" w:ascii="宋体" w:hAnsi="宋体" w:eastAsia="宋体" w:cs="Times New Roman"/>
          <w:bCs/>
          <w:color w:val="auto"/>
          <w:szCs w:val="21"/>
          <w:highlight w:val="none"/>
          <w:u w:val="single"/>
          <w:lang w:val="en-US" w:eastAsia="zh-CN"/>
        </w:rPr>
        <w:t>500万</w:t>
      </w:r>
      <w:r>
        <w:rPr>
          <w:rFonts w:ascii="宋体" w:hAnsi="宋体" w:eastAsia="宋体" w:cs="Times New Roman"/>
          <w:bCs/>
          <w:color w:val="auto"/>
          <w:szCs w:val="21"/>
          <w:highlight w:val="none"/>
        </w:rPr>
        <w:t>元。</w:t>
      </w:r>
    </w:p>
    <w:p w14:paraId="5D7A406D">
      <w:pPr>
        <w:spacing w:line="360" w:lineRule="auto"/>
        <w:ind w:left="840" w:leftChars="200" w:hanging="420" w:hangingChars="200"/>
        <w:rPr>
          <w:rFonts w:hint="eastAsia" w:eastAsia="宋体" w:cs="宋体"/>
          <w:bCs/>
          <w:color w:val="auto"/>
          <w:sz w:val="21"/>
          <w:szCs w:val="21"/>
          <w:highlight w:val="none"/>
        </w:rPr>
      </w:pPr>
      <w:r>
        <w:rPr>
          <w:rFonts w:hint="eastAsia" w:eastAsia="宋体" w:cs="宋体"/>
          <w:bCs/>
          <w:color w:val="auto"/>
          <w:sz w:val="21"/>
          <w:szCs w:val="21"/>
          <w:highlight w:val="none"/>
          <w:lang w:eastAsia="zh-CN"/>
        </w:rPr>
        <w:t>（</w:t>
      </w:r>
      <w:r>
        <w:rPr>
          <w:rFonts w:hint="eastAsia" w:eastAsia="宋体" w:cs="宋体"/>
          <w:bCs/>
          <w:color w:val="auto"/>
          <w:sz w:val="21"/>
          <w:szCs w:val="21"/>
          <w:highlight w:val="none"/>
          <w:lang w:val="en-US" w:eastAsia="zh-CN"/>
        </w:rPr>
        <w:t>4</w:t>
      </w:r>
      <w:r>
        <w:rPr>
          <w:rFonts w:hint="eastAsia" w:eastAsia="宋体" w:cs="宋体"/>
          <w:bCs/>
          <w:color w:val="auto"/>
          <w:sz w:val="21"/>
          <w:szCs w:val="21"/>
          <w:highlight w:val="none"/>
          <w:lang w:eastAsia="zh-CN"/>
        </w:rPr>
        <w:t>）</w:t>
      </w:r>
      <w:r>
        <w:rPr>
          <w:rFonts w:hint="eastAsia" w:eastAsia="宋体" w:cs="宋体"/>
          <w:bCs/>
          <w:color w:val="auto"/>
          <w:sz w:val="21"/>
          <w:szCs w:val="21"/>
          <w:highlight w:val="none"/>
        </w:rPr>
        <w:t>特种危险赔偿限额：地震、海啸赔偿限额为总保险金额的80%，其他自然灾害、意外事故赔偿限额均以本保单物质损失项下的保险金额为准。</w:t>
      </w:r>
    </w:p>
    <w:p w14:paraId="35D3AD22">
      <w:pPr>
        <w:pStyle w:val="2"/>
        <w:numPr>
          <w:ilvl w:val="0"/>
          <w:numId w:val="0"/>
        </w:numPr>
        <w:jc w:val="both"/>
        <w:rPr>
          <w:rFonts w:hint="default" w:eastAsia="宋体"/>
          <w:color w:val="auto"/>
          <w:highlight w:val="none"/>
          <w:lang w:val="en-US" w:eastAsia="zh-CN"/>
        </w:rPr>
      </w:pPr>
      <w:r>
        <w:rPr>
          <w:rFonts w:hint="eastAsia" w:eastAsia="宋体" w:cs="宋体"/>
          <w:bCs/>
          <w:color w:val="auto"/>
          <w:sz w:val="21"/>
          <w:szCs w:val="21"/>
          <w:highlight w:val="none"/>
          <w:lang w:val="en-US" w:eastAsia="zh-CN"/>
        </w:rPr>
        <w:t xml:space="preserve">   </w:t>
      </w:r>
      <w:r>
        <w:rPr>
          <w:rFonts w:hint="eastAsia" w:ascii="Arial" w:hAnsi="Arial" w:eastAsia="宋体" w:cs="宋体"/>
          <w:b w:val="0"/>
          <w:bCs/>
          <w:color w:val="auto"/>
          <w:spacing w:val="0"/>
          <w:kern w:val="2"/>
          <w:sz w:val="21"/>
          <w:szCs w:val="21"/>
          <w:highlight w:val="none"/>
          <w:lang w:val="en-US" w:eastAsia="zh-CN" w:bidi="ar-SA"/>
        </w:rPr>
        <w:t xml:space="preserve"> （5）</w:t>
      </w:r>
      <w:r>
        <w:rPr>
          <w:rFonts w:hint="eastAsia" w:eastAsia="宋体" w:cs="宋体"/>
          <w:b w:val="0"/>
          <w:bCs/>
          <w:color w:val="auto"/>
          <w:spacing w:val="0"/>
          <w:kern w:val="2"/>
          <w:sz w:val="21"/>
          <w:szCs w:val="21"/>
          <w:highlight w:val="none"/>
          <w:lang w:val="en-US" w:eastAsia="zh-CN" w:bidi="ar-SA"/>
        </w:rPr>
        <w:t>台风、洪水、暴风、风暴潮每次事故最高赔偿限额</w:t>
      </w:r>
      <w:r>
        <w:rPr>
          <w:rFonts w:hint="eastAsia" w:eastAsia="宋体" w:cs="宋体"/>
          <w:b w:val="0"/>
          <w:bCs/>
          <w:color w:val="auto"/>
          <w:spacing w:val="0"/>
          <w:kern w:val="2"/>
          <w:sz w:val="21"/>
          <w:szCs w:val="21"/>
          <w:highlight w:val="none"/>
          <w:u w:val="single"/>
          <w:lang w:val="en-US" w:eastAsia="zh-CN" w:bidi="ar-SA"/>
        </w:rPr>
        <w:t>1000</w:t>
      </w:r>
      <w:r>
        <w:rPr>
          <w:rFonts w:hint="eastAsia" w:eastAsia="宋体" w:cs="宋体"/>
          <w:b w:val="0"/>
          <w:bCs/>
          <w:color w:val="auto"/>
          <w:spacing w:val="0"/>
          <w:kern w:val="2"/>
          <w:sz w:val="21"/>
          <w:szCs w:val="21"/>
          <w:highlight w:val="none"/>
          <w:lang w:val="en-US" w:eastAsia="zh-CN" w:bidi="ar-SA"/>
        </w:rPr>
        <w:t>万元。</w:t>
      </w:r>
    </w:p>
    <w:p w14:paraId="65830AC5">
      <w:pPr>
        <w:pStyle w:val="5"/>
        <w:spacing w:before="156" w:after="156"/>
        <w:rPr>
          <w:rFonts w:hint="eastAsia" w:eastAsia="宋体" w:cs="宋体"/>
          <w:bCs/>
          <w:color w:val="auto"/>
          <w:szCs w:val="21"/>
          <w:highlight w:val="none"/>
          <w:lang w:val="en-US" w:eastAsia="zh-CN"/>
        </w:rPr>
      </w:pPr>
      <w:r>
        <w:rPr>
          <w:rFonts w:hint="eastAsia"/>
          <w:color w:val="auto"/>
          <w:highlight w:val="none"/>
        </w:rPr>
        <w:t>（二）</w:t>
      </w:r>
      <w:r>
        <w:rPr>
          <w:rFonts w:hint="eastAsia"/>
          <w:color w:val="auto"/>
          <w:highlight w:val="none"/>
          <w:lang w:val="en-US" w:eastAsia="zh-CN"/>
        </w:rPr>
        <w:t>安全生产</w:t>
      </w:r>
      <w:r>
        <w:rPr>
          <w:rFonts w:hint="eastAsia"/>
          <w:color w:val="auto"/>
          <w:highlight w:val="none"/>
        </w:rPr>
        <w:t>责任险部分</w:t>
      </w:r>
      <w:r>
        <w:rPr>
          <w:rFonts w:hint="eastAsia"/>
          <w:color w:val="auto"/>
          <w:highlight w:val="none"/>
          <w:lang w:eastAsia="zh-CN"/>
        </w:rPr>
        <w:t>：</w:t>
      </w:r>
    </w:p>
    <w:p w14:paraId="5D87863B">
      <w:pPr>
        <w:spacing w:line="520" w:lineRule="exact"/>
        <w:ind w:left="63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w:t>
      </w:r>
      <w:r>
        <w:rPr>
          <w:rFonts w:ascii="宋体" w:hAnsi="宋体" w:eastAsia="宋体" w:cs="Times New Roman"/>
          <w:bCs/>
          <w:color w:val="auto"/>
          <w:szCs w:val="21"/>
          <w:highlight w:val="none"/>
        </w:rPr>
        <w:t>从业人员保障：a、死亡、伤残：</w:t>
      </w:r>
      <w:r>
        <w:rPr>
          <w:rFonts w:hint="eastAsia" w:ascii="宋体" w:hAnsi="宋体" w:eastAsia="宋体" w:cs="Times New Roman"/>
          <w:bCs/>
          <w:color w:val="auto"/>
          <w:szCs w:val="21"/>
          <w:highlight w:val="none"/>
          <w:u w:val="single"/>
          <w:lang w:val="en-US" w:eastAsia="zh-CN"/>
        </w:rPr>
        <w:t>70</w:t>
      </w:r>
      <w:r>
        <w:rPr>
          <w:rFonts w:ascii="宋体" w:hAnsi="宋体" w:eastAsia="宋体" w:cs="Times New Roman"/>
          <w:bCs/>
          <w:color w:val="auto"/>
          <w:szCs w:val="21"/>
          <w:highlight w:val="none"/>
        </w:rPr>
        <w:t>万元/人；</w:t>
      </w:r>
    </w:p>
    <w:p w14:paraId="4B8B4F93">
      <w:pPr>
        <w:spacing w:line="520" w:lineRule="exact"/>
        <w:ind w:firstLine="2625" w:firstLineChars="1250"/>
        <w:rPr>
          <w:rFonts w:ascii="宋体" w:hAnsi="宋体" w:eastAsia="宋体" w:cs="Times New Roman"/>
          <w:bCs/>
          <w:color w:val="auto"/>
          <w:szCs w:val="21"/>
          <w:highlight w:val="none"/>
        </w:rPr>
      </w:pPr>
      <w:r>
        <w:rPr>
          <w:rFonts w:ascii="宋体" w:hAnsi="宋体" w:eastAsia="宋体" w:cs="Times New Roman"/>
          <w:bCs/>
          <w:color w:val="auto"/>
          <w:szCs w:val="21"/>
          <w:highlight w:val="none"/>
        </w:rPr>
        <w:t>b、医疗费用：</w:t>
      </w:r>
      <w:r>
        <w:rPr>
          <w:rFonts w:hint="eastAsia" w:ascii="宋体" w:hAnsi="宋体" w:eastAsia="宋体" w:cs="Times New Roman"/>
          <w:bCs/>
          <w:color w:val="auto"/>
          <w:szCs w:val="21"/>
          <w:highlight w:val="none"/>
          <w:u w:val="single"/>
          <w:lang w:val="en-US" w:eastAsia="zh-CN"/>
        </w:rPr>
        <w:t>7</w:t>
      </w:r>
      <w:r>
        <w:rPr>
          <w:rFonts w:ascii="宋体" w:hAnsi="宋体" w:eastAsia="宋体" w:cs="Times New Roman"/>
          <w:bCs/>
          <w:color w:val="auto"/>
          <w:szCs w:val="21"/>
          <w:highlight w:val="none"/>
        </w:rPr>
        <w:t>万元/人；</w:t>
      </w:r>
    </w:p>
    <w:p w14:paraId="0F11C6D0">
      <w:pPr>
        <w:spacing w:line="360" w:lineRule="auto"/>
        <w:ind w:firstLine="2520" w:firstLineChars="1200"/>
        <w:rPr>
          <w:rFonts w:hint="eastAsia" w:eastAsia="宋体" w:cs="宋体"/>
          <w:bCs/>
          <w:color w:val="auto"/>
          <w:sz w:val="21"/>
          <w:szCs w:val="21"/>
          <w:highlight w:val="none"/>
        </w:rPr>
      </w:pPr>
      <w:r>
        <w:rPr>
          <w:rFonts w:hint="eastAsia" w:eastAsia="宋体" w:cs="宋体"/>
          <w:bCs/>
          <w:color w:val="auto"/>
          <w:sz w:val="21"/>
          <w:szCs w:val="21"/>
          <w:highlight w:val="none"/>
          <w:lang w:val="en-US" w:eastAsia="zh-CN"/>
        </w:rPr>
        <w:t>c、误工费</w:t>
      </w:r>
      <w:r>
        <w:rPr>
          <w:rFonts w:hint="eastAsia" w:eastAsia="宋体" w:cs="宋体"/>
          <w:bCs/>
          <w:color w:val="auto"/>
          <w:sz w:val="21"/>
          <w:szCs w:val="21"/>
          <w:highlight w:val="none"/>
        </w:rPr>
        <w:t>：</w:t>
      </w:r>
      <w:r>
        <w:rPr>
          <w:rFonts w:hint="eastAsia" w:eastAsia="宋体" w:cs="宋体"/>
          <w:bCs/>
          <w:color w:val="auto"/>
          <w:sz w:val="21"/>
          <w:szCs w:val="21"/>
          <w:highlight w:val="none"/>
          <w:lang w:val="en-US" w:eastAsia="zh-CN"/>
        </w:rPr>
        <w:t>100</w:t>
      </w:r>
      <w:r>
        <w:rPr>
          <w:rFonts w:hint="eastAsia" w:eastAsia="宋体" w:cs="宋体"/>
          <w:bCs/>
          <w:color w:val="auto"/>
          <w:sz w:val="21"/>
          <w:szCs w:val="21"/>
          <w:highlight w:val="none"/>
        </w:rPr>
        <w:t>元/人/天</w:t>
      </w:r>
      <w:r>
        <w:rPr>
          <w:rFonts w:hint="eastAsia" w:eastAsia="宋体" w:cs="宋体"/>
          <w:bCs/>
          <w:color w:val="auto"/>
          <w:sz w:val="21"/>
          <w:szCs w:val="21"/>
          <w:highlight w:val="none"/>
          <w:lang w:eastAsia="zh-CN"/>
        </w:rPr>
        <w:t>（</w:t>
      </w:r>
      <w:r>
        <w:rPr>
          <w:rFonts w:hint="eastAsia" w:eastAsia="宋体" w:cs="宋体"/>
          <w:bCs/>
          <w:color w:val="auto"/>
          <w:sz w:val="21"/>
          <w:szCs w:val="21"/>
          <w:highlight w:val="none"/>
          <w:lang w:val="en-US" w:eastAsia="zh-CN"/>
        </w:rPr>
        <w:t>最高赔偿不超过60天</w:t>
      </w:r>
      <w:r>
        <w:rPr>
          <w:rFonts w:hint="eastAsia" w:eastAsia="宋体" w:cs="宋体"/>
          <w:bCs/>
          <w:color w:val="auto"/>
          <w:sz w:val="21"/>
          <w:szCs w:val="21"/>
          <w:highlight w:val="none"/>
          <w:lang w:eastAsia="zh-CN"/>
        </w:rPr>
        <w:t>）</w:t>
      </w:r>
      <w:r>
        <w:rPr>
          <w:rFonts w:hint="eastAsia" w:eastAsia="宋体" w:cs="宋体"/>
          <w:bCs/>
          <w:color w:val="auto"/>
          <w:sz w:val="21"/>
          <w:szCs w:val="21"/>
          <w:highlight w:val="none"/>
        </w:rPr>
        <w:t>；</w:t>
      </w:r>
    </w:p>
    <w:p w14:paraId="77608BBE">
      <w:pPr>
        <w:spacing w:line="360" w:lineRule="auto"/>
        <w:ind w:left="840" w:leftChars="200" w:hanging="420" w:hangingChars="200"/>
        <w:rPr>
          <w:rFonts w:hint="default" w:eastAsia="宋体" w:cs="宋体"/>
          <w:bCs/>
          <w:color w:val="auto"/>
          <w:sz w:val="21"/>
          <w:szCs w:val="21"/>
          <w:highlight w:val="none"/>
          <w:lang w:val="en-US" w:eastAsia="zh-CN"/>
        </w:rPr>
      </w:pPr>
      <w:r>
        <w:rPr>
          <w:rFonts w:hint="eastAsia" w:eastAsia="宋体" w:cs="宋体"/>
          <w:bCs/>
          <w:color w:val="auto"/>
          <w:sz w:val="21"/>
          <w:szCs w:val="21"/>
          <w:highlight w:val="none"/>
          <w:lang w:val="en-US" w:eastAsia="zh-CN"/>
        </w:rPr>
        <w:t xml:space="preserve">       最高赔偿限额RMB</w:t>
      </w:r>
      <w:r>
        <w:rPr>
          <w:rFonts w:hint="eastAsia" w:eastAsia="宋体" w:cs="宋体"/>
          <w:bCs/>
          <w:color w:val="auto"/>
          <w:sz w:val="21"/>
          <w:szCs w:val="21"/>
          <w:highlight w:val="none"/>
          <w:u w:val="single"/>
          <w:lang w:val="en-US" w:eastAsia="zh-CN"/>
        </w:rPr>
        <w:t>2000</w:t>
      </w:r>
      <w:r>
        <w:rPr>
          <w:rFonts w:hint="eastAsia" w:eastAsia="宋体" w:cs="宋体"/>
          <w:bCs/>
          <w:color w:val="auto"/>
          <w:sz w:val="21"/>
          <w:szCs w:val="21"/>
          <w:highlight w:val="none"/>
          <w:lang w:val="en-US" w:eastAsia="zh-CN"/>
        </w:rPr>
        <w:t>万元，每次事故赔偿限额RMB</w:t>
      </w:r>
      <w:r>
        <w:rPr>
          <w:rFonts w:hint="eastAsia" w:eastAsia="宋体" w:cs="宋体"/>
          <w:bCs/>
          <w:color w:val="auto"/>
          <w:sz w:val="21"/>
          <w:szCs w:val="21"/>
          <w:highlight w:val="none"/>
          <w:u w:val="single"/>
          <w:lang w:val="en-US" w:eastAsia="zh-CN"/>
        </w:rPr>
        <w:t>1000</w:t>
      </w:r>
      <w:r>
        <w:rPr>
          <w:rFonts w:hint="eastAsia" w:eastAsia="宋体" w:cs="宋体"/>
          <w:bCs/>
          <w:color w:val="auto"/>
          <w:sz w:val="21"/>
          <w:szCs w:val="21"/>
          <w:highlight w:val="none"/>
          <w:lang w:val="en-US" w:eastAsia="zh-CN"/>
        </w:rPr>
        <w:t>万元。</w:t>
      </w:r>
    </w:p>
    <w:p w14:paraId="294E6E3A">
      <w:pPr>
        <w:numPr>
          <w:ilvl w:val="0"/>
          <w:numId w:val="0"/>
        </w:numPr>
        <w:spacing w:line="520" w:lineRule="exact"/>
        <w:ind w:left="1260" w:leftChars="200" w:hanging="840" w:hangingChars="4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lang w:val="en-US" w:eastAsia="zh-CN"/>
        </w:rPr>
        <w:t xml:space="preserve">  （2）第三者人员伤亡及财产损失保障：</w:t>
      </w:r>
      <w:r>
        <w:rPr>
          <w:rFonts w:ascii="宋体" w:hAnsi="宋体" w:eastAsia="宋体" w:cs="Times New Roman"/>
          <w:bCs/>
          <w:color w:val="auto"/>
          <w:szCs w:val="21"/>
          <w:highlight w:val="none"/>
        </w:rPr>
        <w:t>最高赔偿限额（包括财产损失、人身伤亡及</w:t>
      </w:r>
    </w:p>
    <w:p w14:paraId="4195903B">
      <w:pPr>
        <w:numPr>
          <w:ilvl w:val="0"/>
          <w:numId w:val="0"/>
        </w:numPr>
        <w:spacing w:line="520" w:lineRule="exact"/>
        <w:ind w:left="1260" w:leftChars="500" w:hanging="210" w:hangingChars="100"/>
        <w:rPr>
          <w:rFonts w:hint="default" w:ascii="宋体" w:hAnsi="宋体" w:eastAsia="宋体" w:cs="Times New Roman"/>
          <w:bCs/>
          <w:color w:val="auto"/>
          <w:szCs w:val="21"/>
          <w:highlight w:val="none"/>
          <w:lang w:val="en-US" w:eastAsia="zh-CN"/>
        </w:rPr>
      </w:pPr>
      <w:r>
        <w:rPr>
          <w:rFonts w:ascii="宋体" w:hAnsi="宋体" w:eastAsia="宋体" w:cs="Times New Roman"/>
          <w:bCs/>
          <w:color w:val="auto"/>
          <w:szCs w:val="21"/>
          <w:highlight w:val="none"/>
        </w:rPr>
        <w:t>诉讼费用）：2000万元；</w:t>
      </w:r>
      <w:r>
        <w:rPr>
          <w:rFonts w:hint="eastAsia" w:eastAsia="宋体" w:cs="宋体"/>
          <w:bCs/>
          <w:color w:val="auto"/>
          <w:sz w:val="21"/>
          <w:szCs w:val="21"/>
          <w:highlight w:val="none"/>
          <w:lang w:val="en-US" w:eastAsia="zh-CN"/>
        </w:rPr>
        <w:t>每次事故赔偿限额RMB</w:t>
      </w:r>
      <w:r>
        <w:rPr>
          <w:rFonts w:hint="eastAsia" w:eastAsia="宋体" w:cs="宋体"/>
          <w:bCs/>
          <w:color w:val="auto"/>
          <w:sz w:val="21"/>
          <w:szCs w:val="21"/>
          <w:highlight w:val="none"/>
          <w:u w:val="single"/>
          <w:lang w:val="en-US" w:eastAsia="zh-CN"/>
        </w:rPr>
        <w:t>1000</w:t>
      </w:r>
      <w:r>
        <w:rPr>
          <w:rFonts w:hint="eastAsia" w:eastAsia="宋体" w:cs="宋体"/>
          <w:bCs/>
          <w:color w:val="auto"/>
          <w:sz w:val="21"/>
          <w:szCs w:val="21"/>
          <w:highlight w:val="none"/>
          <w:lang w:val="en-US" w:eastAsia="zh-CN"/>
        </w:rPr>
        <w:t>万元；</w:t>
      </w:r>
      <w:r>
        <w:rPr>
          <w:rFonts w:ascii="宋体" w:hAnsi="宋体" w:eastAsia="宋体" w:cs="Times New Roman"/>
          <w:bCs/>
          <w:color w:val="auto"/>
          <w:szCs w:val="21"/>
          <w:highlight w:val="none"/>
        </w:rPr>
        <w:t xml:space="preserve">其中：人身伤亡赔偿限额：RMB </w:t>
      </w:r>
      <w:r>
        <w:rPr>
          <w:rFonts w:hint="eastAsia" w:ascii="宋体" w:hAnsi="宋体" w:eastAsia="宋体" w:cs="Times New Roman"/>
          <w:bCs/>
          <w:color w:val="auto"/>
          <w:szCs w:val="21"/>
          <w:highlight w:val="none"/>
          <w:lang w:val="en-US" w:eastAsia="zh-CN"/>
        </w:rPr>
        <w:t>10</w:t>
      </w:r>
      <w:r>
        <w:rPr>
          <w:rFonts w:ascii="宋体" w:hAnsi="宋体" w:eastAsia="宋体" w:cs="Times New Roman"/>
          <w:bCs/>
          <w:color w:val="auto"/>
          <w:szCs w:val="21"/>
          <w:highlight w:val="none"/>
        </w:rPr>
        <w:t>0万元/人。</w:t>
      </w:r>
    </w:p>
    <w:p w14:paraId="382AC84B">
      <w:pPr>
        <w:spacing w:line="520" w:lineRule="exact"/>
        <w:ind w:left="1050" w:leftChars="300" w:hanging="420" w:hangingChars="200"/>
        <w:rPr>
          <w:rFonts w:hint="eastAsia" w:cs="宋体"/>
          <w:bCs/>
          <w:color w:val="auto"/>
          <w:szCs w:val="21"/>
          <w:highlight w:val="none"/>
        </w:rPr>
      </w:pPr>
      <w:r>
        <w:rPr>
          <w:rFonts w:hint="eastAsia" w:ascii="宋体" w:hAnsi="宋体" w:eastAsia="宋体" w:cs="Times New Roman"/>
          <w:bCs/>
          <w:color w:val="auto"/>
          <w:szCs w:val="21"/>
          <w:highlight w:val="none"/>
          <w:lang w:eastAsia="zh-CN"/>
        </w:rPr>
        <w:t>（</w:t>
      </w:r>
      <w:r>
        <w:rPr>
          <w:rFonts w:hint="eastAsia" w:ascii="宋体" w:hAnsi="宋体" w:eastAsia="宋体" w:cs="Times New Roman"/>
          <w:bCs/>
          <w:color w:val="auto"/>
          <w:szCs w:val="21"/>
          <w:highlight w:val="none"/>
          <w:lang w:val="en-US" w:eastAsia="zh-CN"/>
        </w:rPr>
        <w:t>3</w:t>
      </w:r>
      <w:r>
        <w:rPr>
          <w:rFonts w:hint="eastAsia" w:ascii="宋体" w:hAnsi="宋体" w:eastAsia="宋体" w:cs="Times New Roman"/>
          <w:bCs/>
          <w:color w:val="auto"/>
          <w:szCs w:val="21"/>
          <w:highlight w:val="none"/>
          <w:lang w:eastAsia="zh-CN"/>
        </w:rPr>
        <w:t>）</w:t>
      </w:r>
      <w:r>
        <w:rPr>
          <w:rFonts w:ascii="宋体" w:hAnsi="宋体" w:eastAsia="宋体" w:cs="Times New Roman"/>
          <w:bCs/>
          <w:color w:val="auto"/>
          <w:szCs w:val="21"/>
          <w:highlight w:val="none"/>
        </w:rPr>
        <w:t>紧急抢险救援费、人员疏散措施费；必要的、合理的鉴定、取证、案件受理、评估、公证、诉讼仲裁等相关费用赔偿限额：</w:t>
      </w:r>
      <w:r>
        <w:rPr>
          <w:rFonts w:hint="eastAsia" w:ascii="宋体" w:hAnsi="宋体" w:eastAsia="宋体" w:cs="Times New Roman"/>
          <w:bCs/>
          <w:color w:val="auto"/>
          <w:szCs w:val="21"/>
          <w:highlight w:val="none"/>
          <w:u w:val="single"/>
          <w:lang w:val="en-US" w:eastAsia="zh-CN"/>
        </w:rPr>
        <w:t>500</w:t>
      </w:r>
      <w:r>
        <w:rPr>
          <w:rFonts w:ascii="宋体" w:hAnsi="宋体" w:eastAsia="宋体" w:cs="Times New Roman"/>
          <w:bCs/>
          <w:color w:val="auto"/>
          <w:szCs w:val="21"/>
          <w:highlight w:val="none"/>
        </w:rPr>
        <w:t>万元。</w:t>
      </w:r>
    </w:p>
    <w:p w14:paraId="578A9769">
      <w:pPr>
        <w:spacing w:line="400" w:lineRule="exact"/>
        <w:ind w:firstLine="630" w:firstLineChars="300"/>
        <w:rPr>
          <w:rFonts w:hint="eastAsia" w:cs="宋体"/>
          <w:bCs/>
          <w:color w:val="auto"/>
          <w:szCs w:val="21"/>
          <w:highlight w:val="none"/>
        </w:rPr>
      </w:pPr>
      <w:r>
        <w:rPr>
          <w:rFonts w:hint="eastAsia" w:cs="宋体"/>
          <w:bCs/>
          <w:color w:val="auto"/>
          <w:szCs w:val="21"/>
          <w:highlight w:val="none"/>
        </w:rPr>
        <w:t>注：以上“每次事故”是指每一次事故或由同一原因/同一事件引起的一系列事故。</w:t>
      </w:r>
    </w:p>
    <w:p w14:paraId="0EAF0B24">
      <w:pPr>
        <w:pStyle w:val="4"/>
        <w:spacing w:before="156" w:after="156"/>
        <w:rPr>
          <w:rFonts w:hint="eastAsia"/>
          <w:color w:val="auto"/>
          <w:sz w:val="24"/>
          <w:szCs w:val="24"/>
          <w:highlight w:val="none"/>
        </w:rPr>
      </w:pPr>
      <w:r>
        <w:rPr>
          <w:rFonts w:hint="eastAsia"/>
          <w:color w:val="auto"/>
          <w:sz w:val="24"/>
          <w:szCs w:val="24"/>
          <w:highlight w:val="none"/>
        </w:rPr>
        <w:t>十、每次事故绝对免赔额：</w:t>
      </w:r>
    </w:p>
    <w:p w14:paraId="76FEF352">
      <w:pPr>
        <w:pStyle w:val="58"/>
        <w:numPr>
          <w:ilvl w:val="0"/>
          <w:numId w:val="9"/>
        </w:numPr>
        <w:spacing w:line="360" w:lineRule="auto"/>
        <w:ind w:firstLineChars="0"/>
        <w:rPr>
          <w:rFonts w:hint="eastAsia" w:ascii="宋体" w:hAnsi="宋体"/>
          <w:b/>
          <w:color w:val="auto"/>
          <w:sz w:val="24"/>
          <w:szCs w:val="22"/>
          <w:highlight w:val="none"/>
          <w:lang w:val="en-US" w:eastAsia="zh-CN" w:bidi="ar-SA"/>
        </w:rPr>
      </w:pPr>
      <w:bookmarkStart w:id="36" w:name="_Toc17641"/>
      <w:bookmarkStart w:id="37" w:name="_Toc2110"/>
      <w:bookmarkStart w:id="38" w:name="_Toc13300"/>
      <w:r>
        <w:rPr>
          <w:rFonts w:hint="eastAsia" w:ascii="宋体" w:hAnsi="宋体"/>
          <w:b/>
          <w:color w:val="auto"/>
          <w:sz w:val="24"/>
          <w:szCs w:val="22"/>
          <w:highlight w:val="none"/>
          <w:lang w:val="en-US" w:eastAsia="zh-CN" w:bidi="ar-SA"/>
        </w:rPr>
        <w:t>适用物质损失部分：</w:t>
      </w:r>
    </w:p>
    <w:p w14:paraId="78D02852">
      <w:pPr>
        <w:pStyle w:val="24"/>
        <w:numPr>
          <w:ilvl w:val="0"/>
          <w:numId w:val="0"/>
        </w:numPr>
        <w:ind w:firstLine="420" w:firstLineChars="200"/>
        <w:rPr>
          <w:rFonts w:hint="eastAsia" w:ascii="宋体" w:hAnsi="宋体" w:cs="宋体"/>
          <w:bCs/>
          <w:color w:val="auto"/>
          <w:sz w:val="21"/>
          <w:szCs w:val="21"/>
          <w:highlight w:val="none"/>
          <w:lang w:val="en-US" w:eastAsia="zh-CN" w:bidi="ar-SA"/>
        </w:rPr>
      </w:pPr>
      <w:r>
        <w:rPr>
          <w:rFonts w:hint="eastAsia" w:ascii="宋体" w:hAnsi="宋体" w:cs="宋体"/>
          <w:bCs/>
          <w:color w:val="auto"/>
          <w:sz w:val="21"/>
          <w:szCs w:val="21"/>
          <w:highlight w:val="none"/>
          <w:lang w:val="en-US" w:eastAsia="zh-CN" w:bidi="ar-SA"/>
        </w:rPr>
        <w:t>1、地震、海啸导致的损失：RMB</w:t>
      </w:r>
      <w:r>
        <w:rPr>
          <w:rFonts w:hint="eastAsia" w:ascii="宋体" w:hAnsi="宋体" w:cs="宋体"/>
          <w:bCs/>
          <w:color w:val="auto"/>
          <w:sz w:val="21"/>
          <w:szCs w:val="21"/>
          <w:highlight w:val="none"/>
          <w:u w:val="single"/>
          <w:lang w:val="en-US" w:eastAsia="zh-CN" w:bidi="ar-SA"/>
        </w:rPr>
        <w:t>200万</w:t>
      </w:r>
      <w:r>
        <w:rPr>
          <w:rFonts w:hint="eastAsia" w:ascii="宋体" w:hAnsi="宋体" w:cs="宋体"/>
          <w:bCs/>
          <w:color w:val="auto"/>
          <w:sz w:val="21"/>
          <w:szCs w:val="21"/>
          <w:highlight w:val="none"/>
          <w:lang w:val="en-US" w:eastAsia="zh-CN" w:bidi="ar-SA"/>
        </w:rPr>
        <w:t>元或损失金额的</w:t>
      </w:r>
      <w:r>
        <w:rPr>
          <w:rFonts w:hint="eastAsia" w:ascii="宋体" w:hAnsi="宋体" w:cs="宋体"/>
          <w:bCs/>
          <w:color w:val="auto"/>
          <w:sz w:val="21"/>
          <w:szCs w:val="21"/>
          <w:highlight w:val="none"/>
          <w:u w:val="single"/>
          <w:lang w:val="en-US" w:eastAsia="zh-CN" w:bidi="ar-SA"/>
        </w:rPr>
        <w:t>20%</w:t>
      </w:r>
      <w:r>
        <w:rPr>
          <w:rFonts w:hint="eastAsia" w:ascii="宋体" w:hAnsi="宋体" w:cs="宋体"/>
          <w:bCs/>
          <w:color w:val="auto"/>
          <w:sz w:val="21"/>
          <w:szCs w:val="21"/>
          <w:highlight w:val="none"/>
          <w:lang w:val="en-US" w:eastAsia="zh-CN" w:bidi="ar-SA"/>
        </w:rPr>
        <w:t>，两者以高者为准；</w:t>
      </w:r>
    </w:p>
    <w:p w14:paraId="015E39A8">
      <w:pPr>
        <w:pStyle w:val="24"/>
        <w:numPr>
          <w:ilvl w:val="0"/>
          <w:numId w:val="0"/>
        </w:numPr>
        <w:ind w:left="840" w:hanging="840" w:hangingChars="400"/>
        <w:rPr>
          <w:rFonts w:hint="eastAsia" w:ascii="宋体" w:hAnsi="宋体" w:cs="宋体"/>
          <w:bCs/>
          <w:color w:val="auto"/>
          <w:sz w:val="21"/>
          <w:szCs w:val="21"/>
          <w:highlight w:val="none"/>
          <w:lang w:val="en-US" w:eastAsia="zh-CN" w:bidi="ar-SA"/>
        </w:rPr>
      </w:pPr>
      <w:r>
        <w:rPr>
          <w:rFonts w:hint="eastAsia" w:ascii="宋体" w:hAnsi="宋体" w:cs="宋体"/>
          <w:bCs/>
          <w:color w:val="auto"/>
          <w:sz w:val="21"/>
          <w:szCs w:val="21"/>
          <w:highlight w:val="none"/>
          <w:lang w:val="en-US" w:eastAsia="zh-CN" w:bidi="ar-SA"/>
        </w:rPr>
        <w:t xml:space="preserve">    2、台风、洪水、风暴潮、暴风、暴雨导致的损失：每次事故免赔RMB</w:t>
      </w:r>
      <w:r>
        <w:rPr>
          <w:rFonts w:hint="eastAsia" w:ascii="宋体" w:hAnsi="宋体" w:cs="宋体"/>
          <w:bCs/>
          <w:color w:val="auto"/>
          <w:sz w:val="21"/>
          <w:szCs w:val="21"/>
          <w:highlight w:val="none"/>
          <w:u w:val="single"/>
          <w:lang w:val="en-US" w:eastAsia="zh-CN" w:bidi="ar-SA"/>
        </w:rPr>
        <w:t>90万</w:t>
      </w:r>
      <w:r>
        <w:rPr>
          <w:rFonts w:hint="eastAsia" w:ascii="宋体" w:hAnsi="宋体" w:cs="宋体"/>
          <w:bCs/>
          <w:color w:val="auto"/>
          <w:sz w:val="21"/>
          <w:szCs w:val="21"/>
          <w:highlight w:val="none"/>
          <w:lang w:val="en-US" w:eastAsia="zh-CN" w:bidi="ar-SA"/>
        </w:rPr>
        <w:t>元或损失金额的</w:t>
      </w:r>
      <w:r>
        <w:rPr>
          <w:rFonts w:hint="eastAsia" w:ascii="宋体" w:hAnsi="宋体" w:cs="宋体"/>
          <w:bCs/>
          <w:color w:val="auto"/>
          <w:sz w:val="21"/>
          <w:szCs w:val="21"/>
          <w:highlight w:val="none"/>
          <w:u w:val="single"/>
          <w:lang w:val="en-US" w:eastAsia="zh-CN" w:bidi="ar-SA"/>
        </w:rPr>
        <w:t>25%</w:t>
      </w:r>
      <w:r>
        <w:rPr>
          <w:rFonts w:hint="eastAsia" w:ascii="宋体" w:hAnsi="宋体" w:cs="宋体"/>
          <w:bCs/>
          <w:color w:val="auto"/>
          <w:sz w:val="21"/>
          <w:szCs w:val="21"/>
          <w:highlight w:val="none"/>
          <w:lang w:val="en-US" w:eastAsia="zh-CN" w:bidi="ar-SA"/>
        </w:rPr>
        <w:t>，</w:t>
      </w:r>
    </w:p>
    <w:p w14:paraId="39DA8FEE">
      <w:pPr>
        <w:pStyle w:val="24"/>
        <w:numPr>
          <w:ilvl w:val="0"/>
          <w:numId w:val="0"/>
        </w:numPr>
        <w:ind w:firstLine="630" w:firstLineChars="300"/>
        <w:rPr>
          <w:rFonts w:hint="eastAsia" w:ascii="宋体" w:hAnsi="宋体" w:cs="宋体"/>
          <w:bCs/>
          <w:color w:val="auto"/>
          <w:sz w:val="21"/>
          <w:szCs w:val="21"/>
          <w:highlight w:val="none"/>
          <w:lang w:val="en-US" w:eastAsia="zh-CN" w:bidi="ar-SA"/>
        </w:rPr>
      </w:pPr>
      <w:r>
        <w:rPr>
          <w:rFonts w:hint="eastAsia" w:ascii="宋体" w:hAnsi="宋体" w:cs="宋体"/>
          <w:bCs/>
          <w:color w:val="auto"/>
          <w:sz w:val="21"/>
          <w:szCs w:val="21"/>
          <w:highlight w:val="none"/>
          <w:lang w:val="en-US" w:eastAsia="zh-CN" w:bidi="ar-SA"/>
        </w:rPr>
        <w:t>以高者为准；</w:t>
      </w:r>
    </w:p>
    <w:p w14:paraId="13CE3349">
      <w:pPr>
        <w:pStyle w:val="24"/>
        <w:rPr>
          <w:rFonts w:hint="eastAsia" w:ascii="宋体" w:hAnsi="宋体" w:cs="宋体"/>
          <w:bCs/>
          <w:color w:val="auto"/>
          <w:sz w:val="21"/>
          <w:szCs w:val="21"/>
          <w:highlight w:val="none"/>
          <w:lang w:val="en-US" w:eastAsia="zh-CN" w:bidi="ar-SA"/>
        </w:rPr>
      </w:pPr>
      <w:r>
        <w:rPr>
          <w:rFonts w:hint="eastAsia" w:ascii="宋体" w:hAnsi="宋体" w:cs="宋体"/>
          <w:bCs/>
          <w:color w:val="auto"/>
          <w:sz w:val="21"/>
          <w:szCs w:val="21"/>
          <w:highlight w:val="none"/>
          <w:lang w:val="en-US" w:eastAsia="zh-CN" w:bidi="ar-SA"/>
        </w:rPr>
        <w:t>3、其他保险责任范围内导致的损失：每次事故免赔RMB</w:t>
      </w:r>
      <w:r>
        <w:rPr>
          <w:rFonts w:hint="eastAsia" w:ascii="宋体" w:hAnsi="宋体" w:cs="宋体"/>
          <w:bCs/>
          <w:color w:val="auto"/>
          <w:sz w:val="21"/>
          <w:szCs w:val="21"/>
          <w:highlight w:val="none"/>
          <w:u w:val="single"/>
          <w:lang w:val="en-US" w:eastAsia="zh-CN" w:bidi="ar-SA"/>
        </w:rPr>
        <w:t>20万元</w:t>
      </w:r>
      <w:r>
        <w:rPr>
          <w:rFonts w:hint="eastAsia" w:ascii="宋体" w:hAnsi="宋体" w:cs="宋体"/>
          <w:bCs/>
          <w:color w:val="auto"/>
          <w:sz w:val="21"/>
          <w:szCs w:val="21"/>
          <w:highlight w:val="none"/>
          <w:lang w:val="en-US" w:eastAsia="zh-CN" w:bidi="ar-SA"/>
        </w:rPr>
        <w:t>或损失金额的</w:t>
      </w:r>
      <w:r>
        <w:rPr>
          <w:rFonts w:hint="eastAsia" w:ascii="宋体" w:hAnsi="宋体" w:cs="宋体"/>
          <w:bCs/>
          <w:color w:val="auto"/>
          <w:sz w:val="21"/>
          <w:szCs w:val="21"/>
          <w:highlight w:val="none"/>
          <w:u w:val="single"/>
          <w:lang w:val="en-US" w:eastAsia="zh-CN" w:bidi="ar-SA"/>
        </w:rPr>
        <w:t>20%</w:t>
      </w:r>
      <w:r>
        <w:rPr>
          <w:rFonts w:hint="eastAsia" w:ascii="宋体" w:hAnsi="宋体" w:cs="宋体"/>
          <w:bCs/>
          <w:color w:val="auto"/>
          <w:sz w:val="21"/>
          <w:szCs w:val="21"/>
          <w:highlight w:val="none"/>
          <w:lang w:val="en-US" w:eastAsia="zh-CN" w:bidi="ar-SA"/>
        </w:rPr>
        <w:t>，以</w:t>
      </w:r>
    </w:p>
    <w:p w14:paraId="64163542">
      <w:pPr>
        <w:pStyle w:val="24"/>
        <w:ind w:firstLine="420" w:firstLineChars="200"/>
        <w:rPr>
          <w:rFonts w:hint="eastAsia" w:ascii="宋体" w:hAnsi="宋体" w:cs="宋体"/>
          <w:bCs/>
          <w:color w:val="auto"/>
          <w:sz w:val="21"/>
          <w:szCs w:val="21"/>
          <w:highlight w:val="none"/>
          <w:lang w:val="en-US" w:eastAsia="zh-CN" w:bidi="ar-SA"/>
        </w:rPr>
      </w:pPr>
      <w:r>
        <w:rPr>
          <w:rFonts w:hint="eastAsia" w:ascii="宋体" w:hAnsi="宋体" w:cs="宋体"/>
          <w:bCs/>
          <w:color w:val="auto"/>
          <w:sz w:val="21"/>
          <w:szCs w:val="21"/>
          <w:highlight w:val="none"/>
          <w:lang w:val="en-US" w:eastAsia="zh-CN" w:bidi="ar-SA"/>
        </w:rPr>
        <w:t>高者为准；</w:t>
      </w:r>
    </w:p>
    <w:p w14:paraId="10A2420F">
      <w:pPr>
        <w:spacing w:line="360" w:lineRule="auto"/>
        <w:rPr>
          <w:rFonts w:hint="eastAsia" w:ascii="宋体" w:hAnsi="宋体"/>
          <w:b/>
          <w:color w:val="auto"/>
          <w:sz w:val="24"/>
          <w:szCs w:val="22"/>
          <w:highlight w:val="none"/>
          <w:lang w:val="en-US" w:eastAsia="zh-CN" w:bidi="ar-SA"/>
        </w:rPr>
      </w:pPr>
      <w:r>
        <w:rPr>
          <w:rFonts w:hint="eastAsia" w:ascii="宋体" w:hAnsi="宋体"/>
          <w:b/>
          <w:color w:val="auto"/>
          <w:sz w:val="24"/>
          <w:szCs w:val="22"/>
          <w:highlight w:val="none"/>
          <w:lang w:val="en-US" w:eastAsia="zh-CN" w:bidi="ar-SA"/>
        </w:rPr>
        <w:t>（二）适用</w:t>
      </w:r>
      <w:r>
        <w:rPr>
          <w:rFonts w:hint="eastAsia"/>
          <w:b/>
          <w:color w:val="auto"/>
          <w:sz w:val="24"/>
          <w:szCs w:val="22"/>
          <w:highlight w:val="none"/>
          <w:lang w:val="en-US" w:eastAsia="zh-CN" w:bidi="ar-SA"/>
        </w:rPr>
        <w:t>安全生产</w:t>
      </w:r>
      <w:r>
        <w:rPr>
          <w:rFonts w:hint="eastAsia" w:ascii="宋体" w:hAnsi="宋体"/>
          <w:b/>
          <w:color w:val="auto"/>
          <w:sz w:val="24"/>
          <w:szCs w:val="22"/>
          <w:highlight w:val="none"/>
          <w:lang w:val="en-US" w:eastAsia="zh-CN" w:bidi="ar-SA"/>
        </w:rPr>
        <w:t>责任</w:t>
      </w:r>
      <w:r>
        <w:rPr>
          <w:rFonts w:hint="eastAsia"/>
          <w:b/>
          <w:color w:val="auto"/>
          <w:sz w:val="24"/>
          <w:szCs w:val="22"/>
          <w:highlight w:val="none"/>
          <w:lang w:val="en-US" w:eastAsia="zh-CN" w:bidi="ar-SA"/>
        </w:rPr>
        <w:t>险</w:t>
      </w:r>
      <w:r>
        <w:rPr>
          <w:rFonts w:hint="eastAsia" w:ascii="宋体" w:hAnsi="宋体"/>
          <w:b/>
          <w:color w:val="auto"/>
          <w:sz w:val="24"/>
          <w:szCs w:val="22"/>
          <w:highlight w:val="none"/>
          <w:lang w:val="en-US" w:eastAsia="zh-CN" w:bidi="ar-SA"/>
        </w:rPr>
        <w:t>部分：</w:t>
      </w:r>
    </w:p>
    <w:p w14:paraId="795D8D4B">
      <w:pPr>
        <w:spacing w:line="360" w:lineRule="auto"/>
        <w:ind w:firstLine="420" w:firstLineChars="200"/>
        <w:rPr>
          <w:rFonts w:hint="default" w:ascii="宋体" w:hAnsi="宋体" w:cs="宋体"/>
          <w:bCs/>
          <w:color w:val="auto"/>
          <w:sz w:val="21"/>
          <w:szCs w:val="21"/>
          <w:highlight w:val="none"/>
          <w:lang w:val="en-US" w:eastAsia="zh-CN" w:bidi="ar-SA"/>
        </w:rPr>
      </w:pPr>
      <w:r>
        <w:rPr>
          <w:rFonts w:hint="eastAsia" w:ascii="宋体" w:hAnsi="宋体" w:cs="宋体"/>
          <w:bCs/>
          <w:color w:val="auto"/>
          <w:sz w:val="21"/>
          <w:szCs w:val="21"/>
          <w:highlight w:val="none"/>
          <w:lang w:val="en-US" w:eastAsia="zh-CN" w:bidi="ar-SA"/>
        </w:rPr>
        <w:t>1、</w:t>
      </w:r>
      <w:r>
        <w:rPr>
          <w:rFonts w:hint="eastAsia" w:cs="宋体"/>
          <w:bCs/>
          <w:color w:val="auto"/>
          <w:sz w:val="21"/>
          <w:szCs w:val="21"/>
          <w:highlight w:val="none"/>
          <w:lang w:val="en-US" w:eastAsia="zh-CN" w:bidi="ar-SA"/>
        </w:rPr>
        <w:t>从业人员人身伤亡：</w:t>
      </w:r>
      <w:r>
        <w:rPr>
          <w:rFonts w:hint="eastAsia" w:ascii="宋体" w:hAnsi="宋体" w:cs="宋体"/>
          <w:bCs/>
          <w:color w:val="auto"/>
          <w:sz w:val="21"/>
          <w:szCs w:val="21"/>
          <w:highlight w:val="none"/>
          <w:lang w:val="en-US" w:eastAsia="zh-CN" w:bidi="ar-SA"/>
        </w:rPr>
        <w:t>每次事故免赔500元；</w:t>
      </w:r>
    </w:p>
    <w:p w14:paraId="57585970">
      <w:pPr>
        <w:spacing w:line="360" w:lineRule="auto"/>
        <w:ind w:firstLine="420" w:firstLineChars="200"/>
        <w:rPr>
          <w:rFonts w:hint="eastAsia" w:ascii="宋体" w:hAnsi="宋体" w:cs="宋体"/>
          <w:bCs/>
          <w:color w:val="auto"/>
          <w:sz w:val="21"/>
          <w:szCs w:val="21"/>
          <w:highlight w:val="none"/>
          <w:lang w:val="en-US" w:eastAsia="zh-CN" w:bidi="ar-SA"/>
        </w:rPr>
      </w:pPr>
      <w:r>
        <w:rPr>
          <w:rFonts w:hint="eastAsia" w:cs="宋体"/>
          <w:bCs/>
          <w:color w:val="auto"/>
          <w:sz w:val="21"/>
          <w:szCs w:val="21"/>
          <w:highlight w:val="none"/>
          <w:lang w:val="en-US" w:eastAsia="zh-CN" w:bidi="ar-SA"/>
        </w:rPr>
        <w:t>2、</w:t>
      </w:r>
      <w:r>
        <w:rPr>
          <w:rFonts w:hint="eastAsia" w:ascii="宋体" w:hAnsi="宋体" w:cs="宋体"/>
          <w:bCs/>
          <w:color w:val="auto"/>
          <w:sz w:val="21"/>
          <w:szCs w:val="21"/>
          <w:highlight w:val="none"/>
          <w:lang w:val="en-US" w:eastAsia="zh-CN" w:bidi="ar-SA"/>
        </w:rPr>
        <w:t>第三</w:t>
      </w:r>
      <w:r>
        <w:rPr>
          <w:rFonts w:hint="eastAsia" w:cs="宋体"/>
          <w:bCs/>
          <w:color w:val="auto"/>
          <w:sz w:val="21"/>
          <w:szCs w:val="21"/>
          <w:highlight w:val="none"/>
          <w:lang w:val="en-US" w:eastAsia="zh-CN" w:bidi="ar-SA"/>
        </w:rPr>
        <w:t>者</w:t>
      </w:r>
      <w:r>
        <w:rPr>
          <w:rFonts w:hint="eastAsia" w:ascii="宋体" w:hAnsi="宋体" w:cs="宋体"/>
          <w:bCs/>
          <w:color w:val="auto"/>
          <w:sz w:val="21"/>
          <w:szCs w:val="21"/>
          <w:highlight w:val="none"/>
          <w:lang w:val="en-US" w:eastAsia="zh-CN" w:bidi="ar-SA"/>
        </w:rPr>
        <w:t>财产损失：每次事故免赔额为RMB</w:t>
      </w:r>
      <w:r>
        <w:rPr>
          <w:rFonts w:hint="eastAsia" w:cs="宋体"/>
          <w:bCs/>
          <w:color w:val="auto"/>
          <w:sz w:val="21"/>
          <w:szCs w:val="21"/>
          <w:highlight w:val="none"/>
          <w:lang w:val="en-US" w:eastAsia="zh-CN" w:bidi="ar-SA"/>
        </w:rPr>
        <w:t>5万</w:t>
      </w:r>
      <w:r>
        <w:rPr>
          <w:rFonts w:hint="eastAsia" w:ascii="宋体" w:hAnsi="宋体" w:cs="宋体"/>
          <w:bCs/>
          <w:color w:val="auto"/>
          <w:sz w:val="21"/>
          <w:szCs w:val="21"/>
          <w:highlight w:val="none"/>
          <w:lang w:val="en-US" w:eastAsia="zh-CN" w:bidi="ar-SA"/>
        </w:rPr>
        <w:t>元；</w:t>
      </w:r>
    </w:p>
    <w:p w14:paraId="5031AE62">
      <w:pPr>
        <w:spacing w:line="360" w:lineRule="auto"/>
        <w:ind w:firstLine="420" w:firstLineChars="200"/>
        <w:rPr>
          <w:rFonts w:hint="eastAsia" w:ascii="宋体" w:hAnsi="宋体" w:cs="宋体"/>
          <w:bCs/>
          <w:color w:val="auto"/>
          <w:sz w:val="21"/>
          <w:szCs w:val="21"/>
          <w:highlight w:val="none"/>
          <w:lang w:val="en-US" w:eastAsia="zh-CN" w:bidi="ar-SA"/>
        </w:rPr>
      </w:pPr>
      <w:r>
        <w:rPr>
          <w:rFonts w:hint="eastAsia" w:cs="宋体"/>
          <w:bCs/>
          <w:color w:val="auto"/>
          <w:sz w:val="21"/>
          <w:szCs w:val="21"/>
          <w:highlight w:val="none"/>
          <w:lang w:val="en-US" w:eastAsia="zh-CN" w:bidi="ar-SA"/>
        </w:rPr>
        <w:t>3</w:t>
      </w:r>
      <w:r>
        <w:rPr>
          <w:rFonts w:hint="eastAsia" w:ascii="宋体" w:hAnsi="宋体" w:cs="宋体"/>
          <w:bCs/>
          <w:color w:val="auto"/>
          <w:sz w:val="21"/>
          <w:szCs w:val="21"/>
          <w:highlight w:val="none"/>
          <w:lang w:val="en-US" w:eastAsia="zh-CN" w:bidi="ar-SA"/>
        </w:rPr>
        <w:t>、第三</w:t>
      </w:r>
      <w:r>
        <w:rPr>
          <w:rFonts w:hint="eastAsia" w:cs="宋体"/>
          <w:bCs/>
          <w:color w:val="auto"/>
          <w:sz w:val="21"/>
          <w:szCs w:val="21"/>
          <w:highlight w:val="none"/>
          <w:lang w:val="en-US" w:eastAsia="zh-CN" w:bidi="ar-SA"/>
        </w:rPr>
        <w:t>者</w:t>
      </w:r>
      <w:r>
        <w:rPr>
          <w:rFonts w:hint="eastAsia" w:ascii="宋体" w:hAnsi="宋体" w:cs="宋体"/>
          <w:bCs/>
          <w:color w:val="auto"/>
          <w:sz w:val="21"/>
          <w:szCs w:val="21"/>
          <w:highlight w:val="none"/>
          <w:lang w:val="en-US" w:eastAsia="zh-CN" w:bidi="ar-SA"/>
        </w:rPr>
        <w:t>责任人身伤亡：无免赔</w:t>
      </w:r>
    </w:p>
    <w:p w14:paraId="430AF036">
      <w:pPr>
        <w:pStyle w:val="24"/>
        <w:ind w:firstLine="420" w:firstLineChars="200"/>
        <w:rPr>
          <w:rFonts w:hint="eastAsia" w:ascii="宋体" w:hAnsi="宋体" w:cs="宋体"/>
          <w:bCs/>
          <w:color w:val="auto"/>
          <w:sz w:val="21"/>
          <w:szCs w:val="21"/>
          <w:highlight w:val="none"/>
          <w:lang w:val="en-US" w:eastAsia="zh-CN" w:bidi="ar-SA"/>
        </w:rPr>
      </w:pPr>
      <w:r>
        <w:rPr>
          <w:rFonts w:hint="eastAsia" w:ascii="宋体" w:hAnsi="宋体" w:cs="宋体"/>
          <w:bCs/>
          <w:color w:val="auto"/>
          <w:sz w:val="21"/>
          <w:szCs w:val="21"/>
          <w:highlight w:val="none"/>
          <w:lang w:val="en-US" w:eastAsia="zh-CN" w:bidi="ar-SA"/>
        </w:rPr>
        <w:t>注：以上“每次事故”是指每一次事故或由同一原因/同一事件引起的一系列事故。</w:t>
      </w:r>
    </w:p>
    <w:p w14:paraId="15AE917D">
      <w:pPr>
        <w:pStyle w:val="4"/>
        <w:spacing w:before="156" w:after="156"/>
        <w:rPr>
          <w:rFonts w:hint="eastAsia"/>
          <w:color w:val="auto"/>
          <w:sz w:val="24"/>
          <w:szCs w:val="24"/>
          <w:highlight w:val="none"/>
        </w:rPr>
      </w:pPr>
      <w:r>
        <w:rPr>
          <w:rFonts w:hint="eastAsia"/>
          <w:color w:val="auto"/>
          <w:sz w:val="24"/>
          <w:szCs w:val="24"/>
          <w:highlight w:val="none"/>
        </w:rPr>
        <w:t>十一、保险期限：</w:t>
      </w:r>
      <w:bookmarkEnd w:id="36"/>
      <w:bookmarkEnd w:id="37"/>
      <w:bookmarkEnd w:id="38"/>
    </w:p>
    <w:p w14:paraId="4DCA6F2E">
      <w:pPr>
        <w:pStyle w:val="24"/>
        <w:ind w:left="0" w:leftChars="0" w:firstLine="0" w:firstLineChars="0"/>
        <w:rPr>
          <w:rFonts w:hint="eastAsia"/>
          <w:b/>
          <w:color w:val="auto"/>
          <w:kern w:val="2"/>
          <w:sz w:val="24"/>
          <w:szCs w:val="22"/>
          <w:highlight w:val="none"/>
          <w:lang w:val="en-US" w:eastAsia="zh-CN" w:bidi="ar-SA"/>
        </w:rPr>
      </w:pPr>
      <w:r>
        <w:rPr>
          <w:rFonts w:hint="eastAsia"/>
          <w:b/>
          <w:color w:val="auto"/>
          <w:kern w:val="2"/>
          <w:sz w:val="24"/>
          <w:szCs w:val="22"/>
          <w:highlight w:val="none"/>
          <w:lang w:val="en-US" w:eastAsia="zh-CN" w:bidi="ar-SA"/>
        </w:rPr>
        <w:t>（一）建筑工程一切险及安全生产责任险</w:t>
      </w:r>
    </w:p>
    <w:p w14:paraId="4C74FB1E">
      <w:pPr>
        <w:pStyle w:val="24"/>
        <w:spacing w:line="360" w:lineRule="auto"/>
        <w:ind w:left="0" w:leftChars="0" w:firstLine="420" w:firstLineChars="200"/>
        <w:rPr>
          <w:rFonts w:hint="eastAsia" w:eastAsia="宋体" w:cs="宋体"/>
          <w:bCs/>
          <w:color w:val="auto"/>
          <w:sz w:val="21"/>
          <w:szCs w:val="21"/>
          <w:highlight w:val="none"/>
        </w:rPr>
      </w:pPr>
      <w:r>
        <w:rPr>
          <w:rFonts w:hint="eastAsia" w:ascii="宋体" w:hAnsi="宋体" w:eastAsia="宋体" w:cs="宋体"/>
          <w:b w:val="0"/>
          <w:bCs/>
          <w:color w:val="auto"/>
          <w:sz w:val="21"/>
          <w:szCs w:val="21"/>
          <w:highlight w:val="none"/>
          <w:lang w:val="en-US" w:eastAsia="zh-CN"/>
        </w:rPr>
        <w:t>建筑工程一切险及安全生产责任险保险期限：自本保险合同签订之日起至本工程竣工验收合格之日止，保险服务期为30个月。如遇工期延期，本保险期限将免费延期12个月，且不加收任何附加保险费，被保险人须提前30天通知保险人。如在免费延期12个月后仍未完工，投保人在缴纳本保险合同项下按日比例计算的保险费后，保险期限可以继续延长。超过12个月部分的保费=本项目建筑工程一切险保险金额（</w:t>
      </w:r>
      <w:r>
        <w:rPr>
          <w:rFonts w:hint="eastAsia" w:ascii="宋体" w:cs="宋体"/>
          <w:b/>
          <w:bCs/>
          <w:color w:val="auto"/>
          <w:sz w:val="24"/>
          <w:highlight w:val="none"/>
          <w:lang w:val="en-US" w:eastAsia="zh-CN"/>
        </w:rPr>
        <w:t>815892366元</w:t>
      </w:r>
      <w:r>
        <w:rPr>
          <w:rFonts w:hint="eastAsia" w:ascii="宋体" w:hAnsi="宋体" w:eastAsia="宋体" w:cs="宋体"/>
          <w:b w:val="0"/>
          <w:bCs/>
          <w:color w:val="auto"/>
          <w:sz w:val="21"/>
          <w:szCs w:val="21"/>
          <w:highlight w:val="none"/>
          <w:lang w:val="en-US" w:eastAsia="zh-CN"/>
        </w:rPr>
        <w:t>）×（建筑工程一切险保险费率+安全生产责任险保险费率）×（延期时间-</w:t>
      </w:r>
      <w:r>
        <w:rPr>
          <w:rFonts w:hint="eastAsia" w:ascii="宋体" w:hAnsi="宋体" w:eastAsia="宋体" w:cs="宋体"/>
          <w:b w:val="0"/>
          <w:bCs w:val="0"/>
          <w:color w:val="auto"/>
          <w:kern w:val="2"/>
          <w:sz w:val="22"/>
          <w:szCs w:val="22"/>
          <w:highlight w:val="none"/>
          <w:u w:val="none"/>
          <w:lang w:val="en-US" w:eastAsia="zh-CN" w:bidi="ar-SA"/>
        </w:rPr>
        <w:t>365天</w:t>
      </w:r>
      <w:r>
        <w:rPr>
          <w:rFonts w:hint="eastAsia" w:ascii="宋体" w:hAnsi="宋体" w:eastAsia="宋体" w:cs="宋体"/>
          <w:b w:val="0"/>
          <w:bCs/>
          <w:color w:val="auto"/>
          <w:sz w:val="21"/>
          <w:szCs w:val="21"/>
          <w:highlight w:val="none"/>
          <w:lang w:val="en-US" w:eastAsia="zh-CN"/>
        </w:rPr>
        <w:t>）/900天。</w:t>
      </w:r>
    </w:p>
    <w:p w14:paraId="15C1F631">
      <w:pPr>
        <w:pStyle w:val="24"/>
        <w:ind w:left="0" w:leftChars="0" w:firstLine="0" w:firstLineChars="0"/>
        <w:rPr>
          <w:rFonts w:hint="eastAsia"/>
          <w:b/>
          <w:color w:val="auto"/>
          <w:kern w:val="2"/>
          <w:sz w:val="24"/>
          <w:szCs w:val="22"/>
          <w:highlight w:val="none"/>
          <w:lang w:val="en-US" w:eastAsia="zh-CN" w:bidi="ar-SA"/>
        </w:rPr>
      </w:pPr>
      <w:r>
        <w:rPr>
          <w:rFonts w:hint="eastAsia"/>
          <w:b/>
          <w:color w:val="auto"/>
          <w:kern w:val="2"/>
          <w:sz w:val="24"/>
          <w:szCs w:val="22"/>
          <w:highlight w:val="none"/>
          <w:lang w:val="en-US" w:eastAsia="zh-CN" w:bidi="ar-SA"/>
        </w:rPr>
        <w:t>（二）建筑工程一切险及安全生产责任险保证期</w:t>
      </w:r>
    </w:p>
    <w:p w14:paraId="17D72A48">
      <w:pPr>
        <w:pStyle w:val="24"/>
        <w:spacing w:line="360" w:lineRule="auto"/>
        <w:ind w:left="0" w:leftChars="0" w:firstLine="420" w:firstLineChars="200"/>
        <w:rPr>
          <w:rFonts w:hint="eastAsia" w:ascii="宋体" w:hAnsi="宋体" w:eastAsia="宋体" w:cs="宋体"/>
          <w:bCs/>
          <w:color w:val="auto"/>
          <w:sz w:val="21"/>
          <w:szCs w:val="21"/>
          <w:highlight w:val="none"/>
          <w:lang w:val="en-US" w:eastAsia="zh-CN" w:bidi="ar-SA"/>
        </w:rPr>
      </w:pPr>
      <w:r>
        <w:rPr>
          <w:rFonts w:hint="default" w:ascii="宋体" w:hAnsi="宋体" w:eastAsia="宋体" w:cs="宋体"/>
          <w:bCs/>
          <w:color w:val="auto"/>
          <w:sz w:val="21"/>
          <w:szCs w:val="21"/>
          <w:highlight w:val="none"/>
        </w:rPr>
        <w:t>本工程竣工验收合格之日起至本工程缺陷责任期终止证书颁发之日止，预计</w:t>
      </w:r>
      <w:r>
        <w:rPr>
          <w:rFonts w:hint="default" w:ascii="宋体" w:hAnsi="宋体" w:eastAsia="宋体" w:cs="宋体"/>
          <w:bCs/>
          <w:color w:val="auto"/>
          <w:sz w:val="21"/>
          <w:szCs w:val="21"/>
          <w:highlight w:val="none"/>
          <w:lang w:val="en-US" w:eastAsia="zh-CN"/>
        </w:rPr>
        <w:t>12</w:t>
      </w:r>
      <w:r>
        <w:rPr>
          <w:rFonts w:hint="default" w:ascii="宋体" w:hAnsi="宋体" w:eastAsia="宋体" w:cs="宋体"/>
          <w:bCs/>
          <w:color w:val="auto"/>
          <w:sz w:val="21"/>
          <w:szCs w:val="21"/>
          <w:highlight w:val="none"/>
        </w:rPr>
        <w:t>个月。如遇工期延期，则保证期相应顺延。</w:t>
      </w:r>
      <w:r>
        <w:rPr>
          <w:rFonts w:hint="eastAsia" w:ascii="宋体" w:hAnsi="宋体" w:eastAsia="宋体" w:cs="宋体"/>
          <w:bCs/>
          <w:color w:val="auto"/>
          <w:sz w:val="21"/>
          <w:szCs w:val="21"/>
          <w:highlight w:val="none"/>
          <w:lang w:val="en-US" w:eastAsia="zh-CN" w:bidi="ar-SA"/>
        </w:rPr>
        <w:t xml:space="preserve"> </w:t>
      </w:r>
    </w:p>
    <w:p w14:paraId="7E841B61">
      <w:pPr>
        <w:pStyle w:val="4"/>
        <w:spacing w:before="156" w:after="156"/>
        <w:rPr>
          <w:rFonts w:hint="eastAsia"/>
          <w:color w:val="auto"/>
          <w:sz w:val="24"/>
          <w:szCs w:val="24"/>
          <w:highlight w:val="none"/>
        </w:rPr>
      </w:pPr>
      <w:r>
        <w:rPr>
          <w:rFonts w:hint="eastAsia"/>
          <w:color w:val="auto"/>
          <w:sz w:val="24"/>
          <w:szCs w:val="24"/>
          <w:highlight w:val="none"/>
        </w:rPr>
        <w:t>十二、保险费率</w:t>
      </w:r>
      <w:r>
        <w:rPr>
          <w:rFonts w:hint="eastAsia"/>
          <w:color w:val="auto"/>
          <w:sz w:val="24"/>
          <w:szCs w:val="24"/>
          <w:highlight w:val="none"/>
          <w:lang w:eastAsia="zh-CN"/>
        </w:rPr>
        <w:t>（</w:t>
      </w:r>
      <w:r>
        <w:rPr>
          <w:rFonts w:hint="eastAsia"/>
          <w:color w:val="auto"/>
          <w:sz w:val="24"/>
          <w:szCs w:val="24"/>
          <w:highlight w:val="none"/>
          <w:lang w:val="en-US" w:eastAsia="zh-CN"/>
        </w:rPr>
        <w:t>含增值税</w:t>
      </w:r>
      <w:r>
        <w:rPr>
          <w:rFonts w:hint="eastAsia"/>
          <w:color w:val="auto"/>
          <w:sz w:val="24"/>
          <w:szCs w:val="24"/>
          <w:highlight w:val="none"/>
          <w:lang w:eastAsia="zh-CN"/>
        </w:rPr>
        <w:t>）</w:t>
      </w:r>
      <w:r>
        <w:rPr>
          <w:rFonts w:hint="eastAsia"/>
          <w:color w:val="auto"/>
          <w:sz w:val="24"/>
          <w:szCs w:val="24"/>
          <w:highlight w:val="none"/>
        </w:rPr>
        <w:t>：</w:t>
      </w:r>
    </w:p>
    <w:p w14:paraId="33D94930">
      <w:pPr>
        <w:spacing w:line="400" w:lineRule="exact"/>
        <w:ind w:firstLine="840" w:firstLineChars="400"/>
        <w:rPr>
          <w:rFonts w:hint="eastAsia" w:cs="宋体"/>
          <w:bCs/>
          <w:color w:val="auto"/>
          <w:szCs w:val="21"/>
          <w:highlight w:val="none"/>
          <w:u w:val="single"/>
        </w:rPr>
      </w:pPr>
      <w:bookmarkStart w:id="39" w:name="_Toc18306"/>
      <w:bookmarkStart w:id="40" w:name="_Toc6060"/>
      <w:r>
        <w:rPr>
          <w:rFonts w:hint="eastAsia" w:cs="宋体"/>
          <w:bCs/>
          <w:color w:val="auto"/>
          <w:szCs w:val="21"/>
          <w:highlight w:val="none"/>
          <w:lang w:eastAsia="zh-CN"/>
        </w:rPr>
        <w:t>建筑工程一切险</w:t>
      </w:r>
      <w:r>
        <w:rPr>
          <w:rFonts w:hint="eastAsia" w:cs="宋体"/>
          <w:bCs/>
          <w:color w:val="auto"/>
          <w:szCs w:val="21"/>
          <w:highlight w:val="none"/>
        </w:rPr>
        <w:t>：</w:t>
      </w:r>
      <w:r>
        <w:rPr>
          <w:rFonts w:hint="eastAsia" w:cs="宋体"/>
          <w:bCs/>
          <w:color w:val="auto"/>
          <w:szCs w:val="21"/>
          <w:highlight w:val="none"/>
          <w:u w:val="single"/>
          <w:lang w:val="en-US" w:eastAsia="zh-CN"/>
        </w:rPr>
        <w:t xml:space="preserve">      </w:t>
      </w:r>
      <w:bookmarkEnd w:id="39"/>
      <w:bookmarkEnd w:id="40"/>
      <w:r>
        <w:rPr>
          <w:rFonts w:hint="eastAsia" w:eastAsia="宋体" w:cs="宋体"/>
          <w:bCs/>
          <w:color w:val="auto"/>
          <w:szCs w:val="21"/>
          <w:highlight w:val="none"/>
          <w:u w:val="single"/>
          <w:lang w:val="en-US" w:eastAsia="zh-CN"/>
        </w:rPr>
        <w:t>‰</w:t>
      </w:r>
      <w:r>
        <w:rPr>
          <w:rFonts w:hint="eastAsia" w:cs="宋体"/>
          <w:bCs/>
          <w:color w:val="auto"/>
          <w:szCs w:val="21"/>
          <w:highlight w:val="none"/>
          <w:u w:val="single"/>
        </w:rPr>
        <w:t xml:space="preserve"> </w:t>
      </w:r>
    </w:p>
    <w:p w14:paraId="48945A19">
      <w:pPr>
        <w:pStyle w:val="4"/>
        <w:spacing w:before="156" w:after="156"/>
        <w:rPr>
          <w:rFonts w:hint="eastAsia"/>
          <w:color w:val="auto"/>
          <w:sz w:val="24"/>
          <w:szCs w:val="24"/>
          <w:highlight w:val="none"/>
        </w:rPr>
      </w:pPr>
      <w:bookmarkStart w:id="41" w:name="_Toc7859"/>
      <w:bookmarkStart w:id="42" w:name="_Toc31958"/>
      <w:bookmarkStart w:id="43" w:name="_Toc11725"/>
      <w:r>
        <w:rPr>
          <w:rFonts w:hint="eastAsia"/>
          <w:color w:val="auto"/>
          <w:sz w:val="24"/>
          <w:szCs w:val="24"/>
          <w:highlight w:val="none"/>
        </w:rPr>
        <w:t>十三、保险费：</w:t>
      </w:r>
      <w:bookmarkEnd w:id="41"/>
      <w:bookmarkEnd w:id="42"/>
      <w:bookmarkEnd w:id="43"/>
    </w:p>
    <w:p w14:paraId="540BFCF7">
      <w:pPr>
        <w:spacing w:line="400" w:lineRule="exact"/>
        <w:ind w:firstLine="420" w:firstLineChars="200"/>
        <w:rPr>
          <w:rFonts w:hint="default" w:cs="宋体"/>
          <w:bCs/>
          <w:color w:val="auto"/>
          <w:szCs w:val="21"/>
          <w:highlight w:val="none"/>
          <w:lang w:val="en-US"/>
        </w:rPr>
      </w:pPr>
      <w:bookmarkStart w:id="44" w:name="_Toc1836"/>
      <w:bookmarkStart w:id="45" w:name="_Toc4522"/>
      <w:r>
        <w:rPr>
          <w:rFonts w:hint="eastAsia" w:cs="宋体"/>
          <w:bCs/>
          <w:color w:val="auto"/>
          <w:szCs w:val="21"/>
          <w:highlight w:val="none"/>
        </w:rPr>
        <w:t>建筑工程一切险：</w:t>
      </w:r>
      <w:r>
        <w:rPr>
          <w:rFonts w:hint="eastAsia" w:cs="宋体"/>
          <w:b/>
          <w:color w:val="auto"/>
          <w:szCs w:val="21"/>
          <w:highlight w:val="none"/>
        </w:rPr>
        <w:t>RMB</w:t>
      </w:r>
      <w:bookmarkEnd w:id="44"/>
      <w:bookmarkEnd w:id="45"/>
      <w:r>
        <w:rPr>
          <w:rFonts w:hint="eastAsia" w:cs="宋体"/>
          <w:b/>
          <w:color w:val="auto"/>
          <w:szCs w:val="21"/>
          <w:highlight w:val="none"/>
          <w:u w:val="single"/>
          <w:lang w:val="en-US" w:eastAsia="zh-CN"/>
        </w:rPr>
        <w:t xml:space="preserve">            </w:t>
      </w:r>
      <w:r>
        <w:rPr>
          <w:rFonts w:hint="eastAsia" w:cs="宋体"/>
          <w:b/>
          <w:color w:val="auto"/>
          <w:szCs w:val="21"/>
          <w:highlight w:val="none"/>
        </w:rPr>
        <w:t>元</w:t>
      </w:r>
      <w:r>
        <w:rPr>
          <w:rFonts w:hint="eastAsia" w:cs="宋体"/>
          <w:bCs/>
          <w:color w:val="auto"/>
          <w:szCs w:val="21"/>
          <w:highlight w:val="none"/>
        </w:rPr>
        <w:t xml:space="preserve"> </w:t>
      </w:r>
      <w:r>
        <w:rPr>
          <w:rFonts w:hint="eastAsia" w:cs="宋体"/>
          <w:bCs/>
          <w:color w:val="auto"/>
          <w:szCs w:val="21"/>
          <w:highlight w:val="none"/>
          <w:lang w:eastAsia="zh-CN"/>
        </w:rPr>
        <w:t>（</w:t>
      </w:r>
      <w:r>
        <w:rPr>
          <w:rFonts w:hint="eastAsia" w:cs="宋体"/>
          <w:bCs/>
          <w:color w:val="auto"/>
          <w:szCs w:val="21"/>
          <w:highlight w:val="none"/>
          <w:lang w:val="en-US" w:eastAsia="zh-CN"/>
        </w:rPr>
        <w:t>含增值税</w:t>
      </w:r>
      <w:r>
        <w:rPr>
          <w:rFonts w:hint="eastAsia" w:cs="宋体"/>
          <w:bCs/>
          <w:color w:val="auto"/>
          <w:szCs w:val="21"/>
          <w:highlight w:val="none"/>
          <w:lang w:eastAsia="zh-CN"/>
        </w:rPr>
        <w:t>），</w:t>
      </w:r>
      <w:r>
        <w:rPr>
          <w:rFonts w:hint="eastAsia" w:cs="宋体"/>
          <w:b/>
          <w:bCs w:val="0"/>
          <w:color w:val="auto"/>
          <w:szCs w:val="21"/>
          <w:highlight w:val="none"/>
          <w:u w:val="none"/>
          <w:lang w:eastAsia="zh-CN"/>
        </w:rPr>
        <w:t>大写：</w:t>
      </w:r>
      <w:r>
        <w:rPr>
          <w:rFonts w:hint="eastAsia" w:cs="宋体"/>
          <w:b/>
          <w:bCs w:val="0"/>
          <w:color w:val="auto"/>
          <w:szCs w:val="21"/>
          <w:highlight w:val="none"/>
          <w:u w:val="single"/>
          <w:lang w:val="en-US" w:eastAsia="zh-CN"/>
        </w:rPr>
        <w:t xml:space="preserve">          </w:t>
      </w:r>
      <w:r>
        <w:rPr>
          <w:rFonts w:hint="eastAsia" w:cs="宋体"/>
          <w:bCs/>
          <w:color w:val="auto"/>
          <w:szCs w:val="21"/>
          <w:highlight w:val="none"/>
          <w:u w:val="none"/>
          <w:lang w:eastAsia="zh-CN"/>
        </w:rPr>
        <w:t>（</w:t>
      </w:r>
      <w:r>
        <w:rPr>
          <w:rFonts w:hint="eastAsia" w:cs="宋体"/>
          <w:bCs/>
          <w:color w:val="auto"/>
          <w:szCs w:val="21"/>
          <w:highlight w:val="none"/>
          <w:lang w:val="en-US" w:eastAsia="zh-CN"/>
        </w:rPr>
        <w:t>含增值税</w:t>
      </w:r>
      <w:r>
        <w:rPr>
          <w:rFonts w:hint="eastAsia" w:cs="宋体"/>
          <w:bCs/>
          <w:color w:val="auto"/>
          <w:szCs w:val="21"/>
          <w:highlight w:val="none"/>
          <w:u w:val="none"/>
          <w:lang w:eastAsia="zh-CN"/>
        </w:rPr>
        <w:t>）</w:t>
      </w:r>
      <w:r>
        <w:rPr>
          <w:rFonts w:hint="eastAsia" w:cs="宋体"/>
          <w:b/>
          <w:bCs w:val="0"/>
          <w:color w:val="auto"/>
          <w:szCs w:val="21"/>
          <w:highlight w:val="none"/>
          <w:u w:val="none"/>
          <w:lang w:eastAsia="zh-CN"/>
        </w:rPr>
        <w:t>；</w:t>
      </w:r>
      <w:r>
        <w:rPr>
          <w:rFonts w:hint="eastAsia" w:cs="宋体"/>
          <w:b/>
          <w:bCs w:val="0"/>
          <w:color w:val="auto"/>
          <w:szCs w:val="21"/>
          <w:highlight w:val="none"/>
          <w:u w:val="none"/>
          <w:lang w:val="en-US" w:eastAsia="zh-CN"/>
        </w:rPr>
        <w:t>其中增值税</w:t>
      </w:r>
      <w:r>
        <w:rPr>
          <w:rFonts w:hint="eastAsia" w:cs="宋体"/>
          <w:b/>
          <w:bCs w:val="0"/>
          <w:color w:val="auto"/>
          <w:szCs w:val="21"/>
          <w:highlight w:val="none"/>
          <w:u w:val="single"/>
          <w:lang w:val="en-US" w:eastAsia="zh-CN"/>
        </w:rPr>
        <w:t xml:space="preserve">             </w:t>
      </w:r>
      <w:r>
        <w:rPr>
          <w:rFonts w:hint="eastAsia" w:cs="宋体"/>
          <w:b/>
          <w:bCs w:val="0"/>
          <w:color w:val="auto"/>
          <w:szCs w:val="21"/>
          <w:highlight w:val="none"/>
          <w:u w:val="none"/>
          <w:lang w:val="en-US" w:eastAsia="zh-CN"/>
        </w:rPr>
        <w:t>元。</w:t>
      </w:r>
    </w:p>
    <w:p w14:paraId="5BA8491A">
      <w:pPr>
        <w:spacing w:line="400" w:lineRule="exact"/>
        <w:ind w:firstLine="420" w:firstLineChars="200"/>
        <w:rPr>
          <w:rFonts w:hint="eastAsia" w:cs="宋体"/>
          <w:bCs/>
          <w:color w:val="auto"/>
          <w:szCs w:val="21"/>
          <w:highlight w:val="none"/>
        </w:rPr>
      </w:pPr>
      <w:bookmarkStart w:id="46" w:name="_Toc23845"/>
      <w:bookmarkStart w:id="47" w:name="_Toc1269"/>
      <w:r>
        <w:rPr>
          <w:rFonts w:hint="eastAsia" w:cs="宋体"/>
          <w:bCs/>
          <w:color w:val="auto"/>
          <w:szCs w:val="21"/>
          <w:highlight w:val="none"/>
          <w:lang w:val="en-US" w:eastAsia="zh-CN"/>
        </w:rPr>
        <w:t>安全生产责任险</w:t>
      </w:r>
      <w:r>
        <w:rPr>
          <w:rFonts w:hint="eastAsia" w:cs="宋体"/>
          <w:bCs/>
          <w:color w:val="auto"/>
          <w:szCs w:val="21"/>
          <w:highlight w:val="none"/>
        </w:rPr>
        <w:t>：</w:t>
      </w:r>
      <w:bookmarkEnd w:id="46"/>
      <w:bookmarkEnd w:id="47"/>
      <w:r>
        <w:rPr>
          <w:rFonts w:hint="eastAsia" w:cs="宋体"/>
          <w:b/>
          <w:color w:val="auto"/>
          <w:szCs w:val="21"/>
          <w:highlight w:val="none"/>
        </w:rPr>
        <w:t>RMB</w:t>
      </w:r>
      <w:r>
        <w:rPr>
          <w:rFonts w:hint="eastAsia" w:cs="宋体"/>
          <w:b/>
          <w:color w:val="auto"/>
          <w:szCs w:val="21"/>
          <w:highlight w:val="none"/>
          <w:u w:val="single"/>
          <w:lang w:val="en-US" w:eastAsia="zh-CN"/>
        </w:rPr>
        <w:t xml:space="preserve">            </w:t>
      </w:r>
      <w:r>
        <w:rPr>
          <w:rFonts w:hint="eastAsia" w:cs="宋体"/>
          <w:b/>
          <w:color w:val="auto"/>
          <w:szCs w:val="21"/>
          <w:highlight w:val="none"/>
        </w:rPr>
        <w:t>元</w:t>
      </w:r>
      <w:r>
        <w:rPr>
          <w:rFonts w:hint="eastAsia" w:cs="宋体"/>
          <w:bCs/>
          <w:color w:val="auto"/>
          <w:szCs w:val="21"/>
          <w:highlight w:val="none"/>
        </w:rPr>
        <w:t xml:space="preserve"> </w:t>
      </w:r>
      <w:r>
        <w:rPr>
          <w:rFonts w:hint="eastAsia" w:cs="宋体"/>
          <w:bCs/>
          <w:color w:val="auto"/>
          <w:szCs w:val="21"/>
          <w:highlight w:val="none"/>
          <w:lang w:eastAsia="zh-CN"/>
        </w:rPr>
        <w:t>（</w:t>
      </w:r>
      <w:r>
        <w:rPr>
          <w:rFonts w:hint="eastAsia" w:cs="宋体"/>
          <w:bCs/>
          <w:color w:val="auto"/>
          <w:szCs w:val="21"/>
          <w:highlight w:val="none"/>
          <w:lang w:val="en-US" w:eastAsia="zh-CN"/>
        </w:rPr>
        <w:t>含增值税</w:t>
      </w:r>
      <w:r>
        <w:rPr>
          <w:rFonts w:hint="eastAsia" w:cs="宋体"/>
          <w:bCs/>
          <w:color w:val="auto"/>
          <w:szCs w:val="21"/>
          <w:highlight w:val="none"/>
          <w:lang w:eastAsia="zh-CN"/>
        </w:rPr>
        <w:t>），</w:t>
      </w:r>
      <w:r>
        <w:rPr>
          <w:rFonts w:hint="eastAsia" w:cs="宋体"/>
          <w:b/>
          <w:bCs w:val="0"/>
          <w:color w:val="auto"/>
          <w:szCs w:val="21"/>
          <w:highlight w:val="none"/>
          <w:u w:val="none"/>
          <w:lang w:eastAsia="zh-CN"/>
        </w:rPr>
        <w:t>大写：</w:t>
      </w:r>
      <w:r>
        <w:rPr>
          <w:rFonts w:hint="eastAsia" w:cs="宋体"/>
          <w:b/>
          <w:bCs w:val="0"/>
          <w:color w:val="auto"/>
          <w:szCs w:val="21"/>
          <w:highlight w:val="none"/>
          <w:u w:val="single"/>
          <w:lang w:val="en-US" w:eastAsia="zh-CN"/>
        </w:rPr>
        <w:t xml:space="preserve">         </w:t>
      </w:r>
      <w:r>
        <w:rPr>
          <w:rFonts w:hint="eastAsia" w:cs="宋体"/>
          <w:bCs/>
          <w:color w:val="auto"/>
          <w:szCs w:val="21"/>
          <w:highlight w:val="none"/>
          <w:u w:val="none"/>
          <w:lang w:eastAsia="zh-CN"/>
        </w:rPr>
        <w:t>（</w:t>
      </w:r>
      <w:r>
        <w:rPr>
          <w:rFonts w:hint="eastAsia" w:cs="宋体"/>
          <w:bCs/>
          <w:color w:val="auto"/>
          <w:szCs w:val="21"/>
          <w:highlight w:val="none"/>
          <w:lang w:val="en-US" w:eastAsia="zh-CN"/>
        </w:rPr>
        <w:t>含增值税</w:t>
      </w:r>
      <w:r>
        <w:rPr>
          <w:rFonts w:hint="eastAsia" w:cs="宋体"/>
          <w:bCs/>
          <w:color w:val="auto"/>
          <w:szCs w:val="21"/>
          <w:highlight w:val="none"/>
          <w:u w:val="none"/>
          <w:lang w:eastAsia="zh-CN"/>
        </w:rPr>
        <w:t>）</w:t>
      </w:r>
      <w:r>
        <w:rPr>
          <w:rFonts w:hint="eastAsia" w:cs="宋体"/>
          <w:b/>
          <w:bCs w:val="0"/>
          <w:color w:val="auto"/>
          <w:szCs w:val="21"/>
          <w:highlight w:val="none"/>
          <w:u w:val="none"/>
          <w:lang w:eastAsia="zh-CN"/>
        </w:rPr>
        <w:t>；</w:t>
      </w:r>
      <w:r>
        <w:rPr>
          <w:rFonts w:hint="eastAsia" w:cs="宋体"/>
          <w:b/>
          <w:bCs w:val="0"/>
          <w:color w:val="auto"/>
          <w:szCs w:val="21"/>
          <w:highlight w:val="none"/>
          <w:u w:val="none"/>
          <w:lang w:val="en-US" w:eastAsia="zh-CN"/>
        </w:rPr>
        <w:t>其中增值税</w:t>
      </w:r>
      <w:r>
        <w:rPr>
          <w:rFonts w:hint="eastAsia" w:cs="宋体"/>
          <w:b/>
          <w:bCs w:val="0"/>
          <w:color w:val="auto"/>
          <w:szCs w:val="21"/>
          <w:highlight w:val="none"/>
          <w:u w:val="single"/>
          <w:lang w:val="en-US" w:eastAsia="zh-CN"/>
        </w:rPr>
        <w:t xml:space="preserve">             </w:t>
      </w:r>
      <w:r>
        <w:rPr>
          <w:rFonts w:hint="eastAsia" w:cs="宋体"/>
          <w:b/>
          <w:bCs w:val="0"/>
          <w:color w:val="auto"/>
          <w:szCs w:val="21"/>
          <w:highlight w:val="none"/>
          <w:u w:val="none"/>
          <w:lang w:val="en-US" w:eastAsia="zh-CN"/>
        </w:rPr>
        <w:t>元。</w:t>
      </w:r>
    </w:p>
    <w:p w14:paraId="1E1576FD">
      <w:pPr>
        <w:spacing w:line="400" w:lineRule="exact"/>
        <w:ind w:firstLine="420" w:firstLineChars="200"/>
        <w:rPr>
          <w:rFonts w:hint="eastAsia" w:cs="宋体"/>
          <w:b/>
          <w:bCs w:val="0"/>
          <w:color w:val="auto"/>
          <w:szCs w:val="21"/>
          <w:highlight w:val="none"/>
          <w:u w:val="single"/>
        </w:rPr>
      </w:pPr>
      <w:bookmarkStart w:id="48" w:name="_Toc2076"/>
      <w:bookmarkStart w:id="49" w:name="_Toc24962"/>
      <w:r>
        <w:rPr>
          <w:rFonts w:hint="eastAsia" w:cs="宋体"/>
          <w:bCs/>
          <w:color w:val="auto"/>
          <w:szCs w:val="21"/>
          <w:highlight w:val="none"/>
        </w:rPr>
        <w:t>合计：</w:t>
      </w:r>
      <w:bookmarkEnd w:id="48"/>
      <w:bookmarkEnd w:id="49"/>
      <w:r>
        <w:rPr>
          <w:rFonts w:hint="eastAsia" w:cs="宋体"/>
          <w:b/>
          <w:color w:val="auto"/>
          <w:szCs w:val="21"/>
          <w:highlight w:val="none"/>
        </w:rPr>
        <w:t>RMB</w:t>
      </w:r>
      <w:r>
        <w:rPr>
          <w:rFonts w:hint="eastAsia" w:cs="宋体"/>
          <w:b/>
          <w:color w:val="auto"/>
          <w:szCs w:val="21"/>
          <w:highlight w:val="none"/>
          <w:u w:val="single"/>
          <w:lang w:val="en-US" w:eastAsia="zh-CN"/>
        </w:rPr>
        <w:t xml:space="preserve">                </w:t>
      </w:r>
      <w:r>
        <w:rPr>
          <w:rFonts w:hint="eastAsia" w:cs="宋体"/>
          <w:b/>
          <w:color w:val="auto"/>
          <w:szCs w:val="21"/>
          <w:highlight w:val="none"/>
        </w:rPr>
        <w:t>元</w:t>
      </w:r>
      <w:r>
        <w:rPr>
          <w:rFonts w:hint="eastAsia" w:cs="宋体"/>
          <w:bCs/>
          <w:color w:val="auto"/>
          <w:szCs w:val="21"/>
          <w:highlight w:val="none"/>
        </w:rPr>
        <w:t xml:space="preserve"> </w:t>
      </w:r>
      <w:r>
        <w:rPr>
          <w:rFonts w:hint="eastAsia" w:cs="宋体"/>
          <w:bCs/>
          <w:color w:val="auto"/>
          <w:szCs w:val="21"/>
          <w:highlight w:val="none"/>
          <w:lang w:eastAsia="zh-CN"/>
        </w:rPr>
        <w:t>（</w:t>
      </w:r>
      <w:r>
        <w:rPr>
          <w:rFonts w:hint="eastAsia" w:cs="宋体"/>
          <w:bCs/>
          <w:color w:val="auto"/>
          <w:szCs w:val="21"/>
          <w:highlight w:val="none"/>
          <w:lang w:val="en-US" w:eastAsia="zh-CN"/>
        </w:rPr>
        <w:t>含增值税</w:t>
      </w:r>
      <w:r>
        <w:rPr>
          <w:rFonts w:hint="eastAsia" w:cs="宋体"/>
          <w:bCs/>
          <w:color w:val="auto"/>
          <w:szCs w:val="21"/>
          <w:highlight w:val="none"/>
          <w:lang w:eastAsia="zh-CN"/>
        </w:rPr>
        <w:t>），</w:t>
      </w:r>
      <w:r>
        <w:rPr>
          <w:rFonts w:hint="eastAsia" w:cs="宋体"/>
          <w:b/>
          <w:bCs w:val="0"/>
          <w:color w:val="auto"/>
          <w:szCs w:val="21"/>
          <w:highlight w:val="none"/>
          <w:u w:val="none"/>
          <w:lang w:eastAsia="zh-CN"/>
        </w:rPr>
        <w:t>大写：</w:t>
      </w:r>
      <w:r>
        <w:rPr>
          <w:rFonts w:hint="eastAsia" w:cs="宋体"/>
          <w:b/>
          <w:bCs w:val="0"/>
          <w:color w:val="auto"/>
          <w:szCs w:val="21"/>
          <w:highlight w:val="none"/>
          <w:u w:val="single"/>
          <w:lang w:val="en-US" w:eastAsia="zh-CN"/>
        </w:rPr>
        <w:t xml:space="preserve">             </w:t>
      </w:r>
      <w:r>
        <w:rPr>
          <w:rFonts w:hint="eastAsia" w:cs="宋体"/>
          <w:bCs/>
          <w:color w:val="auto"/>
          <w:szCs w:val="21"/>
          <w:highlight w:val="none"/>
          <w:u w:val="none"/>
          <w:lang w:eastAsia="zh-CN"/>
        </w:rPr>
        <w:t>（</w:t>
      </w:r>
      <w:r>
        <w:rPr>
          <w:rFonts w:hint="eastAsia" w:cs="宋体"/>
          <w:bCs/>
          <w:color w:val="auto"/>
          <w:szCs w:val="21"/>
          <w:highlight w:val="none"/>
          <w:lang w:val="en-US" w:eastAsia="zh-CN"/>
        </w:rPr>
        <w:t>含增值税</w:t>
      </w:r>
      <w:r>
        <w:rPr>
          <w:rFonts w:hint="eastAsia" w:cs="宋体"/>
          <w:bCs/>
          <w:color w:val="auto"/>
          <w:szCs w:val="21"/>
          <w:highlight w:val="none"/>
          <w:u w:val="none"/>
          <w:lang w:eastAsia="zh-CN"/>
        </w:rPr>
        <w:t>）</w:t>
      </w:r>
      <w:r>
        <w:rPr>
          <w:rFonts w:hint="eastAsia" w:cs="宋体"/>
          <w:b/>
          <w:bCs w:val="0"/>
          <w:color w:val="auto"/>
          <w:szCs w:val="21"/>
          <w:highlight w:val="none"/>
          <w:u w:val="none"/>
          <w:lang w:eastAsia="zh-CN"/>
        </w:rPr>
        <w:t>；</w:t>
      </w:r>
      <w:r>
        <w:rPr>
          <w:rFonts w:hint="eastAsia" w:cs="宋体"/>
          <w:b/>
          <w:bCs w:val="0"/>
          <w:color w:val="auto"/>
          <w:szCs w:val="21"/>
          <w:highlight w:val="none"/>
          <w:u w:val="none"/>
          <w:lang w:val="en-US" w:eastAsia="zh-CN"/>
        </w:rPr>
        <w:t>其中增值税</w:t>
      </w:r>
      <w:r>
        <w:rPr>
          <w:rFonts w:hint="eastAsia" w:cs="宋体"/>
          <w:b/>
          <w:bCs w:val="0"/>
          <w:color w:val="auto"/>
          <w:szCs w:val="21"/>
          <w:highlight w:val="none"/>
          <w:u w:val="single"/>
          <w:lang w:val="en-US" w:eastAsia="zh-CN"/>
        </w:rPr>
        <w:t xml:space="preserve">             </w:t>
      </w:r>
      <w:r>
        <w:rPr>
          <w:rFonts w:hint="eastAsia" w:cs="宋体"/>
          <w:b/>
          <w:bCs w:val="0"/>
          <w:color w:val="auto"/>
          <w:szCs w:val="21"/>
          <w:highlight w:val="none"/>
          <w:u w:val="none"/>
          <w:lang w:val="en-US" w:eastAsia="zh-CN"/>
        </w:rPr>
        <w:t>元。</w:t>
      </w:r>
    </w:p>
    <w:p w14:paraId="39E9C96E">
      <w:pPr>
        <w:pStyle w:val="4"/>
        <w:spacing w:before="156" w:after="156"/>
        <w:rPr>
          <w:rFonts w:hint="eastAsia"/>
          <w:color w:val="auto"/>
          <w:sz w:val="24"/>
          <w:szCs w:val="24"/>
          <w:highlight w:val="none"/>
          <w:shd w:val="clear" w:color="auto" w:fill="auto"/>
        </w:rPr>
      </w:pPr>
      <w:bookmarkStart w:id="50" w:name="_Toc31361"/>
      <w:bookmarkStart w:id="51" w:name="_Toc25664"/>
      <w:r>
        <w:rPr>
          <w:rFonts w:hint="eastAsia"/>
          <w:color w:val="auto"/>
          <w:sz w:val="24"/>
          <w:szCs w:val="24"/>
          <w:highlight w:val="none"/>
          <w:shd w:val="clear" w:color="auto" w:fill="auto"/>
        </w:rPr>
        <w:t>十四、保险费支付方式：</w:t>
      </w:r>
    </w:p>
    <w:p w14:paraId="2B25ADF0">
      <w:pPr>
        <w:spacing w:line="400" w:lineRule="exact"/>
        <w:ind w:firstLine="420" w:firstLineChars="200"/>
        <w:rPr>
          <w:rFonts w:hint="eastAsia" w:cs="宋体"/>
          <w:bCs/>
          <w:color w:val="auto"/>
          <w:szCs w:val="21"/>
          <w:highlight w:val="none"/>
        </w:rPr>
      </w:pPr>
      <w:r>
        <w:rPr>
          <w:rFonts w:hint="eastAsia" w:cs="宋体"/>
          <w:bCs/>
          <w:color w:val="auto"/>
          <w:szCs w:val="21"/>
          <w:highlight w:val="none"/>
        </w:rPr>
        <w:t xml:space="preserve">分期数      缴付保险费比例          </w:t>
      </w:r>
      <w:r>
        <w:rPr>
          <w:rFonts w:hint="eastAsia" w:cs="宋体"/>
          <w:bCs/>
          <w:color w:val="auto"/>
          <w:szCs w:val="21"/>
          <w:highlight w:val="none"/>
          <w:lang w:val="en-US" w:eastAsia="zh-CN"/>
        </w:rPr>
        <w:t xml:space="preserve">        </w:t>
      </w:r>
      <w:r>
        <w:rPr>
          <w:rFonts w:hint="eastAsia" w:cs="宋体"/>
          <w:bCs/>
          <w:color w:val="auto"/>
          <w:szCs w:val="21"/>
          <w:highlight w:val="none"/>
        </w:rPr>
        <w:t xml:space="preserve">   缴付日期</w:t>
      </w:r>
      <w:bookmarkEnd w:id="50"/>
      <w:bookmarkEnd w:id="51"/>
    </w:p>
    <w:p w14:paraId="49EFD938">
      <w:pPr>
        <w:spacing w:line="400" w:lineRule="exact"/>
        <w:ind w:firstLine="420" w:firstLineChars="200"/>
        <w:rPr>
          <w:rFonts w:hint="eastAsia" w:cs="宋体"/>
          <w:bCs/>
          <w:color w:val="auto"/>
          <w:szCs w:val="21"/>
          <w:highlight w:val="none"/>
        </w:rPr>
      </w:pPr>
      <w:bookmarkStart w:id="52" w:name="_Toc14072"/>
      <w:bookmarkStart w:id="53" w:name="_Toc1142"/>
      <w:r>
        <w:rPr>
          <w:rFonts w:hint="eastAsia" w:cs="宋体"/>
          <w:bCs/>
          <w:color w:val="auto"/>
          <w:szCs w:val="21"/>
          <w:highlight w:val="none"/>
        </w:rPr>
        <w:t xml:space="preserve">第一期          </w:t>
      </w:r>
      <w:r>
        <w:rPr>
          <w:rFonts w:hint="eastAsia" w:cs="宋体"/>
          <w:bCs/>
          <w:color w:val="auto"/>
          <w:szCs w:val="21"/>
          <w:highlight w:val="none"/>
          <w:lang w:val="en-US" w:eastAsia="zh-CN"/>
        </w:rPr>
        <w:t>60</w:t>
      </w:r>
      <w:r>
        <w:rPr>
          <w:rFonts w:hint="eastAsia" w:cs="宋体"/>
          <w:bCs/>
          <w:color w:val="auto"/>
          <w:szCs w:val="21"/>
          <w:highlight w:val="none"/>
        </w:rPr>
        <w:t xml:space="preserve">%     </w:t>
      </w:r>
      <w:bookmarkEnd w:id="52"/>
      <w:bookmarkEnd w:id="53"/>
      <w:r>
        <w:rPr>
          <w:rFonts w:hint="eastAsia" w:cs="宋体"/>
          <w:bCs/>
          <w:color w:val="auto"/>
          <w:szCs w:val="21"/>
          <w:highlight w:val="none"/>
          <w:lang w:val="en-US" w:eastAsia="zh-CN"/>
        </w:rPr>
        <w:t xml:space="preserve">     </w:t>
      </w:r>
      <w:r>
        <w:rPr>
          <w:rFonts w:hint="eastAsia" w:cs="宋体"/>
          <w:bCs/>
          <w:color w:val="auto"/>
          <w:szCs w:val="21"/>
          <w:highlight w:val="none"/>
        </w:rPr>
        <w:t>收到正式保单后30个工作日内</w:t>
      </w:r>
      <w:r>
        <w:rPr>
          <w:rFonts w:hint="eastAsia" w:cs="宋体"/>
          <w:bCs/>
          <w:color w:val="auto"/>
          <w:szCs w:val="21"/>
          <w:highlight w:val="none"/>
          <w:lang w:val="en-US" w:eastAsia="zh-CN"/>
        </w:rPr>
        <w:t>支付完成</w:t>
      </w:r>
      <w:r>
        <w:rPr>
          <w:rFonts w:hint="eastAsia" w:cs="宋体"/>
          <w:bCs/>
          <w:color w:val="auto"/>
          <w:szCs w:val="21"/>
          <w:highlight w:val="none"/>
        </w:rPr>
        <w:t>保</w:t>
      </w:r>
      <w:r>
        <w:rPr>
          <w:rFonts w:hint="eastAsia" w:cs="宋体"/>
          <w:bCs/>
          <w:color w:val="auto"/>
          <w:szCs w:val="21"/>
          <w:highlight w:val="none"/>
          <w:lang w:val="en-US" w:eastAsia="zh-CN"/>
        </w:rPr>
        <w:t>险</w:t>
      </w:r>
      <w:r>
        <w:rPr>
          <w:rFonts w:hint="eastAsia" w:cs="宋体"/>
          <w:bCs/>
          <w:color w:val="auto"/>
          <w:szCs w:val="21"/>
          <w:highlight w:val="none"/>
        </w:rPr>
        <w:t>费</w:t>
      </w:r>
    </w:p>
    <w:p w14:paraId="4EC18D39">
      <w:pPr>
        <w:pStyle w:val="48"/>
        <w:ind w:firstLine="420" w:firstLineChars="200"/>
        <w:jc w:val="both"/>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第二期          30%          2025年10月31日前支付完成保险费</w:t>
      </w:r>
    </w:p>
    <w:p w14:paraId="20A1B7BF">
      <w:pPr>
        <w:spacing w:line="400" w:lineRule="exact"/>
        <w:ind w:firstLine="420" w:firstLineChars="200"/>
        <w:rPr>
          <w:rFonts w:hint="eastAsia" w:cs="宋体"/>
          <w:bCs/>
          <w:color w:val="auto"/>
          <w:szCs w:val="21"/>
          <w:highlight w:val="none"/>
          <w:lang w:val="en-US" w:eastAsia="zh-CN"/>
        </w:rPr>
      </w:pPr>
      <w:r>
        <w:rPr>
          <w:rFonts w:hint="eastAsia" w:ascii="宋体" w:hAnsi="宋体" w:eastAsia="宋体" w:cs="宋体"/>
          <w:bCs/>
          <w:color w:val="auto"/>
          <w:kern w:val="0"/>
          <w:sz w:val="21"/>
          <w:szCs w:val="21"/>
          <w:highlight w:val="none"/>
          <w:lang w:val="en-US" w:eastAsia="zh-CN" w:bidi="ar-SA"/>
        </w:rPr>
        <w:t>第三期          10%          本工程竣工验收合格之日起30天内完成支付</w:t>
      </w:r>
    </w:p>
    <w:p w14:paraId="77224CED">
      <w:pPr>
        <w:pStyle w:val="4"/>
        <w:spacing w:before="156" w:after="156"/>
        <w:rPr>
          <w:rFonts w:hint="eastAsia"/>
          <w:color w:val="auto"/>
          <w:sz w:val="24"/>
          <w:szCs w:val="24"/>
          <w:highlight w:val="none"/>
        </w:rPr>
      </w:pPr>
      <w:r>
        <w:rPr>
          <w:rFonts w:hint="eastAsia"/>
          <w:color w:val="auto"/>
          <w:sz w:val="24"/>
          <w:szCs w:val="24"/>
          <w:highlight w:val="none"/>
        </w:rPr>
        <w:t>十五、主条款</w:t>
      </w:r>
      <w:r>
        <w:rPr>
          <w:rFonts w:hint="eastAsia"/>
          <w:color w:val="auto"/>
          <w:sz w:val="24"/>
          <w:szCs w:val="24"/>
          <w:highlight w:val="none"/>
          <w:lang w:val="en-US" w:eastAsia="zh-CN"/>
        </w:rPr>
        <w:t>样</w:t>
      </w:r>
      <w:r>
        <w:rPr>
          <w:rFonts w:hint="eastAsia"/>
          <w:color w:val="auto"/>
          <w:sz w:val="24"/>
          <w:szCs w:val="24"/>
          <w:highlight w:val="none"/>
        </w:rPr>
        <w:t>本：</w:t>
      </w:r>
    </w:p>
    <w:p w14:paraId="062F07A1">
      <w:pPr>
        <w:spacing w:line="400" w:lineRule="exact"/>
        <w:ind w:firstLine="420" w:firstLineChars="200"/>
        <w:rPr>
          <w:rFonts w:hint="eastAsia" w:eastAsia="宋体" w:cs="宋体"/>
          <w:bCs/>
          <w:color w:val="auto"/>
          <w:szCs w:val="21"/>
          <w:highlight w:val="none"/>
          <w:lang w:eastAsia="zh-CN"/>
        </w:rPr>
      </w:pPr>
      <w:r>
        <w:rPr>
          <w:rFonts w:hint="eastAsia" w:cs="宋体"/>
          <w:bCs/>
          <w:color w:val="auto"/>
          <w:szCs w:val="21"/>
          <w:highlight w:val="none"/>
          <w:lang w:val="en-US" w:eastAsia="zh-CN"/>
        </w:rPr>
        <w:t xml:space="preserve"> **</w:t>
      </w:r>
      <w:r>
        <w:rPr>
          <w:rFonts w:hint="eastAsia" w:cs="宋体"/>
          <w:bCs/>
          <w:color w:val="auto"/>
          <w:szCs w:val="21"/>
          <w:highlight w:val="none"/>
        </w:rPr>
        <w:t>财产保险股份有限公司</w:t>
      </w:r>
      <w:r>
        <w:rPr>
          <w:rFonts w:hint="eastAsia" w:cs="宋体"/>
          <w:bCs/>
          <w:color w:val="auto"/>
          <w:szCs w:val="21"/>
          <w:highlight w:val="none"/>
          <w:lang w:eastAsia="zh-CN"/>
        </w:rPr>
        <w:t>建筑工程一切险</w:t>
      </w:r>
      <w:r>
        <w:rPr>
          <w:rFonts w:hint="eastAsia" w:cs="宋体"/>
          <w:bCs/>
          <w:color w:val="auto"/>
          <w:szCs w:val="21"/>
          <w:highlight w:val="none"/>
        </w:rPr>
        <w:t>条款（2009版）</w:t>
      </w:r>
      <w:r>
        <w:rPr>
          <w:rFonts w:hint="eastAsia" w:cs="宋体"/>
          <w:bCs/>
          <w:color w:val="auto"/>
          <w:szCs w:val="21"/>
          <w:highlight w:val="none"/>
          <w:lang w:eastAsia="zh-CN"/>
        </w:rPr>
        <w:t>、</w:t>
      </w:r>
      <w:r>
        <w:rPr>
          <w:rFonts w:ascii="宋体" w:hAnsi="宋体" w:eastAsia="宋体" w:cs="Times New Roman"/>
          <w:bCs/>
          <w:color w:val="auto"/>
          <w:szCs w:val="21"/>
          <w:highlight w:val="none"/>
        </w:rPr>
        <w:t>安全生产责任险条款</w:t>
      </w:r>
    </w:p>
    <w:p w14:paraId="4401B4DD">
      <w:pPr>
        <w:pStyle w:val="4"/>
        <w:spacing w:before="156" w:after="156"/>
        <w:rPr>
          <w:rFonts w:hint="eastAsia"/>
          <w:color w:val="auto"/>
          <w:sz w:val="24"/>
          <w:szCs w:val="24"/>
          <w:highlight w:val="none"/>
        </w:rPr>
      </w:pPr>
      <w:r>
        <w:rPr>
          <w:rFonts w:hint="eastAsia"/>
          <w:color w:val="auto"/>
          <w:sz w:val="24"/>
          <w:szCs w:val="24"/>
          <w:highlight w:val="none"/>
          <w:lang w:val="en-US" w:eastAsia="zh-CN"/>
        </w:rPr>
        <w:t>十六、</w:t>
      </w:r>
      <w:r>
        <w:rPr>
          <w:rFonts w:hint="eastAsia"/>
          <w:color w:val="auto"/>
          <w:sz w:val="24"/>
          <w:szCs w:val="24"/>
          <w:highlight w:val="none"/>
        </w:rPr>
        <w:t>扩展条款：</w:t>
      </w:r>
    </w:p>
    <w:p w14:paraId="311A4868">
      <w:pPr>
        <w:numPr>
          <w:ilvl w:val="0"/>
          <w:numId w:val="0"/>
        </w:numPr>
        <w:ind w:firstLine="420" w:firstLineChars="200"/>
        <w:rPr>
          <w:rFonts w:hint="default"/>
          <w:b/>
          <w:bCs/>
          <w:color w:val="auto"/>
          <w:sz w:val="21"/>
          <w:szCs w:val="21"/>
          <w:highlight w:val="none"/>
          <w:lang w:val="en-US" w:eastAsia="zh-CN"/>
        </w:rPr>
      </w:pPr>
      <w:r>
        <w:rPr>
          <w:rFonts w:hint="eastAsia"/>
          <w:b/>
          <w:bCs/>
          <w:color w:val="auto"/>
          <w:sz w:val="21"/>
          <w:szCs w:val="21"/>
          <w:highlight w:val="none"/>
          <w:lang w:val="en-US" w:eastAsia="zh-CN"/>
        </w:rPr>
        <w:t>一、建筑工程一切险扩展条款</w:t>
      </w:r>
    </w:p>
    <w:p w14:paraId="208C6B10">
      <w:pPr>
        <w:widowControl/>
        <w:numPr>
          <w:ilvl w:val="0"/>
          <w:numId w:val="14"/>
        </w:numPr>
        <w:spacing w:line="360" w:lineRule="auto"/>
        <w:jc w:val="left"/>
        <w:rPr>
          <w:rFonts w:hint="eastAsia" w:eastAsia="宋体" w:cs="宋体"/>
          <w:bCs/>
          <w:color w:val="auto"/>
          <w:sz w:val="21"/>
          <w:szCs w:val="21"/>
          <w:highlight w:val="none"/>
        </w:rPr>
      </w:pPr>
      <w:r>
        <w:rPr>
          <w:rFonts w:hint="eastAsia" w:eastAsia="宋体" w:cs="宋体"/>
          <w:bCs/>
          <w:color w:val="auto"/>
          <w:sz w:val="21"/>
          <w:szCs w:val="21"/>
          <w:highlight w:val="none"/>
        </w:rPr>
        <w:t>工程完工部分扩展条款</w:t>
      </w:r>
    </w:p>
    <w:p w14:paraId="3942A788">
      <w:pPr>
        <w:widowControl/>
        <w:numPr>
          <w:ilvl w:val="0"/>
          <w:numId w:val="14"/>
        </w:numPr>
        <w:spacing w:line="360" w:lineRule="auto"/>
        <w:jc w:val="left"/>
        <w:rPr>
          <w:rFonts w:hint="eastAsia" w:eastAsia="宋体" w:cs="宋体"/>
          <w:bCs/>
          <w:color w:val="auto"/>
          <w:sz w:val="21"/>
          <w:szCs w:val="21"/>
          <w:highlight w:val="none"/>
        </w:rPr>
      </w:pPr>
      <w:r>
        <w:rPr>
          <w:rFonts w:hint="eastAsia" w:eastAsia="宋体" w:cs="宋体"/>
          <w:bCs/>
          <w:color w:val="auto"/>
          <w:sz w:val="21"/>
          <w:szCs w:val="21"/>
          <w:highlight w:val="none"/>
        </w:rPr>
        <w:t>清理费用扩展条款（每次事故赔偿限额：1000万元）</w:t>
      </w:r>
    </w:p>
    <w:p w14:paraId="05B64469">
      <w:pPr>
        <w:widowControl/>
        <w:numPr>
          <w:ilvl w:val="0"/>
          <w:numId w:val="14"/>
        </w:numPr>
        <w:spacing w:line="360" w:lineRule="auto"/>
        <w:jc w:val="left"/>
        <w:rPr>
          <w:rFonts w:hint="eastAsia" w:eastAsia="宋体" w:cs="宋体"/>
          <w:bCs/>
          <w:color w:val="auto"/>
          <w:sz w:val="21"/>
          <w:szCs w:val="21"/>
          <w:highlight w:val="none"/>
        </w:rPr>
      </w:pPr>
      <w:r>
        <w:rPr>
          <w:rFonts w:hint="eastAsia" w:eastAsia="宋体" w:cs="宋体"/>
          <w:bCs/>
          <w:color w:val="auto"/>
          <w:sz w:val="21"/>
          <w:szCs w:val="21"/>
          <w:highlight w:val="none"/>
        </w:rPr>
        <w:t>专业费用特别条款（每次事故赔偿限额：500万元）</w:t>
      </w:r>
    </w:p>
    <w:p w14:paraId="2667E0B5">
      <w:pPr>
        <w:widowControl/>
        <w:numPr>
          <w:ilvl w:val="0"/>
          <w:numId w:val="14"/>
        </w:numPr>
        <w:spacing w:line="360" w:lineRule="auto"/>
        <w:jc w:val="left"/>
        <w:rPr>
          <w:rFonts w:hint="eastAsia" w:eastAsia="宋体" w:cs="宋体"/>
          <w:bCs/>
          <w:color w:val="auto"/>
          <w:sz w:val="21"/>
          <w:szCs w:val="21"/>
          <w:highlight w:val="none"/>
        </w:rPr>
      </w:pPr>
      <w:r>
        <w:rPr>
          <w:rFonts w:hint="eastAsia" w:eastAsia="宋体" w:cs="宋体"/>
          <w:bCs/>
          <w:color w:val="auto"/>
          <w:sz w:val="21"/>
          <w:szCs w:val="21"/>
          <w:highlight w:val="none"/>
        </w:rPr>
        <w:t>特别费用扩展条款（每次事故赔偿限额：500万元）</w:t>
      </w:r>
    </w:p>
    <w:p w14:paraId="775D20EC">
      <w:pPr>
        <w:widowControl/>
        <w:numPr>
          <w:ilvl w:val="0"/>
          <w:numId w:val="14"/>
        </w:numPr>
        <w:spacing w:line="360" w:lineRule="auto"/>
        <w:jc w:val="left"/>
        <w:rPr>
          <w:rFonts w:hint="eastAsia" w:eastAsia="宋体" w:cs="宋体"/>
          <w:bCs/>
          <w:color w:val="auto"/>
          <w:sz w:val="21"/>
          <w:szCs w:val="21"/>
          <w:highlight w:val="none"/>
        </w:rPr>
      </w:pPr>
      <w:r>
        <w:rPr>
          <w:rFonts w:hint="eastAsia" w:eastAsia="宋体" w:cs="宋体"/>
          <w:bCs/>
          <w:color w:val="auto"/>
          <w:sz w:val="21"/>
          <w:szCs w:val="21"/>
          <w:highlight w:val="none"/>
        </w:rPr>
        <w:t>管理费用条款（每次事故赔偿限额：500万元）</w:t>
      </w:r>
    </w:p>
    <w:p w14:paraId="69DC3F3F">
      <w:pPr>
        <w:widowControl/>
        <w:numPr>
          <w:ilvl w:val="0"/>
          <w:numId w:val="14"/>
        </w:numPr>
        <w:spacing w:line="360" w:lineRule="auto"/>
        <w:jc w:val="left"/>
        <w:rPr>
          <w:rFonts w:hint="eastAsia" w:eastAsia="宋体" w:cs="宋体"/>
          <w:bCs/>
          <w:color w:val="auto"/>
          <w:sz w:val="21"/>
          <w:szCs w:val="21"/>
          <w:highlight w:val="none"/>
        </w:rPr>
      </w:pPr>
      <w:r>
        <w:rPr>
          <w:rFonts w:hint="eastAsia" w:eastAsia="宋体" w:cs="宋体"/>
          <w:bCs/>
          <w:color w:val="auto"/>
          <w:sz w:val="21"/>
          <w:szCs w:val="21"/>
          <w:highlight w:val="none"/>
        </w:rPr>
        <w:t>灭火费用扩展条款B（每次事故赔偿限额：500万元）</w:t>
      </w:r>
    </w:p>
    <w:p w14:paraId="3F34E7CD">
      <w:pPr>
        <w:widowControl/>
        <w:numPr>
          <w:ilvl w:val="0"/>
          <w:numId w:val="14"/>
        </w:numPr>
        <w:spacing w:line="360" w:lineRule="auto"/>
        <w:jc w:val="left"/>
        <w:rPr>
          <w:rFonts w:hint="eastAsia" w:eastAsia="宋体" w:cs="宋体"/>
          <w:bCs/>
          <w:color w:val="auto"/>
          <w:sz w:val="21"/>
          <w:szCs w:val="21"/>
          <w:highlight w:val="none"/>
        </w:rPr>
      </w:pPr>
      <w:r>
        <w:rPr>
          <w:rFonts w:hint="eastAsia" w:eastAsia="宋体" w:cs="宋体"/>
          <w:bCs/>
          <w:color w:val="auto"/>
          <w:sz w:val="21"/>
          <w:szCs w:val="21"/>
          <w:highlight w:val="none"/>
        </w:rPr>
        <w:t>保险金额及保险费调整条款</w:t>
      </w:r>
    </w:p>
    <w:p w14:paraId="14D59836">
      <w:pPr>
        <w:widowControl/>
        <w:numPr>
          <w:ilvl w:val="0"/>
          <w:numId w:val="14"/>
        </w:numPr>
        <w:spacing w:line="360" w:lineRule="auto"/>
        <w:jc w:val="left"/>
        <w:rPr>
          <w:rFonts w:hint="eastAsia" w:eastAsia="宋体" w:cs="宋体"/>
          <w:bCs/>
          <w:color w:val="auto"/>
          <w:sz w:val="21"/>
          <w:szCs w:val="21"/>
          <w:highlight w:val="none"/>
        </w:rPr>
      </w:pPr>
      <w:r>
        <w:rPr>
          <w:rFonts w:hint="eastAsia" w:eastAsia="宋体" w:cs="宋体"/>
          <w:bCs/>
          <w:color w:val="auto"/>
          <w:sz w:val="21"/>
          <w:szCs w:val="21"/>
          <w:highlight w:val="none"/>
        </w:rPr>
        <w:t>工程图纸、文件特别条款（每次赔偿限额：200万元）</w:t>
      </w:r>
    </w:p>
    <w:p w14:paraId="12610C59">
      <w:pPr>
        <w:widowControl/>
        <w:numPr>
          <w:ilvl w:val="0"/>
          <w:numId w:val="14"/>
        </w:numPr>
        <w:spacing w:line="360" w:lineRule="auto"/>
        <w:jc w:val="left"/>
        <w:rPr>
          <w:rFonts w:hint="eastAsia" w:eastAsia="宋体" w:cs="宋体"/>
          <w:bCs/>
          <w:color w:val="auto"/>
          <w:sz w:val="21"/>
          <w:szCs w:val="21"/>
          <w:highlight w:val="none"/>
        </w:rPr>
      </w:pPr>
      <w:r>
        <w:rPr>
          <w:rFonts w:hint="eastAsia" w:eastAsia="宋体" w:cs="宋体"/>
          <w:bCs/>
          <w:color w:val="auto"/>
          <w:sz w:val="21"/>
          <w:szCs w:val="21"/>
          <w:highlight w:val="none"/>
        </w:rPr>
        <w:t>工地外储存物特别条款（每次事故赔偿限额：</w:t>
      </w:r>
      <w:r>
        <w:rPr>
          <w:rFonts w:hint="eastAsia" w:eastAsia="宋体" w:cs="宋体"/>
          <w:bCs/>
          <w:color w:val="auto"/>
          <w:sz w:val="21"/>
          <w:szCs w:val="21"/>
          <w:highlight w:val="none"/>
          <w:lang w:val="en-US" w:eastAsia="zh-CN"/>
        </w:rPr>
        <w:t>5</w:t>
      </w:r>
      <w:r>
        <w:rPr>
          <w:rFonts w:hint="eastAsia" w:eastAsia="宋体" w:cs="宋体"/>
          <w:bCs/>
          <w:color w:val="auto"/>
          <w:sz w:val="21"/>
          <w:szCs w:val="21"/>
          <w:highlight w:val="none"/>
        </w:rPr>
        <w:t>00万元，累计赔偿限额：</w:t>
      </w:r>
      <w:r>
        <w:rPr>
          <w:rFonts w:hint="eastAsia" w:eastAsia="宋体" w:cs="宋体"/>
          <w:bCs/>
          <w:color w:val="auto"/>
          <w:sz w:val="21"/>
          <w:szCs w:val="21"/>
          <w:highlight w:val="none"/>
          <w:lang w:val="en-US" w:eastAsia="zh-CN"/>
        </w:rPr>
        <w:t>1</w:t>
      </w:r>
      <w:r>
        <w:rPr>
          <w:rFonts w:hint="eastAsia" w:eastAsia="宋体" w:cs="宋体"/>
          <w:bCs/>
          <w:color w:val="auto"/>
          <w:sz w:val="21"/>
          <w:szCs w:val="21"/>
          <w:highlight w:val="none"/>
        </w:rPr>
        <w:t>000万元）</w:t>
      </w:r>
    </w:p>
    <w:p w14:paraId="3F7E8E99">
      <w:pPr>
        <w:widowControl/>
        <w:numPr>
          <w:ilvl w:val="0"/>
          <w:numId w:val="14"/>
        </w:numPr>
        <w:spacing w:line="360" w:lineRule="auto"/>
        <w:jc w:val="left"/>
        <w:rPr>
          <w:rFonts w:hint="eastAsia" w:eastAsia="宋体" w:cs="宋体"/>
          <w:bCs/>
          <w:color w:val="auto"/>
          <w:sz w:val="21"/>
          <w:szCs w:val="21"/>
          <w:highlight w:val="none"/>
        </w:rPr>
      </w:pPr>
      <w:r>
        <w:rPr>
          <w:rFonts w:hint="eastAsia" w:eastAsia="宋体" w:cs="宋体"/>
          <w:bCs/>
          <w:color w:val="auto"/>
          <w:sz w:val="21"/>
          <w:szCs w:val="21"/>
          <w:highlight w:val="none"/>
        </w:rPr>
        <w:t>运输险、工程险责任分摊条款（50/50条款）</w:t>
      </w:r>
    </w:p>
    <w:p w14:paraId="1267131B">
      <w:pPr>
        <w:widowControl/>
        <w:numPr>
          <w:ilvl w:val="0"/>
          <w:numId w:val="14"/>
        </w:numPr>
        <w:spacing w:line="360" w:lineRule="auto"/>
        <w:jc w:val="left"/>
        <w:rPr>
          <w:rFonts w:hint="eastAsia" w:eastAsia="宋体" w:cs="宋体"/>
          <w:bCs/>
          <w:color w:val="auto"/>
          <w:sz w:val="21"/>
          <w:szCs w:val="21"/>
          <w:highlight w:val="none"/>
        </w:rPr>
      </w:pPr>
      <w:r>
        <w:rPr>
          <w:rFonts w:hint="eastAsia" w:eastAsia="宋体" w:cs="宋体"/>
          <w:bCs/>
          <w:color w:val="auto"/>
          <w:sz w:val="21"/>
          <w:szCs w:val="21"/>
          <w:highlight w:val="none"/>
        </w:rPr>
        <w:t>内陆运输扩展条款（每次事故赔偿限额：1,000万元）</w:t>
      </w:r>
    </w:p>
    <w:p w14:paraId="11799C38">
      <w:pPr>
        <w:widowControl/>
        <w:numPr>
          <w:ilvl w:val="0"/>
          <w:numId w:val="14"/>
        </w:numPr>
        <w:spacing w:line="360" w:lineRule="auto"/>
        <w:jc w:val="left"/>
        <w:rPr>
          <w:rFonts w:hint="eastAsia" w:eastAsia="宋体" w:cs="宋体"/>
          <w:bCs/>
          <w:color w:val="auto"/>
          <w:sz w:val="21"/>
          <w:szCs w:val="21"/>
          <w:highlight w:val="none"/>
        </w:rPr>
      </w:pPr>
      <w:r>
        <w:rPr>
          <w:rFonts w:hint="eastAsia" w:eastAsia="宋体" w:cs="宋体"/>
          <w:bCs/>
          <w:color w:val="auto"/>
          <w:sz w:val="21"/>
          <w:szCs w:val="21"/>
          <w:highlight w:val="none"/>
        </w:rPr>
        <w:t>场外制造条款</w:t>
      </w:r>
    </w:p>
    <w:p w14:paraId="6D40307C">
      <w:pPr>
        <w:widowControl/>
        <w:numPr>
          <w:ilvl w:val="0"/>
          <w:numId w:val="14"/>
        </w:numPr>
        <w:spacing w:line="360" w:lineRule="auto"/>
        <w:jc w:val="left"/>
        <w:rPr>
          <w:rFonts w:hint="eastAsia"/>
          <w:color w:val="auto"/>
          <w:highlight w:val="none"/>
        </w:rPr>
      </w:pPr>
      <w:r>
        <w:rPr>
          <w:rFonts w:hint="eastAsia" w:eastAsia="宋体" w:cs="宋体"/>
          <w:bCs/>
          <w:color w:val="auto"/>
          <w:sz w:val="21"/>
          <w:szCs w:val="21"/>
          <w:highlight w:val="none"/>
        </w:rPr>
        <w:t>工地外修理或修改条款</w:t>
      </w:r>
    </w:p>
    <w:p w14:paraId="6F914391">
      <w:pPr>
        <w:widowControl/>
        <w:numPr>
          <w:ilvl w:val="0"/>
          <w:numId w:val="14"/>
        </w:numPr>
        <w:spacing w:line="360" w:lineRule="auto"/>
        <w:jc w:val="left"/>
        <w:rPr>
          <w:rFonts w:hint="eastAsia" w:eastAsia="宋体" w:cs="宋体"/>
          <w:bCs/>
          <w:color w:val="auto"/>
          <w:sz w:val="21"/>
          <w:szCs w:val="21"/>
          <w:highlight w:val="none"/>
        </w:rPr>
      </w:pPr>
      <w:r>
        <w:rPr>
          <w:rFonts w:hint="eastAsia" w:eastAsia="宋体" w:cs="宋体"/>
          <w:bCs/>
          <w:color w:val="auto"/>
          <w:sz w:val="21"/>
          <w:szCs w:val="21"/>
          <w:highlight w:val="none"/>
        </w:rPr>
        <w:t>恶意破坏扩展条款A</w:t>
      </w:r>
    </w:p>
    <w:p w14:paraId="422BFFAC">
      <w:pPr>
        <w:widowControl/>
        <w:numPr>
          <w:ilvl w:val="0"/>
          <w:numId w:val="14"/>
        </w:numPr>
        <w:spacing w:line="360" w:lineRule="auto"/>
        <w:jc w:val="left"/>
        <w:rPr>
          <w:rFonts w:hint="eastAsia" w:eastAsia="宋体" w:cs="宋体"/>
          <w:bCs/>
          <w:color w:val="auto"/>
          <w:sz w:val="21"/>
          <w:szCs w:val="21"/>
          <w:highlight w:val="none"/>
        </w:rPr>
      </w:pPr>
      <w:r>
        <w:rPr>
          <w:rFonts w:hint="eastAsia" w:eastAsia="宋体" w:cs="宋体"/>
          <w:bCs/>
          <w:color w:val="auto"/>
          <w:sz w:val="21"/>
          <w:szCs w:val="21"/>
          <w:highlight w:val="none"/>
        </w:rPr>
        <w:t>停工损失扩展条款</w:t>
      </w:r>
    </w:p>
    <w:p w14:paraId="06107F8D">
      <w:pPr>
        <w:widowControl/>
        <w:numPr>
          <w:ilvl w:val="0"/>
          <w:numId w:val="14"/>
        </w:numPr>
        <w:spacing w:line="360" w:lineRule="auto"/>
        <w:jc w:val="left"/>
        <w:rPr>
          <w:rFonts w:hint="eastAsia" w:eastAsia="宋体" w:cs="宋体"/>
          <w:bCs/>
          <w:color w:val="auto"/>
          <w:sz w:val="21"/>
          <w:szCs w:val="21"/>
          <w:highlight w:val="none"/>
        </w:rPr>
      </w:pPr>
      <w:r>
        <w:rPr>
          <w:rFonts w:hint="eastAsia" w:eastAsia="宋体" w:cs="宋体"/>
          <w:bCs/>
          <w:color w:val="auto"/>
          <w:sz w:val="21"/>
          <w:szCs w:val="21"/>
          <w:highlight w:val="none"/>
        </w:rPr>
        <w:t>保护现场条款</w:t>
      </w:r>
    </w:p>
    <w:p w14:paraId="4CFB930F">
      <w:pPr>
        <w:widowControl/>
        <w:numPr>
          <w:ilvl w:val="0"/>
          <w:numId w:val="14"/>
        </w:numPr>
        <w:spacing w:line="360" w:lineRule="auto"/>
        <w:jc w:val="left"/>
        <w:rPr>
          <w:rFonts w:hint="eastAsia" w:eastAsia="宋体" w:cs="宋体"/>
          <w:bCs/>
          <w:color w:val="auto"/>
          <w:sz w:val="21"/>
          <w:szCs w:val="21"/>
          <w:highlight w:val="none"/>
        </w:rPr>
      </w:pPr>
      <w:r>
        <w:rPr>
          <w:rFonts w:hint="eastAsia" w:eastAsia="宋体" w:cs="宋体"/>
          <w:bCs/>
          <w:color w:val="auto"/>
          <w:sz w:val="21"/>
          <w:szCs w:val="21"/>
          <w:highlight w:val="none"/>
        </w:rPr>
        <w:t>公共当局扩展条款B</w:t>
      </w:r>
    </w:p>
    <w:p w14:paraId="0B9B1BA0">
      <w:pPr>
        <w:widowControl/>
        <w:numPr>
          <w:ilvl w:val="0"/>
          <w:numId w:val="14"/>
        </w:numPr>
        <w:spacing w:line="360" w:lineRule="auto"/>
        <w:jc w:val="left"/>
        <w:rPr>
          <w:rFonts w:hint="eastAsia" w:eastAsia="宋体" w:cs="宋体"/>
          <w:bCs/>
          <w:color w:val="auto"/>
          <w:sz w:val="21"/>
          <w:szCs w:val="21"/>
          <w:highlight w:val="none"/>
        </w:rPr>
      </w:pPr>
      <w:r>
        <w:rPr>
          <w:rFonts w:hint="eastAsia" w:eastAsia="宋体" w:cs="宋体"/>
          <w:bCs/>
          <w:color w:val="auto"/>
          <w:sz w:val="21"/>
          <w:szCs w:val="21"/>
          <w:highlight w:val="none"/>
        </w:rPr>
        <w:t>保险双方不得单方中止/终止合同条款</w:t>
      </w:r>
    </w:p>
    <w:p w14:paraId="19543C78">
      <w:pPr>
        <w:widowControl/>
        <w:numPr>
          <w:ilvl w:val="0"/>
          <w:numId w:val="14"/>
        </w:numPr>
        <w:spacing w:line="360" w:lineRule="auto"/>
        <w:jc w:val="left"/>
        <w:rPr>
          <w:rFonts w:hint="eastAsia" w:eastAsia="宋体" w:cs="宋体"/>
          <w:bCs/>
          <w:color w:val="auto"/>
          <w:sz w:val="21"/>
          <w:szCs w:val="21"/>
          <w:highlight w:val="none"/>
        </w:rPr>
      </w:pPr>
      <w:r>
        <w:rPr>
          <w:rFonts w:hint="eastAsia" w:eastAsia="宋体" w:cs="宋体"/>
          <w:bCs/>
          <w:color w:val="auto"/>
          <w:sz w:val="21"/>
          <w:szCs w:val="21"/>
          <w:highlight w:val="none"/>
        </w:rPr>
        <w:t>错误和遗漏条款A</w:t>
      </w:r>
    </w:p>
    <w:p w14:paraId="74C8A58A">
      <w:pPr>
        <w:widowControl/>
        <w:numPr>
          <w:ilvl w:val="0"/>
          <w:numId w:val="14"/>
        </w:numPr>
        <w:spacing w:line="360" w:lineRule="auto"/>
        <w:jc w:val="left"/>
        <w:rPr>
          <w:rFonts w:hint="eastAsia" w:eastAsia="宋体" w:cs="宋体"/>
          <w:bCs/>
          <w:color w:val="auto"/>
          <w:sz w:val="21"/>
          <w:szCs w:val="21"/>
          <w:highlight w:val="none"/>
        </w:rPr>
      </w:pPr>
      <w:r>
        <w:rPr>
          <w:rFonts w:hint="eastAsia" w:eastAsia="宋体" w:cs="宋体"/>
          <w:bCs/>
          <w:color w:val="auto"/>
          <w:sz w:val="21"/>
          <w:szCs w:val="21"/>
          <w:highlight w:val="none"/>
        </w:rPr>
        <w:t>违反条件条款</w:t>
      </w:r>
      <w:r>
        <w:rPr>
          <w:rFonts w:hint="eastAsia" w:eastAsia="宋体" w:cs="宋体"/>
          <w:bCs/>
          <w:color w:val="auto"/>
          <w:sz w:val="21"/>
          <w:szCs w:val="21"/>
          <w:highlight w:val="none"/>
        </w:rPr>
        <w:tab/>
      </w:r>
    </w:p>
    <w:p w14:paraId="2F2A9A0D">
      <w:pPr>
        <w:widowControl/>
        <w:numPr>
          <w:ilvl w:val="0"/>
          <w:numId w:val="14"/>
        </w:numPr>
        <w:spacing w:line="360" w:lineRule="auto"/>
        <w:jc w:val="left"/>
        <w:rPr>
          <w:rFonts w:hint="eastAsia" w:eastAsia="宋体" w:cs="宋体"/>
          <w:bCs/>
          <w:color w:val="auto"/>
          <w:sz w:val="21"/>
          <w:szCs w:val="21"/>
          <w:highlight w:val="none"/>
        </w:rPr>
      </w:pPr>
      <w:r>
        <w:rPr>
          <w:rFonts w:hint="eastAsia" w:eastAsia="宋体" w:cs="宋体"/>
          <w:bCs/>
          <w:color w:val="auto"/>
          <w:sz w:val="21"/>
          <w:szCs w:val="21"/>
          <w:highlight w:val="none"/>
        </w:rPr>
        <w:t>连续损失特别条款</w:t>
      </w:r>
      <w:r>
        <w:rPr>
          <w:rFonts w:hint="eastAsia" w:eastAsia="宋体" w:cs="宋体"/>
          <w:bCs/>
          <w:color w:val="auto"/>
          <w:sz w:val="21"/>
          <w:szCs w:val="21"/>
          <w:highlight w:val="none"/>
        </w:rPr>
        <w:tab/>
      </w:r>
    </w:p>
    <w:p w14:paraId="053CB3E0">
      <w:pPr>
        <w:widowControl/>
        <w:numPr>
          <w:ilvl w:val="0"/>
          <w:numId w:val="14"/>
        </w:numPr>
        <w:spacing w:line="360" w:lineRule="auto"/>
        <w:jc w:val="left"/>
        <w:rPr>
          <w:rFonts w:hint="eastAsia" w:eastAsia="宋体" w:cs="宋体"/>
          <w:bCs/>
          <w:color w:val="auto"/>
          <w:sz w:val="21"/>
          <w:szCs w:val="21"/>
          <w:highlight w:val="none"/>
        </w:rPr>
      </w:pPr>
      <w:r>
        <w:rPr>
          <w:rFonts w:hint="eastAsia" w:eastAsia="宋体" w:cs="宋体"/>
          <w:bCs/>
          <w:color w:val="auto"/>
          <w:sz w:val="21"/>
          <w:szCs w:val="21"/>
          <w:highlight w:val="none"/>
        </w:rPr>
        <w:t>工地安全和火警安全条款</w:t>
      </w:r>
      <w:r>
        <w:rPr>
          <w:rFonts w:hint="eastAsia" w:eastAsia="宋体" w:cs="宋体"/>
          <w:bCs/>
          <w:color w:val="auto"/>
          <w:sz w:val="21"/>
          <w:szCs w:val="21"/>
          <w:highlight w:val="none"/>
        </w:rPr>
        <w:tab/>
      </w:r>
    </w:p>
    <w:p w14:paraId="44E07E40">
      <w:pPr>
        <w:widowControl/>
        <w:numPr>
          <w:ilvl w:val="0"/>
          <w:numId w:val="14"/>
        </w:numPr>
        <w:spacing w:line="360" w:lineRule="auto"/>
        <w:jc w:val="left"/>
        <w:rPr>
          <w:rFonts w:hint="eastAsia" w:eastAsia="宋体" w:cs="宋体"/>
          <w:bCs/>
          <w:color w:val="auto"/>
          <w:sz w:val="21"/>
          <w:szCs w:val="21"/>
          <w:highlight w:val="none"/>
        </w:rPr>
      </w:pPr>
      <w:r>
        <w:rPr>
          <w:rFonts w:hint="eastAsia" w:eastAsia="宋体" w:cs="宋体"/>
          <w:bCs/>
          <w:color w:val="auto"/>
          <w:sz w:val="21"/>
          <w:szCs w:val="21"/>
          <w:highlight w:val="none"/>
        </w:rPr>
        <w:t>转移至安全地点特别条款</w:t>
      </w:r>
      <w:r>
        <w:rPr>
          <w:rFonts w:hint="eastAsia" w:eastAsia="宋体" w:cs="宋体"/>
          <w:bCs/>
          <w:color w:val="auto"/>
          <w:sz w:val="21"/>
          <w:szCs w:val="21"/>
          <w:highlight w:val="none"/>
        </w:rPr>
        <w:tab/>
      </w:r>
    </w:p>
    <w:p w14:paraId="4DDAA98B">
      <w:pPr>
        <w:widowControl/>
        <w:numPr>
          <w:ilvl w:val="0"/>
          <w:numId w:val="14"/>
        </w:numPr>
        <w:spacing w:line="360" w:lineRule="auto"/>
        <w:jc w:val="left"/>
        <w:rPr>
          <w:rFonts w:hint="eastAsia" w:eastAsia="宋体" w:cs="宋体"/>
          <w:bCs/>
          <w:color w:val="auto"/>
          <w:sz w:val="21"/>
          <w:szCs w:val="21"/>
          <w:highlight w:val="none"/>
        </w:rPr>
      </w:pPr>
      <w:r>
        <w:rPr>
          <w:rFonts w:hint="eastAsia" w:eastAsia="宋体" w:cs="宋体"/>
          <w:bCs/>
          <w:color w:val="auto"/>
          <w:sz w:val="21"/>
          <w:szCs w:val="21"/>
          <w:highlight w:val="none"/>
        </w:rPr>
        <w:t>批单效力条款</w:t>
      </w:r>
      <w:r>
        <w:rPr>
          <w:rFonts w:hint="eastAsia" w:eastAsia="宋体" w:cs="宋体"/>
          <w:bCs/>
          <w:color w:val="auto"/>
          <w:sz w:val="21"/>
          <w:szCs w:val="21"/>
          <w:highlight w:val="none"/>
        </w:rPr>
        <w:tab/>
      </w:r>
    </w:p>
    <w:p w14:paraId="5755DB45">
      <w:pPr>
        <w:widowControl/>
        <w:numPr>
          <w:ilvl w:val="0"/>
          <w:numId w:val="14"/>
        </w:numPr>
        <w:spacing w:line="360" w:lineRule="auto"/>
        <w:jc w:val="left"/>
        <w:rPr>
          <w:rFonts w:hint="eastAsia" w:eastAsia="宋体" w:cs="宋体"/>
          <w:bCs/>
          <w:color w:val="auto"/>
          <w:sz w:val="21"/>
          <w:szCs w:val="21"/>
          <w:highlight w:val="none"/>
        </w:rPr>
      </w:pPr>
      <w:r>
        <w:rPr>
          <w:rFonts w:hint="eastAsia" w:eastAsia="宋体" w:cs="宋体"/>
          <w:bCs/>
          <w:color w:val="auto"/>
          <w:sz w:val="21"/>
          <w:szCs w:val="21"/>
          <w:highlight w:val="none"/>
        </w:rPr>
        <w:t>不使失效条款</w:t>
      </w:r>
      <w:r>
        <w:rPr>
          <w:rFonts w:hint="eastAsia" w:eastAsia="宋体" w:cs="宋体"/>
          <w:bCs/>
          <w:color w:val="auto"/>
          <w:sz w:val="21"/>
          <w:szCs w:val="21"/>
          <w:highlight w:val="none"/>
        </w:rPr>
        <w:tab/>
      </w:r>
      <w:r>
        <w:rPr>
          <w:rFonts w:hint="eastAsia" w:eastAsia="宋体" w:cs="宋体"/>
          <w:bCs/>
          <w:color w:val="auto"/>
          <w:sz w:val="21"/>
          <w:szCs w:val="21"/>
          <w:highlight w:val="none"/>
        </w:rPr>
        <w:tab/>
      </w:r>
    </w:p>
    <w:p w14:paraId="5F546C3F">
      <w:pPr>
        <w:widowControl/>
        <w:numPr>
          <w:ilvl w:val="0"/>
          <w:numId w:val="14"/>
        </w:numPr>
        <w:spacing w:line="360" w:lineRule="auto"/>
        <w:jc w:val="left"/>
        <w:rPr>
          <w:rFonts w:hint="eastAsia" w:eastAsia="宋体" w:cs="宋体"/>
          <w:bCs/>
          <w:color w:val="auto"/>
          <w:sz w:val="21"/>
          <w:szCs w:val="21"/>
          <w:highlight w:val="none"/>
        </w:rPr>
      </w:pPr>
      <w:r>
        <w:rPr>
          <w:rFonts w:hint="eastAsia" w:eastAsia="宋体" w:cs="宋体"/>
          <w:bCs/>
          <w:color w:val="auto"/>
          <w:sz w:val="21"/>
          <w:szCs w:val="21"/>
          <w:highlight w:val="none"/>
        </w:rPr>
        <w:t>自动恢复保额特别条款</w:t>
      </w:r>
      <w:r>
        <w:rPr>
          <w:rFonts w:hint="eastAsia" w:eastAsia="宋体" w:cs="宋体"/>
          <w:bCs/>
          <w:color w:val="auto"/>
          <w:sz w:val="21"/>
          <w:szCs w:val="21"/>
          <w:highlight w:val="none"/>
        </w:rPr>
        <w:tab/>
      </w:r>
      <w:r>
        <w:rPr>
          <w:rFonts w:hint="eastAsia" w:eastAsia="宋体" w:cs="宋体"/>
          <w:bCs/>
          <w:color w:val="auto"/>
          <w:sz w:val="21"/>
          <w:szCs w:val="21"/>
          <w:highlight w:val="none"/>
        </w:rPr>
        <w:tab/>
      </w:r>
      <w:r>
        <w:rPr>
          <w:rFonts w:hint="eastAsia" w:eastAsia="宋体" w:cs="宋体"/>
          <w:bCs/>
          <w:color w:val="auto"/>
          <w:sz w:val="21"/>
          <w:szCs w:val="21"/>
          <w:highlight w:val="none"/>
        </w:rPr>
        <w:tab/>
      </w:r>
    </w:p>
    <w:p w14:paraId="55D74197">
      <w:pPr>
        <w:widowControl/>
        <w:numPr>
          <w:ilvl w:val="0"/>
          <w:numId w:val="14"/>
        </w:numPr>
        <w:spacing w:line="360" w:lineRule="auto"/>
        <w:jc w:val="left"/>
        <w:rPr>
          <w:rFonts w:hint="eastAsia" w:eastAsia="宋体" w:cs="宋体"/>
          <w:bCs/>
          <w:color w:val="auto"/>
          <w:sz w:val="21"/>
          <w:szCs w:val="21"/>
          <w:highlight w:val="none"/>
        </w:rPr>
      </w:pPr>
      <w:r>
        <w:rPr>
          <w:rFonts w:hint="eastAsia" w:eastAsia="宋体" w:cs="宋体"/>
          <w:bCs/>
          <w:color w:val="auto"/>
          <w:sz w:val="21"/>
          <w:szCs w:val="21"/>
          <w:highlight w:val="none"/>
        </w:rPr>
        <w:t>有限责任保证期扩展条款</w:t>
      </w:r>
    </w:p>
    <w:p w14:paraId="6508D365">
      <w:pPr>
        <w:widowControl/>
        <w:numPr>
          <w:ilvl w:val="0"/>
          <w:numId w:val="14"/>
        </w:numPr>
        <w:spacing w:line="360" w:lineRule="auto"/>
        <w:jc w:val="left"/>
        <w:rPr>
          <w:rFonts w:hint="eastAsia" w:eastAsia="宋体" w:cs="宋体"/>
          <w:bCs/>
          <w:color w:val="auto"/>
          <w:sz w:val="21"/>
          <w:szCs w:val="21"/>
          <w:highlight w:val="none"/>
        </w:rPr>
      </w:pPr>
      <w:r>
        <w:rPr>
          <w:rFonts w:hint="eastAsia" w:eastAsia="宋体" w:cs="宋体"/>
          <w:bCs/>
          <w:color w:val="auto"/>
          <w:sz w:val="21"/>
          <w:szCs w:val="21"/>
          <w:highlight w:val="none"/>
        </w:rPr>
        <w:t>保证期特别扩展条款</w:t>
      </w:r>
    </w:p>
    <w:p w14:paraId="3264E618">
      <w:pPr>
        <w:widowControl/>
        <w:numPr>
          <w:ilvl w:val="0"/>
          <w:numId w:val="14"/>
        </w:numPr>
        <w:spacing w:line="360" w:lineRule="auto"/>
        <w:jc w:val="left"/>
        <w:rPr>
          <w:rFonts w:hint="eastAsia" w:eastAsia="宋体" w:cs="宋体"/>
          <w:bCs/>
          <w:color w:val="auto"/>
          <w:sz w:val="21"/>
          <w:szCs w:val="21"/>
          <w:highlight w:val="none"/>
        </w:rPr>
      </w:pPr>
      <w:r>
        <w:rPr>
          <w:rFonts w:hint="eastAsia" w:eastAsia="宋体" w:cs="宋体"/>
          <w:bCs/>
          <w:color w:val="auto"/>
          <w:sz w:val="21"/>
          <w:szCs w:val="21"/>
          <w:highlight w:val="none"/>
        </w:rPr>
        <w:t>预防措施条款(每次事故赔偿限额：200万元)</w:t>
      </w:r>
    </w:p>
    <w:p w14:paraId="431329EE">
      <w:pPr>
        <w:widowControl/>
        <w:numPr>
          <w:ilvl w:val="0"/>
          <w:numId w:val="14"/>
        </w:numPr>
        <w:spacing w:line="360" w:lineRule="auto"/>
        <w:jc w:val="left"/>
        <w:rPr>
          <w:rFonts w:hint="eastAsia" w:eastAsia="宋体" w:cs="宋体"/>
          <w:bCs/>
          <w:color w:val="auto"/>
          <w:sz w:val="21"/>
          <w:szCs w:val="21"/>
          <w:highlight w:val="none"/>
        </w:rPr>
      </w:pPr>
      <w:r>
        <w:rPr>
          <w:rFonts w:hint="eastAsia" w:eastAsia="宋体" w:cs="宋体"/>
          <w:bCs/>
          <w:color w:val="auto"/>
          <w:sz w:val="21"/>
          <w:szCs w:val="21"/>
          <w:highlight w:val="none"/>
        </w:rPr>
        <w:t>地质灾害特别条款</w:t>
      </w:r>
    </w:p>
    <w:p w14:paraId="14BB938C">
      <w:pPr>
        <w:widowControl/>
        <w:numPr>
          <w:ilvl w:val="0"/>
          <w:numId w:val="14"/>
        </w:numPr>
        <w:spacing w:line="360" w:lineRule="auto"/>
        <w:jc w:val="left"/>
        <w:rPr>
          <w:rFonts w:hint="eastAsia" w:eastAsia="宋体" w:cs="宋体"/>
          <w:bCs/>
          <w:color w:val="auto"/>
          <w:sz w:val="21"/>
          <w:szCs w:val="21"/>
          <w:highlight w:val="none"/>
          <w:lang w:val="en-US" w:eastAsia="zh-CN"/>
        </w:rPr>
      </w:pPr>
      <w:r>
        <w:rPr>
          <w:rFonts w:hint="eastAsia" w:ascii="宋体" w:hAnsi="宋体" w:cs="宋体"/>
          <w:b w:val="0"/>
          <w:bCs/>
          <w:color w:val="auto"/>
          <w:kern w:val="0"/>
          <w:highlight w:val="none"/>
        </w:rPr>
        <w:t>水工风险特别条款A</w:t>
      </w:r>
    </w:p>
    <w:p w14:paraId="375CC200">
      <w:pPr>
        <w:pStyle w:val="4"/>
        <w:spacing w:before="156" w:after="156"/>
        <w:rPr>
          <w:rFonts w:hint="eastAsia"/>
          <w:color w:val="auto"/>
          <w:sz w:val="24"/>
          <w:szCs w:val="24"/>
          <w:highlight w:val="none"/>
        </w:rPr>
      </w:pPr>
      <w:r>
        <w:rPr>
          <w:rFonts w:hint="eastAsia"/>
          <w:color w:val="auto"/>
          <w:sz w:val="24"/>
          <w:szCs w:val="24"/>
          <w:highlight w:val="none"/>
        </w:rPr>
        <w:t>十七、特别约定：</w:t>
      </w:r>
    </w:p>
    <w:p w14:paraId="17E5485B">
      <w:pPr>
        <w:spacing w:line="360" w:lineRule="auto"/>
        <w:rPr>
          <w:rFonts w:hint="eastAsia" w:eastAsia="宋体" w:cs="宋体"/>
          <w:b/>
          <w:bCs w:val="0"/>
          <w:color w:val="auto"/>
          <w:sz w:val="21"/>
          <w:szCs w:val="21"/>
          <w:highlight w:val="none"/>
          <w:lang w:val="en-US" w:eastAsia="zh-CN"/>
        </w:rPr>
      </w:pPr>
      <w:r>
        <w:rPr>
          <w:rFonts w:hint="eastAsia" w:eastAsia="宋体" w:cs="宋体"/>
          <w:b/>
          <w:bCs w:val="0"/>
          <w:color w:val="auto"/>
          <w:sz w:val="21"/>
          <w:szCs w:val="21"/>
          <w:highlight w:val="none"/>
          <w:lang w:val="en-US" w:eastAsia="zh-CN"/>
        </w:rPr>
        <w:t>1、建筑工程一切险特别约定</w:t>
      </w:r>
    </w:p>
    <w:p w14:paraId="3DAAE23F">
      <w:pPr>
        <w:spacing w:line="360" w:lineRule="auto"/>
        <w:rPr>
          <w:rFonts w:hint="eastAsia" w:eastAsia="宋体" w:cs="宋体"/>
          <w:bCs/>
          <w:color w:val="auto"/>
          <w:sz w:val="21"/>
          <w:szCs w:val="21"/>
          <w:highlight w:val="none"/>
        </w:rPr>
      </w:pPr>
      <w:r>
        <w:rPr>
          <w:rFonts w:hint="eastAsia" w:eastAsia="宋体" w:cs="宋体"/>
          <w:bCs/>
          <w:color w:val="auto"/>
          <w:sz w:val="21"/>
          <w:szCs w:val="21"/>
          <w:highlight w:val="none"/>
        </w:rPr>
        <w:t>（1）效力优先约定</w:t>
      </w:r>
    </w:p>
    <w:p w14:paraId="589CFD4F">
      <w:pPr>
        <w:spacing w:line="360" w:lineRule="auto"/>
        <w:ind w:firstLine="420" w:firstLineChars="200"/>
        <w:rPr>
          <w:rFonts w:hint="eastAsia" w:eastAsia="宋体" w:cs="宋体"/>
          <w:bCs/>
          <w:color w:val="auto"/>
          <w:sz w:val="21"/>
          <w:szCs w:val="21"/>
          <w:highlight w:val="none"/>
        </w:rPr>
      </w:pPr>
      <w:r>
        <w:rPr>
          <w:rFonts w:hint="eastAsia" w:eastAsia="宋体" w:cs="宋体"/>
          <w:bCs/>
          <w:color w:val="auto"/>
          <w:sz w:val="21"/>
          <w:szCs w:val="21"/>
          <w:highlight w:val="none"/>
        </w:rPr>
        <w:t>特别约定效力优先于特别条款（附加条款），特别条款（附加条款）效力优先于基本</w:t>
      </w:r>
    </w:p>
    <w:p w14:paraId="6B38F937">
      <w:pPr>
        <w:spacing w:line="360" w:lineRule="auto"/>
        <w:rPr>
          <w:rFonts w:hint="eastAsia" w:eastAsia="宋体" w:cs="宋体"/>
          <w:bCs/>
          <w:color w:val="auto"/>
          <w:sz w:val="21"/>
          <w:szCs w:val="21"/>
          <w:highlight w:val="none"/>
        </w:rPr>
      </w:pPr>
      <w:r>
        <w:rPr>
          <w:rFonts w:hint="eastAsia" w:eastAsia="宋体" w:cs="宋体"/>
          <w:bCs/>
          <w:color w:val="auto"/>
          <w:sz w:val="21"/>
          <w:szCs w:val="21"/>
          <w:highlight w:val="none"/>
        </w:rPr>
        <w:t>条款。</w:t>
      </w:r>
    </w:p>
    <w:p w14:paraId="69B647B5">
      <w:pPr>
        <w:spacing w:line="360" w:lineRule="auto"/>
        <w:rPr>
          <w:rFonts w:hint="eastAsia" w:eastAsia="宋体" w:cs="宋体"/>
          <w:bCs/>
          <w:color w:val="auto"/>
          <w:sz w:val="21"/>
          <w:szCs w:val="21"/>
          <w:highlight w:val="none"/>
        </w:rPr>
      </w:pPr>
      <w:r>
        <w:rPr>
          <w:rFonts w:hint="eastAsia" w:eastAsia="宋体" w:cs="宋体"/>
          <w:bCs/>
          <w:color w:val="auto"/>
          <w:sz w:val="21"/>
          <w:szCs w:val="21"/>
          <w:highlight w:val="none"/>
        </w:rPr>
        <w:t>（2）足额支付赔款特别约定</w:t>
      </w:r>
    </w:p>
    <w:p w14:paraId="5E59F389">
      <w:pPr>
        <w:spacing w:line="360" w:lineRule="auto"/>
        <w:ind w:firstLine="420" w:firstLineChars="200"/>
        <w:rPr>
          <w:rFonts w:hint="eastAsia" w:eastAsia="宋体" w:cs="宋体"/>
          <w:bCs/>
          <w:color w:val="auto"/>
          <w:sz w:val="21"/>
          <w:szCs w:val="21"/>
          <w:highlight w:val="none"/>
        </w:rPr>
      </w:pPr>
      <w:r>
        <w:rPr>
          <w:rFonts w:hint="eastAsia" w:eastAsia="宋体" w:cs="宋体"/>
          <w:bCs/>
          <w:color w:val="auto"/>
          <w:sz w:val="21"/>
          <w:szCs w:val="21"/>
          <w:highlight w:val="none"/>
        </w:rPr>
        <w:t>保险人认可本保险合同按重置价值足额投保，任何损失不设分项限额，保险人不得以</w:t>
      </w:r>
    </w:p>
    <w:p w14:paraId="7F096DFE">
      <w:pPr>
        <w:spacing w:line="360" w:lineRule="auto"/>
        <w:rPr>
          <w:rFonts w:hint="eastAsia" w:eastAsia="宋体" w:cs="宋体"/>
          <w:bCs/>
          <w:color w:val="auto"/>
          <w:sz w:val="21"/>
          <w:szCs w:val="21"/>
          <w:highlight w:val="none"/>
        </w:rPr>
      </w:pPr>
      <w:r>
        <w:rPr>
          <w:rFonts w:hint="eastAsia" w:eastAsia="宋体" w:cs="宋体"/>
          <w:bCs/>
          <w:color w:val="auto"/>
          <w:sz w:val="21"/>
          <w:szCs w:val="21"/>
          <w:highlight w:val="none"/>
        </w:rPr>
        <w:t>损失标的金额高于工程量清单中相应分项金额为由提出比例赔付。</w:t>
      </w:r>
    </w:p>
    <w:p w14:paraId="729E01E6">
      <w:pPr>
        <w:spacing w:line="360" w:lineRule="auto"/>
        <w:rPr>
          <w:rFonts w:hint="eastAsia" w:eastAsia="宋体" w:cs="宋体"/>
          <w:bCs/>
          <w:color w:val="auto"/>
          <w:sz w:val="21"/>
          <w:szCs w:val="21"/>
          <w:highlight w:val="none"/>
        </w:rPr>
      </w:pPr>
      <w:r>
        <w:rPr>
          <w:rFonts w:hint="eastAsia" w:eastAsia="宋体" w:cs="宋体"/>
          <w:bCs/>
          <w:color w:val="auto"/>
          <w:sz w:val="21"/>
          <w:szCs w:val="21"/>
          <w:highlight w:val="none"/>
        </w:rPr>
        <w:t>（3）临时设施赔偿约定</w:t>
      </w:r>
    </w:p>
    <w:p w14:paraId="1E53607A">
      <w:pPr>
        <w:spacing w:line="360" w:lineRule="auto"/>
        <w:ind w:left="16" w:firstLine="420"/>
        <w:rPr>
          <w:rFonts w:hint="eastAsia" w:eastAsia="宋体" w:cs="宋体"/>
          <w:bCs/>
          <w:color w:val="auto"/>
          <w:sz w:val="21"/>
          <w:szCs w:val="21"/>
          <w:highlight w:val="none"/>
        </w:rPr>
      </w:pPr>
      <w:r>
        <w:rPr>
          <w:rFonts w:hint="eastAsia" w:eastAsia="宋体" w:cs="宋体"/>
          <w:bCs/>
          <w:color w:val="auto"/>
          <w:sz w:val="21"/>
          <w:szCs w:val="21"/>
          <w:highlight w:val="none"/>
        </w:rPr>
        <w:t>1）关于临时房屋及小型临时设施已经包含在投保项目综合单价中，不因明细未单独明</w:t>
      </w:r>
    </w:p>
    <w:p w14:paraId="2E869FA6">
      <w:pPr>
        <w:spacing w:line="360" w:lineRule="auto"/>
        <w:rPr>
          <w:rFonts w:hint="eastAsia" w:eastAsia="宋体" w:cs="宋体"/>
          <w:bCs/>
          <w:color w:val="auto"/>
          <w:sz w:val="21"/>
          <w:szCs w:val="21"/>
          <w:highlight w:val="none"/>
        </w:rPr>
      </w:pPr>
      <w:r>
        <w:rPr>
          <w:rFonts w:hint="eastAsia" w:eastAsia="宋体" w:cs="宋体"/>
          <w:bCs/>
          <w:color w:val="auto"/>
          <w:sz w:val="21"/>
          <w:szCs w:val="21"/>
          <w:highlight w:val="none"/>
        </w:rPr>
        <w:t>确而免除保险人的赔偿责任。为了明确小型临时设施偿付处理的原则现特别约定如下：</w:t>
      </w:r>
    </w:p>
    <w:p w14:paraId="0BA5066D">
      <w:pPr>
        <w:spacing w:line="360" w:lineRule="auto"/>
        <w:ind w:left="16" w:firstLine="420"/>
        <w:rPr>
          <w:rFonts w:hint="eastAsia" w:eastAsia="宋体" w:cs="宋体"/>
          <w:bCs/>
          <w:color w:val="auto"/>
          <w:sz w:val="21"/>
          <w:szCs w:val="21"/>
          <w:highlight w:val="none"/>
        </w:rPr>
      </w:pPr>
      <w:r>
        <w:rPr>
          <w:rFonts w:hint="eastAsia" w:eastAsia="宋体" w:cs="宋体"/>
          <w:bCs/>
          <w:color w:val="auto"/>
          <w:sz w:val="21"/>
          <w:szCs w:val="21"/>
          <w:highlight w:val="none"/>
        </w:rPr>
        <w:t>小型临时设施出险后，如果需要修复，最终按实际修复费用且不超过原重置价值进行</w:t>
      </w:r>
    </w:p>
    <w:p w14:paraId="059D7F1E">
      <w:pPr>
        <w:spacing w:line="360" w:lineRule="auto"/>
        <w:ind w:left="16" w:firstLine="420"/>
        <w:rPr>
          <w:rFonts w:hint="eastAsia" w:eastAsia="宋体" w:cs="宋体"/>
          <w:bCs/>
          <w:color w:val="auto"/>
          <w:sz w:val="21"/>
          <w:szCs w:val="21"/>
          <w:highlight w:val="none"/>
        </w:rPr>
      </w:pPr>
      <w:r>
        <w:rPr>
          <w:rFonts w:hint="eastAsia" w:eastAsia="宋体" w:cs="宋体"/>
          <w:bCs/>
          <w:color w:val="auto"/>
          <w:sz w:val="21"/>
          <w:szCs w:val="21"/>
          <w:highlight w:val="none"/>
        </w:rPr>
        <w:t>赔偿。</w:t>
      </w:r>
    </w:p>
    <w:p w14:paraId="143F7B93">
      <w:pPr>
        <w:spacing w:line="360" w:lineRule="auto"/>
        <w:ind w:left="16" w:firstLine="420"/>
        <w:rPr>
          <w:rFonts w:hint="eastAsia" w:eastAsia="宋体" w:cs="宋体"/>
          <w:bCs/>
          <w:color w:val="auto"/>
          <w:sz w:val="21"/>
          <w:szCs w:val="21"/>
          <w:highlight w:val="none"/>
        </w:rPr>
      </w:pPr>
      <w:r>
        <w:rPr>
          <w:rFonts w:hint="eastAsia" w:eastAsia="宋体" w:cs="宋体"/>
          <w:bCs/>
          <w:color w:val="auto"/>
          <w:sz w:val="21"/>
          <w:szCs w:val="21"/>
          <w:highlight w:val="none"/>
        </w:rPr>
        <w:t>2）关于大型临时设施偿付原则的特别约定如下：</w:t>
      </w:r>
    </w:p>
    <w:p w14:paraId="17BF8B79">
      <w:pPr>
        <w:spacing w:line="360" w:lineRule="auto"/>
        <w:ind w:left="16" w:firstLine="420"/>
        <w:rPr>
          <w:rFonts w:hint="eastAsia" w:eastAsia="宋体" w:cs="宋体"/>
          <w:bCs/>
          <w:color w:val="auto"/>
          <w:sz w:val="21"/>
          <w:szCs w:val="21"/>
          <w:highlight w:val="none"/>
        </w:rPr>
      </w:pPr>
      <w:r>
        <w:rPr>
          <w:rFonts w:hint="eastAsia" w:eastAsia="宋体" w:cs="宋体"/>
          <w:bCs/>
          <w:color w:val="auto"/>
          <w:sz w:val="21"/>
          <w:szCs w:val="21"/>
          <w:highlight w:val="none"/>
        </w:rPr>
        <w:t>根据主体工程的需要由保险双方共同确定是否必要修复，是否必要按原方案修复，最</w:t>
      </w:r>
    </w:p>
    <w:p w14:paraId="5A96E6E2">
      <w:pPr>
        <w:spacing w:line="360" w:lineRule="auto"/>
        <w:ind w:left="16" w:firstLine="420"/>
        <w:rPr>
          <w:rFonts w:hint="eastAsia" w:eastAsia="宋体" w:cs="宋体"/>
          <w:bCs/>
          <w:color w:val="auto"/>
          <w:sz w:val="21"/>
          <w:szCs w:val="21"/>
          <w:highlight w:val="none"/>
        </w:rPr>
      </w:pPr>
      <w:r>
        <w:rPr>
          <w:rFonts w:hint="eastAsia" w:eastAsia="宋体" w:cs="宋体"/>
          <w:bCs/>
          <w:color w:val="auto"/>
          <w:sz w:val="21"/>
          <w:szCs w:val="21"/>
          <w:highlight w:val="none"/>
        </w:rPr>
        <w:t>终按实际修复费用且不超过原重置价值进行赔偿。</w:t>
      </w:r>
    </w:p>
    <w:p w14:paraId="0705B7CB">
      <w:pPr>
        <w:spacing w:line="360" w:lineRule="auto"/>
        <w:ind w:left="16" w:firstLine="420"/>
        <w:rPr>
          <w:rFonts w:hint="eastAsia" w:eastAsia="宋体" w:cs="宋体"/>
          <w:bCs/>
          <w:color w:val="auto"/>
          <w:sz w:val="21"/>
          <w:szCs w:val="21"/>
          <w:highlight w:val="none"/>
        </w:rPr>
      </w:pPr>
      <w:r>
        <w:rPr>
          <w:rFonts w:hint="eastAsia" w:eastAsia="宋体" w:cs="宋体"/>
          <w:bCs/>
          <w:color w:val="auto"/>
          <w:sz w:val="21"/>
          <w:szCs w:val="21"/>
          <w:highlight w:val="none"/>
        </w:rPr>
        <w:t>（4）周转性材料赔偿约定</w:t>
      </w:r>
    </w:p>
    <w:p w14:paraId="5ED1CA9B">
      <w:pPr>
        <w:spacing w:line="360" w:lineRule="auto"/>
        <w:ind w:left="16" w:firstLine="420"/>
        <w:rPr>
          <w:rFonts w:hint="eastAsia" w:eastAsia="宋体" w:cs="宋体"/>
          <w:bCs/>
          <w:color w:val="auto"/>
          <w:sz w:val="21"/>
          <w:szCs w:val="21"/>
          <w:highlight w:val="none"/>
        </w:rPr>
      </w:pPr>
      <w:r>
        <w:rPr>
          <w:rFonts w:hint="eastAsia" w:eastAsia="宋体" w:cs="宋体"/>
          <w:bCs/>
          <w:color w:val="auto"/>
          <w:sz w:val="21"/>
          <w:szCs w:val="21"/>
          <w:highlight w:val="none"/>
        </w:rPr>
        <w:t>经双方协商一致，本保单对保险责任造成周转性材料和临时设施的损失负责赔偿，其</w:t>
      </w:r>
    </w:p>
    <w:p w14:paraId="016C7905">
      <w:pPr>
        <w:spacing w:line="360" w:lineRule="auto"/>
        <w:ind w:left="16" w:firstLine="420"/>
        <w:rPr>
          <w:rFonts w:hint="eastAsia" w:eastAsia="宋体" w:cs="宋体"/>
          <w:bCs/>
          <w:color w:val="auto"/>
          <w:sz w:val="21"/>
          <w:szCs w:val="21"/>
          <w:highlight w:val="none"/>
        </w:rPr>
      </w:pPr>
      <w:r>
        <w:rPr>
          <w:rFonts w:hint="eastAsia" w:eastAsia="宋体" w:cs="宋体"/>
          <w:bCs/>
          <w:color w:val="auto"/>
          <w:sz w:val="21"/>
          <w:szCs w:val="21"/>
          <w:highlight w:val="none"/>
        </w:rPr>
        <w:t>中：</w:t>
      </w:r>
    </w:p>
    <w:p w14:paraId="0A9FFAD6">
      <w:pPr>
        <w:numPr>
          <w:ilvl w:val="0"/>
          <w:numId w:val="15"/>
        </w:numPr>
        <w:spacing w:line="360" w:lineRule="auto"/>
        <w:ind w:left="16" w:firstLine="420"/>
        <w:rPr>
          <w:rFonts w:hint="eastAsia" w:eastAsia="宋体" w:cs="宋体"/>
          <w:bCs/>
          <w:color w:val="auto"/>
          <w:sz w:val="21"/>
          <w:szCs w:val="21"/>
          <w:highlight w:val="none"/>
        </w:rPr>
      </w:pPr>
      <w:r>
        <w:rPr>
          <w:rFonts w:hint="eastAsia" w:eastAsia="宋体" w:cs="宋体"/>
          <w:bCs/>
          <w:color w:val="auto"/>
          <w:sz w:val="21"/>
          <w:szCs w:val="21"/>
          <w:highlight w:val="none"/>
        </w:rPr>
        <w:t>定义：临时设施是指施工企业为本工程施工所必需的生活和生产用的临时建筑物、</w:t>
      </w:r>
    </w:p>
    <w:p w14:paraId="3D6B4C6E">
      <w:pPr>
        <w:numPr>
          <w:ilvl w:val="0"/>
          <w:numId w:val="0"/>
        </w:numPr>
        <w:spacing w:line="360" w:lineRule="auto"/>
        <w:ind w:left="436" w:leftChars="0"/>
        <w:rPr>
          <w:rFonts w:hint="eastAsia" w:eastAsia="宋体" w:cs="宋体"/>
          <w:bCs/>
          <w:color w:val="auto"/>
          <w:sz w:val="21"/>
          <w:szCs w:val="21"/>
          <w:highlight w:val="none"/>
        </w:rPr>
      </w:pPr>
      <w:r>
        <w:rPr>
          <w:rFonts w:hint="eastAsia" w:eastAsia="宋体" w:cs="宋体"/>
          <w:bCs/>
          <w:color w:val="auto"/>
          <w:sz w:val="21"/>
          <w:szCs w:val="21"/>
          <w:highlight w:val="none"/>
        </w:rPr>
        <w:t>构筑物和其他设施，如：临时工棚、脚手架、电线、管道、电话和其他通讯设施、照明和其他临时装置；场地办公室、工人帐篷、仓库和其他临时建筑物及其内部设备；木材、模板、临时桥梁、临时停靠码头、盖板、围堰、钢盖板、大栏杆及吊架杆、便道、临时铁轨、临时护墙、水路改道、取土坑和矸子山等。</w:t>
      </w:r>
    </w:p>
    <w:p w14:paraId="7C04EE71">
      <w:pPr>
        <w:spacing w:line="360" w:lineRule="auto"/>
        <w:ind w:left="435" w:leftChars="207" w:firstLine="0" w:firstLineChars="0"/>
        <w:rPr>
          <w:rFonts w:hint="eastAsia" w:eastAsia="宋体" w:cs="宋体"/>
          <w:bCs/>
          <w:color w:val="auto"/>
          <w:sz w:val="21"/>
          <w:szCs w:val="21"/>
          <w:highlight w:val="none"/>
        </w:rPr>
      </w:pPr>
      <w:r>
        <w:rPr>
          <w:rFonts w:hint="eastAsia" w:eastAsia="宋体" w:cs="宋体"/>
          <w:bCs/>
          <w:color w:val="auto"/>
          <w:sz w:val="21"/>
          <w:szCs w:val="21"/>
          <w:highlight w:val="none"/>
        </w:rPr>
        <w:t>2）赔偿约定：无论其在本工程的工程合同明细清单中是否列明，保险人应按照如下方式进行赔偿：</w:t>
      </w:r>
    </w:p>
    <w:p w14:paraId="337DB9FC">
      <w:pPr>
        <w:spacing w:line="360" w:lineRule="auto"/>
        <w:ind w:left="435" w:leftChars="207" w:firstLine="0" w:firstLineChars="0"/>
        <w:rPr>
          <w:rFonts w:hint="eastAsia" w:eastAsia="宋体" w:cs="宋体"/>
          <w:bCs/>
          <w:color w:val="auto"/>
          <w:sz w:val="21"/>
          <w:szCs w:val="21"/>
          <w:highlight w:val="none"/>
        </w:rPr>
      </w:pPr>
      <w:r>
        <w:rPr>
          <w:rFonts w:hint="eastAsia" w:eastAsia="宋体" w:cs="宋体"/>
          <w:bCs/>
          <w:color w:val="auto"/>
          <w:sz w:val="21"/>
          <w:szCs w:val="21"/>
          <w:highlight w:val="none"/>
        </w:rPr>
        <w:t xml:space="preserve"> A. 可在本工程中一次性摊销完毕的周转性材料和临时设施，如未使用前或使用过程</w:t>
      </w:r>
    </w:p>
    <w:p w14:paraId="2A9BB0D3">
      <w:pPr>
        <w:spacing w:line="360" w:lineRule="auto"/>
        <w:ind w:left="435" w:leftChars="207" w:firstLine="0" w:firstLineChars="0"/>
        <w:rPr>
          <w:rFonts w:hint="eastAsia" w:eastAsia="宋体" w:cs="宋体"/>
          <w:bCs/>
          <w:color w:val="auto"/>
          <w:sz w:val="21"/>
          <w:szCs w:val="21"/>
          <w:highlight w:val="none"/>
        </w:rPr>
      </w:pPr>
      <w:r>
        <w:rPr>
          <w:rFonts w:hint="eastAsia" w:eastAsia="宋体" w:cs="宋体"/>
          <w:bCs/>
          <w:color w:val="auto"/>
          <w:sz w:val="21"/>
          <w:szCs w:val="21"/>
          <w:highlight w:val="none"/>
        </w:rPr>
        <w:t>中发生损失，则按照其重置价值赔偿，如使用完成后发生损失，则不予赔偿；</w:t>
      </w:r>
    </w:p>
    <w:p w14:paraId="4E3253A7">
      <w:pPr>
        <w:numPr>
          <w:ilvl w:val="0"/>
          <w:numId w:val="16"/>
        </w:numPr>
        <w:spacing w:line="360" w:lineRule="auto"/>
        <w:ind w:left="541" w:leftChars="0" w:firstLine="0" w:firstLineChars="0"/>
        <w:rPr>
          <w:rFonts w:hint="eastAsia" w:eastAsia="宋体" w:cs="宋体"/>
          <w:bCs/>
          <w:color w:val="auto"/>
          <w:sz w:val="21"/>
          <w:szCs w:val="21"/>
          <w:highlight w:val="none"/>
        </w:rPr>
      </w:pPr>
      <w:r>
        <w:rPr>
          <w:rFonts w:hint="eastAsia" w:eastAsia="宋体" w:cs="宋体"/>
          <w:bCs/>
          <w:color w:val="auto"/>
          <w:sz w:val="21"/>
          <w:szCs w:val="21"/>
          <w:highlight w:val="none"/>
        </w:rPr>
        <w:t>可重复使用或非在本工程中一次性摊销完毕的周转性材料和临时设施，则计算其</w:t>
      </w:r>
    </w:p>
    <w:p w14:paraId="3FF4BBDB">
      <w:pPr>
        <w:numPr>
          <w:ilvl w:val="0"/>
          <w:numId w:val="0"/>
        </w:numPr>
        <w:spacing w:line="360" w:lineRule="auto"/>
        <w:ind w:left="541" w:leftChars="0"/>
        <w:rPr>
          <w:rFonts w:hint="eastAsia" w:eastAsia="宋体" w:cs="宋体"/>
          <w:bCs/>
          <w:color w:val="auto"/>
          <w:sz w:val="21"/>
          <w:szCs w:val="21"/>
          <w:highlight w:val="none"/>
        </w:rPr>
      </w:pPr>
      <w:r>
        <w:rPr>
          <w:rFonts w:hint="eastAsia" w:eastAsia="宋体" w:cs="宋体"/>
          <w:bCs/>
          <w:color w:val="auto"/>
          <w:sz w:val="21"/>
          <w:szCs w:val="21"/>
          <w:highlight w:val="none"/>
        </w:rPr>
        <w:t>在本工程中的摊销价值的方式和次数，扣除已经摊销部分后进行赔偿，但对于该部分标的赔偿最高不超过重置价值的50%。</w:t>
      </w:r>
    </w:p>
    <w:p w14:paraId="71E02B0C">
      <w:pPr>
        <w:spacing w:line="360" w:lineRule="auto"/>
        <w:ind w:left="16" w:firstLine="420"/>
        <w:rPr>
          <w:rFonts w:hint="eastAsia" w:eastAsia="宋体" w:cs="宋体"/>
          <w:bCs/>
          <w:color w:val="auto"/>
          <w:sz w:val="21"/>
          <w:szCs w:val="21"/>
          <w:highlight w:val="none"/>
        </w:rPr>
      </w:pPr>
      <w:r>
        <w:rPr>
          <w:rFonts w:hint="eastAsia" w:eastAsia="宋体" w:cs="宋体"/>
          <w:bCs/>
          <w:color w:val="auto"/>
          <w:sz w:val="21"/>
          <w:szCs w:val="21"/>
          <w:highlight w:val="none"/>
        </w:rPr>
        <w:t>（5）交叉事故处理特别约定</w:t>
      </w:r>
    </w:p>
    <w:p w14:paraId="25DBA311">
      <w:pPr>
        <w:spacing w:line="360" w:lineRule="auto"/>
        <w:ind w:firstLine="630" w:firstLineChars="300"/>
        <w:rPr>
          <w:rFonts w:hint="eastAsia" w:eastAsia="宋体" w:cs="宋体"/>
          <w:bCs/>
          <w:color w:val="auto"/>
          <w:sz w:val="21"/>
          <w:szCs w:val="21"/>
          <w:highlight w:val="none"/>
        </w:rPr>
      </w:pPr>
      <w:r>
        <w:rPr>
          <w:rFonts w:hint="eastAsia" w:eastAsia="宋体" w:cs="宋体"/>
          <w:bCs/>
          <w:color w:val="auto"/>
          <w:sz w:val="21"/>
          <w:szCs w:val="21"/>
          <w:highlight w:val="none"/>
        </w:rPr>
        <w:t>经各方同意，本保险单承保的本标段与本项目其他施工标段或其他项目之间发生交叉</w:t>
      </w:r>
    </w:p>
    <w:p w14:paraId="4394C2B8">
      <w:pPr>
        <w:spacing w:line="360" w:lineRule="auto"/>
        <w:ind w:firstLine="630" w:firstLineChars="300"/>
        <w:rPr>
          <w:rFonts w:hint="eastAsia" w:eastAsia="宋体" w:cs="宋体"/>
          <w:bCs/>
          <w:color w:val="auto"/>
          <w:sz w:val="21"/>
          <w:szCs w:val="21"/>
          <w:highlight w:val="none"/>
        </w:rPr>
      </w:pPr>
      <w:r>
        <w:rPr>
          <w:rFonts w:hint="eastAsia" w:eastAsia="宋体" w:cs="宋体"/>
          <w:bCs/>
          <w:color w:val="auto"/>
          <w:sz w:val="21"/>
          <w:szCs w:val="21"/>
          <w:highlight w:val="none"/>
        </w:rPr>
        <w:t>事故的，本保单所承保标段与其他施工标段或项目互为第三者，具体赔偿按如下约定</w:t>
      </w:r>
    </w:p>
    <w:p w14:paraId="59D6F87E">
      <w:pPr>
        <w:spacing w:line="360" w:lineRule="auto"/>
        <w:ind w:firstLine="630" w:firstLineChars="300"/>
        <w:rPr>
          <w:rFonts w:hint="eastAsia" w:eastAsia="宋体" w:cs="宋体"/>
          <w:bCs/>
          <w:color w:val="auto"/>
          <w:sz w:val="21"/>
          <w:szCs w:val="21"/>
          <w:highlight w:val="none"/>
        </w:rPr>
      </w:pPr>
      <w:r>
        <w:rPr>
          <w:rFonts w:hint="eastAsia" w:eastAsia="宋体" w:cs="宋体"/>
          <w:bCs/>
          <w:color w:val="auto"/>
          <w:sz w:val="21"/>
          <w:szCs w:val="21"/>
          <w:highlight w:val="none"/>
        </w:rPr>
        <w:t>处理：</w:t>
      </w:r>
    </w:p>
    <w:p w14:paraId="67863A55">
      <w:pPr>
        <w:numPr>
          <w:ilvl w:val="0"/>
          <w:numId w:val="17"/>
        </w:numPr>
        <w:spacing w:line="360" w:lineRule="auto"/>
        <w:ind w:left="16" w:firstLine="420"/>
        <w:rPr>
          <w:rFonts w:hint="eastAsia" w:eastAsia="宋体" w:cs="宋体"/>
          <w:bCs/>
          <w:color w:val="auto"/>
          <w:sz w:val="21"/>
          <w:szCs w:val="21"/>
          <w:highlight w:val="none"/>
        </w:rPr>
      </w:pPr>
      <w:r>
        <w:rPr>
          <w:rFonts w:hint="eastAsia" w:eastAsia="宋体" w:cs="宋体"/>
          <w:bCs/>
          <w:color w:val="auto"/>
          <w:sz w:val="21"/>
          <w:szCs w:val="21"/>
          <w:highlight w:val="none"/>
        </w:rPr>
        <w:t>因其他施工标段或项目施工导致本标段发生损失的，按第三方引起的意外事故予以</w:t>
      </w:r>
    </w:p>
    <w:p w14:paraId="3A474D96">
      <w:pPr>
        <w:numPr>
          <w:ilvl w:val="0"/>
          <w:numId w:val="0"/>
        </w:numPr>
        <w:spacing w:line="360" w:lineRule="auto"/>
        <w:ind w:left="436" w:leftChars="0"/>
        <w:rPr>
          <w:rFonts w:hint="eastAsia" w:eastAsia="宋体" w:cs="宋体"/>
          <w:bCs/>
          <w:color w:val="auto"/>
          <w:sz w:val="21"/>
          <w:szCs w:val="21"/>
          <w:highlight w:val="none"/>
        </w:rPr>
      </w:pPr>
      <w:r>
        <w:rPr>
          <w:rFonts w:hint="eastAsia" w:eastAsia="宋体" w:cs="宋体"/>
          <w:bCs/>
          <w:color w:val="auto"/>
          <w:sz w:val="21"/>
          <w:szCs w:val="21"/>
          <w:highlight w:val="none"/>
        </w:rPr>
        <w:t>处理，保险人按保单约定予以赔偿后，并有权向第三方追偿，但无论如何，本保单</w:t>
      </w:r>
    </w:p>
    <w:p w14:paraId="158F80F2">
      <w:pPr>
        <w:numPr>
          <w:ilvl w:val="0"/>
          <w:numId w:val="0"/>
        </w:numPr>
        <w:spacing w:line="360" w:lineRule="auto"/>
        <w:ind w:left="436" w:leftChars="0"/>
        <w:rPr>
          <w:rFonts w:hint="eastAsia" w:eastAsia="宋体" w:cs="宋体"/>
          <w:bCs/>
          <w:color w:val="auto"/>
          <w:sz w:val="21"/>
          <w:szCs w:val="21"/>
          <w:highlight w:val="none"/>
        </w:rPr>
      </w:pPr>
      <w:r>
        <w:rPr>
          <w:rFonts w:hint="eastAsia" w:eastAsia="宋体" w:cs="宋体"/>
          <w:bCs/>
          <w:color w:val="auto"/>
          <w:sz w:val="21"/>
          <w:szCs w:val="21"/>
          <w:highlight w:val="none"/>
        </w:rPr>
        <w:t>放弃对建设单位的代位追偿权；</w:t>
      </w:r>
    </w:p>
    <w:p w14:paraId="5A0A1165">
      <w:pPr>
        <w:numPr>
          <w:ilvl w:val="0"/>
          <w:numId w:val="15"/>
        </w:numPr>
        <w:spacing w:line="360" w:lineRule="auto"/>
        <w:ind w:left="16" w:leftChars="0" w:firstLine="420" w:firstLineChars="0"/>
        <w:rPr>
          <w:rFonts w:hint="eastAsia" w:eastAsia="宋体" w:cs="宋体"/>
          <w:bCs/>
          <w:color w:val="auto"/>
          <w:sz w:val="21"/>
          <w:szCs w:val="21"/>
          <w:highlight w:val="none"/>
        </w:rPr>
      </w:pPr>
      <w:r>
        <w:rPr>
          <w:rFonts w:hint="eastAsia" w:eastAsia="宋体" w:cs="宋体"/>
          <w:bCs/>
          <w:color w:val="auto"/>
          <w:sz w:val="21"/>
          <w:szCs w:val="21"/>
          <w:highlight w:val="none"/>
        </w:rPr>
        <w:t>因本标段施工导致其他施工标段或项目发生损失的，若被保险人面临第三方索赔，</w:t>
      </w:r>
    </w:p>
    <w:p w14:paraId="2240E2C2">
      <w:pPr>
        <w:numPr>
          <w:ilvl w:val="0"/>
          <w:numId w:val="0"/>
        </w:numPr>
        <w:spacing w:line="360" w:lineRule="auto"/>
        <w:ind w:left="436" w:leftChars="0"/>
        <w:rPr>
          <w:rFonts w:hint="eastAsia" w:eastAsia="宋体" w:cs="宋体"/>
          <w:bCs/>
          <w:color w:val="auto"/>
          <w:sz w:val="21"/>
          <w:szCs w:val="21"/>
          <w:highlight w:val="none"/>
        </w:rPr>
      </w:pPr>
      <w:r>
        <w:rPr>
          <w:rFonts w:hint="eastAsia" w:eastAsia="宋体" w:cs="宋体"/>
          <w:bCs/>
          <w:color w:val="auto"/>
          <w:sz w:val="21"/>
          <w:szCs w:val="21"/>
          <w:highlight w:val="none"/>
        </w:rPr>
        <w:t>则按第三者责任事故予以处理。</w:t>
      </w:r>
    </w:p>
    <w:p w14:paraId="14407704">
      <w:pPr>
        <w:spacing w:line="360" w:lineRule="auto"/>
        <w:ind w:left="16" w:firstLine="420"/>
        <w:rPr>
          <w:rFonts w:hint="eastAsia" w:eastAsia="宋体" w:cs="宋体"/>
          <w:bCs/>
          <w:color w:val="auto"/>
          <w:sz w:val="21"/>
          <w:szCs w:val="21"/>
          <w:highlight w:val="none"/>
        </w:rPr>
      </w:pPr>
      <w:r>
        <w:rPr>
          <w:rFonts w:hint="eastAsia" w:eastAsia="宋体" w:cs="宋体"/>
          <w:bCs/>
          <w:color w:val="auto"/>
          <w:sz w:val="21"/>
          <w:szCs w:val="21"/>
          <w:highlight w:val="none"/>
        </w:rPr>
        <w:t>（6）附加险责任限额约定</w:t>
      </w:r>
    </w:p>
    <w:p w14:paraId="6C35F90B">
      <w:pPr>
        <w:spacing w:line="360" w:lineRule="auto"/>
        <w:ind w:left="16" w:firstLine="420"/>
        <w:rPr>
          <w:rFonts w:hint="eastAsia" w:eastAsia="宋体" w:cs="宋体"/>
          <w:bCs/>
          <w:color w:val="auto"/>
          <w:sz w:val="21"/>
          <w:szCs w:val="21"/>
          <w:highlight w:val="none"/>
        </w:rPr>
      </w:pPr>
      <w:r>
        <w:rPr>
          <w:rFonts w:hint="eastAsia" w:eastAsia="宋体" w:cs="宋体"/>
          <w:bCs/>
          <w:color w:val="auto"/>
          <w:sz w:val="21"/>
          <w:szCs w:val="21"/>
          <w:highlight w:val="none"/>
        </w:rPr>
        <w:t>本保险单载明的各附加险项下的各分项责任限额，除另有约定外是包含在主险各相应</w:t>
      </w:r>
    </w:p>
    <w:p w14:paraId="277D03B3">
      <w:pPr>
        <w:spacing w:line="360" w:lineRule="auto"/>
        <w:ind w:left="16" w:firstLine="420"/>
        <w:rPr>
          <w:rFonts w:hint="eastAsia" w:eastAsia="宋体" w:cs="宋体"/>
          <w:bCs/>
          <w:color w:val="auto"/>
          <w:sz w:val="21"/>
          <w:szCs w:val="21"/>
          <w:highlight w:val="none"/>
        </w:rPr>
      </w:pPr>
      <w:r>
        <w:rPr>
          <w:rFonts w:hint="eastAsia" w:eastAsia="宋体" w:cs="宋体"/>
          <w:bCs/>
          <w:color w:val="auto"/>
          <w:sz w:val="21"/>
          <w:szCs w:val="21"/>
          <w:highlight w:val="none"/>
        </w:rPr>
        <w:t>分项责任限额之内的，并非是在其基础上的累加。</w:t>
      </w:r>
    </w:p>
    <w:p w14:paraId="64CEB6E6">
      <w:pPr>
        <w:numPr>
          <w:ilvl w:val="0"/>
          <w:numId w:val="0"/>
        </w:numPr>
        <w:spacing w:line="360" w:lineRule="auto"/>
        <w:ind w:left="436" w:leftChars="0"/>
        <w:rPr>
          <w:rFonts w:hint="eastAsia" w:eastAsia="宋体" w:cs="宋体"/>
          <w:bCs/>
          <w:color w:val="auto"/>
          <w:sz w:val="21"/>
          <w:szCs w:val="21"/>
          <w:highlight w:val="none"/>
        </w:rPr>
      </w:pPr>
      <w:r>
        <w:rPr>
          <w:rFonts w:hint="eastAsia" w:eastAsia="宋体" w:cs="宋体"/>
          <w:bCs/>
          <w:color w:val="auto"/>
          <w:sz w:val="21"/>
          <w:szCs w:val="21"/>
          <w:highlight w:val="none"/>
          <w:lang w:eastAsia="zh-CN"/>
        </w:rPr>
        <w:t>（</w:t>
      </w:r>
      <w:r>
        <w:rPr>
          <w:rFonts w:hint="eastAsia" w:eastAsia="宋体" w:cs="宋体"/>
          <w:bCs/>
          <w:color w:val="auto"/>
          <w:sz w:val="21"/>
          <w:szCs w:val="21"/>
          <w:highlight w:val="none"/>
          <w:lang w:val="en-US" w:eastAsia="zh-CN"/>
        </w:rPr>
        <w:t>7</w:t>
      </w:r>
      <w:r>
        <w:rPr>
          <w:rFonts w:hint="eastAsia" w:eastAsia="宋体" w:cs="宋体"/>
          <w:bCs/>
          <w:color w:val="auto"/>
          <w:sz w:val="21"/>
          <w:szCs w:val="21"/>
          <w:highlight w:val="none"/>
          <w:lang w:eastAsia="zh-CN"/>
        </w:rPr>
        <w:t>）</w:t>
      </w:r>
      <w:r>
        <w:rPr>
          <w:rFonts w:hint="eastAsia" w:eastAsia="宋体" w:cs="宋体"/>
          <w:bCs/>
          <w:color w:val="auto"/>
          <w:sz w:val="21"/>
          <w:szCs w:val="21"/>
          <w:highlight w:val="none"/>
        </w:rPr>
        <w:t>本保单扩展承保保险责任造成的本工程施工</w:t>
      </w:r>
      <w:r>
        <w:rPr>
          <w:rFonts w:hint="eastAsia" w:eastAsia="宋体" w:cs="宋体"/>
          <w:bCs/>
          <w:color w:val="auto"/>
          <w:sz w:val="21"/>
          <w:szCs w:val="21"/>
          <w:highlight w:val="none"/>
          <w:lang w:val="en-US" w:eastAsia="zh-CN"/>
        </w:rPr>
        <w:t>机具</w:t>
      </w:r>
      <w:r>
        <w:rPr>
          <w:rFonts w:hint="eastAsia" w:eastAsia="宋体" w:cs="宋体"/>
          <w:bCs/>
          <w:color w:val="auto"/>
          <w:sz w:val="21"/>
          <w:szCs w:val="21"/>
          <w:highlight w:val="none"/>
        </w:rPr>
        <w:t>设备、工程设备（盾构机除外</w:t>
      </w:r>
      <w:r>
        <w:rPr>
          <w:rFonts w:hint="eastAsia" w:eastAsia="宋体" w:cs="宋体"/>
          <w:bCs/>
          <w:color w:val="auto"/>
          <w:sz w:val="21"/>
          <w:szCs w:val="21"/>
          <w:highlight w:val="none"/>
          <w:lang w:eastAsia="zh-CN"/>
        </w:rPr>
        <w:t>、</w:t>
      </w:r>
      <w:r>
        <w:rPr>
          <w:rFonts w:hint="eastAsia" w:eastAsia="宋体" w:cs="宋体"/>
          <w:bCs/>
          <w:color w:val="auto"/>
          <w:sz w:val="21"/>
          <w:szCs w:val="21"/>
          <w:highlight w:val="none"/>
          <w:lang w:val="en-US" w:eastAsia="zh-CN"/>
        </w:rPr>
        <w:t>船舶及领有公共运输执照的车辆</w:t>
      </w:r>
      <w:r>
        <w:rPr>
          <w:rFonts w:hint="eastAsia" w:eastAsia="宋体" w:cs="宋体"/>
          <w:bCs/>
          <w:color w:val="auto"/>
          <w:sz w:val="21"/>
          <w:szCs w:val="21"/>
          <w:highlight w:val="none"/>
        </w:rPr>
        <w:t>）的损失。</w:t>
      </w:r>
    </w:p>
    <w:p w14:paraId="68070B5E">
      <w:pPr>
        <w:numPr>
          <w:ilvl w:val="0"/>
          <w:numId w:val="18"/>
        </w:numPr>
        <w:spacing w:line="400" w:lineRule="exact"/>
        <w:ind w:left="16" w:leftChars="0" w:firstLine="420" w:firstLineChars="0"/>
        <w:rPr>
          <w:rFonts w:hint="eastAsia" w:cs="宋体"/>
          <w:bCs/>
          <w:color w:val="auto"/>
          <w:szCs w:val="21"/>
          <w:highlight w:val="none"/>
        </w:rPr>
      </w:pPr>
      <w:r>
        <w:rPr>
          <w:rFonts w:hint="eastAsia" w:cs="宋体"/>
          <w:bCs/>
          <w:color w:val="auto"/>
          <w:szCs w:val="21"/>
          <w:highlight w:val="none"/>
        </w:rPr>
        <w:t>兹经双方同意，工程在施工过程中将根据实际情况变更或调整设计规范、施工方</w:t>
      </w:r>
    </w:p>
    <w:p w14:paraId="419379EC">
      <w:pPr>
        <w:numPr>
          <w:ilvl w:val="0"/>
          <w:numId w:val="0"/>
        </w:numPr>
        <w:spacing w:line="400" w:lineRule="exact"/>
        <w:ind w:left="436" w:leftChars="0"/>
        <w:rPr>
          <w:rFonts w:hint="eastAsia" w:cs="宋体"/>
          <w:bCs/>
          <w:color w:val="auto"/>
          <w:szCs w:val="21"/>
          <w:highlight w:val="none"/>
        </w:rPr>
      </w:pPr>
      <w:r>
        <w:rPr>
          <w:rFonts w:hint="eastAsia" w:cs="宋体"/>
          <w:bCs/>
          <w:color w:val="auto"/>
          <w:szCs w:val="21"/>
          <w:highlight w:val="none"/>
        </w:rPr>
        <w:t>法，保险人同意只要上述变更或调整符合本项目的管理程序，则被保险人无须向保险人事前申报，且在此情况下如发生保险事故，保险人不得以设计变更为由拒绝或减少赔偿，但保险人有权随时查阅上述变更或调整的相关文件、资料。</w:t>
      </w:r>
    </w:p>
    <w:p w14:paraId="3F95723E">
      <w:pPr>
        <w:numPr>
          <w:ilvl w:val="0"/>
          <w:numId w:val="18"/>
        </w:numPr>
        <w:spacing w:line="400" w:lineRule="exact"/>
        <w:ind w:left="16" w:leftChars="0" w:firstLine="420" w:firstLineChars="0"/>
        <w:rPr>
          <w:rFonts w:hint="eastAsia" w:cs="宋体"/>
          <w:bCs/>
          <w:color w:val="auto"/>
          <w:szCs w:val="21"/>
          <w:highlight w:val="none"/>
        </w:rPr>
      </w:pPr>
      <w:r>
        <w:rPr>
          <w:rFonts w:hint="eastAsia" w:cs="宋体"/>
          <w:bCs/>
          <w:color w:val="auto"/>
          <w:szCs w:val="21"/>
          <w:highlight w:val="none"/>
        </w:rPr>
        <w:t>本保单对保险责任造成临时设施（包括但不仅限于便道、便桥、活动板房、基</w:t>
      </w:r>
    </w:p>
    <w:p w14:paraId="4F6B85D4">
      <w:pPr>
        <w:numPr>
          <w:ilvl w:val="0"/>
          <w:numId w:val="0"/>
        </w:numPr>
        <w:spacing w:line="400" w:lineRule="exact"/>
        <w:ind w:left="436" w:leftChars="0"/>
        <w:rPr>
          <w:rFonts w:hint="eastAsia" w:cs="宋体"/>
          <w:bCs/>
          <w:color w:val="auto"/>
          <w:szCs w:val="21"/>
          <w:highlight w:val="none"/>
        </w:rPr>
      </w:pPr>
      <w:r>
        <w:rPr>
          <w:rFonts w:hint="eastAsia" w:cs="宋体"/>
          <w:bCs/>
          <w:color w:val="auto"/>
          <w:szCs w:val="21"/>
          <w:highlight w:val="none"/>
        </w:rPr>
        <w:t>坑、便涵、制存梁场、轨道板场、围堰等）、周转性材料及模板的损失负责赔偿，无论其是否在清单中列明，本保单予以扩展承保，且在发生保险事故后按实际损失金额予以足额赔偿。其中：临时设施的损失应按照重置价值赔偿；对异型模板，如未使用前或使用过程中发生损失，则按照其重置价值赔偿，如使用完成后发生损失，则不予赔偿；对重复使用的周转性材料和标准模板，则计算其摊销价值的方式和次数，扣除已经摊销部分后进行赔偿，若无法明确其摊销方式的，对于该部分标的赔偿不超过重置价值的50%。</w:t>
      </w:r>
    </w:p>
    <w:p w14:paraId="2C50EDFD">
      <w:pPr>
        <w:numPr>
          <w:ilvl w:val="0"/>
          <w:numId w:val="18"/>
        </w:numPr>
        <w:spacing w:line="400" w:lineRule="exact"/>
        <w:ind w:left="16" w:leftChars="0" w:firstLine="420" w:firstLineChars="0"/>
        <w:rPr>
          <w:rFonts w:hint="eastAsia" w:cs="宋体"/>
          <w:bCs/>
          <w:color w:val="auto"/>
          <w:szCs w:val="21"/>
          <w:highlight w:val="none"/>
        </w:rPr>
      </w:pPr>
      <w:r>
        <w:rPr>
          <w:rFonts w:hint="eastAsia" w:cs="宋体"/>
          <w:bCs/>
          <w:color w:val="auto"/>
          <w:szCs w:val="21"/>
          <w:highlight w:val="none"/>
        </w:rPr>
        <w:t>本保险合同明细表保险项目的新增项目将根据工程期间施工及设计修改的实际</w:t>
      </w:r>
      <w:r>
        <w:rPr>
          <w:rFonts w:hint="eastAsia" w:cs="宋体"/>
          <w:bCs/>
          <w:color w:val="auto"/>
          <w:szCs w:val="21"/>
          <w:highlight w:val="none"/>
          <w:lang w:val="en-US" w:eastAsia="zh-CN"/>
        </w:rPr>
        <w:t xml:space="preserve">  </w:t>
      </w:r>
    </w:p>
    <w:p w14:paraId="1B1E5D29">
      <w:pPr>
        <w:numPr>
          <w:ilvl w:val="0"/>
          <w:numId w:val="0"/>
        </w:numPr>
        <w:spacing w:line="400" w:lineRule="exact"/>
        <w:ind w:left="436" w:leftChars="0"/>
        <w:rPr>
          <w:rFonts w:hint="eastAsia" w:cs="宋体"/>
          <w:bCs/>
          <w:color w:val="auto"/>
          <w:szCs w:val="21"/>
          <w:highlight w:val="none"/>
        </w:rPr>
      </w:pPr>
      <w:r>
        <w:rPr>
          <w:rFonts w:hint="eastAsia" w:cs="宋体"/>
          <w:bCs/>
          <w:color w:val="auto"/>
          <w:szCs w:val="21"/>
          <w:highlight w:val="none"/>
        </w:rPr>
        <w:t>情况进行调整，该调整的部分全部列入本保险合同承保范围，新增项目的合同金额将计入本保险合同明细表中物质损失的预计总保险金额。</w:t>
      </w:r>
    </w:p>
    <w:p w14:paraId="4D7FBDF3">
      <w:pPr>
        <w:spacing w:line="520" w:lineRule="exact"/>
        <w:ind w:left="17" w:firstLine="420"/>
        <w:rPr>
          <w:rFonts w:ascii="宋体" w:hAnsi="宋体" w:eastAsia="宋体" w:cs="Times New Roman"/>
          <w:bCs/>
          <w:color w:val="auto"/>
          <w:szCs w:val="21"/>
          <w:highlight w:val="none"/>
        </w:rPr>
      </w:pPr>
      <w:r>
        <w:rPr>
          <w:rFonts w:ascii="宋体" w:hAnsi="宋体" w:eastAsia="宋体" w:cs="Times New Roman"/>
          <w:bCs/>
          <w:color w:val="auto"/>
          <w:szCs w:val="21"/>
          <w:highlight w:val="none"/>
        </w:rPr>
        <w:t>（1</w:t>
      </w:r>
      <w:r>
        <w:rPr>
          <w:rFonts w:hint="eastAsia" w:ascii="宋体" w:hAnsi="宋体" w:eastAsia="宋体" w:cs="Times New Roman"/>
          <w:bCs/>
          <w:color w:val="auto"/>
          <w:szCs w:val="21"/>
          <w:highlight w:val="none"/>
          <w:lang w:val="en-US" w:eastAsia="zh-CN"/>
        </w:rPr>
        <w:t>2</w:t>
      </w:r>
      <w:r>
        <w:rPr>
          <w:rFonts w:ascii="宋体" w:hAnsi="宋体" w:eastAsia="宋体" w:cs="Times New Roman"/>
          <w:bCs/>
          <w:color w:val="auto"/>
          <w:szCs w:val="21"/>
          <w:highlight w:val="none"/>
        </w:rPr>
        <w:t>）兹经双方同意并约定，本保险合同承保由保险合同承保的风险引起的下列损失：</w:t>
      </w:r>
    </w:p>
    <w:p w14:paraId="2D948D34">
      <w:pPr>
        <w:spacing w:line="520" w:lineRule="exact"/>
        <w:ind w:left="17" w:firstLine="420"/>
        <w:rPr>
          <w:rFonts w:ascii="宋体" w:hAnsi="宋体" w:eastAsia="宋体" w:cs="Times New Roman"/>
          <w:bCs/>
          <w:color w:val="auto"/>
          <w:szCs w:val="21"/>
          <w:highlight w:val="none"/>
        </w:rPr>
      </w:pPr>
      <w:r>
        <w:rPr>
          <w:rFonts w:ascii="宋体" w:hAnsi="宋体" w:eastAsia="宋体" w:cs="Times New Roman"/>
          <w:bCs/>
          <w:color w:val="auto"/>
          <w:szCs w:val="21"/>
          <w:highlight w:val="none"/>
        </w:rPr>
        <w:t>（a）灭火过程中的费用；</w:t>
      </w:r>
    </w:p>
    <w:p w14:paraId="27D26A8E">
      <w:pPr>
        <w:spacing w:line="520" w:lineRule="exact"/>
        <w:ind w:left="17" w:firstLine="420"/>
        <w:rPr>
          <w:rFonts w:ascii="宋体" w:hAnsi="宋体" w:eastAsia="宋体" w:cs="Times New Roman"/>
          <w:bCs/>
          <w:color w:val="auto"/>
          <w:szCs w:val="21"/>
          <w:highlight w:val="none"/>
        </w:rPr>
      </w:pPr>
      <w:r>
        <w:rPr>
          <w:rFonts w:ascii="宋体" w:hAnsi="宋体" w:eastAsia="宋体" w:cs="Times New Roman"/>
          <w:bCs/>
          <w:color w:val="auto"/>
          <w:szCs w:val="21"/>
          <w:highlight w:val="none"/>
        </w:rPr>
        <w:t>（b）清理水和其他物质的费用；</w:t>
      </w:r>
    </w:p>
    <w:p w14:paraId="37CBEADA">
      <w:pPr>
        <w:spacing w:line="520" w:lineRule="exact"/>
        <w:ind w:left="17" w:firstLine="420"/>
        <w:rPr>
          <w:rFonts w:ascii="宋体" w:hAnsi="宋体" w:eastAsia="宋体" w:cs="Times New Roman"/>
          <w:bCs/>
          <w:color w:val="auto"/>
          <w:szCs w:val="21"/>
          <w:highlight w:val="none"/>
        </w:rPr>
      </w:pPr>
      <w:r>
        <w:rPr>
          <w:rFonts w:ascii="宋体" w:hAnsi="宋体" w:eastAsia="宋体" w:cs="Times New Roman"/>
          <w:bCs/>
          <w:color w:val="auto"/>
          <w:szCs w:val="21"/>
          <w:highlight w:val="none"/>
        </w:rPr>
        <w:t>（c）清理费用；</w:t>
      </w:r>
    </w:p>
    <w:p w14:paraId="1D89DFC3">
      <w:pPr>
        <w:spacing w:line="520" w:lineRule="exact"/>
        <w:ind w:left="17" w:firstLine="420"/>
        <w:rPr>
          <w:rFonts w:ascii="宋体" w:hAnsi="宋体" w:eastAsia="宋体" w:cs="Times New Roman"/>
          <w:bCs/>
          <w:color w:val="auto"/>
          <w:szCs w:val="21"/>
          <w:highlight w:val="none"/>
        </w:rPr>
      </w:pPr>
      <w:r>
        <w:rPr>
          <w:rFonts w:ascii="宋体" w:hAnsi="宋体" w:eastAsia="宋体" w:cs="Times New Roman"/>
          <w:bCs/>
          <w:color w:val="auto"/>
          <w:szCs w:val="21"/>
          <w:highlight w:val="none"/>
        </w:rPr>
        <w:t>（d）暂时性防护设施建造费用；</w:t>
      </w:r>
    </w:p>
    <w:p w14:paraId="3FF34286">
      <w:pPr>
        <w:spacing w:line="520" w:lineRule="exact"/>
        <w:ind w:left="16" w:firstLine="420"/>
        <w:rPr>
          <w:rFonts w:ascii="宋体" w:hAnsi="宋体" w:eastAsia="宋体" w:cs="Times New Roman"/>
          <w:bCs/>
          <w:color w:val="auto"/>
          <w:szCs w:val="21"/>
          <w:highlight w:val="none"/>
        </w:rPr>
      </w:pPr>
      <w:r>
        <w:rPr>
          <w:rFonts w:ascii="宋体" w:hAnsi="宋体" w:eastAsia="宋体" w:cs="Times New Roman"/>
          <w:bCs/>
          <w:color w:val="auto"/>
          <w:szCs w:val="21"/>
          <w:highlight w:val="none"/>
        </w:rPr>
        <w:t>本保险合同对财产和灭火费用的责任不应超过每次事故RMB500万元。</w:t>
      </w:r>
    </w:p>
    <w:p w14:paraId="6F89A6AB">
      <w:pPr>
        <w:spacing w:line="520" w:lineRule="exact"/>
        <w:ind w:left="16" w:firstLine="420"/>
        <w:rPr>
          <w:rFonts w:ascii="宋体" w:hAnsi="宋体" w:eastAsia="宋体" w:cs="Times New Roman"/>
          <w:bCs/>
          <w:color w:val="auto"/>
          <w:szCs w:val="21"/>
          <w:highlight w:val="none"/>
        </w:rPr>
      </w:pPr>
      <w:r>
        <w:rPr>
          <w:rFonts w:ascii="宋体" w:hAnsi="宋体" w:eastAsia="宋体" w:cs="Times New Roman"/>
          <w:bCs/>
          <w:color w:val="auto"/>
          <w:szCs w:val="21"/>
          <w:highlight w:val="none"/>
        </w:rPr>
        <w:t>灭火费用不应计入本保险合同项下财产的重置价值内。</w:t>
      </w:r>
    </w:p>
    <w:p w14:paraId="67845343">
      <w:pPr>
        <w:spacing w:line="520" w:lineRule="exact"/>
        <w:ind w:left="16" w:firstLine="420"/>
        <w:rPr>
          <w:rFonts w:ascii="宋体" w:hAnsi="宋体" w:eastAsia="宋体" w:cs="Times New Roman"/>
          <w:bCs/>
          <w:color w:val="auto"/>
          <w:szCs w:val="21"/>
          <w:highlight w:val="none"/>
        </w:rPr>
      </w:pPr>
      <w:r>
        <w:rPr>
          <w:rFonts w:ascii="宋体" w:hAnsi="宋体" w:eastAsia="宋体" w:cs="Times New Roman"/>
          <w:bCs/>
          <w:color w:val="auto"/>
          <w:szCs w:val="21"/>
          <w:highlight w:val="none"/>
        </w:rPr>
        <w:t>本保险合同所载其他条件不变。</w:t>
      </w:r>
    </w:p>
    <w:p w14:paraId="7015C8F9">
      <w:pPr>
        <w:numPr>
          <w:ilvl w:val="0"/>
          <w:numId w:val="18"/>
        </w:numPr>
        <w:spacing w:line="540" w:lineRule="exact"/>
        <w:ind w:left="16" w:leftChars="0" w:firstLine="420" w:firstLineChars="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lang w:val="en-US" w:eastAsia="zh-CN"/>
        </w:rPr>
        <w:t>首席</w:t>
      </w:r>
      <w:r>
        <w:rPr>
          <w:rFonts w:ascii="宋体" w:hAnsi="宋体" w:eastAsia="宋体" w:cs="Times New Roman"/>
          <w:bCs/>
          <w:color w:val="auto"/>
          <w:szCs w:val="21"/>
          <w:highlight w:val="none"/>
        </w:rPr>
        <w:t>保险人与经纪人应与投保人、被保险人每季度召开一次联席会议。会议由</w:t>
      </w:r>
    </w:p>
    <w:p w14:paraId="00D85CFC">
      <w:pPr>
        <w:numPr>
          <w:ilvl w:val="0"/>
          <w:numId w:val="0"/>
        </w:numPr>
        <w:spacing w:line="540" w:lineRule="exact"/>
        <w:ind w:left="436" w:leftChars="0"/>
        <w:rPr>
          <w:rFonts w:ascii="宋体" w:hAnsi="宋体" w:eastAsia="宋体" w:cs="Times New Roman"/>
          <w:bCs/>
          <w:color w:val="auto"/>
          <w:szCs w:val="21"/>
          <w:highlight w:val="none"/>
        </w:rPr>
      </w:pPr>
      <w:r>
        <w:rPr>
          <w:rFonts w:ascii="宋体" w:hAnsi="宋体" w:eastAsia="宋体" w:cs="Times New Roman"/>
          <w:bCs/>
          <w:color w:val="auto"/>
          <w:szCs w:val="21"/>
          <w:highlight w:val="none"/>
        </w:rPr>
        <w:t>经纪人牵头，经纪人与各保险人轮流承办，会议内容主要包括：首席保险人通报上季度承保与理赔详细情况（理赔需通报已决赔案赔款、未决赔案赔款等信息，未决赔案需说明未决原因），并就保险服务情况做总结；投保人就保险期间遇到的困难与问题在会上提出讨论并在会上形成解决方案。会后经纪人制作会议纪要发送投保人与保险人。</w:t>
      </w:r>
    </w:p>
    <w:p w14:paraId="28011751">
      <w:pPr>
        <w:numPr>
          <w:ilvl w:val="0"/>
          <w:numId w:val="18"/>
        </w:numPr>
        <w:spacing w:line="540" w:lineRule="exact"/>
        <w:ind w:left="16" w:leftChars="0" w:firstLine="420" w:firstLineChars="0"/>
        <w:rPr>
          <w:rFonts w:ascii="宋体" w:hAnsi="宋体" w:eastAsia="宋体" w:cs="Times New Roman"/>
          <w:bCs/>
          <w:color w:val="auto"/>
          <w:szCs w:val="21"/>
          <w:highlight w:val="none"/>
        </w:rPr>
      </w:pPr>
      <w:r>
        <w:rPr>
          <w:rFonts w:ascii="宋体" w:hAnsi="宋体" w:eastAsia="宋体" w:cs="Times New Roman"/>
          <w:bCs/>
          <w:color w:val="auto"/>
          <w:szCs w:val="21"/>
          <w:highlight w:val="none"/>
        </w:rPr>
        <w:t>本保险合同生效后，如乙方违约，甲方为维护权益向乙方追偿的一切费用（包</w:t>
      </w:r>
    </w:p>
    <w:p w14:paraId="50009CDF">
      <w:pPr>
        <w:numPr>
          <w:ilvl w:val="0"/>
          <w:numId w:val="0"/>
        </w:numPr>
        <w:spacing w:line="540" w:lineRule="exact"/>
        <w:ind w:left="436" w:leftChars="0"/>
        <w:rPr>
          <w:rFonts w:ascii="宋体" w:hAnsi="宋体" w:eastAsia="宋体" w:cs="Times New Roman"/>
          <w:bCs/>
          <w:color w:val="auto"/>
          <w:szCs w:val="21"/>
          <w:highlight w:val="none"/>
        </w:rPr>
      </w:pPr>
      <w:r>
        <w:rPr>
          <w:rFonts w:ascii="宋体" w:hAnsi="宋体" w:eastAsia="宋体" w:cs="Times New Roman"/>
          <w:bCs/>
          <w:color w:val="auto"/>
          <w:szCs w:val="21"/>
          <w:highlight w:val="none"/>
        </w:rPr>
        <w:t>括但不限于律师费、诉讼费、保全费、鉴定费、差旅费）由乙方承担。</w:t>
      </w:r>
    </w:p>
    <w:p w14:paraId="0D3F50A3">
      <w:pPr>
        <w:numPr>
          <w:ilvl w:val="0"/>
          <w:numId w:val="18"/>
        </w:numPr>
        <w:spacing w:line="540" w:lineRule="exact"/>
        <w:ind w:left="16" w:leftChars="0" w:firstLine="420" w:firstLineChars="0"/>
        <w:rPr>
          <w:color w:val="auto"/>
          <w:highlight w:val="none"/>
          <w:lang w:val="en-US" w:eastAsia="zh-CN"/>
        </w:rPr>
      </w:pPr>
      <w:r>
        <w:rPr>
          <w:rFonts w:hint="eastAsia" w:ascii="宋体" w:hAnsi="宋体" w:eastAsia="宋体" w:cs="Times New Roman"/>
          <w:bCs/>
          <w:color w:val="auto"/>
          <w:szCs w:val="21"/>
          <w:highlight w:val="none"/>
          <w:lang w:val="en-US" w:eastAsia="zh-CN"/>
        </w:rPr>
        <w:t xml:space="preserve">本保险合同承保由业主提供给施工承包人的预制构件，预制构件无论是在业 </w:t>
      </w:r>
    </w:p>
    <w:p w14:paraId="4862ADE8">
      <w:pPr>
        <w:numPr>
          <w:ilvl w:val="0"/>
          <w:numId w:val="0"/>
        </w:numPr>
        <w:spacing w:line="540" w:lineRule="exact"/>
        <w:ind w:left="436" w:leftChars="0"/>
        <w:rPr>
          <w:color w:val="auto"/>
          <w:highlight w:val="none"/>
          <w:lang w:val="en-US" w:eastAsia="zh-CN"/>
        </w:rPr>
      </w:pPr>
      <w:r>
        <w:rPr>
          <w:rFonts w:hint="eastAsia" w:ascii="宋体" w:hAnsi="宋体" w:eastAsia="宋体" w:cs="Times New Roman"/>
          <w:bCs/>
          <w:color w:val="auto"/>
          <w:szCs w:val="21"/>
          <w:highlight w:val="none"/>
          <w:lang w:val="en-US" w:eastAsia="zh-CN"/>
        </w:rPr>
        <w:t>主方还是施工方运送过程中或使用过程中发生保险事故，保险人均应按本保单约定赔付。</w:t>
      </w:r>
    </w:p>
    <w:p w14:paraId="1A9BA868">
      <w:pPr>
        <w:spacing w:line="540" w:lineRule="exact"/>
        <w:ind w:firstLine="422" w:firstLineChars="200"/>
        <w:rPr>
          <w:rFonts w:ascii="宋体" w:hAnsi="宋体" w:eastAsia="宋体" w:cs="Times New Roman"/>
          <w:b/>
          <w:color w:val="auto"/>
          <w:szCs w:val="21"/>
          <w:highlight w:val="none"/>
        </w:rPr>
      </w:pPr>
      <w:r>
        <w:rPr>
          <w:rFonts w:ascii="宋体" w:hAnsi="宋体" w:eastAsia="宋体" w:cs="Times New Roman"/>
          <w:b/>
          <w:color w:val="auto"/>
          <w:szCs w:val="21"/>
          <w:highlight w:val="none"/>
        </w:rPr>
        <w:t>2、安全生产责任险特别约定：</w:t>
      </w:r>
    </w:p>
    <w:p w14:paraId="0E77ABF8">
      <w:pPr>
        <w:spacing w:line="540" w:lineRule="exact"/>
        <w:ind w:left="16" w:firstLine="420"/>
        <w:rPr>
          <w:rFonts w:ascii="宋体" w:hAnsi="宋体" w:eastAsia="宋体" w:cs="Times New Roman"/>
          <w:bCs/>
          <w:color w:val="auto"/>
          <w:szCs w:val="21"/>
          <w:highlight w:val="none"/>
        </w:rPr>
      </w:pPr>
      <w:r>
        <w:rPr>
          <w:rFonts w:ascii="宋体" w:hAnsi="宋体" w:eastAsia="宋体" w:cs="Times New Roman"/>
          <w:bCs/>
          <w:color w:val="auto"/>
          <w:szCs w:val="21"/>
          <w:highlight w:val="none"/>
        </w:rPr>
        <w:t>（1）本保险为不记名投保，被保险人从业人员以出险上月工资表在册员工名单或被保</w:t>
      </w:r>
    </w:p>
    <w:p w14:paraId="20915D2F">
      <w:pPr>
        <w:spacing w:line="540" w:lineRule="exact"/>
        <w:ind w:left="16" w:firstLine="420"/>
        <w:rPr>
          <w:rFonts w:ascii="宋体" w:hAnsi="宋体" w:eastAsia="宋体" w:cs="Times New Roman"/>
          <w:bCs/>
          <w:color w:val="auto"/>
          <w:szCs w:val="21"/>
          <w:highlight w:val="none"/>
        </w:rPr>
      </w:pPr>
      <w:r>
        <w:rPr>
          <w:rFonts w:ascii="宋体" w:hAnsi="宋体" w:eastAsia="宋体" w:cs="Times New Roman"/>
          <w:bCs/>
          <w:color w:val="auto"/>
          <w:szCs w:val="21"/>
          <w:highlight w:val="none"/>
        </w:rPr>
        <w:t>险人出具的劳动</w:t>
      </w:r>
      <w:r>
        <w:rPr>
          <w:rFonts w:hint="eastAsia" w:ascii="宋体" w:hAnsi="宋体" w:eastAsia="宋体" w:cs="Times New Roman"/>
          <w:bCs/>
          <w:color w:val="auto"/>
          <w:szCs w:val="21"/>
          <w:highlight w:val="none"/>
        </w:rPr>
        <w:t>（</w:t>
      </w:r>
      <w:r>
        <w:rPr>
          <w:rFonts w:ascii="宋体" w:hAnsi="宋体" w:eastAsia="宋体" w:cs="Times New Roman"/>
          <w:bCs/>
          <w:color w:val="auto"/>
          <w:szCs w:val="21"/>
          <w:highlight w:val="none"/>
        </w:rPr>
        <w:t>劳资）关系证明或用工备案证明作为赔偿依据（新员工以报到证明、</w:t>
      </w:r>
    </w:p>
    <w:p w14:paraId="586E2C57">
      <w:pPr>
        <w:spacing w:line="540" w:lineRule="exact"/>
        <w:ind w:left="16" w:firstLine="420"/>
        <w:rPr>
          <w:rFonts w:ascii="宋体" w:hAnsi="宋体" w:eastAsia="宋体" w:cs="Times New Roman"/>
          <w:bCs/>
          <w:color w:val="auto"/>
          <w:szCs w:val="21"/>
          <w:highlight w:val="none"/>
        </w:rPr>
      </w:pPr>
      <w:r>
        <w:rPr>
          <w:rFonts w:ascii="宋体" w:hAnsi="宋体" w:eastAsia="宋体" w:cs="Times New Roman"/>
          <w:bCs/>
          <w:color w:val="auto"/>
          <w:szCs w:val="21"/>
          <w:highlight w:val="none"/>
        </w:rPr>
        <w:t>入职手续为准）。</w:t>
      </w:r>
    </w:p>
    <w:p w14:paraId="687B7812">
      <w:pPr>
        <w:numPr>
          <w:ilvl w:val="0"/>
          <w:numId w:val="0"/>
        </w:numPr>
        <w:spacing w:line="540" w:lineRule="exact"/>
        <w:ind w:leftChars="200"/>
        <w:rPr>
          <w:rFonts w:ascii="宋体" w:hAnsi="宋体" w:eastAsia="宋体" w:cs="Times New Roman"/>
          <w:bCs/>
          <w:color w:val="auto"/>
          <w:szCs w:val="21"/>
          <w:highlight w:val="none"/>
        </w:rPr>
      </w:pPr>
      <w:r>
        <w:rPr>
          <w:rFonts w:hint="eastAsia" w:eastAsia="宋体" w:cs="Times New Roman"/>
          <w:bCs/>
          <w:color w:val="auto"/>
          <w:szCs w:val="21"/>
          <w:highlight w:val="none"/>
          <w:lang w:eastAsia="zh-CN"/>
        </w:rPr>
        <w:t>（</w:t>
      </w:r>
      <w:r>
        <w:rPr>
          <w:rFonts w:hint="eastAsia" w:eastAsia="宋体" w:cs="Times New Roman"/>
          <w:bCs/>
          <w:color w:val="auto"/>
          <w:szCs w:val="21"/>
          <w:highlight w:val="none"/>
          <w:lang w:val="en-US" w:eastAsia="zh-CN"/>
        </w:rPr>
        <w:t>2</w:t>
      </w:r>
      <w:r>
        <w:rPr>
          <w:rFonts w:hint="eastAsia" w:eastAsia="宋体" w:cs="Times New Roman"/>
          <w:bCs/>
          <w:color w:val="auto"/>
          <w:szCs w:val="21"/>
          <w:highlight w:val="none"/>
          <w:lang w:eastAsia="zh-CN"/>
        </w:rPr>
        <w:t>）</w:t>
      </w:r>
      <w:r>
        <w:rPr>
          <w:rFonts w:ascii="宋体" w:hAnsi="宋体" w:eastAsia="宋体" w:cs="Times New Roman"/>
          <w:bCs/>
          <w:color w:val="auto"/>
          <w:szCs w:val="21"/>
          <w:highlight w:val="none"/>
        </w:rPr>
        <w:t>事故报告或证明材料约定：</w:t>
      </w:r>
      <w:r>
        <w:rPr>
          <w:rFonts w:hint="eastAsia" w:ascii="宋体" w:hAnsi="宋体" w:eastAsia="宋体" w:cs="Times New Roman"/>
          <w:bCs/>
          <w:color w:val="auto"/>
          <w:szCs w:val="21"/>
          <w:highlight w:val="none"/>
          <w:lang w:val="en-US" w:eastAsia="zh-CN"/>
        </w:rPr>
        <w:t>保险人接受并认可由</w:t>
      </w:r>
      <w:r>
        <w:rPr>
          <w:rFonts w:ascii="宋体" w:hAnsi="宋体" w:eastAsia="宋体" w:cs="Times New Roman"/>
          <w:bCs/>
          <w:color w:val="auto"/>
          <w:szCs w:val="21"/>
          <w:highlight w:val="none"/>
        </w:rPr>
        <w:t>投保人提供签章的事故报告或证明材料</w:t>
      </w:r>
      <w:r>
        <w:rPr>
          <w:rFonts w:hint="eastAsia" w:ascii="宋体" w:hAnsi="宋体" w:eastAsia="宋体" w:cs="Times New Roman"/>
          <w:bCs/>
          <w:color w:val="auto"/>
          <w:szCs w:val="21"/>
          <w:highlight w:val="none"/>
        </w:rPr>
        <w:t>，</w:t>
      </w:r>
      <w:r>
        <w:rPr>
          <w:rFonts w:ascii="宋体" w:hAnsi="宋体" w:eastAsia="宋体" w:cs="Times New Roman"/>
          <w:bCs/>
          <w:color w:val="auto"/>
          <w:szCs w:val="21"/>
          <w:highlight w:val="none"/>
        </w:rPr>
        <w:t>且保险人不得以未向政府安全主管部门报告或未按《生产安全事故报告和调查处理条例》规定进行事故报告和调查处理为理由拒绝赔付或提出比例赔付，但保险人保留调查事故的权利。</w:t>
      </w:r>
    </w:p>
    <w:p w14:paraId="7D9A6D4B">
      <w:pPr>
        <w:numPr>
          <w:ilvl w:val="0"/>
          <w:numId w:val="13"/>
        </w:numPr>
        <w:spacing w:line="540" w:lineRule="exact"/>
        <w:ind w:left="0" w:leftChars="0"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被保险人的</w:t>
      </w:r>
      <w:r>
        <w:rPr>
          <w:rFonts w:hint="eastAsia" w:ascii="宋体" w:hAnsi="宋体" w:eastAsia="宋体" w:cs="Times New Roman"/>
          <w:bCs/>
          <w:color w:val="auto"/>
          <w:szCs w:val="21"/>
          <w:highlight w:val="none"/>
          <w:lang w:val="en-US" w:eastAsia="zh-CN"/>
        </w:rPr>
        <w:t>人员</w:t>
      </w:r>
      <w:r>
        <w:rPr>
          <w:rFonts w:ascii="宋体" w:hAnsi="宋体" w:eastAsia="宋体" w:cs="Times New Roman"/>
          <w:bCs/>
          <w:color w:val="auto"/>
          <w:szCs w:val="21"/>
          <w:highlight w:val="none"/>
        </w:rPr>
        <w:t>在生活区发生的伤亡事故属于本保单保险责任；被保险人的</w:t>
      </w:r>
      <w:r>
        <w:rPr>
          <w:rFonts w:hint="eastAsia" w:ascii="宋体" w:hAnsi="宋体" w:eastAsia="宋体" w:cs="Times New Roman"/>
          <w:bCs/>
          <w:color w:val="auto"/>
          <w:szCs w:val="21"/>
          <w:highlight w:val="none"/>
          <w:lang w:val="en-US" w:eastAsia="zh-CN"/>
        </w:rPr>
        <w:t>人</w:t>
      </w:r>
      <w:r>
        <w:rPr>
          <w:rFonts w:ascii="宋体" w:hAnsi="宋体" w:eastAsia="宋体" w:cs="Times New Roman"/>
          <w:bCs/>
          <w:color w:val="auto"/>
          <w:szCs w:val="21"/>
          <w:highlight w:val="none"/>
        </w:rPr>
        <w:t>员</w:t>
      </w:r>
      <w:r>
        <w:rPr>
          <w:rFonts w:hint="eastAsia" w:ascii="宋体" w:hAnsi="宋体" w:eastAsia="宋体" w:cs="Times New Roman"/>
          <w:bCs/>
          <w:color w:val="auto"/>
          <w:szCs w:val="21"/>
          <w:highlight w:val="none"/>
          <w:lang w:val="en-US" w:eastAsia="zh-CN"/>
        </w:rPr>
        <w:t xml:space="preserve"> </w:t>
      </w:r>
    </w:p>
    <w:p w14:paraId="29782328">
      <w:pPr>
        <w:numPr>
          <w:ilvl w:val="0"/>
          <w:numId w:val="0"/>
        </w:numPr>
        <w:spacing w:line="540" w:lineRule="exact"/>
        <w:ind w:left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在被保险人提供的就餐场所内就餐时，因遭受意外事故或因食物中毒（食物中毒5人以上）导致受伤、残疾或死亡</w:t>
      </w:r>
      <w:r>
        <w:rPr>
          <w:rFonts w:hint="eastAsia" w:ascii="宋体" w:hAnsi="宋体" w:eastAsia="宋体" w:cs="Times New Roman"/>
          <w:bCs/>
          <w:color w:val="auto"/>
          <w:szCs w:val="21"/>
          <w:highlight w:val="none"/>
        </w:rPr>
        <w:t>依照中华人民共和国法律（不包括港、澳、台地区法律），应由被保险人承担的经济赔偿责任，保险人按照本附加险合同约定负责赔偿。</w:t>
      </w:r>
    </w:p>
    <w:p w14:paraId="468E832E">
      <w:pPr>
        <w:numPr>
          <w:ilvl w:val="0"/>
          <w:numId w:val="13"/>
        </w:numPr>
        <w:spacing w:line="540" w:lineRule="exact"/>
        <w:ind w:left="0" w:leftChars="0"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被保险人的从业人员年龄扩展到</w:t>
      </w:r>
      <w:r>
        <w:rPr>
          <w:rFonts w:hint="eastAsia" w:ascii="宋体" w:hAnsi="宋体" w:eastAsia="宋体" w:cs="Times New Roman"/>
          <w:bCs/>
          <w:color w:val="auto"/>
          <w:szCs w:val="21"/>
          <w:highlight w:val="none"/>
          <w:lang w:val="en-US" w:eastAsia="zh-CN"/>
        </w:rPr>
        <w:t>65</w:t>
      </w:r>
      <w:r>
        <w:rPr>
          <w:rFonts w:ascii="宋体" w:hAnsi="宋体" w:eastAsia="宋体" w:cs="Times New Roman"/>
          <w:bCs/>
          <w:color w:val="auto"/>
          <w:szCs w:val="21"/>
          <w:highlight w:val="none"/>
        </w:rPr>
        <w:t>周岁，保险人不得以被保险人安全措施不到</w:t>
      </w:r>
    </w:p>
    <w:p w14:paraId="77D3523F">
      <w:pPr>
        <w:numPr>
          <w:ilvl w:val="0"/>
          <w:numId w:val="0"/>
        </w:numPr>
        <w:spacing w:line="540" w:lineRule="exact"/>
        <w:ind w:left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位或执行安生生产规程和标准时存在纰漏为由拒绝赔付，从业人员进行特种作业或其他施工作业时遭受意外伤害，理赔时需提供特种作业证书或施工作业操作证书。</w:t>
      </w:r>
    </w:p>
    <w:p w14:paraId="3B09C0F6">
      <w:pPr>
        <w:numPr>
          <w:ilvl w:val="0"/>
          <w:numId w:val="13"/>
        </w:numPr>
        <w:spacing w:line="540" w:lineRule="exact"/>
        <w:ind w:left="0" w:leftChars="0"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被保险人涵盖该工程项目的分包商、协作单位等，若出险，其须提供</w:t>
      </w:r>
    </w:p>
    <w:p w14:paraId="4C3BC44F">
      <w:pPr>
        <w:numPr>
          <w:ilvl w:val="0"/>
          <w:numId w:val="0"/>
        </w:numPr>
        <w:spacing w:line="540" w:lineRule="exact"/>
        <w:ind w:left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其与投保人之间的合同。与本项目有关的所有分包商、协作单位，用于本工程项目施工的从业人员，发生事故属于本保险合同的理赔范围。理赔时如无法提供施工人员与施工单位签订的劳动合同，可提供与投保单位及与投保单位在本项目有合约或管理关系的单位的工资发放证明、考勤记录、派遣证明、劳动合同等事实雇佣关系材料予以证明。</w:t>
      </w:r>
    </w:p>
    <w:p w14:paraId="1E8848FB">
      <w:pPr>
        <w:numPr>
          <w:ilvl w:val="0"/>
          <w:numId w:val="0"/>
        </w:numPr>
        <w:spacing w:line="540" w:lineRule="exact"/>
        <w:ind w:left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lang w:eastAsia="zh-CN"/>
        </w:rPr>
        <w:t>（</w:t>
      </w:r>
      <w:r>
        <w:rPr>
          <w:rFonts w:hint="eastAsia" w:ascii="宋体" w:hAnsi="宋体" w:eastAsia="宋体" w:cs="Times New Roman"/>
          <w:bCs/>
          <w:color w:val="auto"/>
          <w:szCs w:val="21"/>
          <w:highlight w:val="none"/>
          <w:lang w:val="en-US" w:eastAsia="zh-CN"/>
        </w:rPr>
        <w:t>6</w:t>
      </w:r>
      <w:r>
        <w:rPr>
          <w:rFonts w:hint="eastAsia" w:ascii="宋体" w:hAnsi="宋体" w:eastAsia="宋体" w:cs="Times New Roman"/>
          <w:bCs/>
          <w:color w:val="auto"/>
          <w:szCs w:val="21"/>
          <w:highlight w:val="none"/>
          <w:lang w:eastAsia="zh-CN"/>
        </w:rPr>
        <w:t>）</w:t>
      </w:r>
      <w:r>
        <w:rPr>
          <w:rFonts w:ascii="宋体" w:hAnsi="宋体" w:eastAsia="宋体" w:cs="Times New Roman"/>
          <w:bCs/>
          <w:color w:val="auto"/>
          <w:szCs w:val="21"/>
          <w:highlight w:val="none"/>
        </w:rPr>
        <w:t>被保险人的从业人员意外伤害医疗费用理赔：被保险人的从业人员</w:t>
      </w:r>
      <w:r>
        <w:rPr>
          <w:rFonts w:hint="eastAsia" w:ascii="宋体" w:hAnsi="宋体" w:cs="Times New Roman"/>
          <w:bCs/>
          <w:color w:val="auto"/>
          <w:szCs w:val="21"/>
          <w:highlight w:val="none"/>
          <w:lang w:val="en-US" w:eastAsia="zh-CN"/>
        </w:rPr>
        <w:t>根据</w:t>
      </w:r>
      <w:r>
        <w:rPr>
          <w:rFonts w:ascii="宋体" w:hAnsi="宋体" w:eastAsia="宋体" w:cs="Times New Roman"/>
          <w:bCs/>
          <w:color w:val="auto"/>
          <w:szCs w:val="21"/>
          <w:highlight w:val="none"/>
        </w:rPr>
        <w:t>病情</w:t>
      </w:r>
      <w:r>
        <w:rPr>
          <w:rFonts w:hint="eastAsia" w:ascii="宋体" w:hAnsi="宋体" w:cs="Times New Roman"/>
          <w:bCs/>
          <w:color w:val="auto"/>
          <w:szCs w:val="21"/>
          <w:highlight w:val="none"/>
          <w:lang w:val="en-US" w:eastAsia="zh-CN"/>
        </w:rPr>
        <w:t>可在</w:t>
      </w:r>
      <w:r>
        <w:rPr>
          <w:rFonts w:ascii="宋体" w:hAnsi="宋体" w:eastAsia="宋体" w:cs="Times New Roman"/>
          <w:bCs/>
          <w:color w:val="auto"/>
          <w:szCs w:val="21"/>
          <w:highlight w:val="none"/>
        </w:rPr>
        <w:t>二级及以上医院或者保险人认可的医疗机构进行治疗。</w:t>
      </w:r>
    </w:p>
    <w:p w14:paraId="1EC71F88">
      <w:pPr>
        <w:numPr>
          <w:ilvl w:val="0"/>
          <w:numId w:val="0"/>
        </w:numPr>
        <w:spacing w:line="540" w:lineRule="exact"/>
        <w:ind w:left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lang w:eastAsia="zh-CN"/>
        </w:rPr>
        <w:t>（</w:t>
      </w:r>
      <w:r>
        <w:rPr>
          <w:rFonts w:hint="eastAsia" w:ascii="宋体" w:hAnsi="宋体" w:eastAsia="宋体" w:cs="Times New Roman"/>
          <w:bCs/>
          <w:color w:val="auto"/>
          <w:szCs w:val="21"/>
          <w:highlight w:val="none"/>
          <w:lang w:val="en-US" w:eastAsia="zh-CN"/>
        </w:rPr>
        <w:t>7</w:t>
      </w:r>
      <w:r>
        <w:rPr>
          <w:rFonts w:hint="eastAsia" w:ascii="宋体" w:hAnsi="宋体" w:eastAsia="宋体" w:cs="Times New Roman"/>
          <w:bCs/>
          <w:color w:val="auto"/>
          <w:szCs w:val="21"/>
          <w:highlight w:val="none"/>
          <w:lang w:eastAsia="zh-CN"/>
        </w:rPr>
        <w:t>）</w:t>
      </w:r>
      <w:r>
        <w:rPr>
          <w:rFonts w:ascii="宋体" w:hAnsi="宋体" w:eastAsia="宋体" w:cs="Times New Roman"/>
          <w:bCs/>
          <w:color w:val="auto"/>
          <w:szCs w:val="21"/>
          <w:highlight w:val="none"/>
        </w:rPr>
        <w:t>在保险期间内，保险人依照主险合同约定应承担残疾保险金给付责任的，对应残</w:t>
      </w:r>
    </w:p>
    <w:p w14:paraId="7365C3E0">
      <w:pPr>
        <w:numPr>
          <w:ilvl w:val="0"/>
          <w:numId w:val="0"/>
        </w:numPr>
        <w:spacing w:line="540" w:lineRule="exact"/>
        <w:ind w:left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疾程度鉴定标准以《劳动能力鉴定职工工伤与职业病致残等级》（GB/T16180-2014）为准。</w:t>
      </w:r>
    </w:p>
    <w:p w14:paraId="442DCB37">
      <w:pPr>
        <w:spacing w:line="540" w:lineRule="exact"/>
        <w:ind w:left="17" w:firstLine="420"/>
        <w:rPr>
          <w:rFonts w:ascii="宋体" w:hAnsi="宋体" w:eastAsia="宋体" w:cs="宋体"/>
          <w:bCs/>
          <w:color w:val="auto"/>
          <w:sz w:val="22"/>
          <w:szCs w:val="21"/>
          <w:highlight w:val="none"/>
        </w:rPr>
      </w:pPr>
      <w:r>
        <w:rPr>
          <w:rFonts w:ascii="宋体" w:hAnsi="宋体" w:eastAsia="宋体" w:cs="Times New Roman"/>
          <w:bCs/>
          <w:color w:val="auto"/>
          <w:szCs w:val="21"/>
          <w:highlight w:val="none"/>
        </w:rPr>
        <w:t>伤残等级赔偿限额比例表</w:t>
      </w:r>
    </w:p>
    <w:tbl>
      <w:tblPr>
        <w:tblStyle w:val="30"/>
        <w:tblW w:w="8851"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754"/>
        <w:gridCol w:w="676"/>
        <w:gridCol w:w="739"/>
        <w:gridCol w:w="724"/>
        <w:gridCol w:w="724"/>
        <w:gridCol w:w="787"/>
        <w:gridCol w:w="833"/>
        <w:gridCol w:w="834"/>
        <w:gridCol w:w="801"/>
        <w:gridCol w:w="707"/>
      </w:tblGrid>
      <w:tr w14:paraId="61FB7E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272" w:type="dxa"/>
            <w:noWrap w:val="0"/>
            <w:vAlign w:val="center"/>
          </w:tcPr>
          <w:p w14:paraId="4CCEE447">
            <w:pPr>
              <w:adjustRightInd w:val="0"/>
              <w:snapToGrid w:val="0"/>
              <w:spacing w:line="600" w:lineRule="exact"/>
              <w:jc w:val="center"/>
              <w:rPr>
                <w:rFonts w:ascii="宋体" w:hAnsi="宋体" w:eastAsia="宋体" w:cs="Times New Roman"/>
                <w:bCs/>
                <w:color w:val="auto"/>
                <w:szCs w:val="21"/>
                <w:highlight w:val="none"/>
              </w:rPr>
            </w:pPr>
            <w:r>
              <w:rPr>
                <w:rFonts w:ascii="宋体" w:hAnsi="宋体" w:eastAsia="宋体" w:cs="Times New Roman"/>
                <w:bCs/>
                <w:color w:val="auto"/>
                <w:szCs w:val="21"/>
                <w:highlight w:val="none"/>
              </w:rPr>
              <w:t>残疾程度</w:t>
            </w:r>
          </w:p>
        </w:tc>
        <w:tc>
          <w:tcPr>
            <w:tcW w:w="754" w:type="dxa"/>
            <w:noWrap w:val="0"/>
            <w:vAlign w:val="center"/>
          </w:tcPr>
          <w:p w14:paraId="765BE1A3">
            <w:pPr>
              <w:adjustRightInd w:val="0"/>
              <w:snapToGrid w:val="0"/>
              <w:spacing w:line="600" w:lineRule="exact"/>
              <w:jc w:val="center"/>
              <w:rPr>
                <w:rFonts w:ascii="宋体" w:hAnsi="宋体" w:eastAsia="宋体" w:cs="Times New Roman"/>
                <w:bCs/>
                <w:color w:val="auto"/>
                <w:szCs w:val="21"/>
                <w:highlight w:val="none"/>
              </w:rPr>
            </w:pPr>
            <w:r>
              <w:rPr>
                <w:rFonts w:ascii="宋体" w:hAnsi="宋体" w:eastAsia="宋体" w:cs="Times New Roman"/>
                <w:bCs/>
                <w:color w:val="auto"/>
                <w:szCs w:val="21"/>
                <w:highlight w:val="none"/>
              </w:rPr>
              <w:t>一级</w:t>
            </w:r>
          </w:p>
        </w:tc>
        <w:tc>
          <w:tcPr>
            <w:tcW w:w="676" w:type="dxa"/>
            <w:noWrap w:val="0"/>
            <w:vAlign w:val="center"/>
          </w:tcPr>
          <w:p w14:paraId="41E8AE71">
            <w:pPr>
              <w:adjustRightInd w:val="0"/>
              <w:snapToGrid w:val="0"/>
              <w:spacing w:line="600" w:lineRule="exact"/>
              <w:jc w:val="center"/>
              <w:rPr>
                <w:rFonts w:ascii="宋体" w:hAnsi="宋体" w:eastAsia="宋体" w:cs="Times New Roman"/>
                <w:bCs/>
                <w:color w:val="auto"/>
                <w:szCs w:val="21"/>
                <w:highlight w:val="none"/>
              </w:rPr>
            </w:pPr>
            <w:r>
              <w:rPr>
                <w:rFonts w:ascii="宋体" w:hAnsi="宋体" w:eastAsia="宋体" w:cs="Times New Roman"/>
                <w:bCs/>
                <w:color w:val="auto"/>
                <w:szCs w:val="21"/>
                <w:highlight w:val="none"/>
              </w:rPr>
              <w:t>二级</w:t>
            </w:r>
          </w:p>
        </w:tc>
        <w:tc>
          <w:tcPr>
            <w:tcW w:w="739" w:type="dxa"/>
            <w:noWrap w:val="0"/>
            <w:vAlign w:val="center"/>
          </w:tcPr>
          <w:p w14:paraId="6806BD1B">
            <w:pPr>
              <w:adjustRightInd w:val="0"/>
              <w:snapToGrid w:val="0"/>
              <w:spacing w:line="600" w:lineRule="exact"/>
              <w:jc w:val="center"/>
              <w:rPr>
                <w:rFonts w:ascii="宋体" w:hAnsi="宋体" w:eastAsia="宋体" w:cs="Times New Roman"/>
                <w:bCs/>
                <w:color w:val="auto"/>
                <w:szCs w:val="21"/>
                <w:highlight w:val="none"/>
              </w:rPr>
            </w:pPr>
            <w:r>
              <w:rPr>
                <w:rFonts w:ascii="宋体" w:hAnsi="宋体" w:eastAsia="宋体" w:cs="Times New Roman"/>
                <w:bCs/>
                <w:color w:val="auto"/>
                <w:szCs w:val="21"/>
                <w:highlight w:val="none"/>
              </w:rPr>
              <w:t>三级</w:t>
            </w:r>
          </w:p>
        </w:tc>
        <w:tc>
          <w:tcPr>
            <w:tcW w:w="724" w:type="dxa"/>
            <w:noWrap w:val="0"/>
            <w:vAlign w:val="center"/>
          </w:tcPr>
          <w:p w14:paraId="42899919">
            <w:pPr>
              <w:adjustRightInd w:val="0"/>
              <w:snapToGrid w:val="0"/>
              <w:spacing w:line="600" w:lineRule="exact"/>
              <w:jc w:val="center"/>
              <w:rPr>
                <w:rFonts w:ascii="宋体" w:hAnsi="宋体" w:eastAsia="宋体" w:cs="Times New Roman"/>
                <w:bCs/>
                <w:color w:val="auto"/>
                <w:szCs w:val="21"/>
                <w:highlight w:val="none"/>
              </w:rPr>
            </w:pPr>
            <w:r>
              <w:rPr>
                <w:rFonts w:ascii="宋体" w:hAnsi="宋体" w:eastAsia="宋体" w:cs="Times New Roman"/>
                <w:bCs/>
                <w:color w:val="auto"/>
                <w:szCs w:val="21"/>
                <w:highlight w:val="none"/>
              </w:rPr>
              <w:t>四级</w:t>
            </w:r>
          </w:p>
        </w:tc>
        <w:tc>
          <w:tcPr>
            <w:tcW w:w="724" w:type="dxa"/>
            <w:noWrap w:val="0"/>
            <w:vAlign w:val="center"/>
          </w:tcPr>
          <w:p w14:paraId="71F744FC">
            <w:pPr>
              <w:adjustRightInd w:val="0"/>
              <w:snapToGrid w:val="0"/>
              <w:spacing w:line="600" w:lineRule="exact"/>
              <w:jc w:val="center"/>
              <w:rPr>
                <w:rFonts w:ascii="宋体" w:hAnsi="宋体" w:eastAsia="宋体" w:cs="Times New Roman"/>
                <w:bCs/>
                <w:color w:val="auto"/>
                <w:szCs w:val="21"/>
                <w:highlight w:val="none"/>
              </w:rPr>
            </w:pPr>
            <w:r>
              <w:rPr>
                <w:rFonts w:ascii="宋体" w:hAnsi="宋体" w:eastAsia="宋体" w:cs="Times New Roman"/>
                <w:bCs/>
                <w:color w:val="auto"/>
                <w:szCs w:val="21"/>
                <w:highlight w:val="none"/>
              </w:rPr>
              <w:t>五级</w:t>
            </w:r>
          </w:p>
        </w:tc>
        <w:tc>
          <w:tcPr>
            <w:tcW w:w="787" w:type="dxa"/>
            <w:noWrap w:val="0"/>
            <w:vAlign w:val="center"/>
          </w:tcPr>
          <w:p w14:paraId="0C8A9E5C">
            <w:pPr>
              <w:adjustRightInd w:val="0"/>
              <w:snapToGrid w:val="0"/>
              <w:spacing w:line="600" w:lineRule="exact"/>
              <w:jc w:val="center"/>
              <w:rPr>
                <w:rFonts w:ascii="宋体" w:hAnsi="宋体" w:eastAsia="宋体" w:cs="Times New Roman"/>
                <w:bCs/>
                <w:color w:val="auto"/>
                <w:szCs w:val="21"/>
                <w:highlight w:val="none"/>
              </w:rPr>
            </w:pPr>
            <w:r>
              <w:rPr>
                <w:rFonts w:ascii="宋体" w:hAnsi="宋体" w:eastAsia="宋体" w:cs="Times New Roman"/>
                <w:bCs/>
                <w:color w:val="auto"/>
                <w:szCs w:val="21"/>
                <w:highlight w:val="none"/>
              </w:rPr>
              <w:t>六级</w:t>
            </w:r>
          </w:p>
        </w:tc>
        <w:tc>
          <w:tcPr>
            <w:tcW w:w="833" w:type="dxa"/>
            <w:noWrap w:val="0"/>
            <w:vAlign w:val="center"/>
          </w:tcPr>
          <w:p w14:paraId="4F8D9CE0">
            <w:pPr>
              <w:adjustRightInd w:val="0"/>
              <w:snapToGrid w:val="0"/>
              <w:spacing w:line="600" w:lineRule="exact"/>
              <w:jc w:val="center"/>
              <w:rPr>
                <w:rFonts w:ascii="宋体" w:hAnsi="宋体" w:eastAsia="宋体" w:cs="Times New Roman"/>
                <w:bCs/>
                <w:color w:val="auto"/>
                <w:szCs w:val="21"/>
                <w:highlight w:val="none"/>
              </w:rPr>
            </w:pPr>
            <w:r>
              <w:rPr>
                <w:rFonts w:ascii="宋体" w:hAnsi="宋体" w:eastAsia="宋体" w:cs="Times New Roman"/>
                <w:bCs/>
                <w:color w:val="auto"/>
                <w:szCs w:val="21"/>
                <w:highlight w:val="none"/>
              </w:rPr>
              <w:t>七级</w:t>
            </w:r>
          </w:p>
        </w:tc>
        <w:tc>
          <w:tcPr>
            <w:tcW w:w="834" w:type="dxa"/>
            <w:noWrap w:val="0"/>
            <w:vAlign w:val="center"/>
          </w:tcPr>
          <w:p w14:paraId="1C8BD210">
            <w:pPr>
              <w:adjustRightInd w:val="0"/>
              <w:snapToGrid w:val="0"/>
              <w:spacing w:line="600" w:lineRule="exact"/>
              <w:jc w:val="center"/>
              <w:rPr>
                <w:rFonts w:ascii="宋体" w:hAnsi="宋体" w:eastAsia="宋体" w:cs="Times New Roman"/>
                <w:bCs/>
                <w:color w:val="auto"/>
                <w:szCs w:val="21"/>
                <w:highlight w:val="none"/>
              </w:rPr>
            </w:pPr>
            <w:r>
              <w:rPr>
                <w:rFonts w:ascii="宋体" w:hAnsi="宋体" w:eastAsia="宋体" w:cs="Times New Roman"/>
                <w:bCs/>
                <w:color w:val="auto"/>
                <w:szCs w:val="21"/>
                <w:highlight w:val="none"/>
              </w:rPr>
              <w:t>八级</w:t>
            </w:r>
          </w:p>
        </w:tc>
        <w:tc>
          <w:tcPr>
            <w:tcW w:w="801" w:type="dxa"/>
            <w:noWrap w:val="0"/>
            <w:vAlign w:val="center"/>
          </w:tcPr>
          <w:p w14:paraId="58560034">
            <w:pPr>
              <w:adjustRightInd w:val="0"/>
              <w:snapToGrid w:val="0"/>
              <w:spacing w:line="600" w:lineRule="exact"/>
              <w:jc w:val="center"/>
              <w:rPr>
                <w:rFonts w:ascii="宋体" w:hAnsi="宋体" w:eastAsia="宋体" w:cs="Times New Roman"/>
                <w:bCs/>
                <w:color w:val="auto"/>
                <w:szCs w:val="21"/>
                <w:highlight w:val="none"/>
              </w:rPr>
            </w:pPr>
            <w:r>
              <w:rPr>
                <w:rFonts w:ascii="宋体" w:hAnsi="宋体" w:eastAsia="宋体" w:cs="Times New Roman"/>
                <w:bCs/>
                <w:color w:val="auto"/>
                <w:szCs w:val="21"/>
                <w:highlight w:val="none"/>
              </w:rPr>
              <w:t>九级</w:t>
            </w:r>
          </w:p>
        </w:tc>
        <w:tc>
          <w:tcPr>
            <w:tcW w:w="707" w:type="dxa"/>
            <w:noWrap w:val="0"/>
            <w:vAlign w:val="center"/>
          </w:tcPr>
          <w:p w14:paraId="47F78D13">
            <w:pPr>
              <w:adjustRightInd w:val="0"/>
              <w:snapToGrid w:val="0"/>
              <w:spacing w:line="600" w:lineRule="exact"/>
              <w:jc w:val="center"/>
              <w:rPr>
                <w:rFonts w:ascii="宋体" w:hAnsi="宋体" w:eastAsia="宋体" w:cs="Times New Roman"/>
                <w:bCs/>
                <w:color w:val="auto"/>
                <w:szCs w:val="21"/>
                <w:highlight w:val="none"/>
              </w:rPr>
            </w:pPr>
            <w:r>
              <w:rPr>
                <w:rFonts w:ascii="宋体" w:hAnsi="宋体" w:eastAsia="宋体" w:cs="Times New Roman"/>
                <w:bCs/>
                <w:color w:val="auto"/>
                <w:szCs w:val="21"/>
                <w:highlight w:val="none"/>
              </w:rPr>
              <w:t>十级</w:t>
            </w:r>
          </w:p>
        </w:tc>
      </w:tr>
      <w:tr w14:paraId="18FD4F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272" w:type="dxa"/>
            <w:noWrap w:val="0"/>
            <w:vAlign w:val="center"/>
          </w:tcPr>
          <w:p w14:paraId="2FD2752E">
            <w:pPr>
              <w:adjustRightInd w:val="0"/>
              <w:snapToGrid w:val="0"/>
              <w:spacing w:line="600" w:lineRule="exact"/>
              <w:jc w:val="center"/>
              <w:rPr>
                <w:rFonts w:ascii="宋体" w:hAnsi="宋体" w:eastAsia="宋体" w:cs="Times New Roman"/>
                <w:bCs/>
                <w:color w:val="auto"/>
                <w:szCs w:val="21"/>
                <w:highlight w:val="none"/>
              </w:rPr>
            </w:pPr>
            <w:r>
              <w:rPr>
                <w:rFonts w:ascii="宋体" w:hAnsi="宋体" w:eastAsia="宋体" w:cs="Times New Roman"/>
                <w:bCs/>
                <w:color w:val="auto"/>
                <w:szCs w:val="21"/>
                <w:highlight w:val="none"/>
              </w:rPr>
              <w:t>给付比例</w:t>
            </w:r>
          </w:p>
        </w:tc>
        <w:tc>
          <w:tcPr>
            <w:tcW w:w="754" w:type="dxa"/>
            <w:noWrap w:val="0"/>
            <w:vAlign w:val="center"/>
          </w:tcPr>
          <w:p w14:paraId="5A6A8678">
            <w:pPr>
              <w:adjustRightInd w:val="0"/>
              <w:snapToGrid w:val="0"/>
              <w:spacing w:line="600" w:lineRule="exact"/>
              <w:jc w:val="center"/>
              <w:rPr>
                <w:rFonts w:ascii="宋体" w:hAnsi="宋体" w:eastAsia="宋体" w:cs="Times New Roman"/>
                <w:bCs/>
                <w:color w:val="auto"/>
                <w:szCs w:val="21"/>
                <w:highlight w:val="none"/>
              </w:rPr>
            </w:pPr>
            <w:r>
              <w:rPr>
                <w:rFonts w:ascii="宋体" w:hAnsi="宋体" w:eastAsia="宋体" w:cs="Times New Roman"/>
                <w:bCs/>
                <w:color w:val="auto"/>
                <w:szCs w:val="21"/>
                <w:highlight w:val="none"/>
              </w:rPr>
              <w:t>100%</w:t>
            </w:r>
          </w:p>
        </w:tc>
        <w:tc>
          <w:tcPr>
            <w:tcW w:w="676" w:type="dxa"/>
            <w:noWrap w:val="0"/>
            <w:vAlign w:val="center"/>
          </w:tcPr>
          <w:p w14:paraId="0C84BFD1">
            <w:pPr>
              <w:adjustRightInd w:val="0"/>
              <w:snapToGrid w:val="0"/>
              <w:spacing w:line="600" w:lineRule="exact"/>
              <w:jc w:val="center"/>
              <w:rPr>
                <w:rFonts w:ascii="宋体" w:hAnsi="宋体" w:eastAsia="宋体" w:cs="Times New Roman"/>
                <w:bCs/>
                <w:color w:val="auto"/>
                <w:szCs w:val="21"/>
                <w:highlight w:val="none"/>
              </w:rPr>
            </w:pPr>
            <w:r>
              <w:rPr>
                <w:rFonts w:ascii="宋体" w:hAnsi="宋体" w:eastAsia="宋体" w:cs="Times New Roman"/>
                <w:bCs/>
                <w:color w:val="auto"/>
                <w:szCs w:val="21"/>
                <w:highlight w:val="none"/>
              </w:rPr>
              <w:t>80%</w:t>
            </w:r>
          </w:p>
        </w:tc>
        <w:tc>
          <w:tcPr>
            <w:tcW w:w="739" w:type="dxa"/>
            <w:noWrap w:val="0"/>
            <w:vAlign w:val="center"/>
          </w:tcPr>
          <w:p w14:paraId="1819B311">
            <w:pPr>
              <w:adjustRightInd w:val="0"/>
              <w:snapToGrid w:val="0"/>
              <w:spacing w:line="600" w:lineRule="exact"/>
              <w:jc w:val="center"/>
              <w:rPr>
                <w:rFonts w:ascii="宋体" w:hAnsi="宋体" w:eastAsia="宋体" w:cs="Times New Roman"/>
                <w:bCs/>
                <w:color w:val="auto"/>
                <w:szCs w:val="21"/>
                <w:highlight w:val="none"/>
              </w:rPr>
            </w:pPr>
            <w:r>
              <w:rPr>
                <w:rFonts w:ascii="宋体" w:hAnsi="宋体" w:eastAsia="宋体" w:cs="Times New Roman"/>
                <w:bCs/>
                <w:color w:val="auto"/>
                <w:szCs w:val="21"/>
                <w:highlight w:val="none"/>
              </w:rPr>
              <w:t>70%</w:t>
            </w:r>
          </w:p>
        </w:tc>
        <w:tc>
          <w:tcPr>
            <w:tcW w:w="724" w:type="dxa"/>
            <w:noWrap w:val="0"/>
            <w:vAlign w:val="center"/>
          </w:tcPr>
          <w:p w14:paraId="1544870F">
            <w:pPr>
              <w:adjustRightInd w:val="0"/>
              <w:snapToGrid w:val="0"/>
              <w:spacing w:line="600" w:lineRule="exact"/>
              <w:jc w:val="center"/>
              <w:rPr>
                <w:rFonts w:ascii="宋体" w:hAnsi="宋体" w:eastAsia="宋体" w:cs="Times New Roman"/>
                <w:bCs/>
                <w:color w:val="auto"/>
                <w:szCs w:val="21"/>
                <w:highlight w:val="none"/>
              </w:rPr>
            </w:pPr>
            <w:r>
              <w:rPr>
                <w:rFonts w:ascii="宋体" w:hAnsi="宋体" w:eastAsia="宋体" w:cs="Times New Roman"/>
                <w:bCs/>
                <w:color w:val="auto"/>
                <w:szCs w:val="21"/>
                <w:highlight w:val="none"/>
              </w:rPr>
              <w:t>60%</w:t>
            </w:r>
          </w:p>
        </w:tc>
        <w:tc>
          <w:tcPr>
            <w:tcW w:w="724" w:type="dxa"/>
            <w:noWrap w:val="0"/>
            <w:vAlign w:val="center"/>
          </w:tcPr>
          <w:p w14:paraId="508EB440">
            <w:pPr>
              <w:adjustRightInd w:val="0"/>
              <w:snapToGrid w:val="0"/>
              <w:spacing w:line="600" w:lineRule="exact"/>
              <w:jc w:val="center"/>
              <w:rPr>
                <w:rFonts w:ascii="宋体" w:hAnsi="宋体" w:eastAsia="宋体" w:cs="Times New Roman"/>
                <w:bCs/>
                <w:color w:val="auto"/>
                <w:szCs w:val="21"/>
                <w:highlight w:val="none"/>
              </w:rPr>
            </w:pPr>
            <w:r>
              <w:rPr>
                <w:rFonts w:ascii="宋体" w:hAnsi="宋体" w:eastAsia="宋体" w:cs="Times New Roman"/>
                <w:bCs/>
                <w:color w:val="auto"/>
                <w:szCs w:val="21"/>
                <w:highlight w:val="none"/>
              </w:rPr>
              <w:t>40%</w:t>
            </w:r>
          </w:p>
        </w:tc>
        <w:tc>
          <w:tcPr>
            <w:tcW w:w="787" w:type="dxa"/>
            <w:noWrap w:val="0"/>
            <w:vAlign w:val="center"/>
          </w:tcPr>
          <w:p w14:paraId="4E7DC416">
            <w:pPr>
              <w:adjustRightInd w:val="0"/>
              <w:snapToGrid w:val="0"/>
              <w:spacing w:line="600" w:lineRule="exact"/>
              <w:jc w:val="center"/>
              <w:rPr>
                <w:rFonts w:ascii="宋体" w:hAnsi="宋体" w:eastAsia="宋体" w:cs="Times New Roman"/>
                <w:bCs/>
                <w:color w:val="auto"/>
                <w:szCs w:val="21"/>
                <w:highlight w:val="none"/>
              </w:rPr>
            </w:pPr>
            <w:r>
              <w:rPr>
                <w:rFonts w:ascii="宋体" w:hAnsi="宋体" w:eastAsia="宋体" w:cs="Times New Roman"/>
                <w:bCs/>
                <w:color w:val="auto"/>
                <w:szCs w:val="21"/>
                <w:highlight w:val="none"/>
              </w:rPr>
              <w:t>30%</w:t>
            </w:r>
          </w:p>
        </w:tc>
        <w:tc>
          <w:tcPr>
            <w:tcW w:w="833" w:type="dxa"/>
            <w:noWrap w:val="0"/>
            <w:vAlign w:val="center"/>
          </w:tcPr>
          <w:p w14:paraId="03939EC5">
            <w:pPr>
              <w:adjustRightInd w:val="0"/>
              <w:snapToGrid w:val="0"/>
              <w:spacing w:line="600" w:lineRule="exact"/>
              <w:jc w:val="center"/>
              <w:rPr>
                <w:rFonts w:ascii="宋体" w:hAnsi="宋体" w:eastAsia="宋体" w:cs="Times New Roman"/>
                <w:bCs/>
                <w:color w:val="auto"/>
                <w:szCs w:val="21"/>
                <w:highlight w:val="none"/>
              </w:rPr>
            </w:pPr>
            <w:r>
              <w:rPr>
                <w:rFonts w:ascii="宋体" w:hAnsi="宋体" w:eastAsia="宋体" w:cs="Times New Roman"/>
                <w:bCs/>
                <w:color w:val="auto"/>
                <w:szCs w:val="21"/>
                <w:highlight w:val="none"/>
              </w:rPr>
              <w:t>20%</w:t>
            </w:r>
          </w:p>
        </w:tc>
        <w:tc>
          <w:tcPr>
            <w:tcW w:w="834" w:type="dxa"/>
            <w:noWrap w:val="0"/>
            <w:vAlign w:val="center"/>
          </w:tcPr>
          <w:p w14:paraId="30EA27D9">
            <w:pPr>
              <w:adjustRightInd w:val="0"/>
              <w:snapToGrid w:val="0"/>
              <w:spacing w:line="600" w:lineRule="exact"/>
              <w:jc w:val="center"/>
              <w:rPr>
                <w:rFonts w:ascii="宋体" w:hAnsi="宋体" w:eastAsia="宋体" w:cs="Times New Roman"/>
                <w:bCs/>
                <w:color w:val="auto"/>
                <w:szCs w:val="21"/>
                <w:highlight w:val="none"/>
              </w:rPr>
            </w:pPr>
            <w:r>
              <w:rPr>
                <w:rFonts w:ascii="宋体" w:hAnsi="宋体" w:eastAsia="宋体" w:cs="Times New Roman"/>
                <w:bCs/>
                <w:color w:val="auto"/>
                <w:szCs w:val="21"/>
                <w:highlight w:val="none"/>
              </w:rPr>
              <w:t>15%</w:t>
            </w:r>
          </w:p>
        </w:tc>
        <w:tc>
          <w:tcPr>
            <w:tcW w:w="801" w:type="dxa"/>
            <w:noWrap w:val="0"/>
            <w:vAlign w:val="center"/>
          </w:tcPr>
          <w:p w14:paraId="764F9517">
            <w:pPr>
              <w:adjustRightInd w:val="0"/>
              <w:snapToGrid w:val="0"/>
              <w:spacing w:line="600" w:lineRule="exact"/>
              <w:jc w:val="center"/>
              <w:rPr>
                <w:rFonts w:ascii="宋体" w:hAnsi="宋体" w:eastAsia="宋体" w:cs="Times New Roman"/>
                <w:bCs/>
                <w:color w:val="auto"/>
                <w:szCs w:val="21"/>
                <w:highlight w:val="none"/>
              </w:rPr>
            </w:pPr>
            <w:r>
              <w:rPr>
                <w:rFonts w:ascii="宋体" w:hAnsi="宋体" w:eastAsia="宋体" w:cs="Times New Roman"/>
                <w:bCs/>
                <w:color w:val="auto"/>
                <w:szCs w:val="21"/>
                <w:highlight w:val="none"/>
              </w:rPr>
              <w:t>10%</w:t>
            </w:r>
          </w:p>
        </w:tc>
        <w:tc>
          <w:tcPr>
            <w:tcW w:w="707" w:type="dxa"/>
            <w:noWrap w:val="0"/>
            <w:vAlign w:val="center"/>
          </w:tcPr>
          <w:p w14:paraId="4BBA08EA">
            <w:pPr>
              <w:adjustRightInd w:val="0"/>
              <w:snapToGrid w:val="0"/>
              <w:spacing w:line="600" w:lineRule="exact"/>
              <w:jc w:val="center"/>
              <w:rPr>
                <w:rFonts w:ascii="宋体" w:hAnsi="宋体" w:eastAsia="宋体" w:cs="Times New Roman"/>
                <w:bCs/>
                <w:color w:val="auto"/>
                <w:szCs w:val="21"/>
                <w:highlight w:val="none"/>
              </w:rPr>
            </w:pPr>
            <w:r>
              <w:rPr>
                <w:rFonts w:ascii="宋体" w:hAnsi="宋体" w:eastAsia="宋体" w:cs="Times New Roman"/>
                <w:bCs/>
                <w:color w:val="auto"/>
                <w:szCs w:val="21"/>
                <w:highlight w:val="none"/>
              </w:rPr>
              <w:t>5%</w:t>
            </w:r>
          </w:p>
        </w:tc>
      </w:tr>
    </w:tbl>
    <w:p w14:paraId="2C0BD042">
      <w:pPr>
        <w:numPr>
          <w:ilvl w:val="0"/>
          <w:numId w:val="0"/>
        </w:numPr>
        <w:spacing w:line="520" w:lineRule="exact"/>
        <w:ind w:left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lang w:eastAsia="zh-CN"/>
        </w:rPr>
        <w:t>（</w:t>
      </w:r>
      <w:r>
        <w:rPr>
          <w:rFonts w:hint="eastAsia" w:ascii="宋体" w:hAnsi="宋体" w:eastAsia="宋体" w:cs="Times New Roman"/>
          <w:bCs/>
          <w:color w:val="auto"/>
          <w:szCs w:val="21"/>
          <w:highlight w:val="none"/>
          <w:lang w:val="en-US" w:eastAsia="zh-CN"/>
        </w:rPr>
        <w:t>8</w:t>
      </w:r>
      <w:r>
        <w:rPr>
          <w:rFonts w:hint="eastAsia" w:ascii="宋体" w:hAnsi="宋体" w:eastAsia="宋体" w:cs="Times New Roman"/>
          <w:bCs/>
          <w:color w:val="auto"/>
          <w:szCs w:val="21"/>
          <w:highlight w:val="none"/>
          <w:lang w:eastAsia="zh-CN"/>
        </w:rPr>
        <w:t>）</w:t>
      </w:r>
      <w:r>
        <w:rPr>
          <w:rFonts w:ascii="宋体" w:hAnsi="宋体" w:eastAsia="宋体" w:cs="Times New Roman"/>
          <w:bCs/>
          <w:color w:val="auto"/>
          <w:szCs w:val="21"/>
          <w:highlight w:val="none"/>
        </w:rPr>
        <w:t>在保险期间内，被保险人在本保险合同承保区域/范围内依法从事建设、施工等相关工作过程中，因发生意外事故导致被保险人的从业人员人身损害的，应由被保险人承担的经济赔偿责任，保险人按照本保险合同约定负责赔偿</w:t>
      </w:r>
      <w:r>
        <w:rPr>
          <w:rFonts w:hint="eastAsia" w:ascii="宋体" w:hAnsi="宋体" w:eastAsia="宋体" w:cs="Times New Roman"/>
          <w:bCs/>
          <w:color w:val="auto"/>
          <w:szCs w:val="21"/>
          <w:highlight w:val="none"/>
          <w:lang w:eastAsia="zh-CN"/>
        </w:rPr>
        <w:t>，</w:t>
      </w:r>
      <w:r>
        <w:rPr>
          <w:rFonts w:ascii="宋体" w:hAnsi="宋体" w:eastAsia="宋体" w:cs="Times New Roman"/>
          <w:bCs/>
          <w:color w:val="auto"/>
          <w:szCs w:val="21"/>
          <w:highlight w:val="none"/>
        </w:rPr>
        <w:t>但最高不超过本保险合同约定的每人死亡赔偿限额。发生</w:t>
      </w:r>
      <w:r>
        <w:rPr>
          <w:rFonts w:ascii="宋体" w:hAnsi="宋体" w:eastAsia="宋体" w:cs="Times New Roman"/>
          <w:bCs/>
          <w:color w:val="auto"/>
          <w:szCs w:val="21"/>
          <w:highlight w:val="none"/>
          <w:lang w:eastAsia="zh-Hans"/>
        </w:rPr>
        <w:t>伤残</w:t>
      </w:r>
      <w:r>
        <w:rPr>
          <w:rFonts w:ascii="宋体" w:hAnsi="宋体" w:eastAsia="宋体" w:cs="Times New Roman"/>
          <w:bCs/>
          <w:color w:val="auto"/>
          <w:szCs w:val="21"/>
          <w:highlight w:val="none"/>
        </w:rPr>
        <w:t>事故，保险人赔付</w:t>
      </w:r>
      <w:r>
        <w:rPr>
          <w:rFonts w:ascii="宋体" w:hAnsi="宋体" w:eastAsia="宋体" w:cs="Times New Roman"/>
          <w:bCs/>
          <w:color w:val="auto"/>
          <w:szCs w:val="21"/>
          <w:highlight w:val="none"/>
          <w:lang w:eastAsia="zh-Hans"/>
        </w:rPr>
        <w:t>以工伤</w:t>
      </w:r>
      <w:r>
        <w:rPr>
          <w:rFonts w:ascii="宋体" w:hAnsi="宋体" w:eastAsia="宋体" w:cs="Times New Roman"/>
          <w:bCs/>
          <w:color w:val="auto"/>
          <w:szCs w:val="21"/>
          <w:highlight w:val="none"/>
        </w:rPr>
        <w:t>条例</w:t>
      </w:r>
      <w:r>
        <w:rPr>
          <w:rFonts w:ascii="宋体" w:hAnsi="宋体" w:eastAsia="宋体" w:cs="Times New Roman"/>
          <w:bCs/>
          <w:color w:val="auto"/>
          <w:szCs w:val="21"/>
          <w:highlight w:val="none"/>
          <w:lang w:eastAsia="zh-Hans"/>
        </w:rPr>
        <w:t>赔偿标准为依据</w:t>
      </w:r>
      <w:r>
        <w:rPr>
          <w:rFonts w:ascii="宋体" w:hAnsi="宋体" w:eastAsia="宋体" w:cs="Times New Roman"/>
          <w:bCs/>
          <w:color w:val="auto"/>
          <w:szCs w:val="21"/>
          <w:highlight w:val="none"/>
        </w:rPr>
        <w:t>（赔偿项目包括：医疗费、</w:t>
      </w:r>
      <w:r>
        <w:rPr>
          <w:rFonts w:hint="eastAsia" w:ascii="宋体" w:hAnsi="宋体" w:eastAsia="宋体" w:cs="Times New Roman"/>
          <w:bCs/>
          <w:color w:val="auto"/>
          <w:szCs w:val="21"/>
          <w:highlight w:val="none"/>
          <w:lang w:val="en-US" w:eastAsia="zh-CN"/>
        </w:rPr>
        <w:t>误工费</w:t>
      </w:r>
      <w:r>
        <w:rPr>
          <w:rFonts w:ascii="宋体" w:hAnsi="宋体" w:eastAsia="宋体" w:cs="Times New Roman"/>
          <w:bCs/>
          <w:color w:val="auto"/>
          <w:szCs w:val="21"/>
          <w:highlight w:val="none"/>
        </w:rPr>
        <w:t>、伤残赔偿金、死亡赔偿金）。</w:t>
      </w:r>
    </w:p>
    <w:p w14:paraId="04363921">
      <w:pPr>
        <w:pStyle w:val="2"/>
        <w:numPr>
          <w:ilvl w:val="0"/>
          <w:numId w:val="0"/>
        </w:numPr>
        <w:ind w:leftChars="200"/>
        <w:jc w:val="both"/>
        <w:rPr>
          <w:rFonts w:hint="eastAsia" w:ascii="宋体" w:hAnsi="宋体" w:eastAsia="宋体" w:cs="Times New Roman"/>
          <w:b w:val="0"/>
          <w:bCs/>
          <w:color w:val="auto"/>
          <w:sz w:val="21"/>
          <w:szCs w:val="21"/>
          <w:highlight w:val="none"/>
          <w:lang w:val="en-US" w:eastAsia="zh-CN" w:bidi="ar-SA"/>
        </w:rPr>
      </w:pPr>
      <w:r>
        <w:rPr>
          <w:rFonts w:hint="eastAsia" w:ascii="宋体" w:hAnsi="宋体" w:eastAsia="宋体" w:cs="Times New Roman"/>
          <w:b w:val="0"/>
          <w:bCs/>
          <w:color w:val="auto"/>
          <w:sz w:val="21"/>
          <w:szCs w:val="21"/>
          <w:highlight w:val="none"/>
          <w:lang w:val="en-US" w:eastAsia="zh-CN" w:bidi="ar-SA"/>
        </w:rPr>
        <w:t>（9）</w:t>
      </w:r>
      <w:r>
        <w:rPr>
          <w:rFonts w:ascii="宋体" w:hAnsi="宋体" w:eastAsia="宋体" w:cs="Times New Roman"/>
          <w:b w:val="0"/>
          <w:bCs/>
          <w:color w:val="auto"/>
          <w:sz w:val="21"/>
          <w:szCs w:val="21"/>
          <w:highlight w:val="none"/>
          <w:lang w:val="en-US" w:eastAsia="zh-CN" w:bidi="ar-SA"/>
        </w:rPr>
        <w:t>保险人承保区域/范围包括</w:t>
      </w:r>
      <w:r>
        <w:rPr>
          <w:rFonts w:ascii="宋体" w:hAnsi="宋体" w:eastAsia="宋体" w:cs="Times New Roman"/>
          <w:b w:val="0"/>
          <w:bCs/>
          <w:color w:val="auto"/>
          <w:sz w:val="21"/>
          <w:szCs w:val="21"/>
          <w:highlight w:val="none"/>
          <w:lang w:val="en-US" w:eastAsia="zh-Hans" w:bidi="ar-SA"/>
        </w:rPr>
        <w:t>被保险人</w:t>
      </w:r>
      <w:r>
        <w:rPr>
          <w:rFonts w:ascii="宋体" w:hAnsi="宋体" w:eastAsia="宋体" w:cs="Times New Roman"/>
          <w:b w:val="0"/>
          <w:bCs/>
          <w:color w:val="auto"/>
          <w:sz w:val="21"/>
          <w:szCs w:val="21"/>
          <w:highlight w:val="none"/>
          <w:lang w:val="en-US" w:eastAsia="zh-CN" w:bidi="ar-SA"/>
        </w:rPr>
        <w:t>建设施工区域、</w:t>
      </w:r>
      <w:r>
        <w:rPr>
          <w:rFonts w:ascii="宋体" w:hAnsi="宋体" w:eastAsia="宋体" w:cs="Times New Roman"/>
          <w:b w:val="0"/>
          <w:bCs/>
          <w:color w:val="auto"/>
          <w:sz w:val="21"/>
          <w:szCs w:val="21"/>
          <w:highlight w:val="none"/>
          <w:lang w:val="en-US" w:eastAsia="zh-Hans" w:bidi="ar-SA"/>
        </w:rPr>
        <w:t>场站、仓库、</w:t>
      </w:r>
      <w:r>
        <w:rPr>
          <w:rFonts w:ascii="宋体" w:hAnsi="宋体" w:eastAsia="宋体" w:cs="Times New Roman"/>
          <w:b w:val="0"/>
          <w:bCs/>
          <w:color w:val="auto"/>
          <w:sz w:val="21"/>
          <w:szCs w:val="21"/>
          <w:highlight w:val="none"/>
          <w:lang w:val="en-US" w:eastAsia="zh-CN" w:bidi="ar-SA"/>
        </w:rPr>
        <w:t>办公区域、</w:t>
      </w:r>
    </w:p>
    <w:p w14:paraId="0826F0CB">
      <w:pPr>
        <w:pStyle w:val="2"/>
        <w:numPr>
          <w:ilvl w:val="0"/>
          <w:numId w:val="0"/>
        </w:numPr>
        <w:ind w:firstLine="440" w:firstLineChars="200"/>
        <w:jc w:val="both"/>
        <w:rPr>
          <w:rFonts w:ascii="宋体" w:hAnsi="宋体" w:eastAsia="宋体" w:cs="Times New Roman"/>
          <w:b w:val="0"/>
          <w:bCs/>
          <w:color w:val="auto"/>
          <w:sz w:val="21"/>
          <w:szCs w:val="21"/>
          <w:highlight w:val="none"/>
          <w:lang w:val="en-US" w:eastAsia="zh-CN" w:bidi="ar-SA"/>
        </w:rPr>
      </w:pPr>
      <w:r>
        <w:rPr>
          <w:rFonts w:ascii="宋体" w:hAnsi="宋体" w:eastAsia="宋体" w:cs="Times New Roman"/>
          <w:b w:val="0"/>
          <w:bCs/>
          <w:color w:val="auto"/>
          <w:sz w:val="21"/>
          <w:szCs w:val="21"/>
          <w:highlight w:val="none"/>
          <w:lang w:val="en-US" w:eastAsia="zh-CN" w:bidi="ar-SA"/>
        </w:rPr>
        <w:t>生活区域等。</w:t>
      </w:r>
    </w:p>
    <w:p w14:paraId="6F012545">
      <w:pPr>
        <w:numPr>
          <w:ilvl w:val="0"/>
          <w:numId w:val="0"/>
        </w:numPr>
        <w:spacing w:line="52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lang w:eastAsia="zh-CN"/>
        </w:rPr>
        <w:t>（</w:t>
      </w:r>
      <w:r>
        <w:rPr>
          <w:rFonts w:hint="eastAsia" w:ascii="宋体" w:hAnsi="宋体" w:eastAsia="宋体" w:cs="Times New Roman"/>
          <w:bCs/>
          <w:color w:val="auto"/>
          <w:szCs w:val="21"/>
          <w:highlight w:val="none"/>
          <w:lang w:val="en-US" w:eastAsia="zh-CN"/>
        </w:rPr>
        <w:t>10</w:t>
      </w:r>
      <w:r>
        <w:rPr>
          <w:rFonts w:hint="eastAsia" w:ascii="宋体" w:hAnsi="宋体" w:eastAsia="宋体" w:cs="Times New Roman"/>
          <w:bCs/>
          <w:color w:val="auto"/>
          <w:szCs w:val="21"/>
          <w:highlight w:val="none"/>
          <w:lang w:eastAsia="zh-CN"/>
        </w:rPr>
        <w:t>）</w:t>
      </w:r>
      <w:r>
        <w:rPr>
          <w:rFonts w:hint="eastAsia" w:ascii="宋体" w:hAnsi="宋体" w:eastAsia="宋体" w:cs="Times New Roman"/>
          <w:bCs/>
          <w:color w:val="auto"/>
          <w:szCs w:val="21"/>
          <w:highlight w:val="none"/>
        </w:rPr>
        <w:t>未取得对应的特种作业证书进行特种作业操作引起的事故，保险公司不承担保险责任。特种作业相关定义以浙江省建设厅的浙江省建筑施工特种作业人员管理办法规定为准。</w:t>
      </w:r>
    </w:p>
    <w:p w14:paraId="0D00EFF8">
      <w:pPr>
        <w:numPr>
          <w:ilvl w:val="0"/>
          <w:numId w:val="0"/>
        </w:numPr>
        <w:spacing w:line="520" w:lineRule="exact"/>
        <w:ind w:firstLine="420" w:firstLineChars="200"/>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eastAsia="zh-CN"/>
        </w:rPr>
        <w:t>（</w:t>
      </w:r>
      <w:r>
        <w:rPr>
          <w:rFonts w:hint="eastAsia" w:ascii="宋体" w:hAnsi="宋体" w:eastAsia="宋体" w:cs="Times New Roman"/>
          <w:bCs/>
          <w:color w:val="auto"/>
          <w:szCs w:val="21"/>
          <w:highlight w:val="none"/>
          <w:lang w:val="en-US" w:eastAsia="zh-CN"/>
        </w:rPr>
        <w:t>11</w:t>
      </w:r>
      <w:r>
        <w:rPr>
          <w:rFonts w:hint="eastAsia" w:ascii="宋体" w:hAnsi="宋体" w:eastAsia="宋体" w:cs="Times New Roman"/>
          <w:bCs/>
          <w:color w:val="auto"/>
          <w:szCs w:val="21"/>
          <w:highlight w:val="none"/>
          <w:lang w:eastAsia="zh-CN"/>
        </w:rPr>
        <w:t>）</w:t>
      </w:r>
      <w:r>
        <w:rPr>
          <w:rFonts w:hint="eastAsia" w:ascii="宋体" w:hAnsi="宋体" w:eastAsia="宋体" w:cs="Times New Roman"/>
          <w:bCs/>
          <w:color w:val="auto"/>
          <w:szCs w:val="21"/>
          <w:highlight w:val="none"/>
        </w:rPr>
        <w:t>被保险人从业人员从事高空（高处）作业时，必须按照相关行业安全管理规定（包括但不限于必须佩带安全绳、安全带或者安装防护网架等安全设施设备）开展作业活动，否则本保险公司对可能发生的人身伤亡及医疗费用根据事故发生与违规操作的关联性，予以免赔50%直至拒赔；根据GB/T3608《高处作业分级》国家标准的规定，凡在有可能坠落的高处进行施工作业，当坠落高度距离基准在2米及2米以上时，该项作业即称为高空（高处）作业。</w:t>
      </w:r>
    </w:p>
    <w:p w14:paraId="10FEEECB">
      <w:pPr>
        <w:pStyle w:val="4"/>
        <w:spacing w:before="156" w:after="156"/>
        <w:rPr>
          <w:rFonts w:hint="eastAsia"/>
          <w:color w:val="auto"/>
          <w:sz w:val="24"/>
          <w:szCs w:val="24"/>
          <w:highlight w:val="none"/>
        </w:rPr>
      </w:pPr>
      <w:r>
        <w:rPr>
          <w:rFonts w:hint="eastAsia"/>
          <w:color w:val="auto"/>
          <w:sz w:val="24"/>
          <w:szCs w:val="24"/>
          <w:highlight w:val="none"/>
        </w:rPr>
        <w:t>十八、赔偿办法及理赔流程约定：</w:t>
      </w:r>
    </w:p>
    <w:p w14:paraId="318CF1F6">
      <w:pPr>
        <w:pStyle w:val="5"/>
        <w:spacing w:before="156" w:after="156"/>
        <w:rPr>
          <w:rFonts w:hint="eastAsia"/>
          <w:color w:val="auto"/>
          <w:highlight w:val="none"/>
        </w:rPr>
      </w:pPr>
      <w:r>
        <w:rPr>
          <w:rFonts w:hint="eastAsia"/>
          <w:color w:val="auto"/>
          <w:highlight w:val="none"/>
        </w:rPr>
        <w:t>（一）报案和查勘</w:t>
      </w:r>
    </w:p>
    <w:p w14:paraId="7D4FBEF3">
      <w:pPr>
        <w:spacing w:line="400" w:lineRule="exact"/>
        <w:ind w:firstLine="420" w:firstLineChars="200"/>
        <w:rPr>
          <w:rFonts w:hint="eastAsia" w:cs="宋体"/>
          <w:bCs/>
          <w:color w:val="auto"/>
          <w:szCs w:val="21"/>
          <w:highlight w:val="none"/>
          <w:shd w:val="clear" w:color="auto" w:fill="auto"/>
        </w:rPr>
      </w:pPr>
      <w:r>
        <w:rPr>
          <w:rFonts w:hint="eastAsia" w:cs="宋体"/>
          <w:bCs/>
          <w:color w:val="auto"/>
          <w:szCs w:val="21"/>
          <w:highlight w:val="none"/>
          <w:shd w:val="clear" w:color="auto" w:fill="auto"/>
        </w:rPr>
        <w:t>1.发生保险事故，被保险人应在事故发生后二十四小时内以电话或书面形式通知保险经</w:t>
      </w:r>
    </w:p>
    <w:p w14:paraId="71F54BFE">
      <w:pPr>
        <w:spacing w:line="400" w:lineRule="exact"/>
        <w:ind w:firstLine="420" w:firstLineChars="200"/>
        <w:rPr>
          <w:rFonts w:hint="eastAsia" w:cs="宋体"/>
          <w:bCs/>
          <w:color w:val="auto"/>
          <w:szCs w:val="21"/>
          <w:highlight w:val="none"/>
          <w:shd w:val="clear" w:color="auto" w:fill="auto"/>
        </w:rPr>
      </w:pPr>
      <w:r>
        <w:rPr>
          <w:rFonts w:hint="eastAsia" w:cs="宋体"/>
          <w:bCs/>
          <w:color w:val="auto"/>
          <w:szCs w:val="21"/>
          <w:highlight w:val="none"/>
          <w:shd w:val="clear" w:color="auto" w:fill="auto"/>
        </w:rPr>
        <w:t>纪人</w:t>
      </w:r>
      <w:r>
        <w:rPr>
          <w:rFonts w:hint="eastAsia" w:cs="宋体"/>
          <w:bCs/>
          <w:color w:val="auto"/>
          <w:szCs w:val="21"/>
          <w:highlight w:val="none"/>
          <w:shd w:val="clear" w:color="auto" w:fill="auto"/>
          <w:lang w:val="en-US" w:eastAsia="zh-CN"/>
        </w:rPr>
        <w:t>或乎席</w:t>
      </w:r>
      <w:r>
        <w:rPr>
          <w:rFonts w:hint="eastAsia" w:cs="宋体"/>
          <w:bCs/>
          <w:color w:val="auto"/>
          <w:szCs w:val="21"/>
          <w:highlight w:val="none"/>
          <w:shd w:val="clear" w:color="auto" w:fill="auto"/>
        </w:rPr>
        <w:t>保险人，同时尽可能采取合理措施防止损失扩大。</w:t>
      </w:r>
    </w:p>
    <w:p w14:paraId="4F85CAA6">
      <w:pPr>
        <w:numPr>
          <w:ilvl w:val="0"/>
          <w:numId w:val="0"/>
        </w:numPr>
        <w:spacing w:line="400" w:lineRule="exact"/>
        <w:ind w:firstLine="420" w:firstLineChars="200"/>
        <w:rPr>
          <w:rFonts w:hint="eastAsia" w:cs="宋体"/>
          <w:bCs/>
          <w:color w:val="auto"/>
          <w:szCs w:val="21"/>
          <w:highlight w:val="none"/>
          <w:shd w:val="clear" w:color="auto" w:fill="auto"/>
        </w:rPr>
      </w:pPr>
      <w:r>
        <w:rPr>
          <w:rFonts w:hint="eastAsia" w:cs="宋体"/>
          <w:bCs/>
          <w:color w:val="auto"/>
          <w:szCs w:val="21"/>
          <w:highlight w:val="none"/>
          <w:shd w:val="clear" w:color="auto" w:fill="auto"/>
          <w:lang w:val="en-US" w:eastAsia="zh-CN"/>
        </w:rPr>
        <w:t>2.</w:t>
      </w:r>
      <w:r>
        <w:rPr>
          <w:rFonts w:hint="eastAsia" w:cs="宋体"/>
          <w:bCs/>
          <w:color w:val="auto"/>
          <w:szCs w:val="21"/>
          <w:highlight w:val="none"/>
          <w:shd w:val="clear" w:color="auto" w:fill="auto"/>
        </w:rPr>
        <w:t>保险人在接到被保险人电话或书面</w:t>
      </w:r>
      <w:r>
        <w:rPr>
          <w:rFonts w:hint="eastAsia" w:cs="宋体"/>
          <w:bCs/>
          <w:color w:val="auto"/>
          <w:szCs w:val="21"/>
          <w:highlight w:val="none"/>
          <w:shd w:val="clear" w:color="auto" w:fill="auto"/>
          <w:lang w:val="en-US" w:eastAsia="zh-CN"/>
        </w:rPr>
        <w:t>报案</w:t>
      </w:r>
      <w:r>
        <w:rPr>
          <w:rFonts w:hint="eastAsia" w:cs="宋体"/>
          <w:bCs/>
          <w:color w:val="auto"/>
          <w:szCs w:val="21"/>
          <w:highlight w:val="none"/>
          <w:shd w:val="clear" w:color="auto" w:fill="auto"/>
        </w:rPr>
        <w:t>通知后 4 小时内</w:t>
      </w:r>
      <w:r>
        <w:rPr>
          <w:rFonts w:hint="eastAsia" w:cs="宋体"/>
          <w:bCs/>
          <w:color w:val="auto"/>
          <w:szCs w:val="21"/>
          <w:highlight w:val="none"/>
          <w:shd w:val="clear" w:color="auto" w:fill="auto"/>
          <w:lang w:val="en-US" w:eastAsia="zh-CN"/>
        </w:rPr>
        <w:t>应</w:t>
      </w:r>
      <w:r>
        <w:rPr>
          <w:rFonts w:hint="eastAsia" w:cs="宋体"/>
          <w:bCs/>
          <w:color w:val="auto"/>
          <w:szCs w:val="21"/>
          <w:highlight w:val="none"/>
          <w:shd w:val="clear" w:color="auto" w:fill="auto"/>
        </w:rPr>
        <w:t>派代表到现场查勘定</w:t>
      </w:r>
    </w:p>
    <w:p w14:paraId="76F2E3FA">
      <w:pPr>
        <w:numPr>
          <w:ilvl w:val="0"/>
          <w:numId w:val="0"/>
        </w:numPr>
        <w:spacing w:line="400" w:lineRule="exact"/>
        <w:ind w:left="420" w:leftChars="200" w:firstLine="0" w:firstLineChars="0"/>
        <w:rPr>
          <w:rFonts w:hint="eastAsia" w:cs="宋体"/>
          <w:bCs/>
          <w:color w:val="auto"/>
          <w:szCs w:val="21"/>
          <w:highlight w:val="none"/>
          <w:shd w:val="clear" w:color="auto" w:fill="auto"/>
        </w:rPr>
      </w:pPr>
      <w:r>
        <w:rPr>
          <w:rFonts w:hint="eastAsia" w:cs="宋体"/>
          <w:bCs/>
          <w:color w:val="auto"/>
          <w:szCs w:val="21"/>
          <w:highlight w:val="none"/>
          <w:shd w:val="clear" w:color="auto" w:fill="auto"/>
        </w:rPr>
        <w:t>损，在与被保险人共同进行初步查验后，填写保险人代表现场查勘报告表，提出下一步处理意见，并一次性提出被保险人应提交的《索赔材料一览表》。</w:t>
      </w:r>
    </w:p>
    <w:p w14:paraId="7D8F3C6D">
      <w:pPr>
        <w:numPr>
          <w:ilvl w:val="0"/>
          <w:numId w:val="0"/>
        </w:numPr>
        <w:spacing w:line="400" w:lineRule="exact"/>
        <w:ind w:leftChars="200"/>
        <w:rPr>
          <w:rFonts w:hint="eastAsia" w:cs="宋体"/>
          <w:bCs/>
          <w:color w:val="auto"/>
          <w:szCs w:val="21"/>
          <w:highlight w:val="none"/>
          <w:shd w:val="clear" w:color="auto" w:fill="auto"/>
        </w:rPr>
      </w:pPr>
      <w:r>
        <w:rPr>
          <w:rFonts w:hint="eastAsia" w:cs="宋体"/>
          <w:bCs/>
          <w:color w:val="auto"/>
          <w:szCs w:val="21"/>
          <w:highlight w:val="none"/>
          <w:shd w:val="clear" w:color="auto" w:fill="auto"/>
          <w:lang w:val="en-US" w:eastAsia="zh-CN"/>
        </w:rPr>
        <w:t>3.</w:t>
      </w:r>
      <w:r>
        <w:rPr>
          <w:rFonts w:hint="eastAsia" w:cs="宋体"/>
          <w:bCs/>
          <w:color w:val="auto"/>
          <w:szCs w:val="21"/>
          <w:highlight w:val="none"/>
          <w:shd w:val="clear" w:color="auto" w:fill="auto"/>
        </w:rPr>
        <w:t>在保险事故发生后，</w:t>
      </w:r>
      <w:r>
        <w:rPr>
          <w:rFonts w:hint="eastAsia" w:cs="宋体"/>
          <w:bCs/>
          <w:color w:val="auto"/>
          <w:szCs w:val="21"/>
          <w:highlight w:val="none"/>
          <w:shd w:val="clear" w:color="auto" w:fill="auto"/>
          <w:lang w:val="en-US" w:eastAsia="zh-CN"/>
        </w:rPr>
        <w:t>接到报案的</w:t>
      </w:r>
      <w:r>
        <w:rPr>
          <w:rFonts w:hint="eastAsia" w:cs="宋体"/>
          <w:bCs/>
          <w:color w:val="auto"/>
          <w:szCs w:val="21"/>
          <w:highlight w:val="none"/>
          <w:shd w:val="clear" w:color="auto" w:fill="auto"/>
        </w:rPr>
        <w:t>保险人代表 4 小时后未能赶到现场，为满足工程</w:t>
      </w:r>
      <w:r>
        <w:rPr>
          <w:rFonts w:hint="eastAsia" w:cs="宋体"/>
          <w:bCs/>
          <w:color w:val="auto"/>
          <w:szCs w:val="21"/>
          <w:highlight w:val="none"/>
          <w:shd w:val="clear" w:color="auto" w:fill="auto"/>
          <w:lang w:val="en-US" w:eastAsia="zh-CN"/>
        </w:rPr>
        <w:t xml:space="preserve"> </w:t>
      </w:r>
    </w:p>
    <w:p w14:paraId="548EF0A2">
      <w:pPr>
        <w:numPr>
          <w:ilvl w:val="0"/>
          <w:numId w:val="0"/>
        </w:numPr>
        <w:spacing w:line="400" w:lineRule="exact"/>
        <w:ind w:leftChars="200"/>
        <w:rPr>
          <w:rFonts w:hint="eastAsia" w:cs="宋体"/>
          <w:bCs/>
          <w:color w:val="auto"/>
          <w:szCs w:val="21"/>
          <w:highlight w:val="none"/>
          <w:shd w:val="clear" w:color="auto" w:fill="auto"/>
        </w:rPr>
      </w:pPr>
      <w:r>
        <w:rPr>
          <w:rFonts w:hint="eastAsia" w:cs="宋体"/>
          <w:bCs/>
          <w:color w:val="auto"/>
          <w:szCs w:val="21"/>
          <w:highlight w:val="none"/>
          <w:shd w:val="clear" w:color="auto" w:fill="auto"/>
        </w:rPr>
        <w:t>需要，事故现场在详尽拍照后可不予保留。被保险人为了施救或减少损失，在保险人未到现场前或未拍照前破坏了现场，由此引起后果不能作为保险人拒赔的理由。</w:t>
      </w:r>
      <w:r>
        <w:rPr>
          <w:rFonts w:hint="eastAsia" w:cs="宋体"/>
          <w:bCs/>
          <w:color w:val="auto"/>
          <w:szCs w:val="21"/>
          <w:highlight w:val="none"/>
          <w:shd w:val="clear" w:color="auto" w:fill="auto"/>
          <w:lang w:val="en-US" w:eastAsia="zh-CN"/>
        </w:rPr>
        <w:t>若被保险人向两个以上的保险人报案，保险人可协商确定委派代表。</w:t>
      </w:r>
    </w:p>
    <w:p w14:paraId="2367C433">
      <w:pPr>
        <w:pStyle w:val="5"/>
        <w:spacing w:before="156" w:after="156"/>
        <w:rPr>
          <w:rFonts w:hint="eastAsia"/>
          <w:color w:val="auto"/>
          <w:highlight w:val="none"/>
        </w:rPr>
      </w:pPr>
      <w:r>
        <w:rPr>
          <w:rFonts w:hint="eastAsia"/>
          <w:color w:val="auto"/>
          <w:highlight w:val="none"/>
        </w:rPr>
        <w:t>（二）取证鉴定和定损</w:t>
      </w:r>
    </w:p>
    <w:p w14:paraId="43BF761B">
      <w:pPr>
        <w:spacing w:line="400" w:lineRule="exact"/>
        <w:ind w:firstLine="420" w:firstLineChars="200"/>
        <w:rPr>
          <w:rFonts w:hint="eastAsia" w:cs="宋体"/>
          <w:bCs/>
          <w:color w:val="auto"/>
          <w:szCs w:val="21"/>
          <w:highlight w:val="none"/>
        </w:rPr>
      </w:pPr>
      <w:r>
        <w:rPr>
          <w:rFonts w:hint="eastAsia" w:cs="宋体"/>
          <w:bCs/>
          <w:color w:val="auto"/>
          <w:szCs w:val="21"/>
          <w:highlight w:val="none"/>
        </w:rPr>
        <w:t>1.被保险人应根据保险人的合理要求准备各项索赔单证。</w:t>
      </w:r>
    </w:p>
    <w:p w14:paraId="7592ADA0">
      <w:pPr>
        <w:spacing w:line="400" w:lineRule="exact"/>
        <w:ind w:left="420" w:leftChars="200" w:firstLine="0" w:firstLineChars="0"/>
        <w:rPr>
          <w:rFonts w:hint="eastAsia" w:cs="宋体"/>
          <w:bCs/>
          <w:color w:val="auto"/>
          <w:szCs w:val="21"/>
          <w:highlight w:val="none"/>
        </w:rPr>
      </w:pPr>
      <w:r>
        <w:rPr>
          <w:rFonts w:hint="eastAsia" w:cs="宋体"/>
          <w:bCs/>
          <w:color w:val="auto"/>
          <w:szCs w:val="21"/>
          <w:highlight w:val="none"/>
        </w:rPr>
        <w:t>2.对于保险事故是否属于保险责任范围较难确定或各方对保险责任有严重分歧时，被保险人和保险人双方可共同聘请一家评估机构进行鉴定。鉴定费用由保险人承担，鉴定结果对各方均具有约束力；对于损失计算各方存有严重分歧时，可以聘请一家被保险人和保险人都认可的审计机构进行鉴定。鉴定费用由保险人承担，鉴定结果对各方具有约束力。</w:t>
      </w:r>
    </w:p>
    <w:p w14:paraId="0135247D">
      <w:pPr>
        <w:spacing w:line="400" w:lineRule="exact"/>
        <w:ind w:left="420" w:leftChars="200" w:firstLine="0" w:firstLineChars="0"/>
        <w:rPr>
          <w:rFonts w:hint="eastAsia" w:cs="宋体"/>
          <w:bCs/>
          <w:color w:val="auto"/>
          <w:szCs w:val="21"/>
          <w:highlight w:val="none"/>
        </w:rPr>
      </w:pPr>
      <w:r>
        <w:rPr>
          <w:rFonts w:hint="eastAsia" w:cs="宋体"/>
          <w:bCs/>
          <w:color w:val="auto"/>
          <w:szCs w:val="21"/>
          <w:highlight w:val="none"/>
        </w:rPr>
        <w:t>3.保险设备发生全损，原则上向原供应商采购，受损金额按原供应商最终报价确定；保险设备发生部分损失需要修复，该设备原则上应送原供应厂家修理，修复后应恢复到该设备的原有性能状态（进口设备如果外商同意在国内修复，则可以在国内找厂家修理），受损金额按修理厂家最终报价确定。</w:t>
      </w:r>
    </w:p>
    <w:p w14:paraId="51ABDE3B">
      <w:pPr>
        <w:spacing w:line="400" w:lineRule="exact"/>
        <w:ind w:left="420" w:leftChars="200" w:firstLine="0" w:firstLineChars="0"/>
        <w:rPr>
          <w:rFonts w:hint="eastAsia" w:cs="宋体"/>
          <w:bCs/>
          <w:color w:val="auto"/>
          <w:szCs w:val="21"/>
          <w:highlight w:val="none"/>
        </w:rPr>
      </w:pPr>
      <w:r>
        <w:rPr>
          <w:rFonts w:hint="eastAsia" w:cs="宋体"/>
          <w:bCs/>
          <w:color w:val="auto"/>
          <w:szCs w:val="21"/>
          <w:highlight w:val="none"/>
        </w:rPr>
        <w:t>4.保险设备发生部分损失,需要修理或进行更换,应根据被保险设备原有的标准进行修理和更换。</w:t>
      </w:r>
    </w:p>
    <w:p w14:paraId="2AC0FEBC">
      <w:pPr>
        <w:spacing w:line="400" w:lineRule="exact"/>
        <w:ind w:left="420" w:leftChars="200" w:firstLine="0" w:firstLineChars="0"/>
        <w:rPr>
          <w:rFonts w:hint="eastAsia" w:cs="宋体"/>
          <w:bCs/>
          <w:color w:val="auto"/>
          <w:szCs w:val="21"/>
          <w:highlight w:val="none"/>
        </w:rPr>
      </w:pPr>
      <w:r>
        <w:rPr>
          <w:rFonts w:hint="eastAsia" w:cs="宋体"/>
          <w:bCs/>
          <w:color w:val="auto"/>
          <w:szCs w:val="21"/>
          <w:highlight w:val="none"/>
        </w:rPr>
        <w:t>5.保险事故发生后，如有涉及第三者责任的，被保险人有义务尽其最大努力配合保险人行使对第三者代位请求赔偿的权利。</w:t>
      </w:r>
    </w:p>
    <w:p w14:paraId="161E3B41">
      <w:pPr>
        <w:pStyle w:val="5"/>
        <w:spacing w:before="156" w:after="156"/>
        <w:rPr>
          <w:rFonts w:hint="eastAsia"/>
          <w:color w:val="auto"/>
          <w:highlight w:val="none"/>
        </w:rPr>
      </w:pPr>
      <w:r>
        <w:rPr>
          <w:rFonts w:hint="eastAsia"/>
          <w:color w:val="auto"/>
          <w:highlight w:val="none"/>
        </w:rPr>
        <w:t>（三）索赔程序</w:t>
      </w:r>
    </w:p>
    <w:p w14:paraId="2C6BE31F">
      <w:pPr>
        <w:spacing w:line="400" w:lineRule="exact"/>
        <w:ind w:left="420" w:leftChars="200" w:firstLine="0" w:firstLineChars="0"/>
        <w:rPr>
          <w:rFonts w:hint="eastAsia" w:cs="宋体"/>
          <w:bCs/>
          <w:color w:val="auto"/>
          <w:szCs w:val="21"/>
          <w:highlight w:val="none"/>
        </w:rPr>
      </w:pPr>
      <w:r>
        <w:rPr>
          <w:rFonts w:hint="eastAsia" w:cs="宋体"/>
          <w:bCs/>
          <w:color w:val="auto"/>
          <w:szCs w:val="21"/>
          <w:highlight w:val="none"/>
        </w:rPr>
        <w:t>1.若发生重大保险事故后，保险经纪人在接到被保险人电话或书面的通知后于 4 小时内响应并在 24 小时内协同保险人到现场查勘、定损；小赔案电话跟踪指导服务。</w:t>
      </w:r>
    </w:p>
    <w:p w14:paraId="7AE5B12E">
      <w:pPr>
        <w:spacing w:line="400" w:lineRule="exact"/>
        <w:ind w:left="420" w:leftChars="200" w:firstLine="0" w:firstLineChars="0"/>
        <w:rPr>
          <w:rFonts w:hint="eastAsia" w:cs="宋体"/>
          <w:bCs/>
          <w:color w:val="auto"/>
          <w:szCs w:val="21"/>
          <w:highlight w:val="none"/>
        </w:rPr>
      </w:pPr>
      <w:r>
        <w:rPr>
          <w:rFonts w:hint="eastAsia" w:cs="宋体"/>
          <w:bCs/>
          <w:color w:val="auto"/>
          <w:szCs w:val="21"/>
          <w:highlight w:val="none"/>
        </w:rPr>
        <w:t>2.保险经纪人有义务就有关损失索赔处理提出建议和要求，并与保险人或损失理算人协调，以维护被保险人的最大合法权益。</w:t>
      </w:r>
    </w:p>
    <w:p w14:paraId="1EA13BA7">
      <w:pPr>
        <w:spacing w:line="400" w:lineRule="exact"/>
        <w:ind w:left="420" w:leftChars="200" w:firstLine="0" w:firstLineChars="0"/>
        <w:rPr>
          <w:rFonts w:hint="eastAsia" w:cs="宋体"/>
          <w:bCs/>
          <w:color w:val="auto"/>
          <w:szCs w:val="21"/>
          <w:highlight w:val="none"/>
        </w:rPr>
      </w:pPr>
      <w:r>
        <w:rPr>
          <w:rFonts w:hint="eastAsia" w:cs="宋体"/>
          <w:bCs/>
          <w:color w:val="auto"/>
          <w:szCs w:val="21"/>
          <w:highlight w:val="none"/>
        </w:rPr>
        <w:t>3.经纪人指导被保险人准备索赔文件，被保险人索赔资料齐全后，交保险经纪人帮助索赔。</w:t>
      </w:r>
    </w:p>
    <w:p w14:paraId="2A576146">
      <w:pPr>
        <w:spacing w:line="400" w:lineRule="exact"/>
        <w:ind w:left="420" w:leftChars="200" w:firstLine="0" w:firstLineChars="0"/>
        <w:rPr>
          <w:rFonts w:hint="eastAsia" w:cs="宋体"/>
          <w:bCs/>
          <w:color w:val="auto"/>
          <w:szCs w:val="21"/>
          <w:highlight w:val="none"/>
        </w:rPr>
      </w:pPr>
      <w:r>
        <w:rPr>
          <w:rFonts w:hint="eastAsia" w:cs="宋体"/>
          <w:bCs/>
          <w:color w:val="auto"/>
          <w:szCs w:val="21"/>
          <w:highlight w:val="none"/>
        </w:rPr>
        <w:t>4.保险经纪人负责跟踪保险人理赔进程，在保险人承诺理赔手续齐全后规定的工作日内支付。</w:t>
      </w:r>
    </w:p>
    <w:p w14:paraId="0DD0B4E8">
      <w:pPr>
        <w:pStyle w:val="5"/>
        <w:spacing w:before="156" w:after="156"/>
        <w:rPr>
          <w:rFonts w:hint="eastAsia"/>
          <w:color w:val="auto"/>
          <w:highlight w:val="none"/>
        </w:rPr>
      </w:pPr>
      <w:r>
        <w:rPr>
          <w:rFonts w:hint="eastAsia"/>
          <w:color w:val="auto"/>
          <w:highlight w:val="none"/>
        </w:rPr>
        <w:t xml:space="preserve">（四）索赔资料 </w:t>
      </w:r>
    </w:p>
    <w:p w14:paraId="0BBC649B">
      <w:pPr>
        <w:spacing w:line="540" w:lineRule="exact"/>
        <w:ind w:left="646" w:leftChars="208" w:hanging="209" w:hangingChars="99"/>
        <w:rPr>
          <w:rFonts w:ascii="宋体" w:hAnsi="宋体" w:eastAsia="宋体" w:cs="Times New Roman"/>
          <w:bCs/>
          <w:color w:val="auto"/>
          <w:szCs w:val="21"/>
          <w:highlight w:val="none"/>
        </w:rPr>
      </w:pPr>
      <w:r>
        <w:rPr>
          <w:rFonts w:ascii="宋体" w:hAnsi="宋体" w:eastAsia="宋体" w:cs="Times New Roman"/>
          <w:b/>
          <w:color w:val="auto"/>
          <w:szCs w:val="21"/>
          <w:highlight w:val="none"/>
        </w:rPr>
        <w:t>（1）建筑工程一切险及第三者责任险索赔资料：</w:t>
      </w:r>
    </w:p>
    <w:p w14:paraId="471BF2B8">
      <w:pPr>
        <w:spacing w:line="540" w:lineRule="exact"/>
        <w:ind w:left="17" w:leftChars="8" w:firstLine="543" w:firstLineChars="259"/>
        <w:rPr>
          <w:rFonts w:ascii="宋体" w:hAnsi="宋体" w:eastAsia="宋体" w:cs="Times New Roman"/>
          <w:bCs/>
          <w:color w:val="auto"/>
          <w:szCs w:val="21"/>
          <w:highlight w:val="none"/>
        </w:rPr>
      </w:pPr>
      <w:r>
        <w:rPr>
          <w:rFonts w:ascii="宋体" w:hAnsi="宋体" w:eastAsia="宋体" w:cs="Times New Roman"/>
          <w:bCs/>
          <w:color w:val="auto"/>
          <w:szCs w:val="21"/>
          <w:highlight w:val="none"/>
        </w:rPr>
        <w:t>保险事故发生后，被保险人应向首席保险人提供下列等相关单证，办理索赔手续：</w:t>
      </w:r>
    </w:p>
    <w:p w14:paraId="1D3020E6">
      <w:pPr>
        <w:spacing w:line="540" w:lineRule="exact"/>
        <w:ind w:left="17" w:leftChars="8" w:firstLine="543" w:firstLineChars="259"/>
        <w:rPr>
          <w:rFonts w:ascii="宋体" w:hAnsi="宋体" w:eastAsia="宋体" w:cs="Times New Roman"/>
          <w:bCs/>
          <w:color w:val="auto"/>
          <w:szCs w:val="21"/>
          <w:highlight w:val="none"/>
        </w:rPr>
      </w:pPr>
      <w:r>
        <w:rPr>
          <w:rFonts w:ascii="宋体" w:hAnsi="宋体" w:eastAsia="宋体" w:cs="Times New Roman"/>
          <w:bCs/>
          <w:color w:val="auto"/>
          <w:szCs w:val="21"/>
          <w:highlight w:val="none"/>
        </w:rPr>
        <w:t>A、本保险合同复印件；</w:t>
      </w:r>
    </w:p>
    <w:p w14:paraId="6A468010">
      <w:pPr>
        <w:spacing w:line="540" w:lineRule="exact"/>
        <w:ind w:left="17" w:leftChars="8" w:firstLine="543" w:firstLineChars="259"/>
        <w:rPr>
          <w:rFonts w:ascii="宋体" w:hAnsi="宋体" w:eastAsia="宋体" w:cs="Times New Roman"/>
          <w:bCs/>
          <w:color w:val="auto"/>
          <w:szCs w:val="21"/>
          <w:highlight w:val="none"/>
        </w:rPr>
      </w:pPr>
      <w:r>
        <w:rPr>
          <w:rFonts w:ascii="宋体" w:hAnsi="宋体" w:eastAsia="宋体" w:cs="Times New Roman"/>
          <w:bCs/>
          <w:color w:val="auto"/>
          <w:szCs w:val="21"/>
          <w:highlight w:val="none"/>
        </w:rPr>
        <w:t>B、出险通知书；</w:t>
      </w:r>
    </w:p>
    <w:p w14:paraId="3D3F5982">
      <w:pPr>
        <w:spacing w:line="540" w:lineRule="exact"/>
        <w:ind w:left="17" w:leftChars="8" w:firstLine="543" w:firstLineChars="259"/>
        <w:rPr>
          <w:rFonts w:ascii="宋体" w:hAnsi="宋体" w:eastAsia="宋体" w:cs="Times New Roman"/>
          <w:bCs/>
          <w:color w:val="auto"/>
          <w:szCs w:val="21"/>
          <w:highlight w:val="none"/>
        </w:rPr>
      </w:pPr>
      <w:r>
        <w:rPr>
          <w:rFonts w:ascii="宋体" w:hAnsi="宋体" w:eastAsia="宋体" w:cs="Times New Roman"/>
          <w:bCs/>
          <w:color w:val="auto"/>
          <w:szCs w:val="21"/>
          <w:highlight w:val="none"/>
        </w:rPr>
        <w:t>C、事故报告（包括时间、地点、损失原因、损失清单与损失费用等）；</w:t>
      </w:r>
    </w:p>
    <w:p w14:paraId="7E1CB907">
      <w:pPr>
        <w:spacing w:line="540" w:lineRule="exact"/>
        <w:ind w:left="17" w:leftChars="8" w:firstLine="543" w:firstLineChars="259"/>
        <w:rPr>
          <w:rFonts w:ascii="宋体" w:hAnsi="宋体" w:eastAsia="宋体" w:cs="Times New Roman"/>
          <w:bCs/>
          <w:color w:val="auto"/>
          <w:szCs w:val="21"/>
          <w:highlight w:val="none"/>
        </w:rPr>
      </w:pPr>
      <w:r>
        <w:rPr>
          <w:rFonts w:ascii="宋体" w:hAnsi="宋体" w:eastAsia="宋体" w:cs="Times New Roman"/>
          <w:bCs/>
          <w:color w:val="auto"/>
          <w:szCs w:val="21"/>
          <w:highlight w:val="none"/>
        </w:rPr>
        <w:t>D、修复方案和修理费用预算；</w:t>
      </w:r>
    </w:p>
    <w:p w14:paraId="710CA8A1">
      <w:pPr>
        <w:spacing w:line="540" w:lineRule="exact"/>
        <w:ind w:left="17" w:leftChars="8" w:firstLine="543" w:firstLineChars="259"/>
        <w:rPr>
          <w:rFonts w:ascii="宋体" w:hAnsi="宋体" w:eastAsia="宋体" w:cs="Times New Roman"/>
          <w:bCs/>
          <w:color w:val="auto"/>
          <w:szCs w:val="21"/>
          <w:highlight w:val="none"/>
        </w:rPr>
      </w:pPr>
      <w:r>
        <w:rPr>
          <w:rFonts w:ascii="宋体" w:hAnsi="宋体" w:eastAsia="宋体" w:cs="Times New Roman"/>
          <w:bCs/>
          <w:color w:val="auto"/>
          <w:szCs w:val="21"/>
          <w:highlight w:val="none"/>
        </w:rPr>
        <w:t>E、事故的调查报告或相关证明材料复印件；</w:t>
      </w:r>
    </w:p>
    <w:p w14:paraId="0D898C87">
      <w:pPr>
        <w:spacing w:line="540" w:lineRule="exact"/>
        <w:ind w:left="17" w:leftChars="8" w:firstLine="543" w:firstLineChars="259"/>
        <w:rPr>
          <w:rFonts w:ascii="宋体" w:hAnsi="宋体" w:eastAsia="宋体" w:cs="Times New Roman"/>
          <w:bCs/>
          <w:color w:val="auto"/>
          <w:szCs w:val="21"/>
          <w:highlight w:val="none"/>
        </w:rPr>
      </w:pPr>
      <w:r>
        <w:rPr>
          <w:rFonts w:ascii="宋体" w:hAnsi="宋体" w:eastAsia="宋体" w:cs="Times New Roman"/>
          <w:bCs/>
          <w:color w:val="auto"/>
          <w:szCs w:val="21"/>
          <w:highlight w:val="none"/>
        </w:rPr>
        <w:t>F、相关的财务报表、帐册和物资清单复印件；</w:t>
      </w:r>
    </w:p>
    <w:p w14:paraId="78137EEC">
      <w:pPr>
        <w:spacing w:line="540" w:lineRule="exact"/>
        <w:ind w:left="17" w:leftChars="8" w:firstLine="543" w:firstLineChars="259"/>
        <w:rPr>
          <w:rFonts w:ascii="宋体" w:hAnsi="宋体" w:eastAsia="宋体" w:cs="Times New Roman"/>
          <w:bCs/>
          <w:color w:val="auto"/>
          <w:szCs w:val="21"/>
          <w:highlight w:val="none"/>
        </w:rPr>
      </w:pPr>
      <w:r>
        <w:rPr>
          <w:rFonts w:ascii="宋体" w:hAnsi="宋体" w:eastAsia="宋体" w:cs="Times New Roman"/>
          <w:bCs/>
          <w:color w:val="auto"/>
          <w:szCs w:val="21"/>
          <w:highlight w:val="none"/>
        </w:rPr>
        <w:t>G、发票（原始发票或修理发票）复印件；</w:t>
      </w:r>
    </w:p>
    <w:p w14:paraId="7310A212">
      <w:pPr>
        <w:spacing w:line="540" w:lineRule="exact"/>
        <w:ind w:left="17" w:leftChars="8" w:firstLine="543" w:firstLineChars="259"/>
        <w:rPr>
          <w:rFonts w:ascii="宋体" w:hAnsi="宋体" w:eastAsia="宋体" w:cs="Times New Roman"/>
          <w:bCs/>
          <w:color w:val="auto"/>
          <w:szCs w:val="21"/>
          <w:highlight w:val="none"/>
        </w:rPr>
      </w:pPr>
      <w:r>
        <w:rPr>
          <w:rFonts w:ascii="宋体" w:hAnsi="宋体" w:eastAsia="宋体" w:cs="Times New Roman"/>
          <w:bCs/>
          <w:color w:val="auto"/>
          <w:szCs w:val="21"/>
          <w:highlight w:val="none"/>
        </w:rPr>
        <w:t>H、相片（如保险人已拍摄，可由保险人提供）；</w:t>
      </w:r>
    </w:p>
    <w:p w14:paraId="662E89CE">
      <w:pPr>
        <w:spacing w:line="540" w:lineRule="exact"/>
        <w:ind w:left="17" w:leftChars="8" w:firstLine="543" w:firstLineChars="259"/>
        <w:rPr>
          <w:rFonts w:ascii="宋体" w:hAnsi="宋体" w:eastAsia="宋体" w:cs="Times New Roman"/>
          <w:bCs/>
          <w:color w:val="auto"/>
          <w:szCs w:val="21"/>
          <w:highlight w:val="none"/>
        </w:rPr>
      </w:pPr>
      <w:r>
        <w:rPr>
          <w:rFonts w:ascii="宋体" w:hAnsi="宋体" w:eastAsia="宋体" w:cs="Times New Roman"/>
          <w:bCs/>
          <w:color w:val="auto"/>
          <w:szCs w:val="21"/>
          <w:highlight w:val="none"/>
        </w:rPr>
        <w:t>I、根据案情需要被保险人提供的其它索赔单证和支持资料。</w:t>
      </w:r>
    </w:p>
    <w:p w14:paraId="43FE3CC6">
      <w:pPr>
        <w:spacing w:line="540" w:lineRule="exact"/>
        <w:ind w:left="17" w:leftChars="8" w:firstLine="546" w:firstLineChars="259"/>
        <w:rPr>
          <w:rFonts w:ascii="宋体" w:hAnsi="宋体" w:eastAsia="宋体" w:cs="Times New Roman"/>
          <w:b/>
          <w:color w:val="auto"/>
          <w:szCs w:val="21"/>
          <w:highlight w:val="none"/>
        </w:rPr>
      </w:pPr>
      <w:r>
        <w:rPr>
          <w:rFonts w:ascii="宋体" w:hAnsi="宋体" w:eastAsia="宋体" w:cs="Times New Roman"/>
          <w:b/>
          <w:color w:val="auto"/>
          <w:szCs w:val="21"/>
          <w:highlight w:val="none"/>
        </w:rPr>
        <w:t>（2）安全生产责任险索赔资料：</w:t>
      </w:r>
    </w:p>
    <w:p w14:paraId="4EB8C9C9">
      <w:pPr>
        <w:spacing w:line="540" w:lineRule="exact"/>
        <w:ind w:left="17" w:leftChars="8" w:firstLine="543" w:firstLineChars="259"/>
        <w:rPr>
          <w:rFonts w:ascii="宋体" w:hAnsi="宋体" w:eastAsia="宋体" w:cs="Times New Roman"/>
          <w:bCs/>
          <w:color w:val="auto"/>
          <w:szCs w:val="21"/>
          <w:highlight w:val="none"/>
        </w:rPr>
      </w:pPr>
      <w:r>
        <w:rPr>
          <w:rFonts w:hint="eastAsia" w:ascii="宋体" w:hAnsi="宋体" w:eastAsia="宋体" w:cs="宋体"/>
          <w:bCs/>
          <w:color w:val="auto"/>
          <w:szCs w:val="21"/>
          <w:highlight w:val="none"/>
        </w:rPr>
        <w:t xml:space="preserve">① </w:t>
      </w:r>
      <w:r>
        <w:rPr>
          <w:rFonts w:ascii="宋体" w:hAnsi="宋体" w:eastAsia="宋体" w:cs="Times New Roman"/>
          <w:bCs/>
          <w:color w:val="auto"/>
          <w:szCs w:val="21"/>
          <w:highlight w:val="none"/>
        </w:rPr>
        <w:t>被保险人的从业人员身故的，凭下列证明和资料向乙方申请给付保险金：</w:t>
      </w:r>
    </w:p>
    <w:p w14:paraId="0CA644E4">
      <w:pPr>
        <w:spacing w:line="540" w:lineRule="exact"/>
        <w:ind w:left="17" w:leftChars="8" w:firstLine="543" w:firstLineChars="259"/>
        <w:rPr>
          <w:rFonts w:ascii="宋体" w:hAnsi="宋体" w:eastAsia="宋体" w:cs="Times New Roman"/>
          <w:bCs/>
          <w:color w:val="auto"/>
          <w:szCs w:val="21"/>
          <w:highlight w:val="none"/>
        </w:rPr>
      </w:pPr>
      <w:r>
        <w:rPr>
          <w:rFonts w:ascii="宋体" w:hAnsi="宋体" w:eastAsia="宋体" w:cs="Times New Roman"/>
          <w:bCs/>
          <w:color w:val="auto"/>
          <w:szCs w:val="21"/>
          <w:highlight w:val="none"/>
        </w:rPr>
        <w:t>A、人事证明：</w:t>
      </w:r>
      <w:r>
        <w:rPr>
          <w:rFonts w:hint="eastAsia" w:ascii="宋体" w:hAnsi="宋体" w:eastAsia="宋体" w:cs="Times New Roman"/>
          <w:bCs/>
          <w:color w:val="auto"/>
          <w:szCs w:val="21"/>
          <w:highlight w:val="none"/>
        </w:rPr>
        <w:t>死</w:t>
      </w:r>
      <w:r>
        <w:rPr>
          <w:rFonts w:ascii="宋体" w:hAnsi="宋体" w:eastAsia="宋体" w:cs="Times New Roman"/>
          <w:bCs/>
          <w:color w:val="auto"/>
          <w:szCs w:val="21"/>
          <w:highlight w:val="none"/>
        </w:rPr>
        <w:t>者身份证正反面复印件劳动合同或能认定人事关系的其它相关资料；</w:t>
      </w:r>
    </w:p>
    <w:p w14:paraId="31951580">
      <w:pPr>
        <w:spacing w:line="540" w:lineRule="exact"/>
        <w:ind w:left="731" w:leftChars="306" w:hanging="88" w:hangingChars="42"/>
        <w:rPr>
          <w:rFonts w:ascii="宋体" w:hAnsi="宋体" w:eastAsia="宋体" w:cs="Times New Roman"/>
          <w:bCs/>
          <w:color w:val="auto"/>
          <w:szCs w:val="21"/>
          <w:highlight w:val="none"/>
        </w:rPr>
      </w:pPr>
      <w:r>
        <w:rPr>
          <w:rFonts w:ascii="宋体" w:hAnsi="宋体" w:eastAsia="宋体" w:cs="Times New Roman"/>
          <w:bCs/>
          <w:color w:val="auto"/>
          <w:szCs w:val="21"/>
          <w:highlight w:val="none"/>
        </w:rPr>
        <w:t>B、事故证明：由项目部出具的意外伤害事故证明；若为施工区域外意外交通事故还需提供交通事故认定书（复印件加盖项目部章）</w:t>
      </w:r>
      <w:r>
        <w:rPr>
          <w:rFonts w:hint="eastAsia" w:ascii="宋体" w:hAnsi="宋体" w:eastAsia="宋体" w:cs="Times New Roman"/>
          <w:bCs/>
          <w:color w:val="auto"/>
          <w:szCs w:val="21"/>
          <w:highlight w:val="none"/>
        </w:rPr>
        <w:t>；</w:t>
      </w:r>
    </w:p>
    <w:p w14:paraId="0068B4D2">
      <w:pPr>
        <w:spacing w:line="540" w:lineRule="exact"/>
        <w:ind w:left="731" w:leftChars="306" w:hanging="88" w:hangingChars="42"/>
        <w:rPr>
          <w:rFonts w:ascii="宋体" w:hAnsi="宋体" w:eastAsia="宋体" w:cs="Times New Roman"/>
          <w:bCs/>
          <w:color w:val="auto"/>
          <w:szCs w:val="21"/>
          <w:highlight w:val="none"/>
        </w:rPr>
      </w:pPr>
      <w:r>
        <w:rPr>
          <w:rFonts w:ascii="宋体" w:hAnsi="宋体" w:eastAsia="宋体" w:cs="Times New Roman"/>
          <w:bCs/>
          <w:color w:val="auto"/>
          <w:szCs w:val="21"/>
          <w:highlight w:val="none"/>
        </w:rPr>
        <w:t>C、病史材料：门急诊病历、用药清单、住出院记录、CT检查报告、抢救记录等相关治疗资料；</w:t>
      </w:r>
    </w:p>
    <w:p w14:paraId="00D3C688">
      <w:pPr>
        <w:spacing w:line="540" w:lineRule="exact"/>
        <w:ind w:left="731" w:leftChars="306" w:hanging="88" w:hangingChars="42"/>
        <w:rPr>
          <w:rFonts w:ascii="宋体" w:hAnsi="宋体" w:eastAsia="宋体" w:cs="Times New Roman"/>
          <w:bCs/>
          <w:color w:val="auto"/>
          <w:szCs w:val="21"/>
          <w:highlight w:val="none"/>
        </w:rPr>
      </w:pPr>
      <w:r>
        <w:rPr>
          <w:rFonts w:ascii="宋体" w:hAnsi="宋体" w:eastAsia="宋体" w:cs="Times New Roman"/>
          <w:bCs/>
          <w:color w:val="auto"/>
          <w:szCs w:val="21"/>
          <w:highlight w:val="none"/>
        </w:rPr>
        <w:t>D、死亡证明：国家卫生行政部门认定的医疗机构或公安部门或其他相关机构出具的从业人员的死亡证明（复印件加盖项目部章）；如从业人员因意外事故下落不明经人民法院受理宣告死亡的，须提供人民法院出具的宣告死亡证明文件（复印件加盖项目部章）；</w:t>
      </w:r>
    </w:p>
    <w:p w14:paraId="2FFC3E2A">
      <w:pPr>
        <w:spacing w:line="540" w:lineRule="exact"/>
        <w:ind w:left="17" w:leftChars="8" w:firstLine="543" w:firstLineChars="259"/>
        <w:rPr>
          <w:rFonts w:ascii="宋体" w:hAnsi="宋体" w:eastAsia="宋体" w:cs="Times New Roman"/>
          <w:bCs/>
          <w:color w:val="auto"/>
          <w:szCs w:val="21"/>
          <w:highlight w:val="none"/>
        </w:rPr>
      </w:pPr>
      <w:r>
        <w:rPr>
          <w:rFonts w:ascii="宋体" w:hAnsi="宋体" w:eastAsia="宋体" w:cs="Times New Roman"/>
          <w:bCs/>
          <w:color w:val="auto"/>
          <w:szCs w:val="21"/>
          <w:highlight w:val="none"/>
        </w:rPr>
        <w:t>E、火化证明或户籍注销证明；</w:t>
      </w:r>
    </w:p>
    <w:p w14:paraId="00B3CFE2">
      <w:pPr>
        <w:spacing w:line="540" w:lineRule="exact"/>
        <w:ind w:left="17" w:leftChars="8" w:firstLine="543" w:firstLineChars="259"/>
        <w:rPr>
          <w:rFonts w:ascii="宋体" w:hAnsi="宋体" w:eastAsia="宋体" w:cs="Times New Roman"/>
          <w:bCs/>
          <w:color w:val="auto"/>
          <w:szCs w:val="21"/>
          <w:highlight w:val="none"/>
        </w:rPr>
      </w:pPr>
      <w:r>
        <w:rPr>
          <w:rFonts w:ascii="宋体" w:hAnsi="宋体" w:eastAsia="宋体" w:cs="Times New Roman"/>
          <w:bCs/>
          <w:color w:val="auto"/>
          <w:szCs w:val="21"/>
          <w:highlight w:val="none"/>
        </w:rPr>
        <w:t>F、受益人相关资料：户口本、身份证明、权益转让书等；</w:t>
      </w:r>
    </w:p>
    <w:p w14:paraId="2AE232D0">
      <w:pPr>
        <w:spacing w:line="540" w:lineRule="exact"/>
        <w:ind w:left="731" w:leftChars="306" w:hanging="88" w:hangingChars="42"/>
        <w:rPr>
          <w:rFonts w:ascii="宋体" w:hAnsi="宋体" w:eastAsia="宋体" w:cs="Times New Roman"/>
          <w:bCs/>
          <w:color w:val="auto"/>
          <w:szCs w:val="21"/>
          <w:highlight w:val="none"/>
        </w:rPr>
      </w:pPr>
      <w:r>
        <w:rPr>
          <w:rFonts w:ascii="宋体" w:hAnsi="宋体" w:eastAsia="宋体" w:cs="Times New Roman"/>
          <w:bCs/>
          <w:color w:val="auto"/>
          <w:szCs w:val="21"/>
          <w:highlight w:val="none"/>
        </w:rPr>
        <w:t>G、赔款支付：若赔款支付到被保险人项目部账号，或经被保险人项目部授权支付到协作单位账号的，需提供权益转让书及授权委托书等资料。</w:t>
      </w:r>
    </w:p>
    <w:p w14:paraId="0DBDBEBB">
      <w:pPr>
        <w:spacing w:line="540" w:lineRule="exact"/>
        <w:ind w:left="17" w:leftChars="8" w:firstLine="543" w:firstLineChars="259"/>
        <w:rPr>
          <w:rFonts w:ascii="宋体" w:hAnsi="宋体" w:eastAsia="宋体" w:cs="Times New Roman"/>
          <w:bCs/>
          <w:color w:val="auto"/>
          <w:szCs w:val="21"/>
          <w:highlight w:val="none"/>
        </w:rPr>
      </w:pPr>
      <w:r>
        <w:rPr>
          <w:rFonts w:hint="eastAsia" w:ascii="宋体" w:hAnsi="宋体" w:eastAsia="宋体" w:cs="宋体"/>
          <w:bCs/>
          <w:color w:val="auto"/>
          <w:szCs w:val="21"/>
          <w:highlight w:val="none"/>
        </w:rPr>
        <w:t xml:space="preserve">② </w:t>
      </w:r>
      <w:r>
        <w:rPr>
          <w:rFonts w:ascii="宋体" w:hAnsi="宋体" w:eastAsia="宋体" w:cs="Times New Roman"/>
          <w:bCs/>
          <w:color w:val="auto"/>
          <w:szCs w:val="21"/>
          <w:highlight w:val="none"/>
        </w:rPr>
        <w:t>被保险人的从业人员残疾的，凭下列证明和资料向乙方申请给付保险金：</w:t>
      </w:r>
    </w:p>
    <w:p w14:paraId="6E7788F5">
      <w:pPr>
        <w:spacing w:line="540" w:lineRule="exact"/>
        <w:ind w:left="17" w:leftChars="8" w:firstLine="543" w:firstLineChars="259"/>
        <w:rPr>
          <w:rFonts w:ascii="宋体" w:hAnsi="宋体" w:eastAsia="宋体" w:cs="Times New Roman"/>
          <w:bCs/>
          <w:color w:val="auto"/>
          <w:szCs w:val="21"/>
          <w:highlight w:val="none"/>
        </w:rPr>
      </w:pPr>
      <w:r>
        <w:rPr>
          <w:rFonts w:ascii="宋体" w:hAnsi="宋体" w:eastAsia="宋体" w:cs="Times New Roman"/>
          <w:bCs/>
          <w:color w:val="auto"/>
          <w:szCs w:val="21"/>
          <w:highlight w:val="none"/>
        </w:rPr>
        <w:t>A、人事证明：</w:t>
      </w:r>
      <w:r>
        <w:rPr>
          <w:rFonts w:hint="eastAsia" w:ascii="宋体" w:hAnsi="宋体" w:eastAsia="宋体" w:cs="Times New Roman"/>
          <w:bCs/>
          <w:color w:val="auto"/>
          <w:szCs w:val="21"/>
          <w:highlight w:val="none"/>
        </w:rPr>
        <w:t>伤</w:t>
      </w:r>
      <w:r>
        <w:rPr>
          <w:rFonts w:ascii="宋体" w:hAnsi="宋体" w:eastAsia="宋体" w:cs="Times New Roman"/>
          <w:bCs/>
          <w:color w:val="auto"/>
          <w:szCs w:val="21"/>
          <w:highlight w:val="none"/>
        </w:rPr>
        <w:t>者身份证正反面复印件劳动合同或能认定人事关系的其它相关资料；</w:t>
      </w:r>
    </w:p>
    <w:p w14:paraId="4A34413B">
      <w:pPr>
        <w:spacing w:line="540" w:lineRule="exact"/>
        <w:ind w:left="731" w:leftChars="306" w:hanging="88" w:hangingChars="42"/>
        <w:rPr>
          <w:rFonts w:ascii="宋体" w:hAnsi="宋体" w:eastAsia="宋体" w:cs="Times New Roman"/>
          <w:bCs/>
          <w:color w:val="auto"/>
          <w:szCs w:val="21"/>
          <w:highlight w:val="none"/>
        </w:rPr>
      </w:pPr>
      <w:r>
        <w:rPr>
          <w:rFonts w:ascii="宋体" w:hAnsi="宋体" w:eastAsia="宋体" w:cs="Times New Roman"/>
          <w:bCs/>
          <w:color w:val="auto"/>
          <w:szCs w:val="21"/>
          <w:highlight w:val="none"/>
        </w:rPr>
        <w:t>B、事故证明：由项目部出具的意外伤害事故证明；若为施工区域外意外交通事故还需提供交通事故认定书（复印件加盖项目部章）</w:t>
      </w:r>
      <w:r>
        <w:rPr>
          <w:rFonts w:hint="eastAsia" w:ascii="宋体" w:hAnsi="宋体" w:eastAsia="宋体" w:cs="Times New Roman"/>
          <w:bCs/>
          <w:color w:val="auto"/>
          <w:szCs w:val="21"/>
          <w:highlight w:val="none"/>
        </w:rPr>
        <w:t>；</w:t>
      </w:r>
    </w:p>
    <w:p w14:paraId="4ADBEF15">
      <w:pPr>
        <w:spacing w:line="540" w:lineRule="exact"/>
        <w:ind w:left="731" w:leftChars="306" w:hanging="88" w:hangingChars="42"/>
        <w:rPr>
          <w:rFonts w:ascii="宋体" w:hAnsi="宋体" w:eastAsia="宋体" w:cs="Times New Roman"/>
          <w:bCs/>
          <w:color w:val="auto"/>
          <w:szCs w:val="21"/>
          <w:highlight w:val="none"/>
        </w:rPr>
      </w:pPr>
      <w:r>
        <w:rPr>
          <w:rFonts w:ascii="宋体" w:hAnsi="宋体" w:eastAsia="宋体" w:cs="Times New Roman"/>
          <w:bCs/>
          <w:color w:val="auto"/>
          <w:szCs w:val="21"/>
          <w:highlight w:val="none"/>
        </w:rPr>
        <w:t>C、病史材料：门急诊病历、用药清单、住出院记录、CT检查报告、抢救记录等相关治疗资料；</w:t>
      </w:r>
    </w:p>
    <w:p w14:paraId="1432D814">
      <w:pPr>
        <w:spacing w:line="540" w:lineRule="exact"/>
        <w:ind w:left="731" w:leftChars="306" w:hanging="88" w:hangingChars="42"/>
        <w:rPr>
          <w:rFonts w:ascii="宋体" w:hAnsi="宋体" w:eastAsia="宋体" w:cs="Times New Roman"/>
          <w:bCs/>
          <w:color w:val="auto"/>
          <w:szCs w:val="21"/>
          <w:highlight w:val="none"/>
        </w:rPr>
      </w:pPr>
      <w:r>
        <w:rPr>
          <w:rFonts w:ascii="宋体" w:hAnsi="宋体" w:eastAsia="宋体" w:cs="Times New Roman"/>
          <w:bCs/>
          <w:color w:val="auto"/>
          <w:szCs w:val="21"/>
          <w:highlight w:val="none"/>
        </w:rPr>
        <w:t>D、伤残鉴定报告：由二级以上</w:t>
      </w:r>
      <w:r>
        <w:rPr>
          <w:rFonts w:hint="eastAsia" w:ascii="宋体" w:hAnsi="宋体" w:eastAsia="宋体" w:cs="Times New Roman"/>
          <w:bCs/>
          <w:color w:val="auto"/>
          <w:szCs w:val="21"/>
          <w:highlight w:val="none"/>
        </w:rPr>
        <w:t>（</w:t>
      </w:r>
      <w:r>
        <w:rPr>
          <w:rFonts w:ascii="宋体" w:hAnsi="宋体" w:eastAsia="宋体" w:cs="Times New Roman"/>
          <w:bCs/>
          <w:color w:val="auto"/>
          <w:szCs w:val="21"/>
          <w:highlight w:val="none"/>
        </w:rPr>
        <w:t>含</w:t>
      </w:r>
      <w:r>
        <w:rPr>
          <w:rFonts w:hint="eastAsia" w:ascii="宋体" w:hAnsi="宋体" w:eastAsia="宋体" w:cs="Times New Roman"/>
          <w:bCs/>
          <w:color w:val="auto"/>
          <w:szCs w:val="21"/>
          <w:highlight w:val="none"/>
        </w:rPr>
        <w:t>）</w:t>
      </w:r>
      <w:r>
        <w:rPr>
          <w:rFonts w:ascii="宋体" w:hAnsi="宋体" w:eastAsia="宋体" w:cs="Times New Roman"/>
          <w:bCs/>
          <w:color w:val="auto"/>
          <w:szCs w:val="21"/>
          <w:highlight w:val="none"/>
        </w:rPr>
        <w:t>医疗机构或司法鉴定机构出具的被保险人从业人员的残疾程度鉴定书；</w:t>
      </w:r>
    </w:p>
    <w:p w14:paraId="4B1DE904">
      <w:pPr>
        <w:spacing w:line="540" w:lineRule="exact"/>
        <w:ind w:left="17" w:leftChars="8" w:firstLine="543" w:firstLineChars="259"/>
        <w:rPr>
          <w:rFonts w:ascii="宋体" w:hAnsi="宋体" w:eastAsia="宋体" w:cs="Times New Roman"/>
          <w:bCs/>
          <w:color w:val="auto"/>
          <w:szCs w:val="21"/>
          <w:highlight w:val="none"/>
        </w:rPr>
      </w:pPr>
      <w:r>
        <w:rPr>
          <w:rFonts w:ascii="宋体" w:hAnsi="宋体" w:eastAsia="宋体" w:cs="Times New Roman"/>
          <w:bCs/>
          <w:color w:val="auto"/>
          <w:szCs w:val="21"/>
          <w:highlight w:val="none"/>
        </w:rPr>
        <w:t>E、受益人相关资料：户口本、身份证明、权益转让书等；</w:t>
      </w:r>
    </w:p>
    <w:p w14:paraId="510A749A">
      <w:pPr>
        <w:spacing w:line="540" w:lineRule="exact"/>
        <w:ind w:left="731" w:leftChars="306" w:hanging="88" w:hangingChars="42"/>
        <w:rPr>
          <w:rFonts w:ascii="宋体" w:hAnsi="宋体" w:eastAsia="宋体" w:cs="Times New Roman"/>
          <w:bCs/>
          <w:color w:val="auto"/>
          <w:szCs w:val="21"/>
          <w:highlight w:val="none"/>
        </w:rPr>
      </w:pPr>
      <w:r>
        <w:rPr>
          <w:rFonts w:ascii="宋体" w:hAnsi="宋体" w:eastAsia="宋体" w:cs="Times New Roman"/>
          <w:bCs/>
          <w:color w:val="auto"/>
          <w:szCs w:val="21"/>
          <w:highlight w:val="none"/>
        </w:rPr>
        <w:t>F、赔款支付：若赔款支付到被保险人项目部账号，或经被保险人项目部授权支付到</w:t>
      </w:r>
    </w:p>
    <w:p w14:paraId="480D9EE0">
      <w:pPr>
        <w:spacing w:line="540" w:lineRule="exact"/>
        <w:rPr>
          <w:rFonts w:ascii="宋体" w:hAnsi="宋体" w:eastAsia="宋体" w:cs="Times New Roman"/>
          <w:bCs/>
          <w:color w:val="auto"/>
          <w:szCs w:val="21"/>
          <w:highlight w:val="none"/>
        </w:rPr>
      </w:pPr>
      <w:r>
        <w:rPr>
          <w:rFonts w:ascii="宋体" w:hAnsi="宋体" w:eastAsia="宋体" w:cs="Times New Roman"/>
          <w:bCs/>
          <w:color w:val="auto"/>
          <w:szCs w:val="21"/>
          <w:highlight w:val="none"/>
        </w:rPr>
        <w:t>协作单位账号的，需提供权益转让书及授权委托书等资料。</w:t>
      </w:r>
    </w:p>
    <w:p w14:paraId="110126A1">
      <w:pPr>
        <w:spacing w:line="540" w:lineRule="exact"/>
        <w:ind w:left="731" w:leftChars="306" w:hanging="88" w:hangingChars="42"/>
        <w:rPr>
          <w:rFonts w:ascii="宋体" w:hAnsi="宋体" w:eastAsia="宋体" w:cs="Times New Roman"/>
          <w:bCs/>
          <w:color w:val="auto"/>
          <w:szCs w:val="21"/>
          <w:highlight w:val="none"/>
        </w:rPr>
      </w:pPr>
      <w:r>
        <w:rPr>
          <w:rFonts w:hint="eastAsia" w:ascii="宋体" w:hAnsi="宋体" w:eastAsia="宋体" w:cs="宋体"/>
          <w:bCs/>
          <w:color w:val="auto"/>
          <w:szCs w:val="21"/>
          <w:highlight w:val="none"/>
        </w:rPr>
        <w:t xml:space="preserve">③ </w:t>
      </w:r>
      <w:r>
        <w:rPr>
          <w:rFonts w:ascii="宋体" w:hAnsi="宋体" w:eastAsia="宋体" w:cs="Times New Roman"/>
          <w:bCs/>
          <w:color w:val="auto"/>
          <w:szCs w:val="21"/>
          <w:highlight w:val="none"/>
        </w:rPr>
        <w:t>被保险人的从业人员因意外事故受伤产生的医疗费用，凭下列证明和资料向乙方</w:t>
      </w:r>
    </w:p>
    <w:p w14:paraId="32407313">
      <w:pPr>
        <w:spacing w:line="540" w:lineRule="exact"/>
        <w:rPr>
          <w:rFonts w:ascii="宋体" w:hAnsi="宋体" w:eastAsia="宋体" w:cs="Times New Roman"/>
          <w:bCs/>
          <w:color w:val="auto"/>
          <w:szCs w:val="21"/>
          <w:highlight w:val="none"/>
        </w:rPr>
      </w:pPr>
      <w:r>
        <w:rPr>
          <w:rFonts w:ascii="宋体" w:hAnsi="宋体" w:eastAsia="宋体" w:cs="Times New Roman"/>
          <w:bCs/>
          <w:color w:val="auto"/>
          <w:szCs w:val="21"/>
          <w:highlight w:val="none"/>
        </w:rPr>
        <w:t>申请给付保险金：</w:t>
      </w:r>
    </w:p>
    <w:p w14:paraId="032CFA44">
      <w:pPr>
        <w:spacing w:line="540" w:lineRule="exact"/>
        <w:ind w:left="17" w:leftChars="8" w:firstLine="543" w:firstLineChars="259"/>
        <w:rPr>
          <w:rFonts w:ascii="宋体" w:hAnsi="宋体" w:eastAsia="宋体" w:cs="Times New Roman"/>
          <w:bCs/>
          <w:color w:val="auto"/>
          <w:szCs w:val="21"/>
          <w:highlight w:val="none"/>
        </w:rPr>
      </w:pPr>
      <w:r>
        <w:rPr>
          <w:rFonts w:ascii="宋体" w:hAnsi="宋体" w:eastAsia="宋体" w:cs="Times New Roman"/>
          <w:bCs/>
          <w:color w:val="auto"/>
          <w:szCs w:val="21"/>
          <w:highlight w:val="none"/>
        </w:rPr>
        <w:t>A、人事证明：</w:t>
      </w:r>
      <w:r>
        <w:rPr>
          <w:rFonts w:hint="eastAsia" w:ascii="宋体" w:hAnsi="宋体" w:eastAsia="宋体" w:cs="Times New Roman"/>
          <w:bCs/>
          <w:color w:val="auto"/>
          <w:szCs w:val="21"/>
          <w:highlight w:val="none"/>
        </w:rPr>
        <w:t>伤</w:t>
      </w:r>
      <w:r>
        <w:rPr>
          <w:rFonts w:ascii="宋体" w:hAnsi="宋体" w:eastAsia="宋体" w:cs="Times New Roman"/>
          <w:bCs/>
          <w:color w:val="auto"/>
          <w:szCs w:val="21"/>
          <w:highlight w:val="none"/>
        </w:rPr>
        <w:t>者身份证正反面复印件劳动合同或能认定人事关系的其它相关资料；</w:t>
      </w:r>
    </w:p>
    <w:p w14:paraId="4901F0D4">
      <w:pPr>
        <w:spacing w:line="540" w:lineRule="exact"/>
        <w:ind w:left="731" w:leftChars="306" w:hanging="88" w:hangingChars="42"/>
        <w:rPr>
          <w:rFonts w:ascii="宋体" w:hAnsi="宋体" w:eastAsia="宋体" w:cs="Times New Roman"/>
          <w:bCs/>
          <w:color w:val="auto"/>
          <w:szCs w:val="21"/>
          <w:highlight w:val="none"/>
        </w:rPr>
      </w:pPr>
      <w:r>
        <w:rPr>
          <w:rFonts w:ascii="宋体" w:hAnsi="宋体" w:eastAsia="宋体" w:cs="Times New Roman"/>
          <w:bCs/>
          <w:color w:val="auto"/>
          <w:szCs w:val="21"/>
          <w:highlight w:val="none"/>
        </w:rPr>
        <w:t>B、事故证明：由项目部出具的意外伤害事故证明；若为施工区域外意外交通事故还</w:t>
      </w:r>
    </w:p>
    <w:p w14:paraId="0CD15590">
      <w:pPr>
        <w:spacing w:line="540" w:lineRule="exact"/>
        <w:rPr>
          <w:rFonts w:ascii="宋体" w:hAnsi="宋体" w:eastAsia="宋体" w:cs="Times New Roman"/>
          <w:bCs/>
          <w:color w:val="auto"/>
          <w:szCs w:val="21"/>
          <w:highlight w:val="none"/>
        </w:rPr>
      </w:pPr>
      <w:r>
        <w:rPr>
          <w:rFonts w:ascii="宋体" w:hAnsi="宋体" w:eastAsia="宋体" w:cs="Times New Roman"/>
          <w:bCs/>
          <w:color w:val="auto"/>
          <w:szCs w:val="21"/>
          <w:highlight w:val="none"/>
        </w:rPr>
        <w:t>需提供交通事故认定书（复印件加盖项目部章）</w:t>
      </w:r>
      <w:r>
        <w:rPr>
          <w:rFonts w:hint="eastAsia" w:ascii="宋体" w:hAnsi="宋体" w:eastAsia="宋体" w:cs="Times New Roman"/>
          <w:bCs/>
          <w:color w:val="auto"/>
          <w:szCs w:val="21"/>
          <w:highlight w:val="none"/>
        </w:rPr>
        <w:t>；</w:t>
      </w:r>
    </w:p>
    <w:p w14:paraId="3736F10D">
      <w:pPr>
        <w:spacing w:line="540" w:lineRule="exact"/>
        <w:ind w:left="17" w:leftChars="8" w:firstLine="543" w:firstLineChars="259"/>
        <w:rPr>
          <w:rFonts w:ascii="宋体" w:hAnsi="宋体" w:eastAsia="宋体" w:cs="Times New Roman"/>
          <w:bCs/>
          <w:color w:val="auto"/>
          <w:szCs w:val="21"/>
          <w:highlight w:val="none"/>
        </w:rPr>
      </w:pPr>
      <w:r>
        <w:rPr>
          <w:rFonts w:ascii="宋体" w:hAnsi="宋体" w:eastAsia="宋体" w:cs="Times New Roman"/>
          <w:bCs/>
          <w:color w:val="auto"/>
          <w:szCs w:val="21"/>
          <w:highlight w:val="none"/>
        </w:rPr>
        <w:t>C、病史材料：门急诊病历、用药清单、住出院记录、CT检查报告、抢救记录等相关治疗资料；</w:t>
      </w:r>
    </w:p>
    <w:p w14:paraId="4E5AE074">
      <w:pPr>
        <w:spacing w:line="540" w:lineRule="exact"/>
        <w:ind w:left="17" w:leftChars="8" w:firstLine="543" w:firstLineChars="259"/>
        <w:rPr>
          <w:rFonts w:ascii="宋体" w:hAnsi="宋体" w:eastAsia="宋体" w:cs="Times New Roman"/>
          <w:bCs/>
          <w:color w:val="auto"/>
          <w:szCs w:val="21"/>
          <w:highlight w:val="none"/>
        </w:rPr>
      </w:pPr>
      <w:r>
        <w:rPr>
          <w:rFonts w:ascii="宋体" w:hAnsi="宋体" w:eastAsia="宋体" w:cs="Times New Roman"/>
          <w:bCs/>
          <w:color w:val="auto"/>
          <w:szCs w:val="21"/>
          <w:highlight w:val="none"/>
        </w:rPr>
        <w:t>D、受益人相关资料：户口本、身份证明、权益转让书等；</w:t>
      </w:r>
    </w:p>
    <w:p w14:paraId="1EA6CB65">
      <w:pPr>
        <w:spacing w:line="540" w:lineRule="exact"/>
        <w:ind w:left="731" w:leftChars="306" w:hanging="88" w:hangingChars="42"/>
        <w:rPr>
          <w:rFonts w:ascii="宋体" w:hAnsi="宋体" w:eastAsia="宋体" w:cs="Times New Roman"/>
          <w:bCs/>
          <w:color w:val="auto"/>
          <w:szCs w:val="21"/>
          <w:highlight w:val="none"/>
        </w:rPr>
      </w:pPr>
      <w:r>
        <w:rPr>
          <w:rFonts w:ascii="宋体" w:hAnsi="宋体" w:eastAsia="宋体" w:cs="Times New Roman"/>
          <w:bCs/>
          <w:color w:val="auto"/>
          <w:szCs w:val="21"/>
          <w:highlight w:val="none"/>
        </w:rPr>
        <w:t>E、赔款支付：若赔款支付到被保险人项目部账号，或经被保险人项目部授权支付到</w:t>
      </w:r>
    </w:p>
    <w:p w14:paraId="4A2DB29C">
      <w:pPr>
        <w:spacing w:line="540" w:lineRule="exact"/>
        <w:rPr>
          <w:rFonts w:ascii="宋体" w:hAnsi="宋体" w:eastAsia="宋体" w:cs="Times New Roman"/>
          <w:bCs/>
          <w:color w:val="auto"/>
          <w:szCs w:val="21"/>
          <w:highlight w:val="none"/>
        </w:rPr>
      </w:pPr>
      <w:r>
        <w:rPr>
          <w:rFonts w:ascii="宋体" w:hAnsi="宋体" w:eastAsia="宋体" w:cs="Times New Roman"/>
          <w:bCs/>
          <w:color w:val="auto"/>
          <w:szCs w:val="21"/>
          <w:highlight w:val="none"/>
        </w:rPr>
        <w:t>协作单位账号的，需提供权益转让书及授权委托书等资料。</w:t>
      </w:r>
    </w:p>
    <w:p w14:paraId="618C7F1A">
      <w:pPr>
        <w:pStyle w:val="5"/>
        <w:spacing w:before="156" w:after="156"/>
        <w:rPr>
          <w:rFonts w:hint="eastAsia"/>
          <w:color w:val="auto"/>
          <w:highlight w:val="none"/>
        </w:rPr>
      </w:pPr>
      <w:r>
        <w:rPr>
          <w:rFonts w:hint="eastAsia"/>
          <w:color w:val="auto"/>
          <w:highlight w:val="none"/>
        </w:rPr>
        <w:t>（五）预付赔款处理</w:t>
      </w:r>
    </w:p>
    <w:p w14:paraId="0D3B7006">
      <w:pPr>
        <w:spacing w:line="400" w:lineRule="exact"/>
        <w:ind w:firstLine="420" w:firstLineChars="200"/>
        <w:rPr>
          <w:rFonts w:hint="eastAsia" w:cs="宋体"/>
          <w:bCs/>
          <w:color w:val="auto"/>
          <w:szCs w:val="21"/>
          <w:highlight w:val="none"/>
          <w:lang w:val="en-US" w:eastAsia="zh-CN"/>
        </w:rPr>
      </w:pPr>
      <w:r>
        <w:rPr>
          <w:rFonts w:hint="eastAsia" w:cs="宋体"/>
          <w:bCs/>
          <w:color w:val="auto"/>
          <w:szCs w:val="21"/>
          <w:highlight w:val="none"/>
          <w:shd w:val="clear" w:color="auto" w:fill="auto"/>
        </w:rPr>
        <w:t>对属于保险责任内的估损金额超过RMB20万元的赔款，</w:t>
      </w:r>
      <w:r>
        <w:rPr>
          <w:rFonts w:hint="eastAsia" w:cs="宋体"/>
          <w:bCs/>
          <w:color w:val="auto"/>
          <w:szCs w:val="21"/>
          <w:highlight w:val="none"/>
        </w:rPr>
        <w:t>被保险人若要求保险人预付赔</w:t>
      </w:r>
      <w:r>
        <w:rPr>
          <w:rFonts w:hint="eastAsia" w:cs="宋体"/>
          <w:bCs/>
          <w:color w:val="auto"/>
          <w:szCs w:val="21"/>
          <w:highlight w:val="none"/>
          <w:lang w:val="en-US" w:eastAsia="zh-CN"/>
        </w:rPr>
        <w:t xml:space="preserve">  </w:t>
      </w:r>
    </w:p>
    <w:p w14:paraId="2DA7295F">
      <w:pPr>
        <w:spacing w:line="400" w:lineRule="exact"/>
        <w:ind w:firstLine="420" w:firstLineChars="200"/>
        <w:rPr>
          <w:rFonts w:hint="eastAsia" w:cs="宋体"/>
          <w:bCs/>
          <w:color w:val="auto"/>
          <w:szCs w:val="21"/>
          <w:highlight w:val="none"/>
        </w:rPr>
      </w:pPr>
      <w:r>
        <w:rPr>
          <w:rFonts w:hint="eastAsia" w:cs="宋体"/>
          <w:bCs/>
          <w:color w:val="auto"/>
          <w:szCs w:val="21"/>
          <w:highlight w:val="none"/>
        </w:rPr>
        <w:t>款，保险人应在以下规定时间内按初步估损金额的50%先行支付预付赔款：估损金额</w:t>
      </w:r>
    </w:p>
    <w:p w14:paraId="05BFB7E0">
      <w:pPr>
        <w:spacing w:line="400" w:lineRule="exact"/>
        <w:ind w:firstLine="420" w:firstLineChars="200"/>
        <w:rPr>
          <w:rFonts w:hint="eastAsia" w:cs="宋体"/>
          <w:bCs/>
          <w:color w:val="auto"/>
          <w:szCs w:val="21"/>
          <w:highlight w:val="none"/>
        </w:rPr>
      </w:pPr>
      <w:r>
        <w:rPr>
          <w:rFonts w:hint="eastAsia" w:cs="宋体"/>
          <w:bCs/>
          <w:color w:val="auto"/>
          <w:szCs w:val="21"/>
          <w:highlight w:val="none"/>
        </w:rPr>
        <w:t>RMB100万以内的，5个工作日内按初步估损金额的50%先行支付预付赔款；估损金额超过RMB100万(含100万）的，10个工作日内按初步估损金额的50%先行支付预付赔款。</w:t>
      </w:r>
    </w:p>
    <w:p w14:paraId="52F7D41A">
      <w:pPr>
        <w:pStyle w:val="5"/>
        <w:spacing w:before="156" w:after="156"/>
        <w:rPr>
          <w:rFonts w:hint="eastAsia"/>
          <w:color w:val="auto"/>
          <w:highlight w:val="none"/>
        </w:rPr>
      </w:pPr>
      <w:r>
        <w:rPr>
          <w:rFonts w:hint="eastAsia"/>
          <w:color w:val="auto"/>
          <w:highlight w:val="none"/>
        </w:rPr>
        <w:t>（六）理赔期限</w:t>
      </w:r>
    </w:p>
    <w:p w14:paraId="7598B36A">
      <w:pPr>
        <w:spacing w:line="400" w:lineRule="exact"/>
        <w:ind w:firstLine="420" w:firstLineChars="200"/>
        <w:rPr>
          <w:rFonts w:hint="eastAsia" w:cs="宋体"/>
          <w:bCs/>
          <w:color w:val="auto"/>
          <w:szCs w:val="21"/>
          <w:highlight w:val="none"/>
        </w:rPr>
      </w:pPr>
      <w:r>
        <w:rPr>
          <w:rFonts w:hint="eastAsia" w:cs="宋体"/>
          <w:bCs/>
          <w:color w:val="auto"/>
          <w:szCs w:val="21"/>
          <w:highlight w:val="none"/>
        </w:rPr>
        <w:t>1.保险人在接到被保险人的索赔单证后，应出具索赔单证签收单，并且必须在二个工作</w:t>
      </w:r>
    </w:p>
    <w:p w14:paraId="576C5D91">
      <w:pPr>
        <w:spacing w:line="400" w:lineRule="exact"/>
        <w:ind w:firstLine="420" w:firstLineChars="200"/>
        <w:rPr>
          <w:rFonts w:hint="eastAsia" w:cs="宋体"/>
          <w:bCs/>
          <w:color w:val="auto"/>
          <w:szCs w:val="21"/>
          <w:highlight w:val="none"/>
        </w:rPr>
      </w:pPr>
      <w:r>
        <w:rPr>
          <w:rFonts w:hint="eastAsia" w:cs="宋体"/>
          <w:bCs/>
          <w:color w:val="auto"/>
          <w:szCs w:val="21"/>
          <w:highlight w:val="none"/>
        </w:rPr>
        <w:t>日内根据案情和已提供相关单证一次性提出索赔单证是否齐全。如果在二个工作日内保</w:t>
      </w:r>
    </w:p>
    <w:p w14:paraId="08DEF099">
      <w:pPr>
        <w:spacing w:line="400" w:lineRule="exact"/>
        <w:ind w:firstLine="420" w:firstLineChars="200"/>
        <w:rPr>
          <w:rFonts w:hint="eastAsia" w:cs="宋体"/>
          <w:bCs/>
          <w:color w:val="auto"/>
          <w:szCs w:val="21"/>
          <w:highlight w:val="none"/>
        </w:rPr>
      </w:pPr>
      <w:r>
        <w:rPr>
          <w:rFonts w:hint="eastAsia" w:cs="宋体"/>
          <w:bCs/>
          <w:color w:val="auto"/>
          <w:szCs w:val="21"/>
          <w:highlight w:val="none"/>
        </w:rPr>
        <w:t>险人未提出异议，视同默认在以后的理赔处理中，保险人不得以索赔单证不齐全为由提</w:t>
      </w:r>
    </w:p>
    <w:p w14:paraId="1B81EA65">
      <w:pPr>
        <w:spacing w:line="400" w:lineRule="exact"/>
        <w:ind w:firstLine="420" w:firstLineChars="200"/>
        <w:rPr>
          <w:rFonts w:hint="eastAsia" w:cs="宋体"/>
          <w:bCs/>
          <w:color w:val="auto"/>
          <w:szCs w:val="21"/>
          <w:highlight w:val="none"/>
        </w:rPr>
      </w:pPr>
      <w:r>
        <w:rPr>
          <w:rFonts w:hint="eastAsia" w:cs="宋体"/>
          <w:bCs/>
          <w:color w:val="auto"/>
          <w:szCs w:val="21"/>
          <w:highlight w:val="none"/>
        </w:rPr>
        <w:t>出拒赔或要求延长理赔期限。</w:t>
      </w:r>
    </w:p>
    <w:p w14:paraId="3A1A6FDF">
      <w:pPr>
        <w:numPr>
          <w:ilvl w:val="0"/>
          <w:numId w:val="0"/>
        </w:numPr>
        <w:spacing w:line="400" w:lineRule="exact"/>
        <w:ind w:firstLine="420" w:firstLineChars="200"/>
        <w:rPr>
          <w:rFonts w:hint="eastAsia" w:cs="宋体"/>
          <w:bCs/>
          <w:color w:val="auto"/>
          <w:szCs w:val="21"/>
          <w:highlight w:val="none"/>
        </w:rPr>
      </w:pPr>
      <w:r>
        <w:rPr>
          <w:rFonts w:hint="eastAsia" w:cs="宋体"/>
          <w:bCs/>
          <w:color w:val="auto"/>
          <w:szCs w:val="21"/>
          <w:highlight w:val="none"/>
          <w:lang w:val="en-US" w:eastAsia="zh-CN"/>
        </w:rPr>
        <w:t>2.</w:t>
      </w:r>
      <w:r>
        <w:rPr>
          <w:rFonts w:hint="eastAsia" w:cs="宋体"/>
          <w:bCs/>
          <w:color w:val="auto"/>
          <w:szCs w:val="21"/>
          <w:highlight w:val="none"/>
        </w:rPr>
        <w:t>当保险责任明确、损失金额明确，保险双方达成赔偿协议后，保险人承诺的结案赔</w:t>
      </w:r>
      <w:r>
        <w:rPr>
          <w:rFonts w:hint="eastAsia" w:cs="宋体"/>
          <w:bCs/>
          <w:color w:val="auto"/>
          <w:szCs w:val="21"/>
          <w:highlight w:val="none"/>
          <w:lang w:val="en-US" w:eastAsia="zh-CN"/>
        </w:rPr>
        <w:t xml:space="preserve"> </w:t>
      </w:r>
    </w:p>
    <w:p w14:paraId="44CB0A5A">
      <w:pPr>
        <w:numPr>
          <w:ilvl w:val="0"/>
          <w:numId w:val="0"/>
        </w:numPr>
        <w:spacing w:line="400" w:lineRule="exact"/>
        <w:ind w:firstLine="420" w:firstLineChars="200"/>
        <w:rPr>
          <w:rFonts w:hint="eastAsia" w:cs="宋体"/>
          <w:bCs/>
          <w:color w:val="auto"/>
          <w:szCs w:val="21"/>
          <w:highlight w:val="none"/>
        </w:rPr>
      </w:pPr>
      <w:r>
        <w:rPr>
          <w:rFonts w:hint="eastAsia" w:cs="宋体"/>
          <w:bCs/>
          <w:color w:val="auto"/>
          <w:szCs w:val="21"/>
          <w:highlight w:val="none"/>
        </w:rPr>
        <w:t>付时限为：</w:t>
      </w:r>
    </w:p>
    <w:tbl>
      <w:tblPr>
        <w:tblStyle w:val="30"/>
        <w:tblpPr w:leftFromText="180" w:rightFromText="180" w:vertAnchor="text" w:horzAnchor="page" w:tblpX="2139" w:tblpY="294"/>
        <w:tblW w:w="8295" w:type="dxa"/>
        <w:tblInd w:w="0" w:type="dxa"/>
        <w:tblBorders>
          <w:top w:val="thickThinSmallGap" w:color="C0C0C0" w:sz="24" w:space="0"/>
          <w:left w:val="thickThinSmallGap" w:color="C0C0C0" w:sz="24" w:space="0"/>
          <w:bottom w:val="thickThinSmallGap" w:color="C0C0C0" w:sz="24" w:space="0"/>
          <w:right w:val="thickThinSmallGap" w:color="C0C0C0" w:sz="24" w:space="0"/>
          <w:insideH w:val="thickThinSmallGap" w:color="C0C0C0" w:sz="24" w:space="0"/>
          <w:insideV w:val="thickThinSmallGap" w:color="C0C0C0" w:sz="24" w:space="0"/>
        </w:tblBorders>
        <w:tblLayout w:type="fixed"/>
        <w:tblCellMar>
          <w:top w:w="0" w:type="dxa"/>
          <w:left w:w="108" w:type="dxa"/>
          <w:bottom w:w="0" w:type="dxa"/>
          <w:right w:w="108" w:type="dxa"/>
        </w:tblCellMar>
      </w:tblPr>
      <w:tblGrid>
        <w:gridCol w:w="4282"/>
        <w:gridCol w:w="4013"/>
      </w:tblGrid>
      <w:tr w14:paraId="5266EFC9">
        <w:tblPrEx>
          <w:tblBorders>
            <w:top w:val="thickThinSmallGap" w:color="C0C0C0" w:sz="24" w:space="0"/>
            <w:left w:val="thickThinSmallGap" w:color="C0C0C0" w:sz="24" w:space="0"/>
            <w:bottom w:val="thickThinSmallGap" w:color="C0C0C0" w:sz="24" w:space="0"/>
            <w:right w:val="thickThinSmallGap" w:color="C0C0C0" w:sz="24" w:space="0"/>
            <w:insideH w:val="thickThinSmallGap" w:color="C0C0C0" w:sz="24" w:space="0"/>
            <w:insideV w:val="thickThinSmallGap" w:color="C0C0C0" w:sz="24" w:space="0"/>
          </w:tblBorders>
          <w:tblCellMar>
            <w:top w:w="0" w:type="dxa"/>
            <w:left w:w="108" w:type="dxa"/>
            <w:bottom w:w="0" w:type="dxa"/>
            <w:right w:w="108" w:type="dxa"/>
          </w:tblCellMar>
        </w:tblPrEx>
        <w:trPr>
          <w:trHeight w:val="330" w:hRule="atLeast"/>
        </w:trPr>
        <w:tc>
          <w:tcPr>
            <w:tcW w:w="4282" w:type="dxa"/>
            <w:noWrap w:val="0"/>
            <w:vAlign w:val="center"/>
          </w:tcPr>
          <w:p w14:paraId="59B1B887">
            <w:pPr>
              <w:spacing w:line="400" w:lineRule="exact"/>
              <w:ind w:firstLine="420" w:firstLineChars="200"/>
              <w:rPr>
                <w:rFonts w:hint="eastAsia" w:cs="宋体"/>
                <w:bCs/>
                <w:color w:val="auto"/>
                <w:szCs w:val="21"/>
                <w:highlight w:val="none"/>
              </w:rPr>
            </w:pPr>
            <w:r>
              <w:rPr>
                <w:rFonts w:hint="eastAsia" w:cs="宋体"/>
                <w:bCs/>
                <w:color w:val="auto"/>
                <w:szCs w:val="21"/>
                <w:highlight w:val="none"/>
              </w:rPr>
              <w:t>赔款金额（人民币）</w:t>
            </w:r>
          </w:p>
        </w:tc>
        <w:tc>
          <w:tcPr>
            <w:tcW w:w="4013" w:type="dxa"/>
            <w:noWrap w:val="0"/>
            <w:vAlign w:val="center"/>
          </w:tcPr>
          <w:p w14:paraId="76E5399D">
            <w:pPr>
              <w:spacing w:line="400" w:lineRule="exact"/>
              <w:ind w:firstLine="420" w:firstLineChars="200"/>
              <w:rPr>
                <w:rFonts w:hint="eastAsia" w:cs="宋体"/>
                <w:bCs/>
                <w:color w:val="auto"/>
                <w:szCs w:val="21"/>
                <w:highlight w:val="none"/>
              </w:rPr>
            </w:pPr>
            <w:r>
              <w:rPr>
                <w:rFonts w:hint="eastAsia" w:cs="宋体"/>
                <w:bCs/>
                <w:color w:val="auto"/>
                <w:szCs w:val="21"/>
                <w:highlight w:val="none"/>
              </w:rPr>
              <w:t>结案赔付时限</w:t>
            </w:r>
          </w:p>
        </w:tc>
      </w:tr>
      <w:tr w14:paraId="6447FB53">
        <w:tblPrEx>
          <w:tblBorders>
            <w:top w:val="thickThinSmallGap" w:color="C0C0C0" w:sz="24" w:space="0"/>
            <w:left w:val="thickThinSmallGap" w:color="C0C0C0" w:sz="24" w:space="0"/>
            <w:bottom w:val="thickThinSmallGap" w:color="C0C0C0" w:sz="24" w:space="0"/>
            <w:right w:val="thickThinSmallGap" w:color="C0C0C0" w:sz="24" w:space="0"/>
            <w:insideH w:val="thickThinSmallGap" w:color="C0C0C0" w:sz="24" w:space="0"/>
            <w:insideV w:val="thickThinSmallGap" w:color="C0C0C0" w:sz="24" w:space="0"/>
          </w:tblBorders>
          <w:tblCellMar>
            <w:top w:w="0" w:type="dxa"/>
            <w:left w:w="108" w:type="dxa"/>
            <w:bottom w:w="0" w:type="dxa"/>
            <w:right w:w="108" w:type="dxa"/>
          </w:tblCellMar>
        </w:tblPrEx>
        <w:trPr>
          <w:trHeight w:val="381" w:hRule="atLeast"/>
        </w:trPr>
        <w:tc>
          <w:tcPr>
            <w:tcW w:w="4282" w:type="dxa"/>
            <w:noWrap w:val="0"/>
            <w:vAlign w:val="center"/>
          </w:tcPr>
          <w:p w14:paraId="32E975A5">
            <w:pPr>
              <w:spacing w:line="400" w:lineRule="exact"/>
              <w:ind w:firstLine="420" w:firstLineChars="200"/>
              <w:rPr>
                <w:rFonts w:hint="eastAsia" w:cs="宋体"/>
                <w:bCs/>
                <w:color w:val="auto"/>
                <w:szCs w:val="21"/>
                <w:highlight w:val="none"/>
              </w:rPr>
            </w:pPr>
            <w:r>
              <w:rPr>
                <w:rFonts w:hint="eastAsia" w:cs="宋体"/>
                <w:bCs/>
                <w:color w:val="auto"/>
                <w:szCs w:val="21"/>
                <w:highlight w:val="none"/>
              </w:rPr>
              <w:t>10万元及以下</w:t>
            </w:r>
          </w:p>
        </w:tc>
        <w:tc>
          <w:tcPr>
            <w:tcW w:w="4013" w:type="dxa"/>
            <w:noWrap w:val="0"/>
            <w:vAlign w:val="center"/>
          </w:tcPr>
          <w:p w14:paraId="1A07CAF0">
            <w:pPr>
              <w:spacing w:line="400" w:lineRule="exact"/>
              <w:ind w:firstLine="420" w:firstLineChars="200"/>
              <w:rPr>
                <w:rFonts w:hint="eastAsia" w:cs="宋体"/>
                <w:bCs/>
                <w:color w:val="auto"/>
                <w:szCs w:val="21"/>
                <w:highlight w:val="none"/>
              </w:rPr>
            </w:pPr>
            <w:r>
              <w:rPr>
                <w:rFonts w:hint="eastAsia" w:cs="宋体"/>
                <w:bCs/>
                <w:color w:val="auto"/>
                <w:szCs w:val="21"/>
                <w:highlight w:val="none"/>
              </w:rPr>
              <w:t>3个工作日</w:t>
            </w:r>
          </w:p>
        </w:tc>
      </w:tr>
      <w:tr w14:paraId="1B4A93F4">
        <w:tblPrEx>
          <w:tblBorders>
            <w:top w:val="thickThinSmallGap" w:color="C0C0C0" w:sz="24" w:space="0"/>
            <w:left w:val="thickThinSmallGap" w:color="C0C0C0" w:sz="24" w:space="0"/>
            <w:bottom w:val="thickThinSmallGap" w:color="C0C0C0" w:sz="24" w:space="0"/>
            <w:right w:val="thickThinSmallGap" w:color="C0C0C0" w:sz="24" w:space="0"/>
            <w:insideH w:val="thickThinSmallGap" w:color="C0C0C0" w:sz="24" w:space="0"/>
            <w:insideV w:val="thickThinSmallGap" w:color="C0C0C0" w:sz="24" w:space="0"/>
          </w:tblBorders>
          <w:tblCellMar>
            <w:top w:w="0" w:type="dxa"/>
            <w:left w:w="108" w:type="dxa"/>
            <w:bottom w:w="0" w:type="dxa"/>
            <w:right w:w="108" w:type="dxa"/>
          </w:tblCellMar>
        </w:tblPrEx>
        <w:trPr>
          <w:trHeight w:val="381" w:hRule="atLeast"/>
        </w:trPr>
        <w:tc>
          <w:tcPr>
            <w:tcW w:w="4282" w:type="dxa"/>
            <w:noWrap w:val="0"/>
            <w:vAlign w:val="center"/>
          </w:tcPr>
          <w:p w14:paraId="7D37C525">
            <w:pPr>
              <w:spacing w:line="400" w:lineRule="exact"/>
              <w:ind w:firstLine="420" w:firstLineChars="200"/>
              <w:rPr>
                <w:rFonts w:hint="eastAsia" w:cs="宋体"/>
                <w:bCs/>
                <w:color w:val="auto"/>
                <w:szCs w:val="21"/>
                <w:highlight w:val="none"/>
              </w:rPr>
            </w:pPr>
            <w:r>
              <w:rPr>
                <w:rFonts w:hint="eastAsia" w:cs="宋体"/>
                <w:bCs/>
                <w:color w:val="auto"/>
                <w:szCs w:val="21"/>
                <w:highlight w:val="none"/>
              </w:rPr>
              <w:t>10万元以上至50万元（不含）以下</w:t>
            </w:r>
          </w:p>
        </w:tc>
        <w:tc>
          <w:tcPr>
            <w:tcW w:w="4013" w:type="dxa"/>
            <w:noWrap w:val="0"/>
            <w:vAlign w:val="center"/>
          </w:tcPr>
          <w:p w14:paraId="02D8DE32">
            <w:pPr>
              <w:spacing w:line="400" w:lineRule="exact"/>
              <w:ind w:firstLine="420" w:firstLineChars="200"/>
              <w:rPr>
                <w:rFonts w:hint="eastAsia" w:cs="宋体"/>
                <w:bCs/>
                <w:color w:val="auto"/>
                <w:szCs w:val="21"/>
                <w:highlight w:val="none"/>
              </w:rPr>
            </w:pPr>
            <w:r>
              <w:rPr>
                <w:rFonts w:hint="eastAsia" w:cs="宋体"/>
                <w:bCs/>
                <w:color w:val="auto"/>
                <w:szCs w:val="21"/>
                <w:highlight w:val="none"/>
              </w:rPr>
              <w:t>5个工作日</w:t>
            </w:r>
          </w:p>
        </w:tc>
      </w:tr>
      <w:tr w14:paraId="657F0BCF">
        <w:tblPrEx>
          <w:tblBorders>
            <w:top w:val="thickThinSmallGap" w:color="C0C0C0" w:sz="24" w:space="0"/>
            <w:left w:val="thickThinSmallGap" w:color="C0C0C0" w:sz="24" w:space="0"/>
            <w:bottom w:val="thickThinSmallGap" w:color="C0C0C0" w:sz="24" w:space="0"/>
            <w:right w:val="thickThinSmallGap" w:color="C0C0C0" w:sz="24" w:space="0"/>
            <w:insideH w:val="thickThinSmallGap" w:color="C0C0C0" w:sz="24" w:space="0"/>
            <w:insideV w:val="thickThinSmallGap" w:color="C0C0C0" w:sz="24" w:space="0"/>
          </w:tblBorders>
          <w:tblCellMar>
            <w:top w:w="0" w:type="dxa"/>
            <w:left w:w="108" w:type="dxa"/>
            <w:bottom w:w="0" w:type="dxa"/>
            <w:right w:w="108" w:type="dxa"/>
          </w:tblCellMar>
        </w:tblPrEx>
        <w:trPr>
          <w:trHeight w:val="381" w:hRule="atLeast"/>
        </w:trPr>
        <w:tc>
          <w:tcPr>
            <w:tcW w:w="4282" w:type="dxa"/>
            <w:noWrap w:val="0"/>
            <w:vAlign w:val="center"/>
          </w:tcPr>
          <w:p w14:paraId="38EF7070">
            <w:pPr>
              <w:spacing w:line="400" w:lineRule="exact"/>
              <w:ind w:firstLine="420" w:firstLineChars="200"/>
              <w:rPr>
                <w:rFonts w:hint="eastAsia" w:cs="宋体"/>
                <w:bCs/>
                <w:color w:val="auto"/>
                <w:szCs w:val="21"/>
                <w:highlight w:val="none"/>
              </w:rPr>
            </w:pPr>
            <w:r>
              <w:rPr>
                <w:rFonts w:hint="eastAsia" w:cs="宋体"/>
                <w:bCs/>
                <w:color w:val="auto"/>
                <w:szCs w:val="21"/>
                <w:highlight w:val="none"/>
              </w:rPr>
              <w:t>50万元以上至100万元（不含）以下</w:t>
            </w:r>
          </w:p>
        </w:tc>
        <w:tc>
          <w:tcPr>
            <w:tcW w:w="4013" w:type="dxa"/>
            <w:noWrap w:val="0"/>
            <w:vAlign w:val="center"/>
          </w:tcPr>
          <w:p w14:paraId="465D9F1E">
            <w:pPr>
              <w:spacing w:line="400" w:lineRule="exact"/>
              <w:ind w:firstLine="420" w:firstLineChars="200"/>
              <w:rPr>
                <w:rFonts w:hint="eastAsia" w:cs="宋体"/>
                <w:bCs/>
                <w:color w:val="auto"/>
                <w:szCs w:val="21"/>
                <w:highlight w:val="none"/>
              </w:rPr>
            </w:pPr>
            <w:r>
              <w:rPr>
                <w:rFonts w:hint="eastAsia" w:cs="宋体"/>
                <w:bCs/>
                <w:color w:val="auto"/>
                <w:szCs w:val="21"/>
                <w:highlight w:val="none"/>
              </w:rPr>
              <w:t>7个工作日</w:t>
            </w:r>
          </w:p>
        </w:tc>
      </w:tr>
      <w:tr w14:paraId="6D838D94">
        <w:tblPrEx>
          <w:tblBorders>
            <w:top w:val="thickThinSmallGap" w:color="C0C0C0" w:sz="24" w:space="0"/>
            <w:left w:val="thickThinSmallGap" w:color="C0C0C0" w:sz="24" w:space="0"/>
            <w:bottom w:val="thickThinSmallGap" w:color="C0C0C0" w:sz="24" w:space="0"/>
            <w:right w:val="thickThinSmallGap" w:color="C0C0C0" w:sz="24" w:space="0"/>
            <w:insideH w:val="thickThinSmallGap" w:color="C0C0C0" w:sz="24" w:space="0"/>
            <w:insideV w:val="thickThinSmallGap" w:color="C0C0C0" w:sz="24" w:space="0"/>
          </w:tblBorders>
          <w:tblCellMar>
            <w:top w:w="0" w:type="dxa"/>
            <w:left w:w="108" w:type="dxa"/>
            <w:bottom w:w="0" w:type="dxa"/>
            <w:right w:w="108" w:type="dxa"/>
          </w:tblCellMar>
        </w:tblPrEx>
        <w:trPr>
          <w:trHeight w:val="435" w:hRule="atLeast"/>
        </w:trPr>
        <w:tc>
          <w:tcPr>
            <w:tcW w:w="4282" w:type="dxa"/>
            <w:noWrap w:val="0"/>
            <w:vAlign w:val="center"/>
          </w:tcPr>
          <w:p w14:paraId="5DCB8391">
            <w:pPr>
              <w:spacing w:line="400" w:lineRule="exact"/>
              <w:ind w:firstLine="420" w:firstLineChars="200"/>
              <w:rPr>
                <w:rFonts w:hint="eastAsia" w:cs="宋体"/>
                <w:bCs/>
                <w:color w:val="auto"/>
                <w:szCs w:val="21"/>
                <w:highlight w:val="none"/>
              </w:rPr>
            </w:pPr>
            <w:r>
              <w:rPr>
                <w:rFonts w:hint="eastAsia" w:cs="宋体"/>
                <w:bCs/>
                <w:color w:val="auto"/>
                <w:szCs w:val="21"/>
                <w:highlight w:val="none"/>
              </w:rPr>
              <w:t>100万元及以上</w:t>
            </w:r>
          </w:p>
        </w:tc>
        <w:tc>
          <w:tcPr>
            <w:tcW w:w="4013" w:type="dxa"/>
            <w:noWrap w:val="0"/>
            <w:vAlign w:val="center"/>
          </w:tcPr>
          <w:p w14:paraId="1D909456">
            <w:pPr>
              <w:spacing w:line="400" w:lineRule="exact"/>
              <w:ind w:firstLine="420" w:firstLineChars="200"/>
              <w:rPr>
                <w:rFonts w:hint="eastAsia" w:cs="宋体"/>
                <w:bCs/>
                <w:color w:val="auto"/>
                <w:szCs w:val="21"/>
                <w:highlight w:val="none"/>
              </w:rPr>
            </w:pPr>
            <w:r>
              <w:rPr>
                <w:rFonts w:hint="eastAsia" w:cs="宋体"/>
                <w:bCs/>
                <w:color w:val="auto"/>
                <w:szCs w:val="21"/>
                <w:highlight w:val="none"/>
              </w:rPr>
              <w:t>10个工作日</w:t>
            </w:r>
          </w:p>
        </w:tc>
      </w:tr>
    </w:tbl>
    <w:p w14:paraId="5C1C9D3A">
      <w:pPr>
        <w:spacing w:line="400" w:lineRule="exact"/>
        <w:ind w:firstLine="420" w:firstLineChars="200"/>
        <w:rPr>
          <w:rFonts w:hint="eastAsia" w:cs="宋体"/>
          <w:bCs/>
          <w:color w:val="auto"/>
          <w:szCs w:val="21"/>
          <w:highlight w:val="none"/>
        </w:rPr>
      </w:pPr>
      <w:r>
        <w:rPr>
          <w:rFonts w:hint="eastAsia" w:cs="宋体"/>
          <w:bCs/>
          <w:color w:val="auto"/>
          <w:szCs w:val="21"/>
          <w:highlight w:val="none"/>
        </w:rPr>
        <w:t>保险人支付保险赔款每逾期一天，应支付理赔金额万分之五的违约金。</w:t>
      </w:r>
    </w:p>
    <w:p w14:paraId="6BA1732F">
      <w:pPr>
        <w:spacing w:line="400" w:lineRule="exact"/>
        <w:ind w:left="420" w:leftChars="200" w:firstLine="0" w:firstLineChars="0"/>
        <w:rPr>
          <w:rFonts w:hint="eastAsia" w:cs="宋体"/>
          <w:bCs/>
          <w:color w:val="auto"/>
          <w:szCs w:val="21"/>
          <w:highlight w:val="none"/>
        </w:rPr>
      </w:pPr>
      <w:r>
        <w:rPr>
          <w:rFonts w:hint="eastAsia" w:cs="宋体"/>
          <w:bCs/>
          <w:color w:val="auto"/>
          <w:szCs w:val="21"/>
          <w:highlight w:val="none"/>
        </w:rPr>
        <w:t>3.本保险合同下发生赔案，损失金额由首席保险人代表共同保险人先行支付被保险人，各共同保险人应按各自的份额将赔款支付首席保险人。</w:t>
      </w:r>
    </w:p>
    <w:p w14:paraId="49F3CFD9">
      <w:pPr>
        <w:pStyle w:val="4"/>
        <w:spacing w:before="156" w:after="156"/>
        <w:rPr>
          <w:rFonts w:hint="eastAsia"/>
          <w:color w:val="auto"/>
          <w:sz w:val="24"/>
          <w:szCs w:val="24"/>
          <w:highlight w:val="none"/>
        </w:rPr>
      </w:pPr>
      <w:r>
        <w:rPr>
          <w:rFonts w:hint="eastAsia"/>
          <w:color w:val="auto"/>
          <w:sz w:val="24"/>
          <w:szCs w:val="24"/>
          <w:highlight w:val="none"/>
        </w:rPr>
        <w:t>十九、期内服务：</w:t>
      </w:r>
    </w:p>
    <w:p w14:paraId="34AF7CDE">
      <w:pPr>
        <w:pStyle w:val="5"/>
        <w:spacing w:before="156" w:after="156"/>
        <w:rPr>
          <w:rFonts w:hint="eastAsia"/>
          <w:color w:val="auto"/>
          <w:highlight w:val="none"/>
        </w:rPr>
      </w:pPr>
      <w:r>
        <w:rPr>
          <w:rFonts w:hint="eastAsia"/>
          <w:color w:val="auto"/>
          <w:highlight w:val="none"/>
        </w:rPr>
        <w:t>（一）项目服务小组</w:t>
      </w:r>
    </w:p>
    <w:p w14:paraId="59989E9D">
      <w:pPr>
        <w:spacing w:line="400" w:lineRule="exact"/>
        <w:ind w:left="420" w:leftChars="200" w:firstLine="0" w:firstLineChars="0"/>
        <w:rPr>
          <w:rFonts w:hint="eastAsia" w:cs="宋体"/>
          <w:bCs/>
          <w:color w:val="auto"/>
          <w:szCs w:val="21"/>
          <w:highlight w:val="none"/>
          <w:shd w:val="clear" w:color="auto" w:fill="auto"/>
        </w:rPr>
      </w:pPr>
      <w:r>
        <w:rPr>
          <w:rFonts w:hint="eastAsia" w:cs="宋体"/>
          <w:bCs/>
          <w:color w:val="auto"/>
          <w:szCs w:val="21"/>
          <w:highlight w:val="none"/>
          <w:shd w:val="clear" w:color="auto" w:fill="auto"/>
        </w:rPr>
        <w:t>由经纪</w:t>
      </w:r>
      <w:r>
        <w:rPr>
          <w:rFonts w:hint="eastAsia" w:cs="宋体"/>
          <w:bCs/>
          <w:color w:val="auto"/>
          <w:szCs w:val="21"/>
          <w:highlight w:val="none"/>
          <w:shd w:val="clear" w:color="auto" w:fill="auto"/>
          <w:lang w:val="en-US" w:eastAsia="zh-CN"/>
        </w:rPr>
        <w:t>人</w:t>
      </w:r>
      <w:r>
        <w:rPr>
          <w:rFonts w:hint="eastAsia" w:cs="宋体"/>
          <w:bCs/>
          <w:color w:val="auto"/>
          <w:szCs w:val="21"/>
          <w:highlight w:val="none"/>
          <w:shd w:val="clear" w:color="auto" w:fill="auto"/>
        </w:rPr>
        <w:t>与保险人共同成立本项目服务小组（以下简称“服务小组”）。服务小组具体负责处理保险人与投保人之间的根据本</w:t>
      </w:r>
      <w:r>
        <w:rPr>
          <w:rFonts w:hint="eastAsia" w:cs="宋体"/>
          <w:bCs/>
          <w:color w:val="auto"/>
          <w:szCs w:val="21"/>
          <w:highlight w:val="none"/>
          <w:shd w:val="clear" w:color="auto" w:fill="auto"/>
          <w:lang w:val="en-US" w:eastAsia="zh-CN"/>
        </w:rPr>
        <w:t>合同</w:t>
      </w:r>
      <w:r>
        <w:rPr>
          <w:rFonts w:hint="eastAsia" w:cs="宋体"/>
          <w:bCs/>
          <w:color w:val="auto"/>
          <w:szCs w:val="21"/>
          <w:highlight w:val="none"/>
          <w:shd w:val="clear" w:color="auto" w:fill="auto"/>
        </w:rPr>
        <w:t>及保险条款规定的所有业务事项和日常工作联系。</w:t>
      </w:r>
    </w:p>
    <w:p w14:paraId="71904258">
      <w:pPr>
        <w:spacing w:line="360" w:lineRule="auto"/>
        <w:ind w:left="16" w:firstLine="420"/>
        <w:rPr>
          <w:rFonts w:eastAsia="宋体" w:cs="宋体"/>
          <w:bCs/>
          <w:color w:val="auto"/>
          <w:sz w:val="21"/>
          <w:szCs w:val="21"/>
          <w:highlight w:val="none"/>
        </w:rPr>
      </w:pPr>
      <w:r>
        <w:rPr>
          <w:rFonts w:hint="eastAsia" w:eastAsia="宋体" w:cs="宋体"/>
          <w:bCs/>
          <w:color w:val="auto"/>
          <w:sz w:val="21"/>
          <w:szCs w:val="21"/>
          <w:highlight w:val="none"/>
        </w:rPr>
        <w:t>保险人服务小组名单及联系方式如下：</w:t>
      </w:r>
    </w:p>
    <w:tbl>
      <w:tblPr>
        <w:tblStyle w:val="30"/>
        <w:tblW w:w="87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123"/>
        <w:gridCol w:w="2049"/>
        <w:gridCol w:w="1399"/>
        <w:gridCol w:w="2899"/>
      </w:tblGrid>
      <w:tr w14:paraId="5C4C0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3" w:type="dxa"/>
            <w:noWrap w:val="0"/>
            <w:vAlign w:val="center"/>
          </w:tcPr>
          <w:p w14:paraId="54CF1367">
            <w:pPr>
              <w:spacing w:line="360" w:lineRule="auto"/>
              <w:jc w:val="center"/>
              <w:rPr>
                <w:rFonts w:eastAsia="宋体" w:cs="宋体"/>
                <w:bCs/>
                <w:color w:val="auto"/>
                <w:sz w:val="21"/>
                <w:szCs w:val="21"/>
                <w:highlight w:val="none"/>
              </w:rPr>
            </w:pPr>
            <w:r>
              <w:rPr>
                <w:rFonts w:hint="eastAsia" w:eastAsia="宋体" w:cs="宋体"/>
                <w:bCs/>
                <w:color w:val="auto"/>
                <w:sz w:val="21"/>
                <w:szCs w:val="21"/>
                <w:highlight w:val="none"/>
              </w:rPr>
              <w:t>成员</w:t>
            </w:r>
          </w:p>
        </w:tc>
        <w:tc>
          <w:tcPr>
            <w:tcW w:w="1123" w:type="dxa"/>
            <w:noWrap w:val="0"/>
            <w:vAlign w:val="center"/>
          </w:tcPr>
          <w:p w14:paraId="0373CBFB">
            <w:pPr>
              <w:spacing w:line="360" w:lineRule="auto"/>
              <w:jc w:val="center"/>
              <w:rPr>
                <w:rFonts w:eastAsia="宋体" w:cs="宋体"/>
                <w:bCs/>
                <w:color w:val="auto"/>
                <w:sz w:val="21"/>
                <w:szCs w:val="21"/>
                <w:highlight w:val="none"/>
              </w:rPr>
            </w:pPr>
            <w:r>
              <w:rPr>
                <w:rFonts w:hint="eastAsia" w:eastAsia="宋体" w:cs="宋体"/>
                <w:bCs/>
                <w:color w:val="auto"/>
                <w:sz w:val="21"/>
                <w:szCs w:val="21"/>
                <w:highlight w:val="none"/>
              </w:rPr>
              <w:t>姓名</w:t>
            </w:r>
          </w:p>
        </w:tc>
        <w:tc>
          <w:tcPr>
            <w:tcW w:w="2049" w:type="dxa"/>
            <w:noWrap w:val="0"/>
            <w:vAlign w:val="center"/>
          </w:tcPr>
          <w:p w14:paraId="13A23CB0">
            <w:pPr>
              <w:spacing w:line="360" w:lineRule="auto"/>
              <w:jc w:val="center"/>
              <w:rPr>
                <w:rFonts w:eastAsia="宋体" w:cs="宋体"/>
                <w:bCs/>
                <w:color w:val="auto"/>
                <w:sz w:val="21"/>
                <w:szCs w:val="21"/>
                <w:highlight w:val="none"/>
              </w:rPr>
            </w:pPr>
            <w:r>
              <w:rPr>
                <w:rFonts w:hint="eastAsia" w:eastAsia="宋体" w:cs="宋体"/>
                <w:bCs/>
                <w:color w:val="auto"/>
                <w:sz w:val="21"/>
                <w:szCs w:val="21"/>
                <w:highlight w:val="none"/>
              </w:rPr>
              <w:t>职 务</w:t>
            </w:r>
          </w:p>
        </w:tc>
        <w:tc>
          <w:tcPr>
            <w:tcW w:w="1399" w:type="dxa"/>
            <w:noWrap w:val="0"/>
            <w:vAlign w:val="center"/>
          </w:tcPr>
          <w:p w14:paraId="5710D57F">
            <w:pPr>
              <w:spacing w:line="360" w:lineRule="auto"/>
              <w:jc w:val="center"/>
              <w:rPr>
                <w:rFonts w:eastAsia="宋体" w:cs="宋体"/>
                <w:bCs/>
                <w:color w:val="auto"/>
                <w:sz w:val="21"/>
                <w:szCs w:val="21"/>
                <w:highlight w:val="none"/>
              </w:rPr>
            </w:pPr>
            <w:r>
              <w:rPr>
                <w:rFonts w:hint="eastAsia" w:eastAsia="宋体" w:cs="宋体"/>
                <w:bCs/>
                <w:color w:val="auto"/>
                <w:sz w:val="21"/>
                <w:szCs w:val="21"/>
                <w:highlight w:val="none"/>
              </w:rPr>
              <w:t>电 话</w:t>
            </w:r>
          </w:p>
        </w:tc>
        <w:tc>
          <w:tcPr>
            <w:tcW w:w="2899" w:type="dxa"/>
            <w:noWrap w:val="0"/>
            <w:vAlign w:val="center"/>
          </w:tcPr>
          <w:p w14:paraId="20BE758E">
            <w:pPr>
              <w:spacing w:line="360" w:lineRule="auto"/>
              <w:jc w:val="center"/>
              <w:rPr>
                <w:rFonts w:eastAsia="宋体" w:cs="宋体"/>
                <w:bCs/>
                <w:color w:val="auto"/>
                <w:sz w:val="21"/>
                <w:szCs w:val="21"/>
                <w:highlight w:val="none"/>
              </w:rPr>
            </w:pPr>
            <w:r>
              <w:rPr>
                <w:rFonts w:hint="eastAsia" w:eastAsia="宋体" w:cs="宋体"/>
                <w:bCs/>
                <w:color w:val="auto"/>
                <w:sz w:val="21"/>
                <w:szCs w:val="21"/>
                <w:highlight w:val="none"/>
              </w:rPr>
              <w:t>职  能</w:t>
            </w:r>
          </w:p>
        </w:tc>
      </w:tr>
      <w:tr w14:paraId="5DD20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3" w:type="dxa"/>
            <w:noWrap w:val="0"/>
            <w:vAlign w:val="center"/>
          </w:tcPr>
          <w:p w14:paraId="33363B2C">
            <w:pPr>
              <w:spacing w:line="360" w:lineRule="auto"/>
              <w:jc w:val="center"/>
              <w:rPr>
                <w:rFonts w:eastAsia="宋体" w:cs="宋体"/>
                <w:bCs/>
                <w:color w:val="auto"/>
                <w:sz w:val="21"/>
                <w:szCs w:val="21"/>
                <w:highlight w:val="none"/>
              </w:rPr>
            </w:pPr>
          </w:p>
        </w:tc>
        <w:tc>
          <w:tcPr>
            <w:tcW w:w="1123" w:type="dxa"/>
            <w:noWrap w:val="0"/>
            <w:vAlign w:val="center"/>
          </w:tcPr>
          <w:p w14:paraId="7FEDB53A">
            <w:pPr>
              <w:spacing w:line="360" w:lineRule="auto"/>
              <w:jc w:val="center"/>
              <w:rPr>
                <w:rFonts w:eastAsia="宋体" w:cs="宋体"/>
                <w:bCs/>
                <w:color w:val="auto"/>
                <w:sz w:val="21"/>
                <w:szCs w:val="21"/>
                <w:highlight w:val="none"/>
              </w:rPr>
            </w:pPr>
          </w:p>
        </w:tc>
        <w:tc>
          <w:tcPr>
            <w:tcW w:w="2049" w:type="dxa"/>
            <w:noWrap w:val="0"/>
            <w:vAlign w:val="center"/>
          </w:tcPr>
          <w:p w14:paraId="1C96118E">
            <w:pPr>
              <w:spacing w:line="360" w:lineRule="auto"/>
              <w:jc w:val="center"/>
              <w:rPr>
                <w:rFonts w:eastAsia="宋体" w:cs="宋体"/>
                <w:bCs/>
                <w:color w:val="auto"/>
                <w:sz w:val="21"/>
                <w:szCs w:val="21"/>
                <w:highlight w:val="none"/>
              </w:rPr>
            </w:pPr>
          </w:p>
        </w:tc>
        <w:tc>
          <w:tcPr>
            <w:tcW w:w="1399" w:type="dxa"/>
            <w:noWrap w:val="0"/>
            <w:vAlign w:val="center"/>
          </w:tcPr>
          <w:p w14:paraId="4BD294AD">
            <w:pPr>
              <w:spacing w:line="360" w:lineRule="auto"/>
              <w:jc w:val="center"/>
              <w:rPr>
                <w:rFonts w:eastAsia="宋体" w:cs="宋体"/>
                <w:bCs/>
                <w:color w:val="auto"/>
                <w:sz w:val="21"/>
                <w:szCs w:val="21"/>
                <w:highlight w:val="none"/>
              </w:rPr>
            </w:pPr>
          </w:p>
        </w:tc>
        <w:tc>
          <w:tcPr>
            <w:tcW w:w="2899" w:type="dxa"/>
            <w:noWrap w:val="0"/>
            <w:vAlign w:val="center"/>
          </w:tcPr>
          <w:p w14:paraId="1A378A8E">
            <w:pPr>
              <w:spacing w:line="360" w:lineRule="auto"/>
              <w:jc w:val="center"/>
              <w:rPr>
                <w:rFonts w:eastAsia="宋体" w:cs="宋体"/>
                <w:bCs/>
                <w:color w:val="auto"/>
                <w:sz w:val="21"/>
                <w:szCs w:val="21"/>
                <w:highlight w:val="none"/>
              </w:rPr>
            </w:pPr>
          </w:p>
        </w:tc>
      </w:tr>
      <w:tr w14:paraId="22358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3" w:type="dxa"/>
            <w:noWrap w:val="0"/>
            <w:vAlign w:val="center"/>
          </w:tcPr>
          <w:p w14:paraId="3FEF1AF9">
            <w:pPr>
              <w:spacing w:line="360" w:lineRule="auto"/>
              <w:jc w:val="center"/>
              <w:rPr>
                <w:rFonts w:eastAsia="宋体" w:cs="宋体"/>
                <w:bCs/>
                <w:color w:val="auto"/>
                <w:sz w:val="21"/>
                <w:szCs w:val="21"/>
                <w:highlight w:val="none"/>
              </w:rPr>
            </w:pPr>
          </w:p>
        </w:tc>
        <w:tc>
          <w:tcPr>
            <w:tcW w:w="1123" w:type="dxa"/>
            <w:noWrap w:val="0"/>
            <w:vAlign w:val="center"/>
          </w:tcPr>
          <w:p w14:paraId="107DAAFB">
            <w:pPr>
              <w:spacing w:line="360" w:lineRule="auto"/>
              <w:jc w:val="center"/>
              <w:rPr>
                <w:rFonts w:eastAsia="宋体" w:cs="宋体"/>
                <w:bCs/>
                <w:color w:val="auto"/>
                <w:sz w:val="21"/>
                <w:szCs w:val="21"/>
                <w:highlight w:val="none"/>
              </w:rPr>
            </w:pPr>
          </w:p>
        </w:tc>
        <w:tc>
          <w:tcPr>
            <w:tcW w:w="2049" w:type="dxa"/>
            <w:noWrap w:val="0"/>
            <w:vAlign w:val="center"/>
          </w:tcPr>
          <w:p w14:paraId="12E985FC">
            <w:pPr>
              <w:spacing w:line="360" w:lineRule="auto"/>
              <w:jc w:val="center"/>
              <w:rPr>
                <w:rFonts w:eastAsia="宋体" w:cs="宋体"/>
                <w:bCs/>
                <w:color w:val="auto"/>
                <w:sz w:val="21"/>
                <w:szCs w:val="21"/>
                <w:highlight w:val="none"/>
              </w:rPr>
            </w:pPr>
          </w:p>
        </w:tc>
        <w:tc>
          <w:tcPr>
            <w:tcW w:w="1399" w:type="dxa"/>
            <w:noWrap w:val="0"/>
            <w:vAlign w:val="center"/>
          </w:tcPr>
          <w:p w14:paraId="27C7E9CD">
            <w:pPr>
              <w:spacing w:line="360" w:lineRule="auto"/>
              <w:jc w:val="center"/>
              <w:rPr>
                <w:rFonts w:eastAsia="宋体" w:cs="宋体"/>
                <w:bCs/>
                <w:color w:val="auto"/>
                <w:sz w:val="21"/>
                <w:szCs w:val="21"/>
                <w:highlight w:val="none"/>
              </w:rPr>
            </w:pPr>
          </w:p>
        </w:tc>
        <w:tc>
          <w:tcPr>
            <w:tcW w:w="2899" w:type="dxa"/>
            <w:noWrap w:val="0"/>
            <w:vAlign w:val="center"/>
          </w:tcPr>
          <w:p w14:paraId="59D351FC">
            <w:pPr>
              <w:spacing w:line="360" w:lineRule="auto"/>
              <w:jc w:val="center"/>
              <w:rPr>
                <w:rFonts w:eastAsia="宋体" w:cs="宋体"/>
                <w:bCs/>
                <w:color w:val="auto"/>
                <w:sz w:val="21"/>
                <w:szCs w:val="21"/>
                <w:highlight w:val="none"/>
              </w:rPr>
            </w:pPr>
          </w:p>
        </w:tc>
      </w:tr>
    </w:tbl>
    <w:p w14:paraId="268A1268">
      <w:pPr>
        <w:spacing w:line="360" w:lineRule="auto"/>
        <w:ind w:left="16" w:firstLine="420"/>
        <w:rPr>
          <w:rFonts w:eastAsia="宋体" w:cs="宋体"/>
          <w:bCs/>
          <w:color w:val="auto"/>
          <w:sz w:val="21"/>
          <w:szCs w:val="21"/>
          <w:highlight w:val="none"/>
        </w:rPr>
      </w:pPr>
      <w:r>
        <w:rPr>
          <w:rStyle w:val="40"/>
          <w:rFonts w:hint="default"/>
          <w:color w:val="auto"/>
          <w:sz w:val="21"/>
          <w:szCs w:val="21"/>
          <w:highlight w:val="none"/>
        </w:rPr>
        <w:t>保险经纪有限公司</w:t>
      </w:r>
      <w:r>
        <w:rPr>
          <w:rFonts w:hint="eastAsia" w:eastAsia="宋体" w:cs="宋体"/>
          <w:bCs/>
          <w:color w:val="auto"/>
          <w:sz w:val="21"/>
          <w:szCs w:val="21"/>
          <w:highlight w:val="none"/>
        </w:rPr>
        <w:t>服务小组名单及联系方式如下：</w:t>
      </w:r>
    </w:p>
    <w:tbl>
      <w:tblPr>
        <w:tblStyle w:val="30"/>
        <w:tblW w:w="87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123"/>
        <w:gridCol w:w="2049"/>
        <w:gridCol w:w="1399"/>
        <w:gridCol w:w="2899"/>
      </w:tblGrid>
      <w:tr w14:paraId="656D7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3" w:type="dxa"/>
            <w:noWrap w:val="0"/>
            <w:vAlign w:val="center"/>
          </w:tcPr>
          <w:p w14:paraId="100D7272">
            <w:pPr>
              <w:spacing w:line="360" w:lineRule="auto"/>
              <w:jc w:val="center"/>
              <w:rPr>
                <w:rFonts w:eastAsia="宋体" w:cs="宋体"/>
                <w:bCs/>
                <w:color w:val="auto"/>
                <w:sz w:val="21"/>
                <w:szCs w:val="21"/>
                <w:highlight w:val="none"/>
              </w:rPr>
            </w:pPr>
            <w:r>
              <w:rPr>
                <w:rFonts w:hint="eastAsia" w:eastAsia="宋体" w:cs="宋体"/>
                <w:bCs/>
                <w:color w:val="auto"/>
                <w:sz w:val="21"/>
                <w:szCs w:val="21"/>
                <w:highlight w:val="none"/>
              </w:rPr>
              <w:t>成员</w:t>
            </w:r>
          </w:p>
        </w:tc>
        <w:tc>
          <w:tcPr>
            <w:tcW w:w="1123" w:type="dxa"/>
            <w:noWrap w:val="0"/>
            <w:vAlign w:val="center"/>
          </w:tcPr>
          <w:p w14:paraId="77AD41CD">
            <w:pPr>
              <w:spacing w:line="360" w:lineRule="auto"/>
              <w:jc w:val="center"/>
              <w:rPr>
                <w:rFonts w:eastAsia="宋体" w:cs="宋体"/>
                <w:bCs/>
                <w:color w:val="auto"/>
                <w:sz w:val="21"/>
                <w:szCs w:val="21"/>
                <w:highlight w:val="none"/>
              </w:rPr>
            </w:pPr>
            <w:r>
              <w:rPr>
                <w:rFonts w:hint="eastAsia" w:eastAsia="宋体" w:cs="宋体"/>
                <w:bCs/>
                <w:color w:val="auto"/>
                <w:sz w:val="21"/>
                <w:szCs w:val="21"/>
                <w:highlight w:val="none"/>
              </w:rPr>
              <w:t>姓名</w:t>
            </w:r>
          </w:p>
        </w:tc>
        <w:tc>
          <w:tcPr>
            <w:tcW w:w="2049" w:type="dxa"/>
            <w:noWrap w:val="0"/>
            <w:vAlign w:val="center"/>
          </w:tcPr>
          <w:p w14:paraId="28200A61">
            <w:pPr>
              <w:spacing w:line="360" w:lineRule="auto"/>
              <w:jc w:val="center"/>
              <w:rPr>
                <w:rFonts w:eastAsia="宋体" w:cs="宋体"/>
                <w:bCs/>
                <w:color w:val="auto"/>
                <w:sz w:val="21"/>
                <w:szCs w:val="21"/>
                <w:highlight w:val="none"/>
              </w:rPr>
            </w:pPr>
            <w:r>
              <w:rPr>
                <w:rFonts w:hint="eastAsia" w:eastAsia="宋体" w:cs="宋体"/>
                <w:bCs/>
                <w:color w:val="auto"/>
                <w:sz w:val="21"/>
                <w:szCs w:val="21"/>
                <w:highlight w:val="none"/>
              </w:rPr>
              <w:t>职 务</w:t>
            </w:r>
          </w:p>
        </w:tc>
        <w:tc>
          <w:tcPr>
            <w:tcW w:w="1399" w:type="dxa"/>
            <w:noWrap w:val="0"/>
            <w:vAlign w:val="center"/>
          </w:tcPr>
          <w:p w14:paraId="16CE6EDF">
            <w:pPr>
              <w:spacing w:line="360" w:lineRule="auto"/>
              <w:jc w:val="center"/>
              <w:rPr>
                <w:rFonts w:eastAsia="宋体" w:cs="宋体"/>
                <w:bCs/>
                <w:color w:val="auto"/>
                <w:sz w:val="21"/>
                <w:szCs w:val="21"/>
                <w:highlight w:val="none"/>
              </w:rPr>
            </w:pPr>
            <w:r>
              <w:rPr>
                <w:rFonts w:hint="eastAsia" w:eastAsia="宋体" w:cs="宋体"/>
                <w:bCs/>
                <w:color w:val="auto"/>
                <w:sz w:val="21"/>
                <w:szCs w:val="21"/>
                <w:highlight w:val="none"/>
              </w:rPr>
              <w:t>电 话</w:t>
            </w:r>
          </w:p>
        </w:tc>
        <w:tc>
          <w:tcPr>
            <w:tcW w:w="2899" w:type="dxa"/>
            <w:noWrap w:val="0"/>
            <w:vAlign w:val="center"/>
          </w:tcPr>
          <w:p w14:paraId="3BBB493E">
            <w:pPr>
              <w:spacing w:line="360" w:lineRule="auto"/>
              <w:jc w:val="center"/>
              <w:rPr>
                <w:rFonts w:eastAsia="宋体" w:cs="宋体"/>
                <w:bCs/>
                <w:color w:val="auto"/>
                <w:sz w:val="21"/>
                <w:szCs w:val="21"/>
                <w:highlight w:val="none"/>
              </w:rPr>
            </w:pPr>
            <w:r>
              <w:rPr>
                <w:rFonts w:hint="eastAsia" w:eastAsia="宋体" w:cs="宋体"/>
                <w:bCs/>
                <w:color w:val="auto"/>
                <w:sz w:val="21"/>
                <w:szCs w:val="21"/>
                <w:highlight w:val="none"/>
              </w:rPr>
              <w:t>职  能</w:t>
            </w:r>
          </w:p>
        </w:tc>
      </w:tr>
      <w:tr w14:paraId="74408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3" w:type="dxa"/>
            <w:noWrap w:val="0"/>
            <w:vAlign w:val="center"/>
          </w:tcPr>
          <w:p w14:paraId="630A5C30">
            <w:pPr>
              <w:spacing w:line="360" w:lineRule="auto"/>
              <w:jc w:val="center"/>
              <w:rPr>
                <w:rFonts w:eastAsia="宋体" w:cs="宋体"/>
                <w:bCs/>
                <w:color w:val="auto"/>
                <w:sz w:val="21"/>
                <w:szCs w:val="21"/>
                <w:highlight w:val="none"/>
              </w:rPr>
            </w:pPr>
          </w:p>
        </w:tc>
        <w:tc>
          <w:tcPr>
            <w:tcW w:w="1123" w:type="dxa"/>
            <w:noWrap w:val="0"/>
            <w:vAlign w:val="center"/>
          </w:tcPr>
          <w:p w14:paraId="31E06077">
            <w:pPr>
              <w:spacing w:line="360" w:lineRule="auto"/>
              <w:jc w:val="center"/>
              <w:rPr>
                <w:rFonts w:eastAsia="宋体" w:cs="宋体"/>
                <w:bCs/>
                <w:color w:val="auto"/>
                <w:sz w:val="21"/>
                <w:szCs w:val="21"/>
                <w:highlight w:val="none"/>
              </w:rPr>
            </w:pPr>
          </w:p>
        </w:tc>
        <w:tc>
          <w:tcPr>
            <w:tcW w:w="2049" w:type="dxa"/>
            <w:noWrap w:val="0"/>
            <w:vAlign w:val="center"/>
          </w:tcPr>
          <w:p w14:paraId="526D2EDF">
            <w:pPr>
              <w:spacing w:line="360" w:lineRule="auto"/>
              <w:jc w:val="center"/>
              <w:rPr>
                <w:rFonts w:eastAsia="宋体" w:cs="宋体"/>
                <w:bCs/>
                <w:color w:val="auto"/>
                <w:sz w:val="21"/>
                <w:szCs w:val="21"/>
                <w:highlight w:val="none"/>
              </w:rPr>
            </w:pPr>
          </w:p>
        </w:tc>
        <w:tc>
          <w:tcPr>
            <w:tcW w:w="1399" w:type="dxa"/>
            <w:noWrap w:val="0"/>
            <w:vAlign w:val="center"/>
          </w:tcPr>
          <w:p w14:paraId="02009823">
            <w:pPr>
              <w:spacing w:line="360" w:lineRule="auto"/>
              <w:jc w:val="center"/>
              <w:rPr>
                <w:rFonts w:eastAsia="宋体" w:cs="宋体"/>
                <w:bCs/>
                <w:color w:val="auto"/>
                <w:sz w:val="21"/>
                <w:szCs w:val="21"/>
                <w:highlight w:val="none"/>
              </w:rPr>
            </w:pPr>
          </w:p>
        </w:tc>
        <w:tc>
          <w:tcPr>
            <w:tcW w:w="2899" w:type="dxa"/>
            <w:noWrap w:val="0"/>
            <w:vAlign w:val="center"/>
          </w:tcPr>
          <w:p w14:paraId="04BF8A55">
            <w:pPr>
              <w:spacing w:line="360" w:lineRule="auto"/>
              <w:jc w:val="center"/>
              <w:rPr>
                <w:rFonts w:eastAsia="宋体" w:cs="宋体"/>
                <w:bCs/>
                <w:color w:val="auto"/>
                <w:sz w:val="21"/>
                <w:szCs w:val="21"/>
                <w:highlight w:val="none"/>
              </w:rPr>
            </w:pPr>
          </w:p>
        </w:tc>
      </w:tr>
      <w:tr w14:paraId="06B5E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3" w:type="dxa"/>
            <w:noWrap w:val="0"/>
            <w:vAlign w:val="center"/>
          </w:tcPr>
          <w:p w14:paraId="1429D7D7">
            <w:pPr>
              <w:spacing w:line="360" w:lineRule="auto"/>
              <w:jc w:val="center"/>
              <w:rPr>
                <w:rFonts w:eastAsia="宋体" w:cs="宋体"/>
                <w:bCs/>
                <w:color w:val="auto"/>
                <w:sz w:val="21"/>
                <w:szCs w:val="21"/>
                <w:highlight w:val="none"/>
              </w:rPr>
            </w:pPr>
          </w:p>
        </w:tc>
        <w:tc>
          <w:tcPr>
            <w:tcW w:w="1123" w:type="dxa"/>
            <w:noWrap w:val="0"/>
            <w:vAlign w:val="center"/>
          </w:tcPr>
          <w:p w14:paraId="48161B89">
            <w:pPr>
              <w:spacing w:line="360" w:lineRule="auto"/>
              <w:jc w:val="center"/>
              <w:rPr>
                <w:rFonts w:eastAsia="宋体" w:cs="宋体"/>
                <w:bCs/>
                <w:color w:val="auto"/>
                <w:sz w:val="21"/>
                <w:szCs w:val="21"/>
                <w:highlight w:val="none"/>
              </w:rPr>
            </w:pPr>
          </w:p>
        </w:tc>
        <w:tc>
          <w:tcPr>
            <w:tcW w:w="2049" w:type="dxa"/>
            <w:noWrap w:val="0"/>
            <w:vAlign w:val="center"/>
          </w:tcPr>
          <w:p w14:paraId="47BEFDD9">
            <w:pPr>
              <w:spacing w:line="360" w:lineRule="auto"/>
              <w:jc w:val="center"/>
              <w:rPr>
                <w:rFonts w:eastAsia="宋体" w:cs="宋体"/>
                <w:bCs/>
                <w:color w:val="auto"/>
                <w:sz w:val="21"/>
                <w:szCs w:val="21"/>
                <w:highlight w:val="none"/>
              </w:rPr>
            </w:pPr>
          </w:p>
        </w:tc>
        <w:tc>
          <w:tcPr>
            <w:tcW w:w="1399" w:type="dxa"/>
            <w:noWrap w:val="0"/>
            <w:vAlign w:val="center"/>
          </w:tcPr>
          <w:p w14:paraId="74DCB3C2">
            <w:pPr>
              <w:spacing w:line="360" w:lineRule="auto"/>
              <w:jc w:val="center"/>
              <w:rPr>
                <w:rFonts w:eastAsia="宋体" w:cs="宋体"/>
                <w:bCs/>
                <w:color w:val="auto"/>
                <w:sz w:val="21"/>
                <w:szCs w:val="21"/>
                <w:highlight w:val="none"/>
              </w:rPr>
            </w:pPr>
          </w:p>
        </w:tc>
        <w:tc>
          <w:tcPr>
            <w:tcW w:w="2899" w:type="dxa"/>
            <w:noWrap w:val="0"/>
            <w:vAlign w:val="center"/>
          </w:tcPr>
          <w:p w14:paraId="53A3D248">
            <w:pPr>
              <w:spacing w:line="360" w:lineRule="auto"/>
              <w:jc w:val="center"/>
              <w:rPr>
                <w:rFonts w:eastAsia="宋体" w:cs="宋体"/>
                <w:bCs/>
                <w:color w:val="auto"/>
                <w:sz w:val="21"/>
                <w:szCs w:val="21"/>
                <w:highlight w:val="none"/>
              </w:rPr>
            </w:pPr>
          </w:p>
        </w:tc>
      </w:tr>
    </w:tbl>
    <w:p w14:paraId="30688A51">
      <w:pPr>
        <w:pStyle w:val="5"/>
        <w:spacing w:before="156" w:after="156"/>
        <w:rPr>
          <w:rFonts w:hint="eastAsia"/>
          <w:color w:val="auto"/>
          <w:highlight w:val="none"/>
        </w:rPr>
      </w:pPr>
      <w:r>
        <w:rPr>
          <w:rFonts w:hint="eastAsia"/>
          <w:color w:val="auto"/>
          <w:highlight w:val="none"/>
        </w:rPr>
        <w:t>（二）培训服务</w:t>
      </w:r>
    </w:p>
    <w:p w14:paraId="7E976B92">
      <w:pPr>
        <w:spacing w:line="400" w:lineRule="exact"/>
        <w:ind w:firstLine="420" w:firstLineChars="200"/>
        <w:rPr>
          <w:rFonts w:hint="eastAsia" w:cs="宋体"/>
          <w:bCs/>
          <w:color w:val="auto"/>
          <w:szCs w:val="21"/>
          <w:highlight w:val="none"/>
        </w:rPr>
      </w:pPr>
      <w:r>
        <w:rPr>
          <w:rFonts w:hint="eastAsia" w:cs="宋体"/>
          <w:bCs/>
          <w:color w:val="auto"/>
          <w:szCs w:val="21"/>
          <w:highlight w:val="none"/>
        </w:rPr>
        <w:t>1.培训组织</w:t>
      </w:r>
    </w:p>
    <w:p w14:paraId="6FE2806E">
      <w:pPr>
        <w:spacing w:line="400" w:lineRule="exact"/>
        <w:ind w:left="420" w:leftChars="200" w:firstLine="0" w:firstLineChars="0"/>
        <w:rPr>
          <w:rFonts w:hint="eastAsia" w:cs="宋体"/>
          <w:bCs/>
          <w:color w:val="auto"/>
          <w:szCs w:val="21"/>
          <w:highlight w:val="none"/>
          <w:shd w:val="clear" w:color="auto" w:fill="auto"/>
        </w:rPr>
      </w:pPr>
      <w:r>
        <w:rPr>
          <w:rFonts w:hint="eastAsia" w:cs="宋体"/>
          <w:bCs/>
          <w:color w:val="auto"/>
          <w:szCs w:val="21"/>
          <w:highlight w:val="none"/>
          <w:shd w:val="clear" w:color="auto" w:fill="auto"/>
        </w:rPr>
        <w:t>保险人与经纪</w:t>
      </w:r>
      <w:r>
        <w:rPr>
          <w:rFonts w:hint="eastAsia" w:cs="宋体"/>
          <w:bCs/>
          <w:color w:val="auto"/>
          <w:szCs w:val="21"/>
          <w:highlight w:val="none"/>
          <w:shd w:val="clear" w:color="auto" w:fill="auto"/>
          <w:lang w:val="en-US" w:eastAsia="zh-CN"/>
        </w:rPr>
        <w:t>人</w:t>
      </w:r>
      <w:r>
        <w:rPr>
          <w:rFonts w:hint="eastAsia" w:cs="宋体"/>
          <w:bCs/>
          <w:color w:val="auto"/>
          <w:szCs w:val="21"/>
          <w:highlight w:val="none"/>
          <w:shd w:val="clear" w:color="auto" w:fill="auto"/>
        </w:rPr>
        <w:t>共同组织有关专家、学者及技术人员为</w:t>
      </w:r>
      <w:r>
        <w:rPr>
          <w:rFonts w:hint="eastAsia" w:cs="宋体"/>
          <w:bCs/>
          <w:color w:val="auto"/>
          <w:szCs w:val="21"/>
          <w:highlight w:val="none"/>
          <w:shd w:val="clear" w:color="auto" w:fill="auto"/>
          <w:lang w:val="en-US" w:eastAsia="zh-CN"/>
        </w:rPr>
        <w:t>本保险</w:t>
      </w:r>
      <w:r>
        <w:rPr>
          <w:rFonts w:hint="eastAsia" w:cs="宋体"/>
          <w:bCs/>
          <w:color w:val="auto"/>
          <w:szCs w:val="21"/>
          <w:highlight w:val="none"/>
          <w:shd w:val="clear" w:color="auto" w:fill="auto"/>
        </w:rPr>
        <w:t>项目有关人员在保</w:t>
      </w:r>
      <w:r>
        <w:rPr>
          <w:rFonts w:hint="eastAsia" w:cs="宋体"/>
          <w:bCs/>
          <w:color w:val="auto"/>
          <w:szCs w:val="21"/>
          <w:highlight w:val="none"/>
          <w:shd w:val="clear" w:color="auto" w:fill="auto"/>
          <w:lang w:val="en-US" w:eastAsia="zh-CN"/>
        </w:rPr>
        <w:t>险</w:t>
      </w:r>
      <w:r>
        <w:rPr>
          <w:rFonts w:hint="eastAsia" w:cs="宋体"/>
          <w:bCs/>
          <w:color w:val="auto"/>
          <w:szCs w:val="21"/>
          <w:highlight w:val="none"/>
          <w:shd w:val="clear" w:color="auto" w:fill="auto"/>
        </w:rPr>
        <w:t>期限内举办</w:t>
      </w:r>
      <w:r>
        <w:rPr>
          <w:rFonts w:hint="eastAsia" w:cs="宋体"/>
          <w:bCs/>
          <w:color w:val="auto"/>
          <w:szCs w:val="21"/>
          <w:highlight w:val="none"/>
          <w:shd w:val="clear" w:color="auto" w:fill="auto"/>
          <w:lang w:val="en-US" w:eastAsia="zh-CN"/>
        </w:rPr>
        <w:t>每年</w:t>
      </w:r>
      <w:r>
        <w:rPr>
          <w:rFonts w:hint="eastAsia" w:cs="宋体"/>
          <w:bCs/>
          <w:color w:val="auto"/>
          <w:szCs w:val="21"/>
          <w:highlight w:val="none"/>
          <w:shd w:val="clear" w:color="auto" w:fill="auto"/>
        </w:rPr>
        <w:t>不少于1次的</w:t>
      </w:r>
      <w:r>
        <w:rPr>
          <w:rFonts w:hint="eastAsia" w:cs="宋体"/>
          <w:bCs/>
          <w:color w:val="auto"/>
          <w:szCs w:val="21"/>
          <w:highlight w:val="none"/>
          <w:shd w:val="clear" w:color="auto" w:fill="auto"/>
          <w:lang w:val="en-US" w:eastAsia="zh-CN"/>
        </w:rPr>
        <w:t>培训</w:t>
      </w:r>
      <w:r>
        <w:rPr>
          <w:rFonts w:hint="eastAsia" w:cs="宋体"/>
          <w:bCs/>
          <w:color w:val="auto"/>
          <w:szCs w:val="21"/>
          <w:highlight w:val="none"/>
          <w:shd w:val="clear" w:color="auto" w:fill="auto"/>
        </w:rPr>
        <w:t>活动。</w:t>
      </w:r>
    </w:p>
    <w:p w14:paraId="33743152">
      <w:pPr>
        <w:spacing w:line="400" w:lineRule="exact"/>
        <w:ind w:firstLine="420" w:firstLineChars="200"/>
        <w:rPr>
          <w:rFonts w:hint="eastAsia" w:cs="宋体"/>
          <w:bCs/>
          <w:color w:val="auto"/>
          <w:szCs w:val="21"/>
          <w:highlight w:val="none"/>
        </w:rPr>
      </w:pPr>
      <w:r>
        <w:rPr>
          <w:rFonts w:hint="eastAsia" w:cs="宋体"/>
          <w:bCs/>
          <w:color w:val="auto"/>
          <w:szCs w:val="21"/>
          <w:highlight w:val="none"/>
        </w:rPr>
        <w:t>2.培训内容</w:t>
      </w:r>
    </w:p>
    <w:p w14:paraId="3F7780C6">
      <w:pPr>
        <w:spacing w:line="400" w:lineRule="exact"/>
        <w:ind w:left="420" w:leftChars="200" w:firstLine="0" w:firstLineChars="0"/>
        <w:rPr>
          <w:rFonts w:hint="eastAsia" w:cs="宋体"/>
          <w:bCs/>
          <w:color w:val="auto"/>
          <w:szCs w:val="21"/>
          <w:highlight w:val="none"/>
        </w:rPr>
      </w:pPr>
      <w:r>
        <w:rPr>
          <w:rFonts w:hint="eastAsia" w:cs="宋体"/>
          <w:bCs/>
          <w:color w:val="auto"/>
          <w:szCs w:val="21"/>
          <w:highlight w:val="none"/>
          <w:shd w:val="clear" w:color="auto" w:fill="auto"/>
        </w:rPr>
        <w:t>在培训内容上，保险人将会同投保人和经纪</w:t>
      </w:r>
      <w:r>
        <w:rPr>
          <w:rFonts w:hint="eastAsia" w:cs="宋体"/>
          <w:bCs/>
          <w:color w:val="auto"/>
          <w:szCs w:val="21"/>
          <w:highlight w:val="none"/>
          <w:shd w:val="clear" w:color="auto" w:fill="auto"/>
          <w:lang w:val="en-US" w:eastAsia="zh-CN"/>
        </w:rPr>
        <w:t>人</w:t>
      </w:r>
      <w:r>
        <w:rPr>
          <w:rFonts w:hint="eastAsia" w:cs="宋体"/>
          <w:bCs/>
          <w:color w:val="auto"/>
          <w:szCs w:val="21"/>
          <w:highlight w:val="none"/>
          <w:shd w:val="clear" w:color="auto" w:fill="auto"/>
        </w:rPr>
        <w:t>充分沟通，</w:t>
      </w:r>
      <w:r>
        <w:rPr>
          <w:rFonts w:hint="eastAsia" w:cs="宋体"/>
          <w:bCs/>
          <w:color w:val="auto"/>
          <w:szCs w:val="21"/>
          <w:highlight w:val="none"/>
        </w:rPr>
        <w:t>了解投保人的需求，制订详细的培训计划，将每一次培训工作落到实处，切实满足防灾防损和风险管理的需要。主要的培训方面有：保险知识、风险管理、防灾防损、安全质量、突发事故应急措施、事故抢险和法律知识等。</w:t>
      </w:r>
    </w:p>
    <w:p w14:paraId="18E6EE6E">
      <w:pPr>
        <w:spacing w:line="400" w:lineRule="exact"/>
        <w:ind w:firstLine="420" w:firstLineChars="200"/>
        <w:rPr>
          <w:rFonts w:hint="eastAsia" w:cs="宋体"/>
          <w:bCs/>
          <w:color w:val="auto"/>
          <w:szCs w:val="21"/>
          <w:highlight w:val="none"/>
        </w:rPr>
      </w:pPr>
      <w:r>
        <w:rPr>
          <w:rFonts w:hint="eastAsia" w:cs="宋体"/>
          <w:bCs/>
          <w:color w:val="auto"/>
          <w:szCs w:val="21"/>
          <w:highlight w:val="none"/>
        </w:rPr>
        <w:t>3.互动交流</w:t>
      </w:r>
    </w:p>
    <w:p w14:paraId="23474AF0">
      <w:pPr>
        <w:spacing w:line="400" w:lineRule="exact"/>
        <w:ind w:left="630" w:leftChars="200" w:hanging="210" w:hangingChars="100"/>
        <w:rPr>
          <w:rFonts w:hint="eastAsia" w:cs="宋体"/>
          <w:bCs/>
          <w:color w:val="auto"/>
          <w:szCs w:val="21"/>
          <w:highlight w:val="none"/>
        </w:rPr>
      </w:pPr>
      <w:r>
        <w:rPr>
          <w:rFonts w:hint="eastAsia" w:cs="宋体"/>
          <w:bCs/>
          <w:color w:val="auto"/>
          <w:szCs w:val="21"/>
          <w:highlight w:val="none"/>
        </w:rPr>
        <w:t>服务小组成员与投保人有关职能部门工作人员定期进行业务知识交流。由投保人向保险人介绍运行期间的安全生产、内部风险管理操作流程； 服务小组向投保人介绍保险相关知识、总结前期工作、赔案进展情况，使相关人员了解保险内容及索赔工作中容易出现的问题，以便于在发生保险责任范围内的灾害事故时能及时提出索赔，最大程度地保障投保人的利益。</w:t>
      </w:r>
    </w:p>
    <w:p w14:paraId="5404952F">
      <w:pPr>
        <w:pStyle w:val="5"/>
        <w:spacing w:before="156" w:after="156"/>
        <w:rPr>
          <w:rFonts w:hint="eastAsia"/>
          <w:color w:val="auto"/>
          <w:highlight w:val="none"/>
        </w:rPr>
      </w:pPr>
      <w:r>
        <w:rPr>
          <w:rFonts w:hint="eastAsia"/>
          <w:color w:val="auto"/>
          <w:highlight w:val="none"/>
        </w:rPr>
        <w:t>（三）防灾防损服务</w:t>
      </w:r>
    </w:p>
    <w:p w14:paraId="376D839B">
      <w:pPr>
        <w:spacing w:line="400" w:lineRule="exact"/>
        <w:ind w:left="420" w:leftChars="200" w:firstLine="0" w:firstLineChars="0"/>
        <w:rPr>
          <w:rFonts w:hint="eastAsia" w:cs="宋体"/>
          <w:bCs/>
          <w:color w:val="auto"/>
          <w:szCs w:val="21"/>
          <w:highlight w:val="none"/>
          <w:shd w:val="clear" w:color="auto" w:fill="auto"/>
        </w:rPr>
      </w:pPr>
      <w:r>
        <w:rPr>
          <w:rFonts w:hint="eastAsia" w:cs="宋体"/>
          <w:bCs/>
          <w:color w:val="auto"/>
          <w:szCs w:val="21"/>
          <w:highlight w:val="none"/>
          <w:shd w:val="clear" w:color="auto" w:fill="auto"/>
        </w:rPr>
        <w:t>保险人对投保人常见的风险点和多发的保险事故进行风险分析，并提供详尽的分析报告，及时发现、控制风险。在经纪</w:t>
      </w:r>
      <w:r>
        <w:rPr>
          <w:rFonts w:hint="eastAsia" w:cs="宋体"/>
          <w:bCs/>
          <w:color w:val="auto"/>
          <w:szCs w:val="21"/>
          <w:highlight w:val="none"/>
          <w:shd w:val="clear" w:color="auto" w:fill="auto"/>
          <w:lang w:val="en-US" w:eastAsia="zh-CN"/>
        </w:rPr>
        <w:t>人</w:t>
      </w:r>
      <w:r>
        <w:rPr>
          <w:rFonts w:hint="eastAsia" w:cs="宋体"/>
          <w:bCs/>
          <w:color w:val="auto"/>
          <w:szCs w:val="21"/>
          <w:highlight w:val="none"/>
          <w:shd w:val="clear" w:color="auto" w:fill="auto"/>
        </w:rPr>
        <w:t>的参与及监督下协助被投保人进行以下全方位、多层次的安全督导工作。</w:t>
      </w:r>
    </w:p>
    <w:p w14:paraId="316E9C92">
      <w:pPr>
        <w:spacing w:line="400" w:lineRule="exact"/>
        <w:ind w:firstLine="420" w:firstLineChars="200"/>
        <w:rPr>
          <w:rFonts w:hint="eastAsia" w:cs="宋体"/>
          <w:bCs/>
          <w:color w:val="auto"/>
          <w:szCs w:val="21"/>
          <w:highlight w:val="none"/>
        </w:rPr>
      </w:pPr>
      <w:r>
        <w:rPr>
          <w:rFonts w:hint="eastAsia" w:cs="宋体"/>
          <w:bCs/>
          <w:color w:val="auto"/>
          <w:szCs w:val="21"/>
          <w:highlight w:val="none"/>
        </w:rPr>
        <w:t>1.设立防灾防损小组和防灾防损基金</w:t>
      </w:r>
    </w:p>
    <w:p w14:paraId="08BFB58E">
      <w:pPr>
        <w:spacing w:line="400" w:lineRule="exact"/>
        <w:ind w:left="420" w:leftChars="200" w:firstLine="0" w:firstLineChars="0"/>
        <w:rPr>
          <w:rFonts w:hint="eastAsia" w:cs="宋体"/>
          <w:bCs/>
          <w:color w:val="auto"/>
          <w:szCs w:val="21"/>
          <w:highlight w:val="none"/>
          <w:shd w:val="clear" w:color="auto" w:fill="auto"/>
        </w:rPr>
      </w:pPr>
      <w:r>
        <w:rPr>
          <w:rFonts w:hint="eastAsia" w:cs="宋体"/>
          <w:bCs/>
          <w:color w:val="auto"/>
          <w:szCs w:val="21"/>
          <w:highlight w:val="none"/>
          <w:shd w:val="clear" w:color="auto" w:fill="auto"/>
        </w:rPr>
        <w:t>为保障防灾防损各项工作的开展，保险人设立专门的防灾防损工作小组,实施保险期限内的防灾防损服务工作。</w:t>
      </w:r>
      <w:r>
        <w:rPr>
          <w:rFonts w:hint="eastAsia" w:cs="宋体"/>
          <w:b/>
          <w:bCs w:val="0"/>
          <w:color w:val="auto"/>
          <w:szCs w:val="21"/>
          <w:highlight w:val="none"/>
          <w:shd w:val="clear" w:color="auto" w:fill="auto"/>
        </w:rPr>
        <w:t>并提取总保费的</w:t>
      </w:r>
      <w:r>
        <w:rPr>
          <w:rFonts w:hint="eastAsia" w:cs="宋体"/>
          <w:b/>
          <w:bCs w:val="0"/>
          <w:color w:val="auto"/>
          <w:szCs w:val="21"/>
          <w:highlight w:val="none"/>
          <w:shd w:val="clear" w:color="auto" w:fill="auto"/>
          <w:lang w:val="en-US" w:eastAsia="zh-CN"/>
        </w:rPr>
        <w:t>2</w:t>
      </w:r>
      <w:r>
        <w:rPr>
          <w:rFonts w:hint="eastAsia" w:cs="宋体"/>
          <w:b/>
          <w:bCs w:val="0"/>
          <w:color w:val="auto"/>
          <w:szCs w:val="21"/>
          <w:highlight w:val="none"/>
          <w:shd w:val="clear" w:color="auto" w:fill="auto"/>
        </w:rPr>
        <w:t>%作为本项目的防灾防损专项基金</w:t>
      </w:r>
      <w:r>
        <w:rPr>
          <w:rFonts w:hint="eastAsia" w:cs="宋体"/>
          <w:bCs/>
          <w:color w:val="auto"/>
          <w:szCs w:val="21"/>
          <w:highlight w:val="none"/>
          <w:shd w:val="clear" w:color="auto" w:fill="auto"/>
        </w:rPr>
        <w:t>，用于本</w:t>
      </w:r>
      <w:r>
        <w:rPr>
          <w:rFonts w:hint="eastAsia" w:cs="宋体"/>
          <w:bCs/>
          <w:color w:val="auto"/>
          <w:szCs w:val="21"/>
          <w:highlight w:val="none"/>
          <w:shd w:val="clear" w:color="auto" w:fill="auto"/>
          <w:lang w:val="en-US" w:eastAsia="zh-CN"/>
        </w:rPr>
        <w:t>保险</w:t>
      </w:r>
      <w:r>
        <w:rPr>
          <w:rFonts w:hint="eastAsia" w:cs="宋体"/>
          <w:bCs/>
          <w:color w:val="auto"/>
          <w:szCs w:val="21"/>
          <w:highlight w:val="none"/>
          <w:shd w:val="clear" w:color="auto" w:fill="auto"/>
        </w:rPr>
        <w:t>项目各类风险管理服务和防灾防损工作（包含会议、培训、及其他合理必要的防灾防损费用开支）。</w:t>
      </w:r>
    </w:p>
    <w:p w14:paraId="62F37232">
      <w:pPr>
        <w:spacing w:line="400" w:lineRule="exact"/>
        <w:ind w:firstLine="420" w:firstLineChars="200"/>
        <w:rPr>
          <w:rFonts w:hint="eastAsia" w:cs="宋体"/>
          <w:bCs/>
          <w:color w:val="auto"/>
          <w:szCs w:val="21"/>
          <w:highlight w:val="none"/>
        </w:rPr>
      </w:pPr>
      <w:r>
        <w:rPr>
          <w:rFonts w:hint="eastAsia" w:cs="宋体"/>
          <w:bCs/>
          <w:color w:val="auto"/>
          <w:szCs w:val="21"/>
          <w:highlight w:val="none"/>
        </w:rPr>
        <w:t>2.日常的风险检验、查勘</w:t>
      </w:r>
    </w:p>
    <w:p w14:paraId="41BACBA2">
      <w:pPr>
        <w:spacing w:line="400" w:lineRule="exact"/>
        <w:ind w:left="420" w:leftChars="200" w:firstLine="0" w:firstLineChars="0"/>
        <w:rPr>
          <w:rFonts w:hint="eastAsia" w:cs="宋体"/>
          <w:bCs/>
          <w:color w:val="auto"/>
          <w:szCs w:val="21"/>
          <w:highlight w:val="none"/>
        </w:rPr>
      </w:pPr>
      <w:r>
        <w:rPr>
          <w:rFonts w:hint="eastAsia" w:cs="宋体"/>
          <w:bCs/>
          <w:color w:val="auto"/>
          <w:szCs w:val="21"/>
          <w:highlight w:val="none"/>
        </w:rPr>
        <w:t>在整个保险有效期内，为投保人解答有关保险事宜的任何疑问，并提出专业意见，告知应采取的措施；为投保人提供日常的风险检验、查勘，提出相应的防灾防损书面建议，并协助实施。</w:t>
      </w:r>
    </w:p>
    <w:p w14:paraId="15B53EBE">
      <w:pPr>
        <w:spacing w:line="400" w:lineRule="exact"/>
        <w:ind w:firstLine="420" w:firstLineChars="200"/>
        <w:rPr>
          <w:rFonts w:hint="eastAsia" w:cs="宋体"/>
          <w:bCs/>
          <w:color w:val="auto"/>
          <w:szCs w:val="21"/>
          <w:highlight w:val="none"/>
        </w:rPr>
      </w:pPr>
      <w:r>
        <w:rPr>
          <w:rFonts w:hint="eastAsia" w:cs="宋体"/>
          <w:bCs/>
          <w:color w:val="auto"/>
          <w:szCs w:val="21"/>
          <w:highlight w:val="none"/>
        </w:rPr>
        <w:t>3.安全预警</w:t>
      </w:r>
    </w:p>
    <w:p w14:paraId="4754564C">
      <w:pPr>
        <w:spacing w:line="400" w:lineRule="exact"/>
        <w:ind w:left="420" w:leftChars="200" w:firstLine="0" w:firstLineChars="0"/>
        <w:rPr>
          <w:rFonts w:hint="eastAsia" w:cs="宋体"/>
          <w:bCs/>
          <w:color w:val="auto"/>
          <w:szCs w:val="21"/>
          <w:highlight w:val="none"/>
        </w:rPr>
      </w:pPr>
      <w:r>
        <w:rPr>
          <w:rFonts w:hint="eastAsia" w:cs="宋体"/>
          <w:bCs/>
          <w:color w:val="auto"/>
          <w:szCs w:val="21"/>
          <w:highlight w:val="none"/>
        </w:rPr>
        <w:t>每年6-8月在防汛期间以及秋季9、10月份针对防火，安排风险控制人员进行常规风险查勘，并提供书面的查勘报告及防灾防损建议书。将根据风险管控专家的意见和建议，积极与投保人沟通，共同组织开展专项安全防灾活动；保险人在获知暴风、暴雨、台风、雪灾等灾害性天气预报后，及时向投保人进行通报，以便作好预防工作。</w:t>
      </w:r>
    </w:p>
    <w:p w14:paraId="47B61066">
      <w:pPr>
        <w:pStyle w:val="5"/>
        <w:spacing w:before="156" w:after="156"/>
        <w:rPr>
          <w:rFonts w:hint="eastAsia"/>
          <w:color w:val="auto"/>
          <w:highlight w:val="none"/>
        </w:rPr>
      </w:pPr>
      <w:bookmarkStart w:id="54" w:name="_Toc288905086"/>
      <w:bookmarkStart w:id="55" w:name="_Toc233520494"/>
      <w:bookmarkStart w:id="56" w:name="_Toc233530997"/>
      <w:bookmarkStart w:id="57" w:name="_Toc233270944"/>
      <w:r>
        <w:rPr>
          <w:rFonts w:hint="eastAsia"/>
          <w:color w:val="auto"/>
          <w:highlight w:val="none"/>
        </w:rPr>
        <w:t>（四）印制保险手册</w:t>
      </w:r>
      <w:bookmarkEnd w:id="54"/>
      <w:bookmarkEnd w:id="55"/>
      <w:bookmarkEnd w:id="56"/>
      <w:bookmarkEnd w:id="57"/>
    </w:p>
    <w:p w14:paraId="3CC30523">
      <w:pPr>
        <w:spacing w:line="400" w:lineRule="exact"/>
        <w:ind w:left="420" w:leftChars="200" w:firstLine="0" w:firstLineChars="0"/>
        <w:rPr>
          <w:rFonts w:hint="eastAsia" w:cs="宋体"/>
          <w:bCs/>
          <w:color w:val="auto"/>
          <w:szCs w:val="21"/>
          <w:highlight w:val="none"/>
          <w:shd w:val="clear" w:color="auto" w:fill="auto"/>
        </w:rPr>
      </w:pPr>
      <w:r>
        <w:rPr>
          <w:rFonts w:hint="eastAsia" w:cs="宋体"/>
          <w:bCs/>
          <w:color w:val="auto"/>
          <w:szCs w:val="21"/>
          <w:highlight w:val="none"/>
          <w:shd w:val="clear" w:color="auto" w:fill="auto"/>
          <w:lang w:eastAsia="zh-CN"/>
        </w:rPr>
        <w:t>主承保人</w:t>
      </w:r>
      <w:r>
        <w:rPr>
          <w:rFonts w:hint="eastAsia" w:cs="宋体"/>
          <w:bCs/>
          <w:color w:val="auto"/>
          <w:szCs w:val="21"/>
          <w:highlight w:val="none"/>
          <w:shd w:val="clear" w:color="auto" w:fill="auto"/>
        </w:rPr>
        <w:t>编制《保险手册》，方便被保险人理赔。保险手册内容包括：理赔各流程操作规范、注意事项、索赔清单、服务团队成员组成及联系方式、项目负责人联系方式等内容，指导投保人如何快速处理保险理赔相关事宜。</w:t>
      </w:r>
    </w:p>
    <w:p w14:paraId="78BFA074">
      <w:pPr>
        <w:pStyle w:val="4"/>
        <w:spacing w:before="156" w:after="156"/>
        <w:rPr>
          <w:rFonts w:hint="eastAsia"/>
          <w:color w:val="auto"/>
          <w:highlight w:val="none"/>
          <w:shd w:val="clear" w:color="auto" w:fill="auto"/>
        </w:rPr>
      </w:pPr>
      <w:r>
        <w:rPr>
          <w:rFonts w:hint="eastAsia"/>
          <w:color w:val="auto"/>
          <w:highlight w:val="none"/>
          <w:shd w:val="clear" w:color="auto" w:fill="auto"/>
        </w:rPr>
        <w:t>二十、</w:t>
      </w:r>
      <w:r>
        <w:rPr>
          <w:rFonts w:hint="eastAsia"/>
          <w:color w:val="auto"/>
          <w:highlight w:val="none"/>
          <w:shd w:val="clear" w:color="auto" w:fill="auto"/>
          <w:lang w:val="en-US" w:eastAsia="zh-CN"/>
        </w:rPr>
        <w:t>法律适用</w:t>
      </w:r>
      <w:r>
        <w:rPr>
          <w:rFonts w:hint="eastAsia"/>
          <w:color w:val="auto"/>
          <w:highlight w:val="none"/>
          <w:shd w:val="clear" w:color="auto" w:fill="auto"/>
        </w:rPr>
        <w:t>：</w:t>
      </w:r>
    </w:p>
    <w:p w14:paraId="692E1A3A">
      <w:pPr>
        <w:rPr>
          <w:rFonts w:hint="eastAsia"/>
          <w:color w:val="auto"/>
          <w:highlight w:val="none"/>
        </w:rPr>
      </w:pP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shd w:val="clear" w:color="auto" w:fill="auto"/>
          <w:lang w:val="en-US" w:eastAsia="zh-CN"/>
        </w:rPr>
        <w:t>本合同适用</w:t>
      </w:r>
      <w:r>
        <w:rPr>
          <w:rFonts w:hint="eastAsia"/>
          <w:color w:val="auto"/>
          <w:highlight w:val="none"/>
          <w:shd w:val="clear" w:color="auto" w:fill="auto"/>
        </w:rPr>
        <w:t>中华人民共和国</w:t>
      </w:r>
      <w:r>
        <w:rPr>
          <w:rFonts w:hint="eastAsia"/>
          <w:color w:val="auto"/>
          <w:highlight w:val="none"/>
          <w:shd w:val="clear" w:color="auto" w:fill="auto"/>
          <w:lang w:val="en-US" w:eastAsia="zh-CN"/>
        </w:rPr>
        <w:t>法律。</w:t>
      </w:r>
    </w:p>
    <w:p w14:paraId="71EBCB7D">
      <w:pPr>
        <w:pStyle w:val="4"/>
        <w:spacing w:before="156" w:after="156"/>
        <w:rPr>
          <w:rFonts w:hint="eastAsia"/>
          <w:color w:val="auto"/>
          <w:highlight w:val="none"/>
        </w:rPr>
      </w:pPr>
      <w:r>
        <w:rPr>
          <w:rFonts w:hint="eastAsia"/>
          <w:color w:val="auto"/>
          <w:highlight w:val="none"/>
        </w:rPr>
        <w:t>二十一、争议处理：</w:t>
      </w:r>
    </w:p>
    <w:p w14:paraId="5C58A4CA">
      <w:pPr>
        <w:spacing w:line="400" w:lineRule="exact"/>
        <w:ind w:left="420" w:leftChars="200" w:firstLine="0" w:firstLineChars="0"/>
        <w:rPr>
          <w:rFonts w:hint="eastAsia" w:cs="宋体"/>
          <w:bCs/>
          <w:color w:val="auto"/>
          <w:szCs w:val="21"/>
          <w:highlight w:val="none"/>
          <w:shd w:val="clear" w:color="auto" w:fill="auto"/>
        </w:rPr>
      </w:pPr>
      <w:r>
        <w:rPr>
          <w:rFonts w:hint="eastAsia" w:cs="宋体"/>
          <w:bCs/>
          <w:color w:val="auto"/>
          <w:szCs w:val="21"/>
          <w:highlight w:val="none"/>
          <w:shd w:val="clear" w:color="auto" w:fill="auto"/>
          <w:lang w:val="en-US" w:eastAsia="zh-CN"/>
        </w:rPr>
        <w:t>与本</w:t>
      </w:r>
      <w:r>
        <w:rPr>
          <w:rFonts w:hint="eastAsia" w:cs="宋体"/>
          <w:bCs/>
          <w:color w:val="auto"/>
          <w:szCs w:val="21"/>
          <w:highlight w:val="none"/>
          <w:shd w:val="clear" w:color="auto" w:fill="auto"/>
        </w:rPr>
        <w:t>合同有关的争议，</w:t>
      </w:r>
      <w:r>
        <w:rPr>
          <w:rFonts w:hint="eastAsia" w:cs="宋体"/>
          <w:bCs/>
          <w:color w:val="auto"/>
          <w:szCs w:val="21"/>
          <w:highlight w:val="none"/>
          <w:shd w:val="clear" w:color="auto" w:fill="auto"/>
          <w:lang w:val="en-US" w:eastAsia="zh-CN"/>
        </w:rPr>
        <w:t>各方</w:t>
      </w:r>
      <w:r>
        <w:rPr>
          <w:rFonts w:hint="eastAsia" w:cs="宋体"/>
          <w:bCs/>
          <w:color w:val="auto"/>
          <w:szCs w:val="21"/>
          <w:highlight w:val="none"/>
          <w:shd w:val="clear" w:color="auto" w:fill="auto"/>
        </w:rPr>
        <w:t>首先友好协商解决，协商不成</w:t>
      </w:r>
      <w:r>
        <w:rPr>
          <w:rFonts w:hint="eastAsia" w:cs="宋体"/>
          <w:bCs/>
          <w:color w:val="auto"/>
          <w:szCs w:val="21"/>
          <w:highlight w:val="none"/>
          <w:shd w:val="clear" w:color="auto" w:fill="auto"/>
          <w:lang w:val="en-US" w:eastAsia="zh-CN"/>
        </w:rPr>
        <w:t>或不愿协商</w:t>
      </w:r>
      <w:r>
        <w:rPr>
          <w:rFonts w:hint="eastAsia" w:cs="宋体"/>
          <w:bCs/>
          <w:color w:val="auto"/>
          <w:szCs w:val="21"/>
          <w:highlight w:val="none"/>
          <w:shd w:val="clear" w:color="auto" w:fill="auto"/>
        </w:rPr>
        <w:t>的，任何一方均可向</w:t>
      </w:r>
      <w:r>
        <w:rPr>
          <w:rFonts w:hint="eastAsia" w:cs="宋体"/>
          <w:bCs/>
          <w:color w:val="auto"/>
          <w:szCs w:val="21"/>
          <w:highlight w:val="none"/>
          <w:shd w:val="clear" w:color="auto" w:fill="auto"/>
          <w:lang w:val="en-US" w:eastAsia="zh-CN"/>
        </w:rPr>
        <w:t>业主方</w:t>
      </w:r>
      <w:r>
        <w:rPr>
          <w:rFonts w:hint="eastAsia" w:cs="宋体"/>
          <w:bCs/>
          <w:color w:val="auto"/>
          <w:szCs w:val="21"/>
          <w:highlight w:val="none"/>
          <w:shd w:val="clear" w:color="auto" w:fill="auto"/>
        </w:rPr>
        <w:t>所在地人民法院提起诉讼。</w:t>
      </w:r>
    </w:p>
    <w:p w14:paraId="57192C97">
      <w:pPr>
        <w:pStyle w:val="4"/>
        <w:spacing w:before="156" w:after="156"/>
        <w:rPr>
          <w:rFonts w:hint="eastAsia"/>
          <w:color w:val="auto"/>
          <w:highlight w:val="none"/>
        </w:rPr>
      </w:pPr>
      <w:r>
        <w:rPr>
          <w:rFonts w:hint="eastAsia"/>
          <w:color w:val="auto"/>
          <w:highlight w:val="none"/>
        </w:rPr>
        <w:t>二十二、保密义务：</w:t>
      </w:r>
    </w:p>
    <w:p w14:paraId="2853F2F6">
      <w:pPr>
        <w:spacing w:line="400" w:lineRule="exact"/>
        <w:ind w:left="420" w:leftChars="200" w:firstLine="0" w:firstLineChars="0"/>
        <w:rPr>
          <w:rFonts w:hint="eastAsia" w:cs="宋体"/>
          <w:bCs/>
          <w:color w:val="auto"/>
          <w:szCs w:val="21"/>
          <w:highlight w:val="none"/>
          <w:shd w:val="clear" w:color="auto" w:fill="auto"/>
        </w:rPr>
      </w:pPr>
      <w:r>
        <w:rPr>
          <w:rFonts w:hint="eastAsia" w:cs="宋体"/>
          <w:bCs/>
          <w:color w:val="auto"/>
          <w:szCs w:val="21"/>
          <w:highlight w:val="none"/>
          <w:shd w:val="clear" w:color="auto" w:fill="auto"/>
        </w:rPr>
        <w:t>保险各方因本合同签</w:t>
      </w:r>
      <w:r>
        <w:rPr>
          <w:rFonts w:hint="eastAsia" w:cs="宋体"/>
          <w:bCs/>
          <w:color w:val="auto"/>
          <w:szCs w:val="21"/>
          <w:highlight w:val="none"/>
          <w:shd w:val="clear" w:color="auto" w:fill="auto"/>
          <w:lang w:val="en-US" w:eastAsia="zh-CN"/>
        </w:rPr>
        <w:t>订</w:t>
      </w:r>
      <w:r>
        <w:rPr>
          <w:rFonts w:hint="eastAsia" w:cs="宋体"/>
          <w:bCs/>
          <w:color w:val="auto"/>
          <w:szCs w:val="21"/>
          <w:highlight w:val="none"/>
          <w:shd w:val="clear" w:color="auto" w:fill="auto"/>
        </w:rPr>
        <w:t>提供的各项资料，以及因合同履行获得对方的各项资料，未经对方同意，不得向第三方公开或作为其他用途使用</w:t>
      </w:r>
      <w:r>
        <w:rPr>
          <w:rFonts w:hint="eastAsia" w:cs="宋体"/>
          <w:bCs/>
          <w:color w:val="auto"/>
          <w:szCs w:val="21"/>
          <w:highlight w:val="none"/>
          <w:shd w:val="clear" w:color="auto" w:fill="auto"/>
          <w:lang w:eastAsia="zh-CN"/>
        </w:rPr>
        <w:t>，</w:t>
      </w:r>
      <w:r>
        <w:rPr>
          <w:rFonts w:hint="eastAsia" w:cs="宋体"/>
          <w:bCs/>
          <w:color w:val="auto"/>
          <w:szCs w:val="21"/>
          <w:highlight w:val="none"/>
          <w:shd w:val="clear" w:color="auto" w:fill="auto"/>
          <w:lang w:val="en-US" w:eastAsia="zh-CN"/>
        </w:rPr>
        <w:t>否则须对由此引起的损失承担赔偿责任</w:t>
      </w:r>
      <w:r>
        <w:rPr>
          <w:rFonts w:hint="eastAsia" w:cs="宋体"/>
          <w:bCs/>
          <w:color w:val="auto"/>
          <w:szCs w:val="21"/>
          <w:highlight w:val="none"/>
          <w:shd w:val="clear" w:color="auto" w:fill="auto"/>
        </w:rPr>
        <w:t>。</w:t>
      </w:r>
    </w:p>
    <w:p w14:paraId="0E991C38">
      <w:pPr>
        <w:pStyle w:val="4"/>
        <w:spacing w:before="156" w:after="156"/>
        <w:rPr>
          <w:rFonts w:hint="eastAsia"/>
          <w:color w:val="auto"/>
          <w:highlight w:val="none"/>
        </w:rPr>
      </w:pPr>
      <w:r>
        <w:rPr>
          <w:rFonts w:hint="eastAsia"/>
          <w:color w:val="auto"/>
          <w:highlight w:val="none"/>
        </w:rPr>
        <w:t>二十三、合同份数：</w:t>
      </w:r>
    </w:p>
    <w:p w14:paraId="58AA8603">
      <w:pPr>
        <w:spacing w:line="400" w:lineRule="exact"/>
        <w:ind w:left="420" w:leftChars="200" w:firstLine="0" w:firstLineChars="0"/>
        <w:rPr>
          <w:rFonts w:hint="eastAsia" w:cs="宋体"/>
          <w:bCs/>
          <w:color w:val="auto"/>
          <w:szCs w:val="21"/>
          <w:highlight w:val="none"/>
          <w:shd w:val="clear" w:color="auto" w:fill="auto"/>
        </w:rPr>
      </w:pPr>
      <w:r>
        <w:rPr>
          <w:rFonts w:hint="eastAsia"/>
          <w:color w:val="auto"/>
          <w:highlight w:val="none"/>
          <w:lang w:val="en-US" w:eastAsia="zh-CN"/>
        </w:rPr>
        <w:t>本合同一式</w:t>
      </w:r>
      <w:r>
        <w:rPr>
          <w:rFonts w:hint="eastAsia"/>
          <w:color w:val="auto"/>
          <w:highlight w:val="none"/>
          <w:u w:val="single"/>
          <w:lang w:val="en-US" w:eastAsia="zh-CN"/>
        </w:rPr>
        <w:t xml:space="preserve">  </w:t>
      </w:r>
      <w:r>
        <w:rPr>
          <w:rFonts w:hint="eastAsia"/>
          <w:color w:val="auto"/>
          <w:highlight w:val="none"/>
          <w:lang w:val="en-US" w:eastAsia="zh-CN"/>
        </w:rPr>
        <w:t>份，甲方</w:t>
      </w:r>
      <w:r>
        <w:rPr>
          <w:rFonts w:hint="eastAsia"/>
          <w:color w:val="auto"/>
          <w:highlight w:val="none"/>
          <w:u w:val="single"/>
          <w:lang w:val="en-US" w:eastAsia="zh-CN"/>
        </w:rPr>
        <w:t xml:space="preserve">  </w:t>
      </w:r>
      <w:r>
        <w:rPr>
          <w:rFonts w:hint="eastAsia"/>
          <w:color w:val="auto"/>
          <w:highlight w:val="none"/>
          <w:lang w:val="en-US" w:eastAsia="zh-CN"/>
        </w:rPr>
        <w:t>份，乙方</w:t>
      </w:r>
      <w:r>
        <w:rPr>
          <w:rFonts w:hint="eastAsia"/>
          <w:color w:val="auto"/>
          <w:highlight w:val="none"/>
          <w:u w:val="single"/>
          <w:lang w:val="en-US" w:eastAsia="zh-CN"/>
        </w:rPr>
        <w:t xml:space="preserve">  </w:t>
      </w:r>
      <w:r>
        <w:rPr>
          <w:rFonts w:hint="eastAsia"/>
          <w:color w:val="auto"/>
          <w:highlight w:val="none"/>
          <w:lang w:val="en-US" w:eastAsia="zh-CN"/>
        </w:rPr>
        <w:t>份，丙方</w:t>
      </w:r>
      <w:r>
        <w:rPr>
          <w:rFonts w:hint="eastAsia"/>
          <w:color w:val="auto"/>
          <w:highlight w:val="none"/>
          <w:u w:val="single"/>
          <w:lang w:val="en-US" w:eastAsia="zh-CN"/>
        </w:rPr>
        <w:t xml:space="preserve">  </w:t>
      </w:r>
      <w:r>
        <w:rPr>
          <w:rFonts w:hint="eastAsia"/>
          <w:color w:val="auto"/>
          <w:highlight w:val="none"/>
          <w:lang w:val="en-US" w:eastAsia="zh-CN"/>
        </w:rPr>
        <w:t>份，丁方</w:t>
      </w:r>
      <w:r>
        <w:rPr>
          <w:rFonts w:hint="eastAsia"/>
          <w:color w:val="auto"/>
          <w:highlight w:val="none"/>
          <w:u w:val="single"/>
          <w:lang w:val="en-US" w:eastAsia="zh-CN"/>
        </w:rPr>
        <w:t xml:space="preserve"> 2 </w:t>
      </w:r>
      <w:r>
        <w:rPr>
          <w:rFonts w:hint="eastAsia"/>
          <w:color w:val="auto"/>
          <w:highlight w:val="none"/>
          <w:lang w:val="en-US" w:eastAsia="zh-CN"/>
        </w:rPr>
        <w:t>份， 具有同等法律效力。</w:t>
      </w:r>
    </w:p>
    <w:p w14:paraId="2C087C28">
      <w:pPr>
        <w:pStyle w:val="4"/>
        <w:spacing w:before="156" w:after="156"/>
        <w:rPr>
          <w:rFonts w:hint="eastAsia"/>
          <w:color w:val="auto"/>
          <w:highlight w:val="none"/>
        </w:rPr>
      </w:pPr>
      <w:r>
        <w:rPr>
          <w:rFonts w:hint="eastAsia"/>
          <w:color w:val="auto"/>
          <w:highlight w:val="none"/>
        </w:rPr>
        <w:t>二十四、合同附件：</w:t>
      </w:r>
    </w:p>
    <w:p w14:paraId="49EDA6C2">
      <w:pPr>
        <w:spacing w:line="400" w:lineRule="exact"/>
        <w:ind w:firstLine="420" w:firstLineChars="200"/>
        <w:rPr>
          <w:rFonts w:hint="eastAsia" w:eastAsia="宋体" w:cs="宋体"/>
          <w:bCs/>
          <w:color w:val="auto"/>
          <w:szCs w:val="21"/>
          <w:highlight w:val="none"/>
          <w:lang w:eastAsia="zh-CN"/>
        </w:rPr>
      </w:pPr>
      <w:r>
        <w:rPr>
          <w:rFonts w:hint="eastAsia" w:cs="宋体"/>
          <w:bCs/>
          <w:color w:val="auto"/>
          <w:szCs w:val="21"/>
          <w:highlight w:val="none"/>
        </w:rPr>
        <w:t>（一）保险条款</w:t>
      </w:r>
    </w:p>
    <w:p w14:paraId="558E0D06">
      <w:pPr>
        <w:spacing w:line="400" w:lineRule="exact"/>
        <w:ind w:firstLine="420" w:firstLineChars="200"/>
        <w:rPr>
          <w:rFonts w:hint="eastAsia" w:cs="宋体"/>
          <w:bCs/>
          <w:color w:val="auto"/>
          <w:szCs w:val="21"/>
          <w:highlight w:val="none"/>
        </w:rPr>
      </w:pPr>
      <w:r>
        <w:rPr>
          <w:rFonts w:hint="eastAsia" w:cs="宋体"/>
          <w:bCs/>
          <w:color w:val="auto"/>
          <w:szCs w:val="21"/>
          <w:highlight w:val="none"/>
        </w:rPr>
        <w:t>（</w:t>
      </w:r>
      <w:r>
        <w:rPr>
          <w:rFonts w:hint="eastAsia" w:cs="宋体"/>
          <w:bCs/>
          <w:color w:val="auto"/>
          <w:szCs w:val="21"/>
          <w:highlight w:val="none"/>
          <w:lang w:val="en-US" w:eastAsia="zh-CN"/>
        </w:rPr>
        <w:t>二</w:t>
      </w:r>
      <w:r>
        <w:rPr>
          <w:rFonts w:hint="eastAsia" w:cs="宋体"/>
          <w:bCs/>
          <w:color w:val="auto"/>
          <w:szCs w:val="21"/>
          <w:highlight w:val="none"/>
        </w:rPr>
        <w:t>）扩展条款</w:t>
      </w:r>
    </w:p>
    <w:p w14:paraId="3AFE0594">
      <w:pPr>
        <w:pStyle w:val="2"/>
        <w:numPr>
          <w:ilvl w:val="0"/>
          <w:numId w:val="0"/>
        </w:numPr>
        <w:jc w:val="both"/>
        <w:rPr>
          <w:rFonts w:hint="eastAsia" w:cs="宋体"/>
          <w:bCs/>
          <w:color w:val="auto"/>
          <w:szCs w:val="21"/>
          <w:highlight w:val="none"/>
        </w:rPr>
      </w:pPr>
    </w:p>
    <w:p w14:paraId="5D810C86">
      <w:pPr>
        <w:rPr>
          <w:rFonts w:hint="eastAsia" w:cs="宋体"/>
          <w:bCs/>
          <w:color w:val="auto"/>
          <w:szCs w:val="21"/>
          <w:highlight w:val="none"/>
        </w:rPr>
      </w:pPr>
    </w:p>
    <w:p w14:paraId="209BF59F">
      <w:pPr>
        <w:pStyle w:val="2"/>
        <w:numPr>
          <w:ilvl w:val="0"/>
          <w:numId w:val="0"/>
        </w:numPr>
        <w:ind w:left="4410" w:leftChars="0"/>
        <w:jc w:val="both"/>
        <w:rPr>
          <w:rFonts w:hint="eastAsia" w:cs="宋体"/>
          <w:bCs/>
          <w:color w:val="auto"/>
          <w:szCs w:val="21"/>
          <w:highlight w:val="none"/>
        </w:rPr>
      </w:pPr>
    </w:p>
    <w:p w14:paraId="14EF3C9E">
      <w:pPr>
        <w:rPr>
          <w:rFonts w:hint="eastAsia"/>
          <w:color w:val="auto"/>
          <w:highlight w:val="none"/>
        </w:rPr>
      </w:pPr>
    </w:p>
    <w:p w14:paraId="4513385B">
      <w:pPr>
        <w:spacing w:line="400" w:lineRule="exact"/>
        <w:ind w:firstLine="420" w:firstLineChars="200"/>
        <w:rPr>
          <w:rFonts w:hint="eastAsia" w:cs="宋体"/>
          <w:b/>
          <w:bCs w:val="0"/>
          <w:color w:val="auto"/>
          <w:szCs w:val="21"/>
          <w:highlight w:val="none"/>
        </w:rPr>
      </w:pPr>
      <w:r>
        <w:rPr>
          <w:rFonts w:hint="eastAsia" w:cs="宋体"/>
          <w:b/>
          <w:bCs w:val="0"/>
          <w:color w:val="auto"/>
          <w:szCs w:val="21"/>
          <w:highlight w:val="none"/>
        </w:rPr>
        <w:t>（以下无正文，转盖章页）</w:t>
      </w:r>
    </w:p>
    <w:p w14:paraId="36289CD3">
      <w:pPr>
        <w:spacing w:line="400" w:lineRule="exact"/>
        <w:rPr>
          <w:rFonts w:hint="eastAsia" w:cs="宋体"/>
          <w:bCs/>
          <w:color w:val="auto"/>
          <w:szCs w:val="21"/>
          <w:highlight w:val="none"/>
        </w:rPr>
        <w:sectPr>
          <w:pgSz w:w="11906" w:h="16838"/>
          <w:pgMar w:top="1440" w:right="1800" w:bottom="1440" w:left="1800" w:header="851" w:footer="992" w:gutter="0"/>
          <w:pgNumType w:fmt="numberInDash"/>
          <w:cols w:space="720" w:num="1"/>
          <w:docGrid w:type="lines" w:linePitch="312" w:charSpace="0"/>
        </w:sectPr>
      </w:pPr>
    </w:p>
    <w:p w14:paraId="4CF0BC87">
      <w:pPr>
        <w:spacing w:line="400" w:lineRule="exact"/>
        <w:ind w:firstLine="420" w:firstLineChars="200"/>
        <w:rPr>
          <w:rFonts w:hint="eastAsia" w:cs="宋体"/>
          <w:bCs/>
          <w:color w:val="auto"/>
          <w:szCs w:val="21"/>
          <w:highlight w:val="none"/>
          <w:shd w:val="clear" w:color="auto" w:fill="auto"/>
        </w:rPr>
      </w:pPr>
    </w:p>
    <w:p w14:paraId="36F0F1DE">
      <w:pPr>
        <w:spacing w:line="400" w:lineRule="exact"/>
        <w:ind w:firstLine="420" w:firstLineChars="200"/>
        <w:rPr>
          <w:rFonts w:hint="eastAsia" w:cs="宋体"/>
          <w:bCs/>
          <w:color w:val="auto"/>
          <w:szCs w:val="21"/>
          <w:highlight w:val="none"/>
          <w:shd w:val="clear" w:color="auto" w:fill="auto"/>
        </w:rPr>
      </w:pPr>
    </w:p>
    <w:p w14:paraId="7F443433">
      <w:pPr>
        <w:spacing w:line="400" w:lineRule="exact"/>
        <w:ind w:firstLine="420" w:firstLineChars="200"/>
        <w:rPr>
          <w:rFonts w:hint="eastAsia" w:cs="宋体"/>
          <w:bCs/>
          <w:color w:val="auto"/>
          <w:szCs w:val="21"/>
          <w:highlight w:val="none"/>
          <w:shd w:val="clear" w:color="auto" w:fill="auto"/>
        </w:rPr>
      </w:pPr>
      <w:r>
        <w:rPr>
          <w:rFonts w:hint="eastAsia" w:cs="宋体"/>
          <w:bCs/>
          <w:color w:val="auto"/>
          <w:szCs w:val="21"/>
          <w:highlight w:val="none"/>
          <w:shd w:val="clear" w:color="auto" w:fill="auto"/>
          <w:lang w:val="en-US" w:eastAsia="zh-CN"/>
        </w:rPr>
        <w:t>甲</w:t>
      </w:r>
      <w:r>
        <w:rPr>
          <w:rFonts w:hint="eastAsia" w:cs="宋体"/>
          <w:bCs/>
          <w:color w:val="auto"/>
          <w:szCs w:val="21"/>
          <w:highlight w:val="none"/>
          <w:shd w:val="clear" w:color="auto" w:fill="auto"/>
        </w:rPr>
        <w:t>方</w:t>
      </w:r>
      <w:r>
        <w:rPr>
          <w:rFonts w:hint="eastAsia" w:cs="宋体"/>
          <w:bCs/>
          <w:color w:val="auto"/>
          <w:szCs w:val="21"/>
          <w:highlight w:val="none"/>
          <w:shd w:val="clear" w:color="auto" w:fill="auto"/>
          <w:lang w:eastAsia="zh-CN"/>
        </w:rPr>
        <w:t>（</w:t>
      </w:r>
      <w:r>
        <w:rPr>
          <w:rFonts w:hint="eastAsia" w:cs="宋体"/>
          <w:bCs/>
          <w:color w:val="auto"/>
          <w:szCs w:val="21"/>
          <w:highlight w:val="none"/>
          <w:shd w:val="clear" w:color="auto" w:fill="auto"/>
          <w:lang w:val="en-US" w:eastAsia="zh-CN"/>
        </w:rPr>
        <w:t>投保人</w:t>
      </w:r>
      <w:r>
        <w:rPr>
          <w:rFonts w:hint="eastAsia" w:cs="宋体"/>
          <w:bCs/>
          <w:color w:val="auto"/>
          <w:szCs w:val="21"/>
          <w:highlight w:val="none"/>
          <w:shd w:val="clear" w:color="auto" w:fill="auto"/>
          <w:lang w:eastAsia="zh-CN"/>
        </w:rPr>
        <w:t>）：    （盖章）</w:t>
      </w:r>
    </w:p>
    <w:p w14:paraId="61E2AD18">
      <w:pPr>
        <w:spacing w:line="400" w:lineRule="exact"/>
        <w:ind w:firstLine="420" w:firstLineChars="200"/>
        <w:rPr>
          <w:rFonts w:hint="eastAsia" w:cs="宋体"/>
          <w:bCs/>
          <w:color w:val="auto"/>
          <w:szCs w:val="21"/>
          <w:highlight w:val="none"/>
          <w:shd w:val="clear" w:color="auto" w:fill="auto"/>
        </w:rPr>
      </w:pPr>
      <w:r>
        <w:rPr>
          <w:rFonts w:hint="eastAsia" w:cs="宋体"/>
          <w:bCs/>
          <w:color w:val="auto"/>
          <w:szCs w:val="21"/>
          <w:highlight w:val="none"/>
          <w:shd w:val="clear" w:color="auto" w:fill="auto"/>
        </w:rPr>
        <w:t>负责人签名（或授权代表）</w:t>
      </w:r>
    </w:p>
    <w:p w14:paraId="3F5989B8">
      <w:pPr>
        <w:spacing w:line="400" w:lineRule="exact"/>
        <w:ind w:firstLine="1050" w:firstLineChars="500"/>
        <w:rPr>
          <w:rFonts w:hint="eastAsia" w:cs="宋体"/>
          <w:bCs/>
          <w:color w:val="auto"/>
          <w:szCs w:val="21"/>
          <w:highlight w:val="none"/>
          <w:shd w:val="clear" w:color="auto" w:fill="auto"/>
        </w:rPr>
      </w:pPr>
      <w:r>
        <w:rPr>
          <w:rFonts w:hint="eastAsia" w:cs="宋体"/>
          <w:bCs/>
          <w:color w:val="auto"/>
          <w:szCs w:val="21"/>
          <w:highlight w:val="none"/>
          <w:shd w:val="clear" w:color="auto" w:fill="auto"/>
        </w:rPr>
        <w:t xml:space="preserve"> 年    月    日</w:t>
      </w:r>
    </w:p>
    <w:p w14:paraId="30A6E2BA">
      <w:pPr>
        <w:spacing w:line="400" w:lineRule="exact"/>
        <w:rPr>
          <w:rFonts w:hint="eastAsia" w:eastAsia="宋体" w:cs="宋体"/>
          <w:bCs/>
          <w:color w:val="auto"/>
          <w:szCs w:val="21"/>
          <w:highlight w:val="none"/>
          <w:shd w:val="clear" w:color="auto" w:fill="auto"/>
          <w:lang w:val="en-US" w:eastAsia="zh-CN"/>
        </w:rPr>
      </w:pPr>
    </w:p>
    <w:p w14:paraId="7A4808C9">
      <w:pPr>
        <w:pStyle w:val="48"/>
        <w:rPr>
          <w:rFonts w:hint="eastAsia"/>
          <w:color w:val="auto"/>
          <w:highlight w:val="none"/>
          <w:lang w:val="en-US" w:eastAsia="zh-CN"/>
        </w:rPr>
      </w:pPr>
    </w:p>
    <w:p w14:paraId="00FE28E4">
      <w:pPr>
        <w:spacing w:line="400" w:lineRule="exact"/>
        <w:rPr>
          <w:rFonts w:hint="eastAsia" w:eastAsia="宋体" w:cs="宋体"/>
          <w:bCs/>
          <w:color w:val="auto"/>
          <w:szCs w:val="21"/>
          <w:highlight w:val="none"/>
          <w:shd w:val="clear" w:color="auto" w:fill="auto"/>
          <w:lang w:val="en-US" w:eastAsia="zh-CN"/>
        </w:rPr>
      </w:pPr>
    </w:p>
    <w:p w14:paraId="5A4C666D">
      <w:pPr>
        <w:pStyle w:val="48"/>
        <w:rPr>
          <w:rFonts w:hint="eastAsia"/>
          <w:color w:val="auto"/>
          <w:highlight w:val="none"/>
          <w:lang w:val="en-US" w:eastAsia="zh-CN"/>
        </w:rPr>
      </w:pPr>
    </w:p>
    <w:p w14:paraId="6DA7CCAF">
      <w:pPr>
        <w:spacing w:line="400" w:lineRule="exact"/>
        <w:ind w:firstLine="420" w:firstLineChars="200"/>
        <w:rPr>
          <w:rFonts w:hint="eastAsia" w:cs="宋体"/>
          <w:bCs/>
          <w:color w:val="auto"/>
          <w:szCs w:val="21"/>
          <w:highlight w:val="none"/>
          <w:shd w:val="clear" w:color="auto" w:fill="auto"/>
        </w:rPr>
      </w:pPr>
      <w:r>
        <w:rPr>
          <w:rFonts w:hint="eastAsia" w:cs="宋体"/>
          <w:bCs/>
          <w:color w:val="auto"/>
          <w:szCs w:val="21"/>
          <w:highlight w:val="none"/>
          <w:shd w:val="clear" w:color="auto" w:fill="auto"/>
          <w:lang w:val="en-US" w:eastAsia="zh-CN"/>
        </w:rPr>
        <w:t>乙方</w:t>
      </w:r>
      <w:r>
        <w:rPr>
          <w:rFonts w:hint="eastAsia" w:cs="宋体"/>
          <w:bCs/>
          <w:color w:val="auto"/>
          <w:szCs w:val="21"/>
          <w:highlight w:val="none"/>
          <w:shd w:val="clear" w:color="auto" w:fill="auto"/>
          <w:lang w:eastAsia="zh-CN"/>
        </w:rPr>
        <w:t>（</w:t>
      </w:r>
      <w:r>
        <w:rPr>
          <w:rFonts w:hint="eastAsia" w:cs="宋体"/>
          <w:bCs/>
          <w:color w:val="auto"/>
          <w:szCs w:val="21"/>
          <w:highlight w:val="none"/>
          <w:shd w:val="clear" w:color="auto" w:fill="auto"/>
          <w:lang w:val="en-US" w:eastAsia="zh-CN"/>
        </w:rPr>
        <w:t>首席保险人</w:t>
      </w:r>
      <w:r>
        <w:rPr>
          <w:rFonts w:hint="eastAsia" w:cs="宋体"/>
          <w:bCs/>
          <w:color w:val="auto"/>
          <w:szCs w:val="21"/>
          <w:highlight w:val="none"/>
          <w:shd w:val="clear" w:color="auto" w:fill="auto"/>
          <w:lang w:eastAsia="zh-CN"/>
        </w:rPr>
        <w:t>）</w:t>
      </w:r>
      <w:r>
        <w:rPr>
          <w:rFonts w:hint="eastAsia" w:cs="宋体"/>
          <w:bCs/>
          <w:color w:val="auto"/>
          <w:szCs w:val="21"/>
          <w:highlight w:val="none"/>
          <w:shd w:val="clear" w:color="auto" w:fill="auto"/>
        </w:rPr>
        <w:t>：</w:t>
      </w:r>
      <w:r>
        <w:rPr>
          <w:rFonts w:hint="eastAsia" w:cs="宋体"/>
          <w:bCs/>
          <w:color w:val="auto"/>
          <w:szCs w:val="21"/>
          <w:highlight w:val="none"/>
          <w:shd w:val="clear" w:color="auto" w:fill="auto"/>
          <w:lang w:eastAsia="zh-CN"/>
        </w:rPr>
        <w:t xml:space="preserve">      </w:t>
      </w:r>
      <w:r>
        <w:rPr>
          <w:rFonts w:hint="eastAsia" w:cs="宋体"/>
          <w:bCs/>
          <w:color w:val="auto"/>
          <w:szCs w:val="21"/>
          <w:highlight w:val="none"/>
          <w:shd w:val="clear" w:color="auto" w:fill="auto"/>
        </w:rPr>
        <w:t>（盖章）</w:t>
      </w:r>
    </w:p>
    <w:p w14:paraId="2CCA4CB5">
      <w:pPr>
        <w:spacing w:line="400" w:lineRule="exact"/>
        <w:ind w:firstLine="420" w:firstLineChars="200"/>
        <w:rPr>
          <w:rFonts w:hint="eastAsia" w:cs="宋体"/>
          <w:bCs/>
          <w:color w:val="auto"/>
          <w:szCs w:val="21"/>
          <w:highlight w:val="none"/>
          <w:shd w:val="clear" w:color="auto" w:fill="auto"/>
        </w:rPr>
      </w:pPr>
      <w:r>
        <w:rPr>
          <w:rFonts w:hint="eastAsia" w:cs="宋体"/>
          <w:bCs/>
          <w:color w:val="auto"/>
          <w:szCs w:val="21"/>
          <w:highlight w:val="none"/>
          <w:shd w:val="clear" w:color="auto" w:fill="auto"/>
        </w:rPr>
        <w:t>负责人签名（或授权代表）</w:t>
      </w:r>
    </w:p>
    <w:p w14:paraId="799C34CA">
      <w:pPr>
        <w:spacing w:line="400" w:lineRule="exact"/>
        <w:ind w:firstLine="1050" w:firstLineChars="500"/>
        <w:rPr>
          <w:rFonts w:hint="eastAsia" w:eastAsia="宋体" w:cs="宋体"/>
          <w:bCs/>
          <w:color w:val="auto"/>
          <w:szCs w:val="21"/>
          <w:highlight w:val="none"/>
          <w:shd w:val="clear" w:color="auto" w:fill="auto"/>
          <w:lang w:val="en-US" w:eastAsia="zh-CN"/>
        </w:rPr>
      </w:pPr>
      <w:r>
        <w:rPr>
          <w:rFonts w:hint="eastAsia" w:cs="宋体"/>
          <w:bCs/>
          <w:color w:val="auto"/>
          <w:szCs w:val="21"/>
          <w:highlight w:val="none"/>
          <w:shd w:val="clear" w:color="auto" w:fill="auto"/>
          <w:lang w:val="en-US" w:eastAsia="zh-CN"/>
        </w:rPr>
        <w:t xml:space="preserve"> 年    月    日</w:t>
      </w:r>
    </w:p>
    <w:p w14:paraId="02F1B2C9">
      <w:pPr>
        <w:spacing w:line="400" w:lineRule="exact"/>
        <w:ind w:firstLine="420" w:firstLineChars="200"/>
        <w:rPr>
          <w:rFonts w:hint="eastAsia" w:cs="宋体"/>
          <w:bCs/>
          <w:color w:val="auto"/>
          <w:szCs w:val="21"/>
          <w:highlight w:val="none"/>
          <w:shd w:val="clear" w:color="auto" w:fill="auto"/>
        </w:rPr>
      </w:pPr>
      <w:r>
        <w:rPr>
          <w:rFonts w:hint="eastAsia" w:cs="宋体"/>
          <w:bCs/>
          <w:color w:val="auto"/>
          <w:szCs w:val="21"/>
          <w:highlight w:val="none"/>
          <w:shd w:val="clear" w:color="auto" w:fill="auto"/>
        </w:rPr>
        <w:t xml:space="preserve">      </w:t>
      </w:r>
    </w:p>
    <w:p w14:paraId="773D3EF1">
      <w:pPr>
        <w:spacing w:line="400" w:lineRule="exact"/>
        <w:rPr>
          <w:rFonts w:hint="eastAsia" w:cs="宋体"/>
          <w:bCs/>
          <w:color w:val="auto"/>
          <w:szCs w:val="21"/>
          <w:highlight w:val="none"/>
          <w:shd w:val="clear" w:color="auto" w:fill="auto"/>
        </w:rPr>
      </w:pPr>
    </w:p>
    <w:p w14:paraId="78DCFDF0">
      <w:pPr>
        <w:pStyle w:val="48"/>
        <w:rPr>
          <w:rFonts w:hint="eastAsia"/>
          <w:color w:val="auto"/>
          <w:highlight w:val="none"/>
        </w:rPr>
      </w:pPr>
    </w:p>
    <w:p w14:paraId="39333D95">
      <w:pPr>
        <w:spacing w:line="400" w:lineRule="exact"/>
        <w:ind w:firstLine="420" w:firstLineChars="200"/>
        <w:rPr>
          <w:rFonts w:hint="eastAsia" w:cs="宋体"/>
          <w:bCs/>
          <w:color w:val="auto"/>
          <w:szCs w:val="21"/>
          <w:highlight w:val="none"/>
          <w:shd w:val="clear" w:color="auto" w:fill="auto"/>
        </w:rPr>
      </w:pPr>
    </w:p>
    <w:p w14:paraId="4A9B6CA6">
      <w:pPr>
        <w:spacing w:line="400" w:lineRule="exact"/>
        <w:ind w:firstLine="420" w:firstLineChars="200"/>
        <w:rPr>
          <w:rFonts w:hint="eastAsia" w:cs="宋体"/>
          <w:bCs/>
          <w:color w:val="auto"/>
          <w:szCs w:val="21"/>
          <w:highlight w:val="none"/>
          <w:shd w:val="clear" w:color="auto" w:fill="auto"/>
        </w:rPr>
      </w:pPr>
      <w:r>
        <w:rPr>
          <w:rFonts w:hint="eastAsia" w:cs="宋体"/>
          <w:bCs/>
          <w:color w:val="auto"/>
          <w:szCs w:val="21"/>
          <w:highlight w:val="none"/>
          <w:shd w:val="clear" w:color="auto" w:fill="auto"/>
        </w:rPr>
        <w:t xml:space="preserve">            </w:t>
      </w:r>
    </w:p>
    <w:p w14:paraId="0A548160">
      <w:pPr>
        <w:spacing w:line="400" w:lineRule="exact"/>
        <w:ind w:firstLine="420" w:firstLineChars="200"/>
        <w:rPr>
          <w:rFonts w:hint="eastAsia" w:cs="宋体"/>
          <w:bCs/>
          <w:color w:val="auto"/>
          <w:szCs w:val="21"/>
          <w:highlight w:val="none"/>
          <w:shd w:val="clear" w:color="auto" w:fill="auto"/>
        </w:rPr>
      </w:pPr>
      <w:r>
        <w:rPr>
          <w:rFonts w:hint="eastAsia" w:cs="宋体"/>
          <w:bCs/>
          <w:color w:val="auto"/>
          <w:szCs w:val="21"/>
          <w:highlight w:val="none"/>
          <w:shd w:val="clear" w:color="auto" w:fill="auto"/>
          <w:lang w:val="en-US" w:eastAsia="zh-CN"/>
        </w:rPr>
        <w:t>丙方（业主方）</w:t>
      </w:r>
      <w:r>
        <w:rPr>
          <w:rFonts w:hint="eastAsia" w:cs="宋体"/>
          <w:bCs/>
          <w:color w:val="auto"/>
          <w:szCs w:val="21"/>
          <w:highlight w:val="none"/>
          <w:shd w:val="clear" w:color="auto" w:fill="auto"/>
        </w:rPr>
        <w:t>：</w:t>
      </w:r>
      <w:r>
        <w:rPr>
          <w:rFonts w:hint="eastAsia" w:cs="宋体"/>
          <w:bCs/>
          <w:color w:val="auto"/>
          <w:szCs w:val="21"/>
          <w:highlight w:val="none"/>
          <w:shd w:val="clear" w:color="auto" w:fill="auto"/>
          <w:lang w:val="en-US" w:eastAsia="zh-CN"/>
        </w:rPr>
        <w:t xml:space="preserve"> </w:t>
      </w:r>
      <w:r>
        <w:rPr>
          <w:rFonts w:hint="eastAsia" w:cs="宋体"/>
          <w:bCs/>
          <w:color w:val="auto"/>
          <w:szCs w:val="21"/>
          <w:highlight w:val="none"/>
          <w:shd w:val="clear" w:color="auto" w:fill="auto"/>
        </w:rPr>
        <w:t>（盖章）</w:t>
      </w:r>
    </w:p>
    <w:p w14:paraId="18EDE518">
      <w:pPr>
        <w:spacing w:line="400" w:lineRule="exact"/>
        <w:ind w:firstLine="420" w:firstLineChars="200"/>
        <w:rPr>
          <w:rFonts w:hint="eastAsia" w:cs="宋体"/>
          <w:bCs/>
          <w:color w:val="auto"/>
          <w:szCs w:val="21"/>
          <w:highlight w:val="none"/>
          <w:shd w:val="clear" w:color="auto" w:fill="auto"/>
        </w:rPr>
      </w:pPr>
      <w:r>
        <w:rPr>
          <w:rFonts w:hint="eastAsia" w:cs="宋体"/>
          <w:bCs/>
          <w:color w:val="auto"/>
          <w:szCs w:val="21"/>
          <w:highlight w:val="none"/>
          <w:shd w:val="clear" w:color="auto" w:fill="auto"/>
        </w:rPr>
        <w:t>负责人签名（或授权代表）</w:t>
      </w:r>
    </w:p>
    <w:p w14:paraId="109FFECF">
      <w:pPr>
        <w:spacing w:line="400" w:lineRule="exact"/>
        <w:ind w:firstLine="840" w:firstLineChars="400"/>
        <w:rPr>
          <w:rFonts w:hint="eastAsia" w:cs="宋体"/>
          <w:bCs/>
          <w:color w:val="auto"/>
          <w:szCs w:val="21"/>
          <w:highlight w:val="none"/>
          <w:shd w:val="clear" w:color="auto" w:fill="auto"/>
        </w:rPr>
      </w:pPr>
      <w:r>
        <w:rPr>
          <w:rFonts w:hint="eastAsia" w:cs="宋体"/>
          <w:bCs/>
          <w:color w:val="auto"/>
          <w:szCs w:val="21"/>
          <w:highlight w:val="none"/>
          <w:shd w:val="clear" w:color="auto" w:fill="auto"/>
        </w:rPr>
        <w:t xml:space="preserve"> </w:t>
      </w:r>
      <w:r>
        <w:rPr>
          <w:rFonts w:hint="eastAsia" w:cs="宋体"/>
          <w:bCs/>
          <w:color w:val="auto"/>
          <w:szCs w:val="21"/>
          <w:highlight w:val="none"/>
          <w:shd w:val="clear" w:color="auto" w:fill="auto"/>
          <w:lang w:val="en-US" w:eastAsia="zh-CN"/>
        </w:rPr>
        <w:t xml:space="preserve">    </w:t>
      </w:r>
      <w:r>
        <w:rPr>
          <w:rFonts w:hint="eastAsia" w:cs="宋体"/>
          <w:bCs/>
          <w:color w:val="auto"/>
          <w:szCs w:val="21"/>
          <w:highlight w:val="none"/>
          <w:shd w:val="clear" w:color="auto" w:fill="auto"/>
        </w:rPr>
        <w:t>年    月    日</w:t>
      </w:r>
    </w:p>
    <w:p w14:paraId="1BFE91F5">
      <w:pPr>
        <w:spacing w:line="400" w:lineRule="exact"/>
        <w:ind w:firstLine="420" w:firstLineChars="200"/>
        <w:rPr>
          <w:rFonts w:hint="eastAsia" w:cs="宋体"/>
          <w:bCs/>
          <w:color w:val="auto"/>
          <w:szCs w:val="21"/>
          <w:highlight w:val="none"/>
          <w:shd w:val="clear" w:color="auto" w:fill="auto"/>
        </w:rPr>
      </w:pPr>
    </w:p>
    <w:p w14:paraId="69119516">
      <w:pPr>
        <w:spacing w:line="400" w:lineRule="exact"/>
        <w:ind w:firstLine="420" w:firstLineChars="200"/>
        <w:rPr>
          <w:rFonts w:hint="eastAsia" w:cs="宋体"/>
          <w:bCs/>
          <w:color w:val="auto"/>
          <w:szCs w:val="21"/>
          <w:highlight w:val="none"/>
          <w:shd w:val="clear" w:color="auto" w:fill="auto"/>
        </w:rPr>
      </w:pPr>
    </w:p>
    <w:p w14:paraId="151077C8">
      <w:pPr>
        <w:spacing w:line="400" w:lineRule="exact"/>
        <w:ind w:firstLine="420" w:firstLineChars="200"/>
        <w:rPr>
          <w:rFonts w:hint="eastAsia" w:cs="宋体"/>
          <w:bCs/>
          <w:color w:val="auto"/>
          <w:szCs w:val="21"/>
          <w:highlight w:val="none"/>
          <w:shd w:val="clear" w:color="auto" w:fill="auto"/>
        </w:rPr>
      </w:pPr>
    </w:p>
    <w:p w14:paraId="6FBD4C95">
      <w:pPr>
        <w:pStyle w:val="48"/>
        <w:rPr>
          <w:rFonts w:hint="eastAsia"/>
          <w:color w:val="auto"/>
          <w:highlight w:val="none"/>
        </w:rPr>
      </w:pPr>
    </w:p>
    <w:p w14:paraId="6EDEAD3B">
      <w:pPr>
        <w:spacing w:line="400" w:lineRule="exact"/>
        <w:ind w:firstLine="420" w:firstLineChars="200"/>
        <w:rPr>
          <w:rFonts w:hint="eastAsia" w:cs="宋体"/>
          <w:bCs/>
          <w:color w:val="auto"/>
          <w:szCs w:val="21"/>
          <w:highlight w:val="none"/>
          <w:shd w:val="clear" w:color="auto" w:fill="auto"/>
        </w:rPr>
      </w:pPr>
      <w:r>
        <w:rPr>
          <w:rFonts w:hint="eastAsia" w:cs="宋体"/>
          <w:bCs/>
          <w:color w:val="auto"/>
          <w:szCs w:val="21"/>
          <w:highlight w:val="none"/>
          <w:shd w:val="clear" w:color="auto" w:fill="auto"/>
          <w:lang w:val="en-US" w:eastAsia="zh-CN"/>
        </w:rPr>
        <w:t>丁方（</w:t>
      </w:r>
      <w:r>
        <w:rPr>
          <w:rFonts w:hint="eastAsia" w:cs="宋体"/>
          <w:bCs/>
          <w:color w:val="auto"/>
          <w:szCs w:val="21"/>
          <w:highlight w:val="none"/>
          <w:shd w:val="clear" w:color="auto" w:fill="auto"/>
        </w:rPr>
        <w:t>保险经纪</w:t>
      </w:r>
      <w:r>
        <w:rPr>
          <w:rFonts w:hint="eastAsia" w:cs="宋体"/>
          <w:bCs/>
          <w:color w:val="auto"/>
          <w:szCs w:val="21"/>
          <w:highlight w:val="none"/>
          <w:shd w:val="clear" w:color="auto" w:fill="auto"/>
          <w:lang w:eastAsia="zh-CN"/>
        </w:rPr>
        <w:t>）</w:t>
      </w:r>
      <w:r>
        <w:rPr>
          <w:rFonts w:hint="eastAsia" w:cs="宋体"/>
          <w:bCs/>
          <w:color w:val="auto"/>
          <w:szCs w:val="21"/>
          <w:highlight w:val="none"/>
          <w:shd w:val="clear" w:color="auto" w:fill="auto"/>
        </w:rPr>
        <w:t>：</w:t>
      </w:r>
      <w:r>
        <w:rPr>
          <w:rFonts w:hint="eastAsia" w:cs="宋体"/>
          <w:bCs/>
          <w:color w:val="auto"/>
          <w:szCs w:val="21"/>
          <w:highlight w:val="none"/>
          <w:shd w:val="clear" w:color="auto" w:fill="auto"/>
          <w:lang w:eastAsia="zh-CN"/>
        </w:rPr>
        <w:t xml:space="preserve">  </w:t>
      </w:r>
      <w:r>
        <w:rPr>
          <w:rFonts w:hint="eastAsia" w:cs="宋体"/>
          <w:bCs/>
          <w:color w:val="auto"/>
          <w:szCs w:val="21"/>
          <w:highlight w:val="none"/>
          <w:shd w:val="clear" w:color="auto" w:fill="auto"/>
        </w:rPr>
        <w:t xml:space="preserve">（盖章） </w:t>
      </w:r>
    </w:p>
    <w:p w14:paraId="54F488A4">
      <w:pPr>
        <w:spacing w:line="400" w:lineRule="exact"/>
        <w:ind w:firstLine="420" w:firstLineChars="200"/>
        <w:rPr>
          <w:rFonts w:hint="eastAsia" w:cs="宋体"/>
          <w:bCs/>
          <w:color w:val="auto"/>
          <w:szCs w:val="21"/>
          <w:highlight w:val="none"/>
          <w:shd w:val="clear" w:color="auto" w:fill="auto"/>
        </w:rPr>
      </w:pPr>
      <w:r>
        <w:rPr>
          <w:rFonts w:hint="eastAsia" w:cs="宋体"/>
          <w:bCs/>
          <w:color w:val="auto"/>
          <w:szCs w:val="21"/>
          <w:highlight w:val="none"/>
          <w:shd w:val="clear" w:color="auto" w:fill="auto"/>
        </w:rPr>
        <w:t>负责人签名（或授权代表）</w:t>
      </w:r>
    </w:p>
    <w:p w14:paraId="3BD86226">
      <w:pPr>
        <w:spacing w:line="400" w:lineRule="exact"/>
        <w:ind w:firstLine="1050" w:firstLineChars="500"/>
        <w:rPr>
          <w:rFonts w:hint="eastAsia" w:cs="宋体"/>
          <w:bCs/>
          <w:color w:val="auto"/>
          <w:szCs w:val="21"/>
          <w:highlight w:val="none"/>
          <w:shd w:val="clear" w:color="auto" w:fill="auto"/>
        </w:rPr>
      </w:pPr>
      <w:r>
        <w:rPr>
          <w:rFonts w:hint="eastAsia" w:cs="宋体"/>
          <w:bCs/>
          <w:color w:val="auto"/>
          <w:szCs w:val="21"/>
          <w:highlight w:val="none"/>
          <w:shd w:val="clear" w:color="auto" w:fill="auto"/>
        </w:rPr>
        <w:t xml:space="preserve">  年    月    日</w:t>
      </w:r>
    </w:p>
    <w:p w14:paraId="64782FEC">
      <w:pPr>
        <w:spacing w:line="400" w:lineRule="exact"/>
        <w:ind w:firstLine="420" w:firstLineChars="200"/>
        <w:rPr>
          <w:rFonts w:hint="eastAsia" w:cs="宋体"/>
          <w:bCs/>
          <w:color w:val="auto"/>
          <w:szCs w:val="21"/>
          <w:highlight w:val="none"/>
        </w:rPr>
      </w:pPr>
    </w:p>
    <w:p w14:paraId="68FAC12C">
      <w:pPr>
        <w:spacing w:line="400" w:lineRule="exact"/>
        <w:rPr>
          <w:rFonts w:hint="eastAsia" w:cs="宋体"/>
          <w:bCs/>
          <w:color w:val="auto"/>
          <w:szCs w:val="21"/>
          <w:highlight w:val="none"/>
        </w:rPr>
      </w:pPr>
      <w:r>
        <w:rPr>
          <w:rFonts w:hint="eastAsia" w:cs="宋体"/>
          <w:bCs/>
          <w:color w:val="auto"/>
          <w:szCs w:val="21"/>
          <w:highlight w:val="none"/>
        </w:rPr>
        <w:t xml:space="preserve">   </w:t>
      </w:r>
    </w:p>
    <w:p w14:paraId="3B98EB4E">
      <w:pPr>
        <w:spacing w:line="400" w:lineRule="exact"/>
        <w:rPr>
          <w:rFonts w:hint="eastAsia" w:cs="宋体"/>
          <w:color w:val="auto"/>
          <w:szCs w:val="21"/>
          <w:highlight w:val="none"/>
        </w:rPr>
      </w:pPr>
    </w:p>
    <w:p w14:paraId="06B4BD4B">
      <w:pPr>
        <w:pStyle w:val="4"/>
        <w:spacing w:before="156" w:after="156"/>
        <w:rPr>
          <w:rFonts w:hint="eastAsia"/>
          <w:color w:val="auto"/>
          <w:sz w:val="24"/>
          <w:szCs w:val="24"/>
          <w:highlight w:val="none"/>
          <w:lang w:val="en-US" w:eastAsia="zh-CN"/>
        </w:rPr>
      </w:pPr>
      <w:r>
        <w:rPr>
          <w:rFonts w:hint="eastAsia"/>
          <w:color w:val="auto"/>
          <w:sz w:val="24"/>
          <w:szCs w:val="24"/>
          <w:highlight w:val="none"/>
        </w:rPr>
        <w:t>附件</w:t>
      </w:r>
      <w:r>
        <w:rPr>
          <w:rFonts w:hint="eastAsia"/>
          <w:color w:val="auto"/>
          <w:sz w:val="24"/>
          <w:szCs w:val="24"/>
          <w:highlight w:val="none"/>
          <w:lang w:val="en-US" w:eastAsia="zh-CN"/>
        </w:rPr>
        <w:t>一</w:t>
      </w:r>
      <w:r>
        <w:rPr>
          <w:rFonts w:hint="eastAsia"/>
          <w:color w:val="auto"/>
          <w:sz w:val="24"/>
          <w:szCs w:val="24"/>
          <w:highlight w:val="none"/>
          <w:lang w:eastAsia="zh-CN"/>
        </w:rPr>
        <w:t>：</w:t>
      </w:r>
      <w:r>
        <w:rPr>
          <w:rFonts w:hint="eastAsia"/>
          <w:color w:val="auto"/>
          <w:sz w:val="24"/>
          <w:szCs w:val="24"/>
          <w:highlight w:val="none"/>
          <w:lang w:val="en-US" w:eastAsia="zh-CN"/>
        </w:rPr>
        <w:t>保险条款；以中标人报备国家金融监管局条款为准</w:t>
      </w:r>
    </w:p>
    <w:p w14:paraId="45BA7708">
      <w:pPr>
        <w:pStyle w:val="4"/>
        <w:spacing w:before="156" w:after="156"/>
        <w:ind w:firstLine="964" w:firstLineChars="400"/>
        <w:rPr>
          <w:rFonts w:hint="default" w:eastAsia="黑体"/>
          <w:color w:val="auto"/>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一</w:t>
      </w:r>
      <w:r>
        <w:rPr>
          <w:rFonts w:hint="eastAsia"/>
          <w:color w:val="auto"/>
          <w:sz w:val="24"/>
          <w:szCs w:val="24"/>
          <w:highlight w:val="none"/>
          <w:lang w:eastAsia="zh-CN"/>
        </w:rPr>
        <w:t>）</w:t>
      </w:r>
      <w:r>
        <w:rPr>
          <w:rFonts w:hint="eastAsia"/>
          <w:color w:val="auto"/>
          <w:sz w:val="24"/>
          <w:szCs w:val="24"/>
          <w:highlight w:val="none"/>
          <w:lang w:val="en-US" w:eastAsia="zh-CN"/>
        </w:rPr>
        <w:t>建筑工程一切险</w:t>
      </w:r>
      <w:r>
        <w:rPr>
          <w:rFonts w:hint="eastAsia"/>
          <w:color w:val="auto"/>
          <w:sz w:val="24"/>
          <w:szCs w:val="24"/>
          <w:highlight w:val="none"/>
        </w:rPr>
        <w:t>保险条款</w:t>
      </w:r>
      <w:r>
        <w:rPr>
          <w:rFonts w:hint="eastAsia"/>
          <w:color w:val="auto"/>
          <w:sz w:val="24"/>
          <w:szCs w:val="24"/>
          <w:highlight w:val="none"/>
          <w:lang w:eastAsia="zh-CN"/>
        </w:rPr>
        <w:t>；</w:t>
      </w:r>
    </w:p>
    <w:p w14:paraId="51997605">
      <w:pPr>
        <w:pStyle w:val="48"/>
        <w:ind w:firstLine="964" w:firstLineChars="400"/>
        <w:jc w:val="both"/>
        <w:rPr>
          <w:color w:val="auto"/>
          <w:highlight w:val="none"/>
        </w:rPr>
      </w:pPr>
      <w:r>
        <w:rPr>
          <w:rFonts w:hint="eastAsia" w:ascii="Arial" w:hAnsi="Arial" w:eastAsia="黑体" w:cs="Arial"/>
          <w:b/>
          <w:bCs/>
          <w:color w:val="auto"/>
          <w:kern w:val="2"/>
          <w:sz w:val="24"/>
          <w:szCs w:val="24"/>
          <w:highlight w:val="none"/>
          <w:lang w:val="en-US" w:eastAsia="zh-CN" w:bidi="ar-SA"/>
        </w:rPr>
        <w:t>（二）安全生产责任险保险条款</w:t>
      </w:r>
      <w:r>
        <w:rPr>
          <w:rFonts w:hint="eastAsia" w:ascii="Arial" w:eastAsia="黑体" w:cs="Arial"/>
          <w:b/>
          <w:bCs/>
          <w:color w:val="auto"/>
          <w:kern w:val="2"/>
          <w:sz w:val="24"/>
          <w:szCs w:val="24"/>
          <w:highlight w:val="none"/>
          <w:lang w:val="en-US" w:eastAsia="zh-CN" w:bidi="ar-SA"/>
        </w:rPr>
        <w:t>；</w:t>
      </w:r>
    </w:p>
    <w:p w14:paraId="3097541F">
      <w:pPr>
        <w:autoSpaceDE w:val="0"/>
        <w:autoSpaceDN w:val="0"/>
        <w:adjustRightInd w:val="0"/>
        <w:snapToGrid w:val="0"/>
        <w:spacing w:after="156" w:afterLines="50"/>
        <w:jc w:val="left"/>
        <w:rPr>
          <w:rFonts w:hint="eastAsia" w:ascii="Arial" w:hAnsi="Arial" w:eastAsia="黑体" w:cs="Arial"/>
          <w:b/>
          <w:bCs/>
          <w:color w:val="auto"/>
          <w:kern w:val="2"/>
          <w:sz w:val="24"/>
          <w:szCs w:val="24"/>
          <w:highlight w:val="none"/>
          <w:lang w:val="en-US" w:eastAsia="zh-CN" w:bidi="ar-SA"/>
        </w:rPr>
      </w:pPr>
      <w:r>
        <w:rPr>
          <w:rFonts w:hint="eastAsia" w:ascii="Arial" w:hAnsi="Arial" w:eastAsia="黑体" w:cs="Arial"/>
          <w:b/>
          <w:bCs/>
          <w:color w:val="auto"/>
          <w:kern w:val="2"/>
          <w:sz w:val="24"/>
          <w:szCs w:val="24"/>
          <w:highlight w:val="none"/>
          <w:lang w:val="en-US" w:eastAsia="zh-CN" w:bidi="ar-SA"/>
        </w:rPr>
        <w:t>附件二、扩展条款</w:t>
      </w:r>
    </w:p>
    <w:p w14:paraId="40EC7C45">
      <w:pPr>
        <w:autoSpaceDE w:val="0"/>
        <w:autoSpaceDN w:val="0"/>
        <w:adjustRightInd w:val="0"/>
        <w:snapToGrid w:val="0"/>
        <w:spacing w:after="156" w:afterLines="50"/>
        <w:ind w:firstLine="964" w:firstLineChars="400"/>
        <w:jc w:val="left"/>
        <w:rPr>
          <w:rFonts w:hint="eastAsia" w:ascii="Arial" w:hAnsi="Arial" w:eastAsia="黑体" w:cs="Arial"/>
          <w:b/>
          <w:bCs/>
          <w:color w:val="auto"/>
          <w:kern w:val="2"/>
          <w:sz w:val="24"/>
          <w:szCs w:val="24"/>
          <w:highlight w:val="none"/>
          <w:lang w:val="zh-CN" w:eastAsia="zh-CN" w:bidi="ar-SA"/>
        </w:rPr>
      </w:pPr>
      <w:r>
        <w:rPr>
          <w:rFonts w:hint="eastAsia" w:ascii="Arial" w:hAnsi="Arial" w:eastAsia="黑体" w:cs="Arial"/>
          <w:b/>
          <w:bCs/>
          <w:color w:val="auto"/>
          <w:kern w:val="2"/>
          <w:sz w:val="24"/>
          <w:szCs w:val="24"/>
          <w:highlight w:val="none"/>
          <w:lang w:val="en-US" w:eastAsia="zh-CN" w:bidi="ar-SA"/>
        </w:rPr>
        <w:t>（一）建筑工程一切险扩展条款</w:t>
      </w:r>
    </w:p>
    <w:p w14:paraId="4A3D5D14">
      <w:pPr>
        <w:numPr>
          <w:ilvl w:val="0"/>
          <w:numId w:val="19"/>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工程完工部分扩展条款</w:t>
      </w:r>
    </w:p>
    <w:p w14:paraId="12F4792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兹经双方同意，鉴于被保险人已缴付了附加的保险费，本保险合同扩展承保本保险合同明细表中物质损失项下被保险财产在保险期限内施工过程中造成已交付使用的部分的损失。</w:t>
      </w:r>
    </w:p>
    <w:p w14:paraId="700D406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本保险合同所载其它条件不变。</w:t>
      </w:r>
    </w:p>
    <w:p w14:paraId="2575F73C">
      <w:pPr>
        <w:numPr>
          <w:ilvl w:val="0"/>
          <w:numId w:val="19"/>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清理费用扩展条款（每次事故赔偿限额：1000万元）</w:t>
      </w:r>
    </w:p>
    <w:p w14:paraId="47AAF58D">
      <w:pPr>
        <w:widowControl/>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被保险人因本保险合同项下的保险标的损失而发生的下列合理的费用，保险人负责赔偿：</w:t>
      </w:r>
    </w:p>
    <w:p w14:paraId="6E32E55E">
      <w:pPr>
        <w:widowControl/>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一、清除、拆除、打捞、转移受毁损财产的费用；</w:t>
      </w:r>
    </w:p>
    <w:p w14:paraId="0D6EE9A9">
      <w:pPr>
        <w:widowControl/>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二、支撑受损财产的费用；</w:t>
      </w:r>
    </w:p>
    <w:p w14:paraId="260F6314">
      <w:pPr>
        <w:widowControl/>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三、恢复在保险事故发生前已经客观存在的施工条件而产生的清理费用。</w:t>
      </w:r>
    </w:p>
    <w:p w14:paraId="1E32D097">
      <w:pPr>
        <w:widowControl/>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每次事故赔偿限额：以保险单载明为准。</w:t>
      </w:r>
    </w:p>
    <w:p w14:paraId="70557056">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本附加险条款与主险条款内容相悖之处，以本附加险条款为准；未尽之处，以主险条款为准。</w:t>
      </w:r>
    </w:p>
    <w:p w14:paraId="395B8F2B">
      <w:pPr>
        <w:numPr>
          <w:ilvl w:val="0"/>
          <w:numId w:val="19"/>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专业费用特别条款（每次事故赔偿限额：500万元）</w:t>
      </w:r>
    </w:p>
    <w:p w14:paraId="2A66D29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兹经双方同意，保险人负责赔偿被保险人因本保险合同项下承保风险造成被保险工程损失后，在重置过程中发生的必要的设计师、检验师及工程咨询人费用，但被保险人为了准备索赔，或估损所发生的任何费用除外。上述赔偿费用应以损失当时适用的有关行业管理部门制订的收费标准为准，但不得超过本保险合同明细表中列明的赔偿限额。</w:t>
      </w:r>
    </w:p>
    <w:p w14:paraId="527CBA6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本保险合同所载其它条件不变。</w:t>
      </w:r>
    </w:p>
    <w:p w14:paraId="4DA92C26">
      <w:pPr>
        <w:numPr>
          <w:ilvl w:val="0"/>
          <w:numId w:val="19"/>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特别费用扩展条款（每次事故赔偿限额：500万元）</w:t>
      </w:r>
    </w:p>
    <w:p w14:paraId="398B0FEC">
      <w:pPr>
        <w:spacing w:after="12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兹经双方同意，鉴于被保险人已缴付了附加的保险费，本保险合同扩展承保下列特别费用，即：加班费、夜班费、节假日加班费以及快运费(不包括空运费)。但该特别费用须与本保险合同项下予以赔偿的保险财产的损失有关。且本条款项下特别费用的最高赔偿金额在保险期限内不超过以下列明限额。若保险财产的保额不足，本条款项下特别费用的赔偿金额按比例减少。</w:t>
      </w:r>
    </w:p>
    <w:p w14:paraId="0C01587E">
      <w:pPr>
        <w:spacing w:after="12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本保险合同所载其它条件不变。</w:t>
      </w:r>
    </w:p>
    <w:p w14:paraId="0DFBFCD3">
      <w:pPr>
        <w:numPr>
          <w:ilvl w:val="0"/>
          <w:numId w:val="19"/>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管理费用条款（每次事故赔偿限额：500万元）</w:t>
      </w:r>
    </w:p>
    <w:p w14:paraId="15888E9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兹经双方同意并约定，保险人负责赔偿被保险标的物发生保险责任范围内的损失需予以修复时，被保险人除修复费用外，业主为修复工作所发生的合理的管理费用，但施工合同金额内的管理费不属本条款赔偿范围。</w:t>
      </w:r>
    </w:p>
    <w:p w14:paraId="50A7EF2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本保险合同所载其他条件不变。</w:t>
      </w:r>
    </w:p>
    <w:p w14:paraId="7727080C">
      <w:pPr>
        <w:numPr>
          <w:ilvl w:val="0"/>
          <w:numId w:val="19"/>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灭火费用扩展条款B（每次事故赔偿限额：500万元）</w:t>
      </w:r>
    </w:p>
    <w:p w14:paraId="126A9A0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被保险人为扑灭本保险单中载明的保险标的地址内的火灾而发生的下列必要及合理的费用，保险人按照本附加险合同的约定负责赔偿：</w:t>
      </w:r>
    </w:p>
    <w:p w14:paraId="648BBED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一、雇员（不包括正常上班的雇员及属于被保险人专职消防队的雇员）协助灭火而产生的加班费用；</w:t>
      </w:r>
    </w:p>
    <w:p w14:paraId="4ED29FF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二、对在灭火过程中使用过的灭火器材重新填充的费用；</w:t>
      </w:r>
    </w:p>
    <w:p w14:paraId="731BABA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三、被保险人的雇员在灭火过程中直接损毁的个人物品。</w:t>
      </w:r>
    </w:p>
    <w:p w14:paraId="610F0DC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本附加条款项下保险人的赔偿责任不超过本保险单中载明的相应赔偿限额。</w:t>
      </w:r>
    </w:p>
    <w:p w14:paraId="48548A0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本附加险条款与主险条款内容相悖之处，以本附加险条款为准；未尽之处，以主险条款为准。</w:t>
      </w:r>
    </w:p>
    <w:p w14:paraId="484C67E3">
      <w:pPr>
        <w:numPr>
          <w:ilvl w:val="0"/>
          <w:numId w:val="19"/>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保险金额及保险费调整条款</w:t>
      </w:r>
    </w:p>
    <w:p w14:paraId="07FE9B6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兹经双方同意，被保险人应在本保险合同列明的保险期限届满后3个月内向保险人申报最终的工程决算金额。</w:t>
      </w:r>
    </w:p>
    <w:p w14:paraId="195B979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如本保险合同项下保险工程决算金额与保险金额相差不超过±10%，则保险人同意在本保险期限结束后不再对保险费进行调整。</w:t>
      </w:r>
    </w:p>
    <w:p w14:paraId="074B0A4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本保险合同所载其它条件不变。</w:t>
      </w:r>
    </w:p>
    <w:p w14:paraId="099427B7">
      <w:pPr>
        <w:numPr>
          <w:ilvl w:val="0"/>
          <w:numId w:val="19"/>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工程图纸、文件特别条款（每次赔偿限额：200万元）</w:t>
      </w:r>
    </w:p>
    <w:p w14:paraId="0C05463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兹经双方同意，保险人负责赔偿被保险人因本保险合同项下承保风险造成工程图纸及文件的损失而产生的重新绘制、重新制作的费用。</w:t>
      </w:r>
    </w:p>
    <w:p w14:paraId="7ED013A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本保险合同所载其它条件不变。</w:t>
      </w:r>
    </w:p>
    <w:p w14:paraId="1E74F496">
      <w:pPr>
        <w:numPr>
          <w:ilvl w:val="0"/>
          <w:numId w:val="19"/>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工地外储存物特别条款（每次事故赔偿限额：</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00万元，累计赔偿限额：</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000万元）</w:t>
      </w:r>
    </w:p>
    <w:p w14:paraId="2258F8B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兹经双方同意，本保险合同扩展承保本保险合同明细表中列明的工地以外的储存物，但该储存物的金额应包括在保险金额中。被保险人应根据保险人要求提供：</w:t>
      </w:r>
    </w:p>
    <w:p w14:paraId="32B5F1C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(一)工地外储存的地址：</w:t>
      </w:r>
    </w:p>
    <w:p w14:paraId="27D51CC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(二)储存物的最高金额：</w:t>
      </w:r>
    </w:p>
    <w:p w14:paraId="106D496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(三)储存期限。</w:t>
      </w:r>
    </w:p>
    <w:p w14:paraId="6B1A522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被保险人应保证：</w:t>
      </w:r>
    </w:p>
    <w:p w14:paraId="68C5D22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(一)上述工地外储存地点必须有安全警卫人员24小时值班；</w:t>
      </w:r>
    </w:p>
    <w:p w14:paraId="3F91C7B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(二)上述工地外储存地点必须符合储存物的存放要求。</w:t>
      </w:r>
    </w:p>
    <w:p w14:paraId="2D3DC15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本保险合同所载其它条件不变。</w:t>
      </w:r>
    </w:p>
    <w:p w14:paraId="5E809EBC">
      <w:pPr>
        <w:numPr>
          <w:ilvl w:val="0"/>
          <w:numId w:val="19"/>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运输险、工程险责任分摊条款（50/50条款）</w:t>
      </w:r>
    </w:p>
    <w:p w14:paraId="6FB5647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兹经双方同意，保险人要求：</w:t>
      </w:r>
    </w:p>
    <w:p w14:paraId="6408B26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(一)一旦原材料及设备运抵工地，被保险人应立即检验其运输途中可能发生的损失，若裸装货物损失明显，被保险人应在运输险保险合同下提出索赔。</w:t>
      </w:r>
    </w:p>
    <w:p w14:paraId="13699A1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(二)若包装的货物未立即开箱，需放置一段时间，则被保险人应观察检验外包装是否有货损迹象。若货损迹象明显，被保险人应在运输险保险合同下提出索赔。</w:t>
      </w:r>
    </w:p>
    <w:p w14:paraId="548E3C3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(三)若货物外包装无货损迹象，并且货物仍处于包装状态，直至货物开箱时才发现损失，该损失将视作发生在运输期间，除非从损失的性质上有明显的证据表明损失确系发生在运输保险终止后。</w:t>
      </w:r>
    </w:p>
    <w:p w14:paraId="48DFDF2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(四)若无明显证据确定损失的发生时间，则该损失将由运输保险及本保险各分摊50%。</w:t>
      </w:r>
    </w:p>
    <w:p w14:paraId="09E6CAA8">
      <w:pPr>
        <w:spacing w:after="12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本保险合同所载其它条件不变。</w:t>
      </w:r>
    </w:p>
    <w:p w14:paraId="09A42886">
      <w:pPr>
        <w:numPr>
          <w:ilvl w:val="0"/>
          <w:numId w:val="19"/>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内陆运输扩展条款（每次事故赔偿限额：1000万元）</w:t>
      </w:r>
    </w:p>
    <w:p w14:paraId="2242DCF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险人负责赔偿被保险人的材料、物料、预制件和构件等从中华人民共和国境内(包括港澳地区，不包括台湾地区)任何供应商供货地点到本保险合同中列明的工程现场，及保险标的在不同的工程场地之间的内陆、内河、海上运输途中、拖航及装卸过程中因自然灾害或意外事故引起的损失。</w:t>
      </w:r>
    </w:p>
    <w:p w14:paraId="7117865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每次运输赔偿限额：以保险单载明为准。</w:t>
      </w:r>
    </w:p>
    <w:p w14:paraId="6B6BE35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本附加险条款与主险条款内容相悖之处，以本附加险条款为准；未尽之处，以主险条款为准。</w:t>
      </w:r>
    </w:p>
    <w:p w14:paraId="5BC9FF05">
      <w:pPr>
        <w:numPr>
          <w:ilvl w:val="0"/>
          <w:numId w:val="19"/>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场外制造条款</w:t>
      </w:r>
    </w:p>
    <w:p w14:paraId="6112C6D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对于保险标的在保单约定的工程地点中的任一地点进行处理或制造或预制过程中发生的损失，保险人负责赔偿。</w:t>
      </w:r>
    </w:p>
    <w:p w14:paraId="4BA238B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每一场外制造地点的每次事故及累计赔偿限额：以保险单载明为准。</w:t>
      </w:r>
    </w:p>
    <w:p w14:paraId="2C17357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本附加险条款与主险条款内容相悖之处，以本附加险条款为准；未尽之处，以主险条款为准。</w:t>
      </w:r>
    </w:p>
    <w:p w14:paraId="07F4E93D">
      <w:pPr>
        <w:numPr>
          <w:ilvl w:val="0"/>
          <w:numId w:val="19"/>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工地外修理或修改条款</w:t>
      </w:r>
    </w:p>
    <w:p w14:paraId="63C041E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已运至工地的保险财产需要修理或修改，此修理或修改工作需要在工地外或地域限制外的其它地方进行时，本保险将自动扩展承保保险财产在这些修理或修改所发生的地点的损失。这些损失造成的原因是：火灾、雷电、爆炸、风暴、台风、冰雹、水灾、飞行物和其它飞行部件或飞行物体的坠落、地震、海啸、罢工、暴乱和民变。</w:t>
      </w:r>
    </w:p>
    <w:p w14:paraId="01C63EF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为了避免混淆，本保险承保保险财产运送至上述地区的运输过程中遭受的损失。</w:t>
      </w:r>
    </w:p>
    <w:p w14:paraId="24E97E1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如未事先征得保险人的同意，本保险不承担被保险财产在运输途中或在修理或修改地点进行装卸时所遭受的损失。</w:t>
      </w:r>
    </w:p>
    <w:p w14:paraId="0ACD8AB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本保险合同所载其他条件不变</w:t>
      </w:r>
    </w:p>
    <w:p w14:paraId="0D7D7E76">
      <w:pPr>
        <w:numPr>
          <w:ilvl w:val="0"/>
          <w:numId w:val="19"/>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恶意破坏扩展条款A</w:t>
      </w:r>
    </w:p>
    <w:p w14:paraId="59C857D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由于第三者恶意破坏行为造成保险标的的损失，保险人按照本保险合同的约定负责赔偿。但除另有约定外，对作为建筑物组成部分的玻璃破碎损失，以及盗窃、抢劫导致的损失，保险人不负责赔偿。</w:t>
      </w:r>
    </w:p>
    <w:p w14:paraId="17AD32D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发生本附加险合同项下的损失后，被保险人应立即向公安机关报案。</w:t>
      </w:r>
    </w:p>
    <w:p w14:paraId="032D9AB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本附加险条款与主险条款内容相悖之处，以本附加险条款为准；未尽之处，以主险条款为准。</w:t>
      </w:r>
    </w:p>
    <w:p w14:paraId="24A429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本保险合同所载其他条件不变</w:t>
      </w:r>
    </w:p>
    <w:p w14:paraId="48DA0782">
      <w:pPr>
        <w:numPr>
          <w:ilvl w:val="0"/>
          <w:numId w:val="19"/>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停工损失扩展条款</w:t>
      </w:r>
    </w:p>
    <w:p w14:paraId="5AA4781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兹经双方同意，本保险合同扩展承保被保险工程全部或部分停工期间发生本保险合同项下的保险责任范围内的事故导致的损失。但仅限于连续停工不超过3个月的工程部分，并且被保险人：</w:t>
      </w:r>
    </w:p>
    <w:p w14:paraId="7CF6DAF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（１）在发生停工时，必须及时书面通知保险人，并向保险人提交由本工程总监理工程师签发的停工令或复工令；</w:t>
      </w:r>
    </w:p>
    <w:p w14:paraId="7718B63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（２）停工期间，必须对停工部分工程采取合理的防损措施；</w:t>
      </w:r>
    </w:p>
    <w:p w14:paraId="6066F32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本保险合同所载其他条件不变。</w:t>
      </w:r>
    </w:p>
    <w:p w14:paraId="0A50B85B">
      <w:pPr>
        <w:numPr>
          <w:ilvl w:val="0"/>
          <w:numId w:val="19"/>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保护现场条款</w:t>
      </w:r>
    </w:p>
    <w:p w14:paraId="1912D65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兹经双方同意，发生本保险合同项下保险责任范围内风险事故时，被保险人应及时通知保险人，保险人在正常工作时间内，应在4小时内到达现场。4小时后，若保险人代表未赶到现场，被保险人可根据工程损失现状及检验需要，事故现场在拍照保留证据后不再保留。其他时间发生事故，现场尽量保留到次日，如工作急需，拍照后将不被保留。</w:t>
      </w:r>
    </w:p>
    <w:p w14:paraId="3DFAFC4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但被保险人为进行施救或减少损失，在保险人代表未赶到现场前或未拍照前破坏了现场，由此产生的后果，不能作为保险人拒赔的理由。被保险人应做好对第一现场拍照或录像的工作。</w:t>
      </w:r>
    </w:p>
    <w:p w14:paraId="778685A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本保险合同所载其他条件不变。</w:t>
      </w:r>
    </w:p>
    <w:p w14:paraId="6F7EAA3B">
      <w:pPr>
        <w:numPr>
          <w:ilvl w:val="0"/>
          <w:numId w:val="19"/>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公共当局扩展条款B</w:t>
      </w:r>
    </w:p>
    <w:p w14:paraId="4A4E45D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了遵循任何法令、规定或任何市政府或当地政府或任何合法的权力机构或政府(无论是中央、省或地方政府)颁布的条例，保险标的在保险责任范围内遭受损失后，所需支付的重置或修理的额外费用；保险人负责赔偿。</w:t>
      </w:r>
    </w:p>
    <w:p w14:paraId="08BBD78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对下列损失、费用，保险人不负责赔偿：</w:t>
      </w:r>
    </w:p>
    <w:p w14:paraId="064FCDC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一、为遵从上述法令、法律或条例而发生的费用；</w:t>
      </w:r>
    </w:p>
    <w:p w14:paraId="134EB88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二、被保险人已接到有关当局关于拆除、重建的通知后发生的损失；</w:t>
      </w:r>
    </w:p>
    <w:p w14:paraId="5932BC8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三、不是为恢复而进行修改的未受损财产的损失；</w:t>
      </w:r>
    </w:p>
    <w:p w14:paraId="5B1E1FD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四、为遵从上述法令、法律或条例而保险标的需要支付的由于资金上涨而引起的任何税项、税款或其他费用。</w:t>
      </w:r>
    </w:p>
    <w:p w14:paraId="08162BC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重新修复的工作必须尽快开始和进行，在不增加保险人责任的情况下可以全部或部分在另一工地进行。</w:t>
      </w:r>
    </w:p>
    <w:p w14:paraId="40023C6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每次及累计赔偿限额:以保险单载明为准。</w:t>
      </w:r>
    </w:p>
    <w:p w14:paraId="7CD570A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本附加险条款与主险条款内容相悖之处，以本附加险条款为准；未尽之处，以主险条款为准。</w:t>
      </w:r>
    </w:p>
    <w:p w14:paraId="0E1671B1">
      <w:pPr>
        <w:numPr>
          <w:ilvl w:val="0"/>
          <w:numId w:val="19"/>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保险双方不得单方中止/终止合同条款</w:t>
      </w:r>
    </w:p>
    <w:p w14:paraId="0C29B7F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在保险有效期内，保险人和投保人中任何一方不得单方中止或终止保单。</w:t>
      </w:r>
    </w:p>
    <w:p w14:paraId="0B8D8BB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本附加险条款与主险条款内容相悖之处，以本附加险条款为准；未尽之处，以主险条款为准</w:t>
      </w:r>
    </w:p>
    <w:p w14:paraId="5B99A6E6">
      <w:pPr>
        <w:numPr>
          <w:ilvl w:val="0"/>
          <w:numId w:val="19"/>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错误和遗漏条款A</w:t>
      </w:r>
    </w:p>
    <w:p w14:paraId="45F9A4E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投保人、被保险人因过失而延迟、错误或遗漏向保险人告知或通知保险标的所占用的场地或价值的变更、保险标的危险程度增加或其他重要事项，被保险人在本保险合同项下的权益不受影响。</w:t>
      </w:r>
    </w:p>
    <w:p w14:paraId="4405D1E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但投保人、被保险人一旦发现其延迟、错误或遗漏，应立即通知保险人上述事项，并支付从风险增加之日起至保险期限届满之日止期间可能的额外保险费，否则保险人不承担保险责任。</w:t>
      </w:r>
    </w:p>
    <w:p w14:paraId="1656D34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本附加险条款与主险条款内容相悖之处，以本附加险条款为准；未尽之处，以主险条款为准。</w:t>
      </w:r>
    </w:p>
    <w:p w14:paraId="757E1E71">
      <w:pPr>
        <w:numPr>
          <w:ilvl w:val="0"/>
          <w:numId w:val="19"/>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违反条件条款</w:t>
      </w:r>
      <w:r>
        <w:rPr>
          <w:rFonts w:hint="eastAsia" w:ascii="宋体" w:hAnsi="宋体" w:eastAsia="宋体" w:cs="宋体"/>
          <w:b/>
          <w:bCs/>
          <w:color w:val="auto"/>
          <w:sz w:val="21"/>
          <w:szCs w:val="21"/>
          <w:highlight w:val="none"/>
        </w:rPr>
        <w:tab/>
      </w:r>
    </w:p>
    <w:p w14:paraId="67466D9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本保险合同的条件和保证将分别适用于每一承保风险，而非共同适用于所有承保风险。因此，对某些条件和保证的违反仅使该违反所适用风险的那一部分保障失效，不影响有关其它风险保障的有效性。</w:t>
      </w:r>
    </w:p>
    <w:p w14:paraId="24A7CE7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本附加险条款与主险条款内容相悖之处，以本附加险条款为准；未尽之处，以主险条款为准</w:t>
      </w:r>
    </w:p>
    <w:p w14:paraId="3A562065">
      <w:pPr>
        <w:numPr>
          <w:ilvl w:val="0"/>
          <w:numId w:val="19"/>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连续损失特别条款</w:t>
      </w:r>
      <w:r>
        <w:rPr>
          <w:rFonts w:hint="eastAsia" w:ascii="宋体" w:hAnsi="宋体" w:eastAsia="宋体" w:cs="宋体"/>
          <w:b/>
          <w:bCs/>
          <w:color w:val="auto"/>
          <w:sz w:val="21"/>
          <w:szCs w:val="21"/>
          <w:highlight w:val="none"/>
        </w:rPr>
        <w:tab/>
      </w:r>
    </w:p>
    <w:p w14:paraId="717A999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兹经双方同意，鉴于投保人已交付了附加的保险费，本保险合同增加以下条款：</w:t>
      </w:r>
    </w:p>
    <w:p w14:paraId="25C7D81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由于设计错误、铸造或原材料缺陷、工艺不善（安装错误除外）等原因中同一原因多次造成相同类型或型号的机器设备的损失或损坏，保险人对每次事故扣除保险合同约定的免赔额后，按下列比例赔偿：</w:t>
      </w:r>
    </w:p>
    <w:p w14:paraId="338D5D5E">
      <w:pPr>
        <w:spacing w:line="360" w:lineRule="auto"/>
        <w:ind w:firstLine="420" w:firstLineChars="200"/>
        <w:rPr>
          <w:rFonts w:hint="eastAsia" w:ascii="宋体" w:hAnsi="宋体" w:eastAsia="宋体" w:cs="宋体"/>
          <w:color w:val="auto"/>
          <w:sz w:val="21"/>
          <w:szCs w:val="21"/>
          <w:highlight w:val="none"/>
        </w:rPr>
      </w:pPr>
      <w:bookmarkStart w:id="58" w:name="_Toc11385_WPSOffice_Level1"/>
      <w:r>
        <w:rPr>
          <w:rFonts w:hint="eastAsia" w:ascii="宋体" w:hAnsi="宋体" w:eastAsia="宋体" w:cs="宋体"/>
          <w:color w:val="auto"/>
          <w:sz w:val="21"/>
          <w:szCs w:val="21"/>
          <w:highlight w:val="none"/>
        </w:rPr>
        <w:t>第一次事故：100%；</w:t>
      </w:r>
      <w:bookmarkEnd w:id="58"/>
    </w:p>
    <w:p w14:paraId="141E6F4F">
      <w:pPr>
        <w:spacing w:line="360" w:lineRule="auto"/>
        <w:ind w:firstLine="420" w:firstLineChars="200"/>
        <w:rPr>
          <w:rFonts w:hint="eastAsia" w:ascii="宋体" w:hAnsi="宋体" w:eastAsia="宋体" w:cs="宋体"/>
          <w:color w:val="auto"/>
          <w:sz w:val="21"/>
          <w:szCs w:val="21"/>
          <w:highlight w:val="none"/>
        </w:rPr>
      </w:pPr>
      <w:bookmarkStart w:id="59" w:name="_Toc25836_WPSOffice_Level1"/>
      <w:r>
        <w:rPr>
          <w:rFonts w:hint="eastAsia" w:ascii="宋体" w:hAnsi="宋体" w:eastAsia="宋体" w:cs="宋体"/>
          <w:color w:val="auto"/>
          <w:sz w:val="21"/>
          <w:szCs w:val="21"/>
          <w:highlight w:val="none"/>
        </w:rPr>
        <w:t>第二次事故：100%；</w:t>
      </w:r>
      <w:bookmarkEnd w:id="59"/>
    </w:p>
    <w:p w14:paraId="276A57C4">
      <w:pPr>
        <w:spacing w:line="360" w:lineRule="auto"/>
        <w:ind w:firstLine="420" w:firstLineChars="200"/>
        <w:rPr>
          <w:rFonts w:hint="eastAsia" w:ascii="宋体" w:hAnsi="宋体" w:eastAsia="宋体" w:cs="宋体"/>
          <w:color w:val="auto"/>
          <w:sz w:val="21"/>
          <w:szCs w:val="21"/>
          <w:highlight w:val="none"/>
        </w:rPr>
      </w:pPr>
      <w:bookmarkStart w:id="60" w:name="_Toc1614_WPSOffice_Level1"/>
      <w:r>
        <w:rPr>
          <w:rFonts w:hint="eastAsia" w:ascii="宋体" w:hAnsi="宋体" w:eastAsia="宋体" w:cs="宋体"/>
          <w:color w:val="auto"/>
          <w:sz w:val="21"/>
          <w:szCs w:val="21"/>
          <w:highlight w:val="none"/>
        </w:rPr>
        <w:t>第三次事故：80%；</w:t>
      </w:r>
      <w:bookmarkEnd w:id="60"/>
    </w:p>
    <w:p w14:paraId="2D52FDE5">
      <w:pPr>
        <w:spacing w:line="360" w:lineRule="auto"/>
        <w:ind w:firstLine="420" w:firstLineChars="200"/>
        <w:rPr>
          <w:rFonts w:hint="eastAsia" w:ascii="宋体" w:hAnsi="宋体" w:eastAsia="宋体" w:cs="宋体"/>
          <w:color w:val="auto"/>
          <w:sz w:val="21"/>
          <w:szCs w:val="21"/>
          <w:highlight w:val="none"/>
        </w:rPr>
      </w:pPr>
      <w:bookmarkStart w:id="61" w:name="_Toc6115_WPSOffice_Level1"/>
      <w:r>
        <w:rPr>
          <w:rFonts w:hint="eastAsia" w:ascii="宋体" w:hAnsi="宋体" w:eastAsia="宋体" w:cs="宋体"/>
          <w:color w:val="auto"/>
          <w:sz w:val="21"/>
          <w:szCs w:val="21"/>
          <w:highlight w:val="none"/>
        </w:rPr>
        <w:t>第四次事故：60%；</w:t>
      </w:r>
      <w:bookmarkEnd w:id="61"/>
    </w:p>
    <w:p w14:paraId="2D8E1ACF">
      <w:pPr>
        <w:spacing w:line="360" w:lineRule="auto"/>
        <w:ind w:firstLine="420" w:firstLineChars="200"/>
        <w:rPr>
          <w:rFonts w:hint="eastAsia" w:ascii="宋体" w:hAnsi="宋体" w:eastAsia="宋体" w:cs="宋体"/>
          <w:color w:val="auto"/>
          <w:sz w:val="21"/>
          <w:szCs w:val="21"/>
          <w:highlight w:val="none"/>
        </w:rPr>
      </w:pPr>
      <w:bookmarkStart w:id="62" w:name="_Toc16423_WPSOffice_Level1"/>
      <w:r>
        <w:rPr>
          <w:rFonts w:hint="eastAsia" w:ascii="宋体" w:hAnsi="宋体" w:eastAsia="宋体" w:cs="宋体"/>
          <w:color w:val="auto"/>
          <w:sz w:val="21"/>
          <w:szCs w:val="21"/>
          <w:highlight w:val="none"/>
        </w:rPr>
        <w:t>第五次事故：50%；</w:t>
      </w:r>
      <w:bookmarkEnd w:id="62"/>
    </w:p>
    <w:p w14:paraId="4F31DAE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以后同类事故不予赔偿</w:t>
      </w:r>
    </w:p>
    <w:p w14:paraId="46BF2CC9">
      <w:pPr>
        <w:numPr>
          <w:ilvl w:val="0"/>
          <w:numId w:val="19"/>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工地安全和火警安全条款</w:t>
      </w:r>
      <w:r>
        <w:rPr>
          <w:rFonts w:hint="eastAsia" w:ascii="宋体" w:hAnsi="宋体" w:eastAsia="宋体" w:cs="宋体"/>
          <w:b/>
          <w:bCs/>
          <w:color w:val="auto"/>
          <w:sz w:val="21"/>
          <w:szCs w:val="21"/>
          <w:highlight w:val="none"/>
        </w:rPr>
        <w:tab/>
      </w:r>
    </w:p>
    <w:p w14:paraId="77AA721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被保险人应采取任何合理的措施来维持项目工地的安全水准和保险人所建议的救火设施，被保险人就保险人对保险财产的防灾防损的合理要求必须遵从。</w:t>
      </w:r>
    </w:p>
    <w:p w14:paraId="0FAE17E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本保险合同所载其他条件不变。</w:t>
      </w:r>
    </w:p>
    <w:p w14:paraId="3FE8F25C">
      <w:pPr>
        <w:numPr>
          <w:ilvl w:val="0"/>
          <w:numId w:val="19"/>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转移至安全地点特别条款</w:t>
      </w:r>
      <w:r>
        <w:rPr>
          <w:rFonts w:hint="eastAsia" w:ascii="宋体" w:hAnsi="宋体" w:eastAsia="宋体" w:cs="宋体"/>
          <w:b/>
          <w:bCs/>
          <w:color w:val="auto"/>
          <w:sz w:val="21"/>
          <w:szCs w:val="21"/>
          <w:highlight w:val="none"/>
        </w:rPr>
        <w:tab/>
      </w:r>
    </w:p>
    <w:p w14:paraId="71E2E4F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兹经双方同意，被保险人为避免可能发生保险事故造成损失而将保险财产临时性转移至邻近的安全地点时的保险财产遭受的损失，保险人负责赔偿。               </w:t>
      </w:r>
    </w:p>
    <w:p w14:paraId="5934412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本保险合同所载其他条件不变</w:t>
      </w:r>
    </w:p>
    <w:p w14:paraId="252872AD">
      <w:pPr>
        <w:numPr>
          <w:ilvl w:val="0"/>
          <w:numId w:val="19"/>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批单效力条款</w:t>
      </w:r>
      <w:r>
        <w:rPr>
          <w:rFonts w:hint="eastAsia" w:ascii="宋体" w:hAnsi="宋体" w:eastAsia="宋体" w:cs="宋体"/>
          <w:b/>
          <w:bCs/>
          <w:color w:val="auto"/>
          <w:sz w:val="21"/>
          <w:szCs w:val="21"/>
          <w:highlight w:val="none"/>
        </w:rPr>
        <w:tab/>
      </w:r>
    </w:p>
    <w:p w14:paraId="07BBC38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根据本条款，上述保险人同意除按法律要求必须遵守的内容外，本保险合同附有的批单将替换保险合同基本条件中的相应内容。保险人在本保险合同项下的责任也以替换后批单所规定的内容条件为准。</w:t>
      </w:r>
    </w:p>
    <w:p w14:paraId="25C8897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双方同意本保险合同中的诸如各种条款/保险合同段落和任何批单的标题仅是为了措辞方便，而非某种限制或影响本保险合同相关部分的规定。</w:t>
      </w:r>
    </w:p>
    <w:p w14:paraId="1D6488B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本保险合同所载其他条件不变。</w:t>
      </w:r>
    </w:p>
    <w:p w14:paraId="6A512A1C">
      <w:pPr>
        <w:numPr>
          <w:ilvl w:val="0"/>
          <w:numId w:val="19"/>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不使失效条款</w:t>
      </w:r>
      <w:r>
        <w:rPr>
          <w:rFonts w:hint="eastAsia" w:ascii="宋体" w:hAnsi="宋体" w:eastAsia="宋体" w:cs="宋体"/>
          <w:b/>
          <w:bCs/>
          <w:color w:val="auto"/>
          <w:sz w:val="21"/>
          <w:szCs w:val="21"/>
          <w:highlight w:val="none"/>
        </w:rPr>
        <w:tab/>
      </w:r>
    </w:p>
    <w:p w14:paraId="1D9DA5A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本保险合同不因下列原因失效：</w:t>
      </w:r>
    </w:p>
    <w:p w14:paraId="3462047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一、被保险人不知情的保险标的的风险增加。但被保险人一经知道应立即通知保险人，并支付可能要求的自风险增加之日起的附加保险费。</w:t>
      </w:r>
    </w:p>
    <w:p w14:paraId="5C960CF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二、工人出于修理、微小变动或一般维修等类似目的在保险单列明场所作业。</w:t>
      </w:r>
    </w:p>
    <w:p w14:paraId="70642EA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本附加险条款与主险条款内容相悖之处，以本附加险条款为准；未尽之处，以主险条款为准。</w:t>
      </w:r>
    </w:p>
    <w:p w14:paraId="23D36170">
      <w:pPr>
        <w:numPr>
          <w:ilvl w:val="0"/>
          <w:numId w:val="19"/>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自动恢复保额特别条款</w:t>
      </w:r>
      <w:r>
        <w:rPr>
          <w:rFonts w:hint="eastAsia" w:ascii="宋体" w:hAnsi="宋体" w:eastAsia="宋体" w:cs="宋体"/>
          <w:b/>
          <w:bCs/>
          <w:color w:val="auto"/>
          <w:sz w:val="21"/>
          <w:szCs w:val="21"/>
          <w:highlight w:val="none"/>
        </w:rPr>
        <w:tab/>
      </w:r>
    </w:p>
    <w:p w14:paraId="1C40B7E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兹经双方同意，在保险人对保险财产的损失予以赔偿后，原保险金额自动恢复。但被保险人应按日比例补交自损失发生之日起至保险终止之日止恢复保险金额部分的保险费。否则，本条款无效。</w:t>
      </w:r>
    </w:p>
    <w:p w14:paraId="7604809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本保险合同所载其他条件不变</w:t>
      </w:r>
    </w:p>
    <w:p w14:paraId="3DFEC795">
      <w:pPr>
        <w:numPr>
          <w:ilvl w:val="0"/>
          <w:numId w:val="19"/>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有限</w:t>
      </w:r>
      <w:r>
        <w:rPr>
          <w:rFonts w:hint="eastAsia" w:ascii="宋体" w:hAnsi="宋体" w:eastAsia="宋体" w:cs="宋体"/>
          <w:b/>
          <w:bCs/>
          <w:color w:val="auto"/>
          <w:sz w:val="21"/>
          <w:szCs w:val="21"/>
          <w:highlight w:val="none"/>
        </w:rPr>
        <w:t>责任保证期</w:t>
      </w:r>
      <w:r>
        <w:rPr>
          <w:rFonts w:hint="eastAsia" w:ascii="宋体" w:hAnsi="宋体" w:eastAsia="宋体" w:cs="宋体"/>
          <w:b/>
          <w:bCs/>
          <w:color w:val="auto"/>
          <w:sz w:val="21"/>
          <w:szCs w:val="21"/>
          <w:highlight w:val="none"/>
          <w:lang w:val="en-US" w:eastAsia="zh-CN"/>
        </w:rPr>
        <w:t>扩展</w:t>
      </w:r>
      <w:r>
        <w:rPr>
          <w:rFonts w:hint="eastAsia" w:ascii="宋体" w:hAnsi="宋体" w:eastAsia="宋体" w:cs="宋体"/>
          <w:b/>
          <w:bCs/>
          <w:color w:val="auto"/>
          <w:sz w:val="21"/>
          <w:szCs w:val="21"/>
          <w:highlight w:val="none"/>
        </w:rPr>
        <w:t>条款</w:t>
      </w:r>
    </w:p>
    <w:p w14:paraId="6C34AC5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兹经双方同意，鉴于被保险人已缴付了附加的保险费，本保险合同扩展承保以下列明的保证期内因被保险的承包人为履行工程合同在进行维修保养的过程中所造成的保险工程的损失。</w:t>
      </w:r>
    </w:p>
    <w:p w14:paraId="4D609BC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本保险合同所载其它条件不变。</w:t>
      </w:r>
    </w:p>
    <w:p w14:paraId="6ABB3B4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本保险合同保证期遵循如下约定：</w:t>
      </w:r>
    </w:p>
    <w:p w14:paraId="0E672A5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期的保险期间与工程合同中规定的保证期一致，从工程所有人对部分或全部工程签发完工验收证书或验收合格，或工程所有人实际占有或使用或接收该部分或全部工程时起算，以先发生者为准。但在任何情况下，保证期的保险期限不得超出本保险单明细表中列明的保证期。</w:t>
      </w:r>
    </w:p>
    <w:p w14:paraId="6F863BB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保证期限：</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个月</w:t>
      </w:r>
    </w:p>
    <w:p w14:paraId="231090D5">
      <w:pPr>
        <w:numPr>
          <w:ilvl w:val="0"/>
          <w:numId w:val="19"/>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保证期特别扩展条款</w:t>
      </w:r>
    </w:p>
    <w:p w14:paraId="27AF65D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兹经双方同意，本保险合同特别扩展承保以下列明的保证期限内由于安装错误、设计错误、原材料或铸件缺陷以及工艺不善引起被保险财产的损失，但对被保险人在损失发生前即已发现错误并应予以矫正的费用除外。</w:t>
      </w:r>
    </w:p>
    <w:p w14:paraId="53765A3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本特别扩展条款既不承保直接或间接由于火灾、爆炸以及任何人力不可抗拒的自然灾害造成的损失，也不承保任何第三者责任。</w:t>
      </w:r>
    </w:p>
    <w:p w14:paraId="6D970EB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本保险合同保证期遵循如下约定：</w:t>
      </w:r>
    </w:p>
    <w:p w14:paraId="2792049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期的保险期限与工程合同中规定的保证期一致，从工程所有人对部分或全部工程签发完工验收证书或验收合格，或工程所有人实际占有或使用或接收该部分或全部工程时起算，以先发生者为准。但在任何情况下，保证期的保险期限不得超出本保险单明细表中列明的保证期。</w:t>
      </w:r>
    </w:p>
    <w:p w14:paraId="77A39F9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本保险合同所载其它条件不变。</w:t>
      </w:r>
    </w:p>
    <w:p w14:paraId="0D8111A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个月</w:t>
      </w:r>
    </w:p>
    <w:p w14:paraId="5D443A6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每次事故免赔额：损失金额的10%。</w:t>
      </w:r>
    </w:p>
    <w:p w14:paraId="32FDD089">
      <w:pPr>
        <w:numPr>
          <w:ilvl w:val="0"/>
          <w:numId w:val="19"/>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预防措施条款 (每次事故赔偿限额：200万元)</w:t>
      </w:r>
    </w:p>
    <w:p w14:paraId="6210866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兹经双方同意，如果保险财产发生了实际损失或即将发生损失，保险人将负责支付为了 防止、降低或减少本可在本保险合同项下获得赔偿的此类损失而产生的必要的合理的费用。</w:t>
      </w:r>
    </w:p>
    <w:p w14:paraId="0CAE9C5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本保险合同所载其它条件不变。</w:t>
      </w:r>
    </w:p>
    <w:p w14:paraId="65C1CE66">
      <w:pPr>
        <w:numPr>
          <w:ilvl w:val="0"/>
          <w:numId w:val="19"/>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地质灾害特别条款</w:t>
      </w:r>
    </w:p>
    <w:p w14:paraId="4345DDF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兹经保险双方同意，本条款明确，保险人负责赔偿本保险单明细表中列明的被保险</w:t>
      </w:r>
    </w:p>
    <w:p w14:paraId="23FDF6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工程因地崩、山崩、滑坡、隧道坍塌、涌水等人力不可抗拒的地质性灾害造成的保险财产的 损失。本保险单所载其他条件不变。</w:t>
      </w:r>
    </w:p>
    <w:p w14:paraId="1C7F87B7">
      <w:pPr>
        <w:numPr>
          <w:ilvl w:val="0"/>
          <w:numId w:val="19"/>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水工风险特别条款A</w:t>
      </w:r>
    </w:p>
    <w:p w14:paraId="04306D4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一、定义：正常海洋运动是指不超过蒲福标准8级或8级的风力引起的水流运动,或根据统计数据不超过20年一遇的潮汐、洋流或波浪。</w:t>
      </w:r>
    </w:p>
    <w:p w14:paraId="5173E4A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二、被保险人应：1、在保险期间内每天从当地气象部门接受天气信息且与当地气象部门保持联系以确认在12小时发现即将来临的风暴；2、确保工地现场距离公共航行通道最少200米。</w:t>
      </w:r>
    </w:p>
    <w:p w14:paraId="6DE4655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三、除外责任</w:t>
      </w:r>
    </w:p>
    <w:p w14:paraId="3BDCC48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对下列损失和费用，保险人不负责赔偿:</w:t>
      </w:r>
    </w:p>
    <w:p w14:paraId="22D974C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（一）因船坞、飞轮、码头等类似物体的下沉或下陷的造成的损失；</w:t>
      </w:r>
    </w:p>
    <w:p w14:paraId="281374B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（二）江河/海洋的正常活动造成的损失；</w:t>
      </w:r>
    </w:p>
    <w:p w14:paraId="7C18D71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（三）超过50米的未完工的、无防护的防浪堤、海堤、码头及其他水工建筑物的损失；</w:t>
      </w:r>
    </w:p>
    <w:p w14:paraId="35C96B4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（四）由于土地侵蚀造成的损失和责任；</w:t>
      </w:r>
    </w:p>
    <w:p w14:paraId="274F1CB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（五）挖泥和回填造成的损失；</w:t>
      </w:r>
    </w:p>
    <w:p w14:paraId="65F031B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（六）填充物的损失；</w:t>
      </w:r>
    </w:p>
    <w:p w14:paraId="463631D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（七）由于下列原因引起的桩基或挡土墙的修复及矫正费用：（1）施工过程中发生错位、移动或挤压；（2）在打桩或开挖过程中丢失、抛弃；（3）因打桩设备或铸件受损而导致的桩基或挡土墙的损失；</w:t>
      </w:r>
    </w:p>
    <w:p w14:paraId="6B6B906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（八）分离的打桩板的矫正费用；</w:t>
      </w:r>
    </w:p>
    <w:p w14:paraId="564E226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（九）原材料的渗漏或渗透引起的矫正费用；</w:t>
      </w:r>
    </w:p>
    <w:p w14:paraId="2B6A828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（十）由于桩基未通过承载力测试或者未达到设计的承载能力标准而引起的费用；</w:t>
      </w:r>
    </w:p>
    <w:p w14:paraId="7359E2C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（十一）恢复外形或者尺寸的费用；</w:t>
      </w:r>
    </w:p>
    <w:p w14:paraId="51ECE0E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（十二）沉箱、驳船等设备的漂浮及其引起的第三者损失；</w:t>
      </w:r>
    </w:p>
    <w:p w14:paraId="43113F2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（十三）由于使用及复位离岸的备用设备产生的费用和成本；</w:t>
      </w:r>
    </w:p>
    <w:p w14:paraId="7506EE2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（十四）牵引线、锚、链和浮标, 浮筒的损失；</w:t>
      </w:r>
    </w:p>
    <w:p w14:paraId="6D31D70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（十五）船舶碰撞引起的损失；</w:t>
      </w:r>
    </w:p>
    <w:p w14:paraId="61BA2A0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（十六）水险损失。</w:t>
      </w:r>
    </w:p>
    <w:p w14:paraId="3E68F2F3">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本附加险条款与主险条款内容相悖之处，以本附加险条款为准；未尽之处，以主险条款为准。</w:t>
      </w:r>
    </w:p>
    <w:p w14:paraId="37288B1E">
      <w:pPr>
        <w:pStyle w:val="48"/>
        <w:jc w:val="both"/>
        <w:rPr>
          <w:rFonts w:ascii="宋体" w:hAnsi="宋体" w:eastAsia="宋体" w:cs="宋体"/>
          <w:b/>
          <w:bCs/>
          <w:color w:val="auto"/>
          <w:sz w:val="24"/>
          <w:szCs w:val="24"/>
          <w:highlight w:val="none"/>
        </w:rPr>
      </w:pPr>
      <w:bookmarkStart w:id="63" w:name="_Toc13763_WPSOffice_Level1"/>
      <w:r>
        <w:rPr>
          <w:rFonts w:hint="eastAsia" w:eastAsia="宋体" w:cs="仿宋_GB2312"/>
          <w:b/>
          <w:color w:val="auto"/>
          <w:sz w:val="24"/>
          <w:szCs w:val="24"/>
          <w:highlight w:val="none"/>
          <w:lang w:val="en-US" w:eastAsia="zh-CN"/>
        </w:rPr>
        <w:t>（二）</w:t>
      </w:r>
      <w:r>
        <w:rPr>
          <w:rFonts w:hint="eastAsia" w:ascii="宋体" w:hAnsi="宋体" w:eastAsia="宋体" w:cs="宋体"/>
          <w:b/>
          <w:bCs/>
          <w:color w:val="auto"/>
          <w:sz w:val="24"/>
          <w:szCs w:val="24"/>
          <w:highlight w:val="none"/>
        </w:rPr>
        <w:t>安全生产责任险保险条款扩展条款</w:t>
      </w:r>
      <w:bookmarkEnd w:id="63"/>
    </w:p>
    <w:p w14:paraId="5FB13489">
      <w:pPr>
        <w:snapToGrid w:val="0"/>
        <w:spacing w:before="312" w:beforeLines="100" w:after="156" w:afterLines="50" w:line="460" w:lineRule="exact"/>
        <w:jc w:val="both"/>
        <w:rPr>
          <w:rFonts w:ascii="黑体" w:hAnsi="黑体" w:eastAsia="黑体" w:cs="Times New Roman"/>
          <w:b/>
          <w:bCs w:val="0"/>
          <w:color w:val="auto"/>
          <w:sz w:val="24"/>
          <w:szCs w:val="24"/>
          <w:highlight w:val="none"/>
        </w:rPr>
      </w:pPr>
      <w:bookmarkStart w:id="64" w:name="_Toc12801_WPSOffice_Level1"/>
      <w:r>
        <w:rPr>
          <w:rFonts w:hint="eastAsia" w:ascii="黑体" w:hAnsi="黑体" w:eastAsia="黑体" w:cs="Times New Roman"/>
          <w:b/>
          <w:bCs w:val="0"/>
          <w:color w:val="auto"/>
          <w:sz w:val="24"/>
          <w:szCs w:val="24"/>
          <w:highlight w:val="none"/>
          <w:lang w:val="en-US" w:eastAsia="zh-CN"/>
        </w:rPr>
        <w:t>1</w:t>
      </w:r>
      <w:r>
        <w:rPr>
          <w:rFonts w:hint="eastAsia" w:ascii="黑体" w:hAnsi="黑体" w:eastAsia="黑体" w:cs="Times New Roman"/>
          <w:b/>
          <w:bCs w:val="0"/>
          <w:color w:val="auto"/>
          <w:sz w:val="24"/>
          <w:szCs w:val="24"/>
          <w:highlight w:val="none"/>
        </w:rPr>
        <w:t>、安全生产责任保险附加雇主责任扩展保险条款</w:t>
      </w:r>
      <w:bookmarkEnd w:id="64"/>
    </w:p>
    <w:p w14:paraId="52138961">
      <w:pPr>
        <w:snapToGrid w:val="0"/>
        <w:spacing w:after="156" w:afterLines="50" w:line="460" w:lineRule="exact"/>
        <w:ind w:firstLine="440" w:firstLineChars="200"/>
        <w:rPr>
          <w:rFonts w:ascii="宋体" w:hAnsi="宋体" w:eastAsia="宋体" w:cs="Times New Roman"/>
          <w:color w:val="auto"/>
          <w:sz w:val="22"/>
          <w:highlight w:val="none"/>
        </w:rPr>
      </w:pPr>
      <w:r>
        <w:rPr>
          <w:rFonts w:hint="eastAsia" w:ascii="宋体" w:hAnsi="宋体" w:eastAsia="宋体" w:cs="Times New Roman"/>
          <w:color w:val="auto"/>
          <w:sz w:val="22"/>
          <w:highlight w:val="none"/>
        </w:rPr>
        <w:t>兹经投保人与保险人双方同意，本附加险扩展承保在保险期间内，被保险人的工作人员因下列原因导致人身伤亡，依照中华人民共和国法律（不包括香港、澳门特别行政区和台湾地区法律）应由被保险人承担的经济赔偿责任，保险人按照主险及本附加险合同的约定负责赔偿:</w:t>
      </w:r>
    </w:p>
    <w:p w14:paraId="06DEEA35">
      <w:pPr>
        <w:numPr>
          <w:ilvl w:val="0"/>
          <w:numId w:val="20"/>
        </w:numPr>
        <w:tabs>
          <w:tab w:val="left" w:pos="1134"/>
        </w:tabs>
        <w:snapToGrid w:val="0"/>
        <w:spacing w:after="156" w:afterLines="50" w:line="460" w:lineRule="exact"/>
        <w:rPr>
          <w:rFonts w:ascii="宋体" w:hAnsi="宋体" w:eastAsia="宋体" w:cs="Times New Roman"/>
          <w:color w:val="auto"/>
          <w:sz w:val="22"/>
          <w:highlight w:val="none"/>
        </w:rPr>
      </w:pPr>
      <w:r>
        <w:rPr>
          <w:rFonts w:hint="eastAsia" w:ascii="宋体" w:hAnsi="宋体" w:eastAsia="宋体" w:cs="Times New Roman"/>
          <w:color w:val="auto"/>
          <w:sz w:val="22"/>
          <w:highlight w:val="none"/>
        </w:rPr>
        <w:t>在工作时间及工作场所内，因工作原因受到安全生产事故以外的其他意外伤害；</w:t>
      </w:r>
    </w:p>
    <w:p w14:paraId="44C03C2D">
      <w:pPr>
        <w:numPr>
          <w:ilvl w:val="0"/>
          <w:numId w:val="20"/>
        </w:numPr>
        <w:tabs>
          <w:tab w:val="left" w:pos="1134"/>
        </w:tabs>
        <w:snapToGrid w:val="0"/>
        <w:spacing w:after="156" w:afterLines="50" w:line="460" w:lineRule="exact"/>
        <w:rPr>
          <w:rFonts w:ascii="宋体" w:hAnsi="宋体" w:eastAsia="宋体" w:cs="Times New Roman"/>
          <w:color w:val="auto"/>
          <w:sz w:val="22"/>
          <w:highlight w:val="none"/>
        </w:rPr>
      </w:pPr>
      <w:r>
        <w:rPr>
          <w:rFonts w:hint="eastAsia" w:ascii="宋体" w:hAnsi="宋体" w:eastAsia="宋体" w:cs="Times New Roman"/>
          <w:color w:val="auto"/>
          <w:sz w:val="22"/>
          <w:highlight w:val="none"/>
        </w:rPr>
        <w:t>在工作时间前后，在工作场所内，从事与履行其工作职责有关的预备性或者收尾性工作受到安全生产事故以外的其他意外伤害。</w:t>
      </w:r>
    </w:p>
    <w:p w14:paraId="46BD76F9">
      <w:pPr>
        <w:snapToGrid w:val="0"/>
        <w:spacing w:after="156" w:afterLines="50" w:line="460" w:lineRule="exact"/>
        <w:ind w:firstLine="440" w:firstLineChars="200"/>
        <w:rPr>
          <w:rFonts w:ascii="宋体" w:hAnsi="宋体" w:eastAsia="宋体" w:cs="Times New Roman"/>
          <w:b w:val="0"/>
          <w:bCs/>
          <w:color w:val="auto"/>
          <w:sz w:val="22"/>
          <w:highlight w:val="none"/>
        </w:rPr>
      </w:pPr>
      <w:r>
        <w:rPr>
          <w:rFonts w:hint="eastAsia" w:ascii="宋体" w:hAnsi="宋体" w:eastAsia="宋体" w:cs="Times New Roman"/>
          <w:b w:val="0"/>
          <w:bCs/>
          <w:color w:val="auto"/>
          <w:sz w:val="22"/>
          <w:highlight w:val="none"/>
        </w:rPr>
        <w:t>主险中责任免除事项未纳入本附加险保险责任的，同样适用于本附加险。</w:t>
      </w:r>
    </w:p>
    <w:p w14:paraId="1C7F8C6C">
      <w:pPr>
        <w:spacing w:after="156" w:afterLines="50" w:line="460" w:lineRule="exact"/>
        <w:ind w:firstLine="440" w:firstLineChars="200"/>
        <w:rPr>
          <w:rFonts w:ascii="Calibri" w:hAnsi="Calibri" w:eastAsia="宋体" w:cs="Times New Roman"/>
          <w:b/>
          <w:color w:val="auto"/>
          <w:sz w:val="22"/>
          <w:highlight w:val="none"/>
        </w:rPr>
      </w:pPr>
      <w:r>
        <w:rPr>
          <w:rFonts w:hint="eastAsia" w:ascii="宋体" w:hAnsi="宋体" w:eastAsia="宋体" w:cs="Times New Roman"/>
          <w:b w:val="0"/>
          <w:bCs/>
          <w:color w:val="auto"/>
          <w:sz w:val="22"/>
          <w:highlight w:val="none"/>
        </w:rPr>
        <w:t>本附加险与主险相抵触之处，以本附加险为准；本附加险未尽之处，以主险为准。</w:t>
      </w:r>
      <w:r>
        <w:rPr>
          <w:rFonts w:hint="eastAsia" w:ascii="Calibri" w:hAnsi="Calibri" w:eastAsia="宋体" w:cs="Times New Roman"/>
          <w:b w:val="0"/>
          <w:bCs/>
          <w:color w:val="auto"/>
          <w:sz w:val="22"/>
          <w:highlight w:val="none"/>
        </w:rPr>
        <w:t>主险合同效力终止，本附加险合同效力即行终止。</w:t>
      </w:r>
    </w:p>
    <w:p w14:paraId="404D963B">
      <w:pPr>
        <w:snapToGrid w:val="0"/>
        <w:spacing w:before="312" w:beforeLines="100" w:after="156" w:afterLines="50" w:line="460" w:lineRule="exact"/>
        <w:jc w:val="both"/>
        <w:rPr>
          <w:rFonts w:ascii="黑体" w:hAnsi="黑体" w:eastAsia="黑体" w:cs="Times New Roman"/>
          <w:b/>
          <w:bCs w:val="0"/>
          <w:color w:val="auto"/>
          <w:sz w:val="24"/>
          <w:szCs w:val="24"/>
          <w:highlight w:val="none"/>
        </w:rPr>
      </w:pPr>
      <w:bookmarkStart w:id="65" w:name="_Toc27336_WPSOffice_Level1"/>
      <w:r>
        <w:rPr>
          <w:rFonts w:hint="eastAsia" w:ascii="黑体" w:hAnsi="黑体" w:eastAsia="黑体" w:cs="Times New Roman"/>
          <w:b/>
          <w:bCs w:val="0"/>
          <w:color w:val="auto"/>
          <w:sz w:val="24"/>
          <w:szCs w:val="24"/>
          <w:highlight w:val="none"/>
          <w:lang w:val="en-US" w:eastAsia="zh-CN"/>
        </w:rPr>
        <w:t>2</w:t>
      </w:r>
      <w:r>
        <w:rPr>
          <w:rFonts w:hint="eastAsia" w:ascii="黑体" w:hAnsi="黑体" w:eastAsia="黑体" w:cs="Times New Roman"/>
          <w:b/>
          <w:bCs w:val="0"/>
          <w:color w:val="auto"/>
          <w:sz w:val="24"/>
          <w:szCs w:val="24"/>
          <w:highlight w:val="none"/>
        </w:rPr>
        <w:t>、安全生产责任保险附加就餐时间扩展条款</w:t>
      </w:r>
      <w:bookmarkEnd w:id="65"/>
    </w:p>
    <w:p w14:paraId="2301FB98">
      <w:pPr>
        <w:snapToGrid w:val="0"/>
        <w:spacing w:after="156" w:afterLines="50" w:line="460" w:lineRule="exact"/>
        <w:ind w:firstLine="440" w:firstLineChars="200"/>
        <w:rPr>
          <w:rFonts w:ascii="宋体" w:hAnsi="宋体" w:eastAsia="宋体" w:cs="Times New Roman"/>
          <w:color w:val="auto"/>
          <w:sz w:val="22"/>
          <w:highlight w:val="none"/>
        </w:rPr>
      </w:pPr>
      <w:r>
        <w:rPr>
          <w:rFonts w:hint="eastAsia" w:ascii="宋体" w:hAnsi="宋体" w:eastAsia="宋体" w:cs="Times New Roman"/>
          <w:color w:val="auto"/>
          <w:sz w:val="22"/>
          <w:highlight w:val="none"/>
        </w:rPr>
        <w:t>兹经投保人与保险人双方同意，本附加险扩展承保被保险人的工作人员在保险单列明的地点范围内就餐过程中因意外导致人身伤亡，依照中华人民共和国法律（不包括香港、澳门特别行政区和台湾地区法律）应由被保险人承担的经济赔偿责任，保险人按照主险及本附加险合同的约定负责赔偿。</w:t>
      </w:r>
    </w:p>
    <w:p w14:paraId="5D8DEE8C">
      <w:pPr>
        <w:snapToGrid w:val="0"/>
        <w:spacing w:after="156" w:afterLines="50" w:line="460" w:lineRule="exact"/>
        <w:ind w:firstLine="440" w:firstLineChars="200"/>
        <w:rPr>
          <w:rFonts w:ascii="宋体" w:hAnsi="宋体" w:eastAsia="宋体" w:cs="Times New Roman"/>
          <w:b w:val="0"/>
          <w:bCs/>
          <w:color w:val="auto"/>
          <w:sz w:val="22"/>
          <w:highlight w:val="none"/>
        </w:rPr>
      </w:pPr>
      <w:r>
        <w:rPr>
          <w:rFonts w:hint="eastAsia" w:ascii="宋体" w:hAnsi="宋体" w:eastAsia="宋体" w:cs="Times New Roman"/>
          <w:b w:val="0"/>
          <w:bCs/>
          <w:color w:val="auto"/>
          <w:sz w:val="22"/>
          <w:highlight w:val="none"/>
        </w:rPr>
        <w:t>主险中责任免除事项未纳入本附加险保险责任的，同样适用于本附加险。</w:t>
      </w:r>
    </w:p>
    <w:p w14:paraId="606A77EC">
      <w:pPr>
        <w:snapToGrid w:val="0"/>
        <w:spacing w:after="156" w:afterLines="50" w:line="460" w:lineRule="exact"/>
        <w:ind w:firstLine="440" w:firstLineChars="200"/>
        <w:rPr>
          <w:rFonts w:ascii="宋体" w:hAnsi="宋体" w:eastAsia="宋体" w:cs="宋体"/>
          <w:b/>
          <w:color w:val="auto"/>
          <w:sz w:val="22"/>
          <w:highlight w:val="none"/>
        </w:rPr>
      </w:pPr>
      <w:r>
        <w:rPr>
          <w:rFonts w:hint="eastAsia" w:ascii="宋体" w:hAnsi="宋体" w:eastAsia="宋体" w:cs="Times New Roman"/>
          <w:color w:val="auto"/>
          <w:sz w:val="22"/>
          <w:highlight w:val="none"/>
        </w:rPr>
        <w:t>本附加险与主险相抵触之处，以本附加险为准；本附加险未尽之处，以主险为准。</w:t>
      </w:r>
      <w:r>
        <w:rPr>
          <w:rFonts w:hint="eastAsia" w:ascii="Calibri" w:hAnsi="Calibri" w:eastAsia="宋体" w:cs="Times New Roman"/>
          <w:color w:val="auto"/>
          <w:sz w:val="22"/>
          <w:highlight w:val="none"/>
        </w:rPr>
        <w:t>主险合同效力终止，本附加险合同效力即行终止。</w:t>
      </w:r>
    </w:p>
    <w:p w14:paraId="773AEC65">
      <w:pPr>
        <w:snapToGrid w:val="0"/>
        <w:spacing w:before="312" w:beforeLines="100" w:after="156" w:afterLines="50" w:line="460" w:lineRule="exact"/>
        <w:jc w:val="both"/>
        <w:rPr>
          <w:rFonts w:ascii="黑体" w:hAnsi="黑体" w:eastAsia="黑体" w:cs="Times New Roman"/>
          <w:bCs/>
          <w:color w:val="auto"/>
          <w:sz w:val="24"/>
          <w:szCs w:val="24"/>
          <w:highlight w:val="none"/>
        </w:rPr>
      </w:pPr>
      <w:bookmarkStart w:id="66" w:name="_Toc4393_WPSOffice_Level1"/>
      <w:r>
        <w:rPr>
          <w:rFonts w:hint="eastAsia" w:ascii="黑体" w:hAnsi="黑体" w:eastAsia="黑体" w:cs="Times New Roman"/>
          <w:bCs/>
          <w:color w:val="auto"/>
          <w:sz w:val="24"/>
          <w:szCs w:val="24"/>
          <w:highlight w:val="none"/>
          <w:lang w:val="en-US" w:eastAsia="zh-CN"/>
        </w:rPr>
        <w:t>3</w:t>
      </w:r>
      <w:r>
        <w:rPr>
          <w:rFonts w:hint="eastAsia" w:ascii="黑体" w:hAnsi="黑体" w:eastAsia="黑体" w:cs="Times New Roman"/>
          <w:b/>
          <w:bCs w:val="0"/>
          <w:color w:val="auto"/>
          <w:sz w:val="24"/>
          <w:szCs w:val="24"/>
          <w:highlight w:val="none"/>
        </w:rPr>
        <w:t>、</w:t>
      </w:r>
      <w:r>
        <w:rPr>
          <w:b/>
          <w:bCs w:val="0"/>
          <w:color w:val="auto"/>
          <w:highlight w:val="none"/>
        </w:rPr>
        <w:fldChar w:fldCharType="begin"/>
      </w:r>
      <w:r>
        <w:rPr>
          <w:b/>
          <w:bCs w:val="0"/>
          <w:color w:val="auto"/>
          <w:highlight w:val="none"/>
        </w:rPr>
        <w:instrText xml:space="preserve"> HYPERLINK "http://app.cc</w:instrText>
      </w:r>
      <w:bookmarkEnd w:id="66"/>
      <w:r>
        <w:rPr>
          <w:b/>
          <w:bCs w:val="0"/>
          <w:color w:val="auto"/>
          <w:highlight w:val="none"/>
        </w:rPr>
        <w:instrText xml:space="preserve">ic-net.com.cn:27347/ccicpms/a/ccic/product/view?productId=IC20180524000132&amp;flowId=&amp;inside=NO" </w:instrText>
      </w:r>
      <w:r>
        <w:rPr>
          <w:b/>
          <w:bCs w:val="0"/>
          <w:color w:val="auto"/>
          <w:highlight w:val="none"/>
        </w:rPr>
        <w:fldChar w:fldCharType="separate"/>
      </w:r>
      <w:r>
        <w:rPr>
          <w:rFonts w:hint="eastAsia" w:ascii="黑体" w:hAnsi="黑体" w:eastAsia="黑体" w:cs="Times New Roman"/>
          <w:b/>
          <w:bCs w:val="0"/>
          <w:color w:val="auto"/>
          <w:sz w:val="24"/>
          <w:szCs w:val="24"/>
          <w:highlight w:val="none"/>
        </w:rPr>
        <w:t>安全生产责任保险</w:t>
      </w:r>
      <w:r>
        <w:rPr>
          <w:rFonts w:hint="eastAsia" w:ascii="黑体" w:hAnsi="黑体" w:eastAsia="黑体" w:cs="Times New Roman"/>
          <w:b/>
          <w:bCs w:val="0"/>
          <w:color w:val="auto"/>
          <w:sz w:val="24"/>
          <w:szCs w:val="24"/>
          <w:highlight w:val="none"/>
        </w:rPr>
        <w:fldChar w:fldCharType="end"/>
      </w:r>
      <w:r>
        <w:rPr>
          <w:rFonts w:hint="eastAsia" w:ascii="黑体" w:hAnsi="黑体" w:eastAsia="黑体" w:cs="Times New Roman"/>
          <w:b/>
          <w:bCs w:val="0"/>
          <w:color w:val="auto"/>
          <w:sz w:val="24"/>
          <w:szCs w:val="24"/>
          <w:highlight w:val="none"/>
        </w:rPr>
        <w:t>附加生产安全事故证明补充约定保险条款</w:t>
      </w:r>
    </w:p>
    <w:p w14:paraId="0D328198">
      <w:pPr>
        <w:snapToGrid w:val="0"/>
        <w:spacing w:after="156" w:afterLines="50" w:line="460" w:lineRule="exact"/>
        <w:ind w:firstLine="440" w:firstLineChars="200"/>
        <w:rPr>
          <w:rFonts w:ascii="宋体" w:hAnsi="宋体" w:eastAsia="宋体" w:cs="Times New Roman"/>
          <w:color w:val="auto"/>
          <w:sz w:val="22"/>
          <w:highlight w:val="none"/>
        </w:rPr>
      </w:pPr>
      <w:r>
        <w:rPr>
          <w:rFonts w:hint="eastAsia" w:ascii="宋体" w:hAnsi="宋体" w:eastAsia="宋体" w:cs="Times New Roman"/>
          <w:color w:val="auto"/>
          <w:sz w:val="22"/>
          <w:highlight w:val="none"/>
        </w:rPr>
        <w:t>兹明确，在保险期间内，发生主险保险合同约定的生产安全事故后，被保险人虽然未能提供安全生产监督管理部门出具的事故证明材料，但提供了保险人认可的、可以证明其发生了生产安全事故的其他事故证明材料的，保险人同意按照主险保险合同的约定负责赔偿。</w:t>
      </w:r>
    </w:p>
    <w:p w14:paraId="78AAAC4C">
      <w:pPr>
        <w:rPr>
          <w:color w:val="auto"/>
          <w:highlight w:val="none"/>
        </w:rPr>
      </w:pPr>
    </w:p>
    <w:p w14:paraId="13EB97B8">
      <w:pPr>
        <w:pStyle w:val="51"/>
        <w:shd w:val="clear" w:color="auto" w:fill="auto"/>
        <w:rPr>
          <w:color w:val="auto"/>
          <w:highlight w:val="none"/>
        </w:rPr>
      </w:pPr>
    </w:p>
    <w:p w14:paraId="6EA4423F">
      <w:pPr>
        <w:shd w:val="clear" w:color="auto" w:fill="auto"/>
        <w:rPr>
          <w:rFonts w:hint="eastAsia"/>
          <w:color w:val="auto"/>
          <w:highlight w:val="none"/>
        </w:rPr>
      </w:pPr>
    </w:p>
    <w:p w14:paraId="61E4DA17">
      <w:pPr>
        <w:shd w:val="clear" w:color="auto" w:fill="auto"/>
        <w:rPr>
          <w:rFonts w:hint="eastAsia"/>
          <w:color w:val="auto"/>
          <w:highlight w:val="none"/>
        </w:rPr>
      </w:pPr>
    </w:p>
    <w:p w14:paraId="7029D7B7">
      <w:pPr>
        <w:shd w:val="clear" w:color="auto" w:fill="auto"/>
        <w:rPr>
          <w:rFonts w:hint="eastAsia"/>
          <w:color w:val="auto"/>
          <w:highlight w:val="none"/>
        </w:rPr>
      </w:pPr>
    </w:p>
    <w:p w14:paraId="00A02E05">
      <w:pPr>
        <w:shd w:val="clear" w:color="auto" w:fill="auto"/>
        <w:rPr>
          <w:rFonts w:hint="eastAsia"/>
          <w:color w:val="auto"/>
          <w:highlight w:val="none"/>
        </w:rPr>
      </w:pPr>
    </w:p>
    <w:p w14:paraId="25A3D68C">
      <w:pPr>
        <w:shd w:val="clear" w:color="auto" w:fill="auto"/>
        <w:rPr>
          <w:rFonts w:hint="eastAsia"/>
          <w:color w:val="auto"/>
          <w:highlight w:val="none"/>
        </w:rPr>
      </w:pPr>
      <w:r>
        <w:rPr>
          <w:rFonts w:hint="eastAsia"/>
          <w:color w:val="auto"/>
          <w:highlight w:val="none"/>
        </w:rPr>
        <w:br w:type="page"/>
      </w:r>
    </w:p>
    <w:p w14:paraId="3941B61E">
      <w:pPr>
        <w:shd w:val="clear" w:color="auto" w:fill="auto"/>
        <w:rPr>
          <w:rFonts w:hint="eastAsia"/>
          <w:color w:val="auto"/>
          <w:highlight w:val="none"/>
        </w:rPr>
      </w:pPr>
    </w:p>
    <w:p w14:paraId="632F2DF5">
      <w:pPr>
        <w:spacing w:line="360" w:lineRule="auto"/>
        <w:jc w:val="center"/>
        <w:rPr>
          <w:rFonts w:hint="eastAsia" w:ascii="宋体"/>
          <w:b/>
          <w:color w:val="auto"/>
          <w:sz w:val="36"/>
          <w:szCs w:val="36"/>
          <w:highlight w:val="none"/>
        </w:rPr>
      </w:pPr>
      <w:bookmarkStart w:id="67" w:name="_Toc17045_WPSOffice_Level1"/>
      <w:r>
        <w:rPr>
          <w:rFonts w:hint="eastAsia" w:ascii="宋体"/>
          <w:b/>
          <w:color w:val="auto"/>
          <w:sz w:val="36"/>
          <w:szCs w:val="36"/>
          <w:highlight w:val="none"/>
        </w:rPr>
        <w:t>第六章 投标文件格式</w:t>
      </w:r>
      <w:bookmarkEnd w:id="67"/>
    </w:p>
    <w:p w14:paraId="0670CE3D">
      <w:pPr>
        <w:spacing w:line="360" w:lineRule="auto"/>
        <w:ind w:right="532"/>
        <w:rPr>
          <w:rFonts w:hint="eastAsia" w:ascii="仿宋_GB2312" w:eastAsia="仿宋_GB2312"/>
          <w:b/>
          <w:color w:val="auto"/>
          <w:sz w:val="36"/>
          <w:szCs w:val="36"/>
          <w:highlight w:val="none"/>
        </w:rPr>
      </w:pPr>
    </w:p>
    <w:p w14:paraId="46B9F1A0">
      <w:pPr>
        <w:spacing w:line="360" w:lineRule="auto"/>
        <w:jc w:val="both"/>
        <w:rPr>
          <w:rFonts w:hint="eastAsia" w:ascii="宋体" w:cs="宋体"/>
          <w:b/>
          <w:color w:val="auto"/>
          <w:sz w:val="30"/>
          <w:szCs w:val="30"/>
          <w:highlight w:val="none"/>
        </w:rPr>
      </w:pPr>
    </w:p>
    <w:p w14:paraId="05DC429D">
      <w:pPr>
        <w:spacing w:line="360" w:lineRule="auto"/>
        <w:rPr>
          <w:rFonts w:hint="eastAsia" w:ascii="宋体" w:hAnsi="宋体" w:cs="宋体"/>
          <w:b/>
          <w:color w:val="auto"/>
          <w:sz w:val="44"/>
          <w:highlight w:val="none"/>
        </w:rPr>
      </w:pPr>
      <w:r>
        <w:rPr>
          <w:rFonts w:hint="eastAsia" w:ascii="宋体" w:cs="宋体"/>
          <w:b/>
          <w:color w:val="auto"/>
          <w:sz w:val="36"/>
          <w:szCs w:val="36"/>
          <w:highlight w:val="none"/>
        </w:rPr>
        <w:br w:type="page"/>
      </w:r>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1</w:t>
      </w:r>
    </w:p>
    <w:p w14:paraId="269DBEB2">
      <w:pPr>
        <w:pStyle w:val="17"/>
        <w:spacing w:line="360" w:lineRule="auto"/>
        <w:ind w:left="0" w:leftChars="0" w:firstLine="0" w:firstLineChars="0"/>
        <w:jc w:val="center"/>
        <w:rPr>
          <w:rFonts w:hint="eastAsia" w:ascii="宋体" w:hAnsi="宋体" w:eastAsia="宋体" w:cs="宋体"/>
          <w:b/>
          <w:bCs/>
          <w:color w:val="auto"/>
          <w:szCs w:val="32"/>
          <w:highlight w:val="none"/>
        </w:rPr>
      </w:pPr>
      <w:r>
        <w:rPr>
          <w:rFonts w:hint="eastAsia" w:ascii="宋体" w:hAnsi="宋体" w:eastAsia="宋体" w:cs="宋体"/>
          <w:b/>
          <w:bCs/>
          <w:color w:val="auto"/>
          <w:szCs w:val="32"/>
          <w:highlight w:val="none"/>
          <w:lang w:val="en-US" w:eastAsia="zh-CN"/>
        </w:rPr>
        <w:t>台州湾陆岛联动综合码头工程（一期）建筑工程一切险及安全生产责任险保险服务项目（重新招标）</w:t>
      </w:r>
    </w:p>
    <w:p w14:paraId="688EC7E3">
      <w:pPr>
        <w:pStyle w:val="17"/>
        <w:spacing w:line="360" w:lineRule="auto"/>
        <w:ind w:left="0" w:leftChars="0" w:firstLine="0" w:firstLineChars="0"/>
        <w:jc w:val="center"/>
        <w:rPr>
          <w:rFonts w:hint="eastAsia" w:ascii="宋体" w:hAnsi="宋体" w:eastAsia="宋体" w:cs="宋体"/>
          <w:b/>
          <w:bCs/>
          <w:color w:val="auto"/>
          <w:szCs w:val="32"/>
          <w:highlight w:val="none"/>
          <w:lang w:val="en-US" w:eastAsia="zh-CN"/>
        </w:rPr>
      </w:pPr>
      <w:bookmarkStart w:id="68" w:name="_Toc28654_WPSOffice_Level1"/>
      <w:r>
        <w:rPr>
          <w:rFonts w:hint="eastAsia" w:ascii="宋体" w:hAnsi="宋体" w:eastAsia="宋体" w:cs="宋体"/>
          <w:b/>
          <w:bCs/>
          <w:color w:val="auto"/>
          <w:szCs w:val="32"/>
          <w:highlight w:val="none"/>
          <w:lang w:val="en-US" w:eastAsia="zh-CN"/>
        </w:rPr>
        <w:t>开标一览表</w:t>
      </w:r>
      <w:bookmarkEnd w:id="68"/>
    </w:p>
    <w:p w14:paraId="065F271A">
      <w:pPr>
        <w:pStyle w:val="17"/>
        <w:spacing w:line="360" w:lineRule="auto"/>
        <w:ind w:left="0" w:leftChars="0" w:firstLine="0" w:firstLineChars="0"/>
        <w:jc w:val="left"/>
        <w:rPr>
          <w:rFonts w:hint="default" w:ascii="宋体" w:hAnsi="宋体" w:eastAsia="宋体" w:cs="宋体"/>
          <w:snapToGrid w:val="0"/>
          <w:color w:val="auto"/>
          <w:kern w:val="0"/>
          <w:sz w:val="21"/>
          <w:szCs w:val="21"/>
          <w:highlight w:val="none"/>
          <w:u w:val="single"/>
          <w:lang w:val="en-US" w:eastAsia="zh-CN"/>
        </w:rPr>
      </w:pPr>
      <w:r>
        <w:rPr>
          <w:rFonts w:hint="eastAsia" w:ascii="宋体" w:hAnsi="宋体" w:eastAsia="宋体" w:cs="宋体"/>
          <w:snapToGrid w:val="0"/>
          <w:color w:val="auto"/>
          <w:kern w:val="0"/>
          <w:sz w:val="21"/>
          <w:szCs w:val="21"/>
          <w:highlight w:val="none"/>
          <w:u w:val="single"/>
          <w:lang w:eastAsia="zh-CN"/>
        </w:rPr>
        <w:t>台州西廊港口开发有限公司、中交第三航务工程局有限公司</w:t>
      </w:r>
      <w:r>
        <w:rPr>
          <w:rFonts w:hint="eastAsia" w:ascii="宋体" w:hAnsi="宋体" w:eastAsia="宋体" w:cs="宋体"/>
          <w:snapToGrid w:val="0"/>
          <w:color w:val="auto"/>
          <w:kern w:val="0"/>
          <w:sz w:val="21"/>
          <w:szCs w:val="21"/>
          <w:highlight w:val="none"/>
          <w:u w:val="none"/>
        </w:rPr>
        <w:t>：</w:t>
      </w:r>
      <w:r>
        <w:rPr>
          <w:rFonts w:hint="eastAsia" w:ascii="宋体" w:hAnsi="宋体" w:eastAsia="宋体" w:cs="宋体"/>
          <w:snapToGrid w:val="0"/>
          <w:color w:val="auto"/>
          <w:kern w:val="0"/>
          <w:sz w:val="21"/>
          <w:szCs w:val="21"/>
          <w:highlight w:val="none"/>
          <w:u w:val="none"/>
          <w:lang w:val="en-US" w:eastAsia="zh-CN"/>
        </w:rPr>
        <w:t xml:space="preserve"> </w:t>
      </w:r>
      <w:r>
        <w:rPr>
          <w:rFonts w:hint="eastAsia" w:ascii="宋体" w:hAnsi="宋体" w:eastAsia="宋体" w:cs="宋体"/>
          <w:snapToGrid w:val="0"/>
          <w:color w:val="auto"/>
          <w:kern w:val="0"/>
          <w:sz w:val="21"/>
          <w:szCs w:val="21"/>
          <w:highlight w:val="none"/>
          <w:u w:val="single"/>
          <w:lang w:val="en-US" w:eastAsia="zh-CN"/>
        </w:rPr>
        <w:t xml:space="preserve">   </w:t>
      </w:r>
    </w:p>
    <w:p w14:paraId="0190444F">
      <w:pPr>
        <w:spacing w:line="60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     一、根据己收到的</w:t>
      </w:r>
      <w:r>
        <w:rPr>
          <w:rFonts w:hint="eastAsia" w:ascii="宋体" w:hAnsi="宋体" w:eastAsia="宋体" w:cs="宋体"/>
          <w:snapToGrid w:val="0"/>
          <w:color w:val="auto"/>
          <w:kern w:val="0"/>
          <w:sz w:val="21"/>
          <w:szCs w:val="21"/>
          <w:highlight w:val="none"/>
          <w:u w:val="single"/>
          <w:lang w:val="en-US" w:eastAsia="zh-CN"/>
        </w:rPr>
        <w:t>台州湾陆岛联动综合码头工程（一期）建筑工程一切险及安全生产责任险保险服务项目（重新招标）</w:t>
      </w:r>
      <w:r>
        <w:rPr>
          <w:rFonts w:hint="eastAsia" w:ascii="宋体" w:hAnsi="宋体" w:eastAsia="宋体" w:cs="宋体"/>
          <w:color w:val="auto"/>
          <w:sz w:val="21"/>
          <w:szCs w:val="21"/>
          <w:highlight w:val="none"/>
        </w:rPr>
        <w:t>招</w:t>
      </w:r>
      <w:r>
        <w:rPr>
          <w:rFonts w:hint="eastAsia" w:ascii="宋体" w:hAnsi="宋体" w:eastAsia="宋体" w:cs="宋体"/>
          <w:snapToGrid w:val="0"/>
          <w:color w:val="auto"/>
          <w:kern w:val="0"/>
          <w:sz w:val="21"/>
          <w:szCs w:val="21"/>
          <w:highlight w:val="none"/>
        </w:rPr>
        <w:t>标文件，我单位经考察现场和研究上述项目的招标文件后，</w:t>
      </w:r>
      <w:r>
        <w:rPr>
          <w:rFonts w:hint="eastAsia" w:ascii="宋体" w:hAnsi="宋体" w:eastAsia="宋体" w:cs="宋体"/>
          <w:snapToGrid w:val="0"/>
          <w:color w:val="auto"/>
          <w:w w:val="107"/>
          <w:kern w:val="0"/>
          <w:sz w:val="21"/>
          <w:szCs w:val="21"/>
          <w:highlight w:val="none"/>
        </w:rPr>
        <w:t>我方愿以</w:t>
      </w:r>
      <w:r>
        <w:rPr>
          <w:rFonts w:hint="eastAsia" w:ascii="宋体" w:hAnsi="宋体" w:eastAsia="宋体" w:cs="宋体"/>
          <w:color w:val="auto"/>
          <w:sz w:val="21"/>
          <w:szCs w:val="21"/>
          <w:highlight w:val="none"/>
        </w:rPr>
        <w:t>保险服务费</w:t>
      </w:r>
      <w:r>
        <w:rPr>
          <w:rFonts w:hint="eastAsia" w:ascii="宋体" w:hAnsi="宋体" w:eastAsia="宋体" w:cs="宋体"/>
          <w:snapToGrid w:val="0"/>
          <w:color w:val="auto"/>
          <w:w w:val="107"/>
          <w:kern w:val="0"/>
          <w:sz w:val="21"/>
          <w:szCs w:val="21"/>
          <w:highlight w:val="none"/>
        </w:rPr>
        <w:t>总报价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snapToGrid w:val="0"/>
          <w:color w:val="auto"/>
          <w:kern w:val="0"/>
          <w:sz w:val="21"/>
          <w:szCs w:val="21"/>
          <w:highlight w:val="none"/>
        </w:rPr>
        <w:t>（</w:t>
      </w:r>
      <w:r>
        <w:rPr>
          <w:rFonts w:hint="eastAsia" w:ascii="宋体" w:hAnsi="宋体" w:eastAsia="宋体" w:cs="宋体"/>
          <w:color w:val="auto"/>
          <w:sz w:val="21"/>
          <w:szCs w:val="24"/>
          <w:highlight w:val="none"/>
        </w:rPr>
        <w:t>以元为单位，保留整数，小数点后四舍五入</w:t>
      </w:r>
      <w:r>
        <w:rPr>
          <w:rFonts w:hint="eastAsia" w:ascii="宋体" w:hAnsi="宋体" w:eastAsia="宋体" w:cs="宋体"/>
          <w:snapToGrid w:val="0"/>
          <w:color w:val="auto"/>
          <w:kern w:val="0"/>
          <w:sz w:val="21"/>
          <w:szCs w:val="21"/>
          <w:highlight w:val="none"/>
        </w:rPr>
        <w:t>）</w:t>
      </w:r>
      <w:r>
        <w:rPr>
          <w:rFonts w:hint="eastAsia" w:ascii="宋体" w:hAnsi="宋体" w:eastAsia="宋体" w:cs="宋体"/>
          <w:color w:val="auto"/>
          <w:sz w:val="21"/>
          <w:szCs w:val="21"/>
          <w:highlight w:val="none"/>
        </w:rPr>
        <w:t>，</w:t>
      </w:r>
      <w:r>
        <w:rPr>
          <w:rFonts w:hint="eastAsia" w:ascii="宋体" w:hAnsi="宋体" w:eastAsia="宋体" w:cs="宋体"/>
          <w:snapToGrid w:val="0"/>
          <w:color w:val="auto"/>
          <w:w w:val="107"/>
          <w:kern w:val="0"/>
          <w:sz w:val="21"/>
          <w:szCs w:val="21"/>
          <w:highlight w:val="none"/>
        </w:rPr>
        <w:t>大写金额人民币</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w w:val="107"/>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佰</w:t>
      </w:r>
      <w:r>
        <w:rPr>
          <w:rFonts w:hint="eastAsia" w:ascii="宋体" w:hAnsi="宋体" w:eastAsia="宋体" w:cs="宋体"/>
          <w:snapToGrid w:val="0"/>
          <w:color w:val="auto"/>
          <w:w w:val="107"/>
          <w:kern w:val="0"/>
          <w:sz w:val="21"/>
          <w:szCs w:val="21"/>
          <w:highlight w:val="none"/>
          <w:u w:val="single"/>
        </w:rPr>
        <w:t xml:space="preserve">    </w:t>
      </w:r>
      <w:r>
        <w:rPr>
          <w:rFonts w:hint="eastAsia" w:ascii="宋体" w:hAnsi="宋体" w:eastAsia="宋体" w:cs="宋体"/>
          <w:snapToGrid w:val="0"/>
          <w:color w:val="auto"/>
          <w:w w:val="107"/>
          <w:kern w:val="0"/>
          <w:sz w:val="21"/>
          <w:szCs w:val="21"/>
          <w:highlight w:val="none"/>
        </w:rPr>
        <w:t>拾</w:t>
      </w:r>
      <w:r>
        <w:rPr>
          <w:rFonts w:hint="eastAsia" w:ascii="宋体" w:hAnsi="宋体" w:eastAsia="宋体" w:cs="宋体"/>
          <w:snapToGrid w:val="0"/>
          <w:color w:val="auto"/>
          <w:w w:val="107"/>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万</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仟</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佰</w:t>
      </w:r>
      <w:r>
        <w:rPr>
          <w:rFonts w:hint="eastAsia" w:ascii="宋体" w:hAnsi="宋体" w:eastAsia="宋体" w:cs="宋体"/>
          <w:snapToGrid w:val="0"/>
          <w:color w:val="auto"/>
          <w:w w:val="107"/>
          <w:kern w:val="0"/>
          <w:sz w:val="21"/>
          <w:szCs w:val="21"/>
          <w:highlight w:val="none"/>
          <w:u w:val="single"/>
        </w:rPr>
        <w:t xml:space="preserve">    </w:t>
      </w:r>
      <w:r>
        <w:rPr>
          <w:rFonts w:hint="eastAsia" w:ascii="宋体" w:hAnsi="宋体" w:eastAsia="宋体" w:cs="宋体"/>
          <w:snapToGrid w:val="0"/>
          <w:color w:val="auto"/>
          <w:w w:val="107"/>
          <w:kern w:val="0"/>
          <w:sz w:val="21"/>
          <w:szCs w:val="21"/>
          <w:highlight w:val="none"/>
        </w:rPr>
        <w:t>拾</w:t>
      </w:r>
      <w:r>
        <w:rPr>
          <w:rFonts w:hint="eastAsia" w:ascii="宋体" w:hAnsi="宋体" w:eastAsia="宋体" w:cs="宋体"/>
          <w:snapToGrid w:val="0"/>
          <w:color w:val="auto"/>
          <w:w w:val="107"/>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元，</w:t>
      </w:r>
      <w:r>
        <w:rPr>
          <w:rFonts w:hint="eastAsia" w:ascii="宋体" w:hAnsi="宋体" w:eastAsia="宋体" w:cs="宋体"/>
          <w:snapToGrid w:val="0"/>
          <w:color w:val="auto"/>
          <w:kern w:val="24"/>
          <w:sz w:val="21"/>
          <w:szCs w:val="21"/>
          <w:highlight w:val="none"/>
        </w:rPr>
        <w:t>承担</w:t>
      </w:r>
      <w:r>
        <w:rPr>
          <w:rFonts w:hint="eastAsia" w:ascii="宋体" w:hAnsi="宋体" w:eastAsia="宋体" w:cs="宋体"/>
          <w:snapToGrid w:val="0"/>
          <w:color w:val="auto"/>
          <w:kern w:val="24"/>
          <w:sz w:val="21"/>
          <w:szCs w:val="21"/>
          <w:highlight w:val="none"/>
          <w:lang w:val="en-US" w:eastAsia="zh-CN"/>
        </w:rPr>
        <w:t>本项目</w:t>
      </w:r>
      <w:r>
        <w:rPr>
          <w:rFonts w:hint="eastAsia" w:ascii="宋体" w:hAnsi="宋体" w:eastAsia="宋体" w:cs="宋体"/>
          <w:snapToGrid w:val="0"/>
          <w:color w:val="auto"/>
          <w:kern w:val="24"/>
          <w:sz w:val="21"/>
          <w:szCs w:val="21"/>
          <w:highlight w:val="none"/>
        </w:rPr>
        <w:t>保险服务。</w:t>
      </w:r>
    </w:p>
    <w:p w14:paraId="7AA769D8">
      <w:pPr>
        <w:spacing w:line="600" w:lineRule="exact"/>
        <w:ind w:firstLine="480"/>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rPr>
        <w:t>二、服务期限：</w:t>
      </w:r>
      <w:r>
        <w:rPr>
          <w:rFonts w:hint="eastAsia" w:ascii="宋体" w:hAnsi="宋体" w:eastAsia="宋体" w:cs="宋体"/>
          <w:snapToGrid w:val="0"/>
          <w:color w:val="auto"/>
          <w:kern w:val="0"/>
          <w:sz w:val="21"/>
          <w:szCs w:val="21"/>
          <w:highlight w:val="none"/>
          <w:lang w:eastAsia="zh-CN"/>
        </w:rPr>
        <w:t>满足招标文件要求。</w:t>
      </w:r>
    </w:p>
    <w:p w14:paraId="3B87EFEE">
      <w:pPr>
        <w:spacing w:line="600" w:lineRule="exact"/>
        <w:ind w:firstLine="48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三、一旦我方中标，我方在全部同意招标文件内容前提下保证本投标文件的所有资料真实有效，如有虚假成份，愿承担一切后果。</w:t>
      </w:r>
    </w:p>
    <w:p w14:paraId="1D05A857">
      <w:pPr>
        <w:spacing w:line="600" w:lineRule="exact"/>
        <w:ind w:firstLine="48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四、除非另外达成协议并生效，你方的中标通知书和本投标文件将构成约束我们双方的合同。</w:t>
      </w:r>
    </w:p>
    <w:p w14:paraId="431B7E12">
      <w:pPr>
        <w:spacing w:line="6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w:t>
      </w:r>
      <w:r>
        <w:rPr>
          <w:rFonts w:hint="eastAsia" w:ascii="宋体" w:hAnsi="宋体" w:eastAsia="宋体" w:cs="宋体"/>
          <w:snapToGrid w:val="0"/>
          <w:color w:val="auto"/>
          <w:kern w:val="0"/>
          <w:sz w:val="21"/>
          <w:szCs w:val="21"/>
          <w:highlight w:val="none"/>
        </w:rPr>
        <w:t>、</w:t>
      </w:r>
      <w:r>
        <w:rPr>
          <w:rFonts w:hint="eastAsia" w:ascii="宋体" w:hAnsi="宋体" w:eastAsia="宋体" w:cs="宋体"/>
          <w:color w:val="auto"/>
          <w:sz w:val="21"/>
          <w:szCs w:val="21"/>
          <w:highlight w:val="none"/>
        </w:rPr>
        <w:t>我方的投标担保已按招标文件的要求递交</w:t>
      </w:r>
      <w:r>
        <w:rPr>
          <w:rFonts w:hint="eastAsia" w:ascii="宋体" w:hAnsi="宋体" w:eastAsia="宋体" w:cs="宋体"/>
          <w:snapToGrid w:val="0"/>
          <w:color w:val="auto"/>
          <w:kern w:val="0"/>
          <w:sz w:val="21"/>
          <w:szCs w:val="21"/>
          <w:highlight w:val="none"/>
        </w:rPr>
        <w:t>。</w:t>
      </w:r>
    </w:p>
    <w:p w14:paraId="761AF2E7">
      <w:pPr>
        <w:spacing w:line="6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w:t>
      </w:r>
      <w:r>
        <w:rPr>
          <w:rFonts w:ascii="宋体" w:hAnsi="宋体" w:eastAsia="宋体" w:cs="宋体"/>
          <w:color w:val="auto"/>
          <w:spacing w:val="-7"/>
          <w:sz w:val="21"/>
          <w:szCs w:val="21"/>
          <w:highlight w:val="none"/>
        </w:rPr>
        <w:t xml:space="preserve">若我方中标， 作为首席保险人我方可接受的最大承保份额： ____% </w:t>
      </w:r>
      <w:r>
        <w:rPr>
          <w:rFonts w:hint="eastAsia" w:ascii="宋体" w:hAnsi="宋体" w:eastAsia="宋体" w:cs="宋体"/>
          <w:color w:val="auto"/>
          <w:spacing w:val="-7"/>
          <w:sz w:val="21"/>
          <w:szCs w:val="21"/>
          <w:highlight w:val="none"/>
        </w:rPr>
        <w:t>。</w:t>
      </w:r>
    </w:p>
    <w:p w14:paraId="6EDBFD94">
      <w:pPr>
        <w:spacing w:line="600" w:lineRule="exact"/>
        <w:ind w:firstLine="480"/>
        <w:jc w:val="right"/>
        <w:rPr>
          <w:rFonts w:hint="eastAsia" w:ascii="宋体" w:hAnsi="宋体" w:eastAsia="宋体" w:cs="宋体"/>
          <w:color w:val="auto"/>
          <w:sz w:val="21"/>
          <w:szCs w:val="21"/>
          <w:highlight w:val="none"/>
        </w:rPr>
      </w:pPr>
    </w:p>
    <w:p w14:paraId="1DA9D504">
      <w:pPr>
        <w:spacing w:line="600" w:lineRule="exact"/>
        <w:rPr>
          <w:rFonts w:hint="eastAsia" w:ascii="宋体" w:hAnsi="宋体" w:eastAsia="宋体" w:cs="宋体"/>
          <w:color w:val="auto"/>
          <w:sz w:val="21"/>
          <w:szCs w:val="21"/>
          <w:highlight w:val="none"/>
        </w:rPr>
      </w:pPr>
    </w:p>
    <w:p w14:paraId="0887E6FF">
      <w:pPr>
        <w:rPr>
          <w:rFonts w:hint="eastAsia" w:ascii="宋体" w:hAnsi="宋体" w:eastAsia="宋体" w:cs="宋体"/>
          <w:color w:val="auto"/>
          <w:sz w:val="21"/>
          <w:szCs w:val="21"/>
          <w:highlight w:val="none"/>
        </w:rPr>
      </w:pPr>
    </w:p>
    <w:p w14:paraId="41CA564C">
      <w:pPr>
        <w:ind w:firstLine="210" w:firstLineChars="10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投标单位名称： (盖单位电子公章)</w:t>
      </w:r>
    </w:p>
    <w:p w14:paraId="0031D40F">
      <w:pPr>
        <w:ind w:firstLine="210" w:firstLineChars="100"/>
        <w:rPr>
          <w:rFonts w:hint="eastAsia" w:ascii="宋体" w:hAnsi="宋体" w:eastAsia="宋体" w:cs="宋体"/>
          <w:snapToGrid w:val="0"/>
          <w:color w:val="auto"/>
          <w:sz w:val="21"/>
          <w:szCs w:val="21"/>
          <w:highlight w:val="none"/>
        </w:rPr>
      </w:pPr>
    </w:p>
    <w:p w14:paraId="3799FF9C">
      <w:pPr>
        <w:ind w:firstLine="210" w:firstLineChars="10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法定代表人（负责人）或委托代理人：（电子签章）</w:t>
      </w:r>
    </w:p>
    <w:p w14:paraId="0B050B3C">
      <w:pPr>
        <w:jc w:val="right"/>
        <w:rPr>
          <w:rFonts w:hint="eastAsia" w:ascii="宋体" w:hAnsi="宋体" w:eastAsia="宋体" w:cs="宋体"/>
          <w:color w:val="auto"/>
          <w:sz w:val="21"/>
          <w:szCs w:val="21"/>
          <w:highlight w:val="none"/>
        </w:rPr>
      </w:pPr>
    </w:p>
    <w:p w14:paraId="72125FCA">
      <w:pPr>
        <w:spacing w:line="440" w:lineRule="exact"/>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 xml:space="preserve">  日期：   年   月   日</w:t>
      </w:r>
    </w:p>
    <w:p w14:paraId="64EFC824">
      <w:pPr>
        <w:pStyle w:val="2"/>
        <w:numPr>
          <w:ilvl w:val="0"/>
          <w:numId w:val="0"/>
        </w:numPr>
        <w:ind w:left="360" w:leftChars="0"/>
        <w:jc w:val="both"/>
        <w:outlineLvl w:val="9"/>
        <w:rPr>
          <w:rFonts w:hint="eastAsia" w:ascii="宋体" w:hAnsi="宋体" w:cs="宋体"/>
          <w:color w:val="auto"/>
          <w:sz w:val="24"/>
          <w:highlight w:val="none"/>
        </w:rPr>
      </w:pPr>
    </w:p>
    <w:p w14:paraId="4BAD1818">
      <w:pPr>
        <w:pStyle w:val="17"/>
        <w:spacing w:line="360" w:lineRule="auto"/>
        <w:ind w:left="0" w:leftChars="0" w:firstLine="0" w:firstLineChars="0"/>
        <w:outlineLvl w:val="2"/>
        <w:rPr>
          <w:rFonts w:hint="eastAsia" w:ascii="宋体" w:hAnsi="宋体" w:eastAsia="宋体" w:cs="宋体"/>
          <w:color w:val="auto"/>
          <w:sz w:val="21"/>
          <w:szCs w:val="21"/>
          <w:highlight w:val="none"/>
        </w:rPr>
      </w:pPr>
      <w:bookmarkStart w:id="69" w:name="_Toc32263"/>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2</w:t>
      </w:r>
      <w:bookmarkEnd w:id="69"/>
    </w:p>
    <w:p w14:paraId="0BEA2DE2">
      <w:pPr>
        <w:pStyle w:val="17"/>
        <w:spacing w:line="360" w:lineRule="auto"/>
        <w:ind w:left="0" w:leftChars="0" w:firstLine="0" w:firstLineChars="0"/>
        <w:jc w:val="center"/>
        <w:rPr>
          <w:rFonts w:hint="eastAsia" w:ascii="宋体" w:hAnsi="宋体" w:eastAsia="宋体" w:cs="宋体"/>
          <w:b/>
          <w:bCs/>
          <w:color w:val="auto"/>
          <w:sz w:val="28"/>
          <w:szCs w:val="24"/>
          <w:highlight w:val="none"/>
          <w:lang w:eastAsia="zh-CN"/>
        </w:rPr>
      </w:pPr>
      <w:r>
        <w:rPr>
          <w:rFonts w:hint="eastAsia" w:ascii="宋体" w:hAnsi="宋体" w:eastAsia="宋体" w:cs="宋体"/>
          <w:b/>
          <w:bCs/>
          <w:color w:val="auto"/>
          <w:sz w:val="28"/>
          <w:szCs w:val="24"/>
          <w:highlight w:val="none"/>
          <w:lang w:val="en-US" w:eastAsia="zh-CN"/>
        </w:rPr>
        <w:t>台州湾陆岛联动综合码头工程（一期）建筑工程一切险及安全生产责任险保险服务项目（重新招标）</w:t>
      </w:r>
    </w:p>
    <w:p w14:paraId="013AC2F1">
      <w:pPr>
        <w:pStyle w:val="17"/>
        <w:spacing w:line="360" w:lineRule="auto"/>
        <w:ind w:left="0" w:leftChars="0" w:firstLine="0" w:firstLineChars="0"/>
        <w:jc w:val="center"/>
        <w:rPr>
          <w:rFonts w:hint="eastAsia" w:ascii="宋体" w:hAnsi="宋体" w:eastAsia="宋体" w:cs="宋体"/>
          <w:b/>
          <w:bCs/>
          <w:color w:val="auto"/>
          <w:sz w:val="28"/>
          <w:szCs w:val="24"/>
          <w:highlight w:val="none"/>
        </w:rPr>
      </w:pPr>
      <w:r>
        <w:rPr>
          <w:rFonts w:hint="eastAsia" w:ascii="宋体" w:hAnsi="宋体" w:eastAsia="宋体" w:cs="宋体"/>
          <w:b/>
          <w:bCs/>
          <w:color w:val="auto"/>
          <w:sz w:val="28"/>
          <w:szCs w:val="24"/>
          <w:highlight w:val="none"/>
          <w:lang w:eastAsia="zh-CN"/>
        </w:rPr>
        <w:t>投标报价汇总表</w:t>
      </w:r>
    </w:p>
    <w:tbl>
      <w:tblPr>
        <w:tblStyle w:val="30"/>
        <w:tblW w:w="940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74"/>
        <w:gridCol w:w="1080"/>
        <w:gridCol w:w="1905"/>
        <w:gridCol w:w="1200"/>
        <w:gridCol w:w="1050"/>
        <w:gridCol w:w="1290"/>
        <w:gridCol w:w="1605"/>
      </w:tblGrid>
      <w:tr w14:paraId="67A9F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2" w:hRule="atLeast"/>
        </w:trPr>
        <w:tc>
          <w:tcPr>
            <w:tcW w:w="1274" w:type="dxa"/>
            <w:tcBorders>
              <w:top w:val="single" w:color="000000" w:sz="2" w:space="0"/>
              <w:bottom w:val="single" w:color="000000" w:sz="2" w:space="0"/>
            </w:tcBorders>
            <w:noWrap w:val="0"/>
            <w:vAlign w:val="center"/>
          </w:tcPr>
          <w:p w14:paraId="1B8DFCE2">
            <w:pPr>
              <w:spacing w:before="295" w:line="220" w:lineRule="auto"/>
              <w:ind w:left="449" w:hanging="444" w:hangingChars="216"/>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项目名称</w:t>
            </w:r>
          </w:p>
        </w:tc>
        <w:tc>
          <w:tcPr>
            <w:tcW w:w="1080" w:type="dxa"/>
            <w:tcBorders>
              <w:top w:val="single" w:color="000000" w:sz="2" w:space="0"/>
              <w:bottom w:val="single" w:color="000000" w:sz="2" w:space="0"/>
            </w:tcBorders>
            <w:noWrap w:val="0"/>
            <w:vAlign w:val="center"/>
          </w:tcPr>
          <w:p w14:paraId="0FB04583">
            <w:pPr>
              <w:spacing w:before="295" w:line="220" w:lineRule="auto"/>
              <w:ind w:left="535" w:hanging="529" w:hangingChars="257"/>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保险</w:t>
            </w:r>
            <w:r>
              <w:rPr>
                <w:rFonts w:ascii="宋体" w:hAnsi="宋体" w:eastAsia="宋体" w:cs="宋体"/>
                <w:color w:val="auto"/>
                <w:spacing w:val="-1"/>
                <w:sz w:val="21"/>
                <w:szCs w:val="21"/>
                <w:highlight w:val="none"/>
              </w:rPr>
              <w:t>险种</w:t>
            </w:r>
          </w:p>
        </w:tc>
        <w:tc>
          <w:tcPr>
            <w:tcW w:w="1905" w:type="dxa"/>
            <w:tcBorders>
              <w:top w:val="single" w:color="000000" w:sz="2" w:space="0"/>
              <w:bottom w:val="single" w:color="000000" w:sz="2" w:space="0"/>
            </w:tcBorders>
            <w:noWrap w:val="0"/>
            <w:vAlign w:val="center"/>
          </w:tcPr>
          <w:p w14:paraId="436D57EF">
            <w:pPr>
              <w:spacing w:before="294" w:line="220" w:lineRule="auto"/>
              <w:ind w:left="537" w:hanging="531" w:hangingChars="258"/>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保险</w:t>
            </w:r>
            <w:r>
              <w:rPr>
                <w:rFonts w:ascii="宋体" w:hAnsi="宋体" w:eastAsia="宋体" w:cs="宋体"/>
                <w:color w:val="auto"/>
                <w:spacing w:val="-1"/>
                <w:sz w:val="21"/>
                <w:szCs w:val="21"/>
                <w:highlight w:val="none"/>
              </w:rPr>
              <w:t>金额（万元）</w:t>
            </w:r>
          </w:p>
        </w:tc>
        <w:tc>
          <w:tcPr>
            <w:tcW w:w="1200" w:type="dxa"/>
            <w:tcBorders>
              <w:top w:val="single" w:color="000000" w:sz="2" w:space="0"/>
              <w:bottom w:val="single" w:color="000000" w:sz="2" w:space="0"/>
            </w:tcBorders>
            <w:noWrap w:val="0"/>
            <w:vAlign w:val="center"/>
          </w:tcPr>
          <w:p w14:paraId="5AE5DFD9">
            <w:pPr>
              <w:spacing w:before="294" w:line="220" w:lineRule="auto"/>
              <w:ind w:left="145" w:hanging="156" w:hangingChars="64"/>
              <w:jc w:val="center"/>
              <w:rPr>
                <w:rFonts w:ascii="宋体" w:hAnsi="宋体" w:eastAsia="宋体" w:cs="宋体"/>
                <w:color w:val="auto"/>
                <w:sz w:val="21"/>
                <w:szCs w:val="21"/>
                <w:highlight w:val="none"/>
              </w:rPr>
            </w:pPr>
            <w:r>
              <w:rPr>
                <w:rFonts w:hint="eastAsia" w:ascii="宋体" w:hAnsi="宋体" w:eastAsia="宋体" w:cs="宋体"/>
                <w:color w:val="auto"/>
                <w:spacing w:val="17"/>
                <w:sz w:val="21"/>
                <w:szCs w:val="21"/>
                <w:highlight w:val="none"/>
              </w:rPr>
              <w:t>保险</w:t>
            </w:r>
            <w:r>
              <w:rPr>
                <w:rFonts w:ascii="宋体" w:hAnsi="宋体" w:eastAsia="宋体" w:cs="宋体"/>
                <w:color w:val="auto"/>
                <w:spacing w:val="17"/>
                <w:sz w:val="21"/>
                <w:szCs w:val="21"/>
                <w:highlight w:val="none"/>
              </w:rPr>
              <w:t>费</w:t>
            </w:r>
            <w:r>
              <w:rPr>
                <w:rFonts w:ascii="宋体" w:hAnsi="宋体" w:eastAsia="宋体" w:cs="宋体"/>
                <w:color w:val="auto"/>
                <w:spacing w:val="14"/>
                <w:sz w:val="21"/>
                <w:szCs w:val="21"/>
                <w:highlight w:val="none"/>
              </w:rPr>
              <w:t>率</w:t>
            </w:r>
            <w:r>
              <w:rPr>
                <w:rFonts w:hint="eastAsia" w:ascii="宋体" w:hAnsi="宋体" w:eastAsia="宋体" w:cs="宋体"/>
                <w:color w:val="auto"/>
                <w:spacing w:val="14"/>
                <w:sz w:val="21"/>
                <w:szCs w:val="21"/>
                <w:highlight w:val="none"/>
                <w:lang w:val="en-US" w:eastAsia="zh-CN"/>
              </w:rPr>
              <w:t>上限</w:t>
            </w:r>
          </w:p>
        </w:tc>
        <w:tc>
          <w:tcPr>
            <w:tcW w:w="1050" w:type="dxa"/>
            <w:tcBorders>
              <w:top w:val="single" w:color="000000" w:sz="2" w:space="0"/>
              <w:bottom w:val="single" w:color="000000" w:sz="2" w:space="0"/>
            </w:tcBorders>
            <w:noWrap w:val="0"/>
            <w:vAlign w:val="center"/>
          </w:tcPr>
          <w:p w14:paraId="3B2CA265">
            <w:pPr>
              <w:spacing w:before="294" w:line="220" w:lineRule="auto"/>
              <w:ind w:left="145" w:hanging="156" w:hangingChars="64"/>
              <w:jc w:val="center"/>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保险</w:t>
            </w:r>
            <w:r>
              <w:rPr>
                <w:rFonts w:ascii="宋体" w:hAnsi="宋体" w:eastAsia="宋体" w:cs="宋体"/>
                <w:color w:val="auto"/>
                <w:spacing w:val="17"/>
                <w:sz w:val="21"/>
                <w:szCs w:val="21"/>
                <w:highlight w:val="none"/>
              </w:rPr>
              <w:t>费</w:t>
            </w:r>
            <w:r>
              <w:rPr>
                <w:rFonts w:ascii="宋体" w:hAnsi="宋体" w:eastAsia="宋体" w:cs="宋体"/>
                <w:color w:val="auto"/>
                <w:spacing w:val="14"/>
                <w:sz w:val="21"/>
                <w:szCs w:val="21"/>
                <w:highlight w:val="none"/>
              </w:rPr>
              <w:t>率</w:t>
            </w:r>
          </w:p>
        </w:tc>
        <w:tc>
          <w:tcPr>
            <w:tcW w:w="1290" w:type="dxa"/>
            <w:tcBorders>
              <w:top w:val="single" w:color="000000" w:sz="2" w:space="0"/>
              <w:bottom w:val="single" w:color="000000" w:sz="2" w:space="0"/>
            </w:tcBorders>
            <w:noWrap w:val="0"/>
            <w:vAlign w:val="center"/>
          </w:tcPr>
          <w:p w14:paraId="58FD37D6">
            <w:pPr>
              <w:spacing w:before="294" w:line="220" w:lineRule="auto"/>
              <w:ind w:left="145" w:hanging="152" w:hangingChars="64"/>
              <w:jc w:val="center"/>
              <w:rPr>
                <w:rFonts w:hint="eastAsia" w:ascii="宋体" w:hAnsi="宋体" w:eastAsia="宋体" w:cs="宋体"/>
                <w:color w:val="auto"/>
                <w:spacing w:val="17"/>
                <w:sz w:val="21"/>
                <w:szCs w:val="21"/>
                <w:highlight w:val="none"/>
              </w:rPr>
            </w:pPr>
            <w:r>
              <w:rPr>
                <w:rFonts w:ascii="宋体" w:hAnsi="宋体" w:eastAsia="宋体" w:cs="宋体"/>
                <w:color w:val="auto"/>
                <w:spacing w:val="14"/>
                <w:sz w:val="21"/>
                <w:szCs w:val="21"/>
                <w:highlight w:val="none"/>
              </w:rPr>
              <w:t>保险费</w:t>
            </w:r>
            <w:r>
              <w:rPr>
                <w:rFonts w:hint="eastAsia" w:ascii="宋体" w:hAnsi="宋体" w:eastAsia="宋体" w:cs="宋体"/>
                <w:color w:val="auto"/>
                <w:spacing w:val="14"/>
                <w:sz w:val="21"/>
                <w:szCs w:val="21"/>
                <w:highlight w:val="none"/>
                <w:lang w:val="en-US" w:eastAsia="zh-CN"/>
              </w:rPr>
              <w:t>上限</w:t>
            </w:r>
          </w:p>
        </w:tc>
        <w:tc>
          <w:tcPr>
            <w:tcW w:w="1605" w:type="dxa"/>
            <w:tcBorders>
              <w:top w:val="single" w:color="000000" w:sz="2" w:space="0"/>
              <w:bottom w:val="single" w:color="000000" w:sz="2" w:space="0"/>
            </w:tcBorders>
            <w:noWrap w:val="0"/>
            <w:vAlign w:val="center"/>
          </w:tcPr>
          <w:p w14:paraId="454ADB8D">
            <w:pPr>
              <w:spacing w:before="295" w:line="220" w:lineRule="auto"/>
              <w:ind w:left="181" w:hanging="192" w:hangingChars="81"/>
              <w:jc w:val="center"/>
              <w:rPr>
                <w:rFonts w:ascii="宋体" w:hAnsi="宋体" w:eastAsia="宋体" w:cs="宋体"/>
                <w:color w:val="auto"/>
                <w:sz w:val="21"/>
                <w:szCs w:val="21"/>
                <w:highlight w:val="none"/>
              </w:rPr>
            </w:pPr>
            <w:r>
              <w:rPr>
                <w:rFonts w:ascii="宋体" w:hAnsi="宋体" w:eastAsia="宋体" w:cs="宋体"/>
                <w:color w:val="auto"/>
                <w:spacing w:val="14"/>
                <w:sz w:val="21"/>
                <w:szCs w:val="21"/>
                <w:highlight w:val="none"/>
              </w:rPr>
              <w:t>保险费</w:t>
            </w:r>
          </w:p>
        </w:tc>
      </w:tr>
      <w:tr w14:paraId="7B945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0" w:hRule="atLeast"/>
        </w:trPr>
        <w:tc>
          <w:tcPr>
            <w:tcW w:w="1274" w:type="dxa"/>
            <w:vMerge w:val="restart"/>
            <w:tcBorders>
              <w:top w:val="single" w:color="000000" w:sz="2" w:space="0"/>
            </w:tcBorders>
            <w:noWrap w:val="0"/>
            <w:vAlign w:val="center"/>
          </w:tcPr>
          <w:p w14:paraId="432CFEAE">
            <w:pPr>
              <w:spacing w:before="199" w:line="279" w:lineRule="auto"/>
              <w:ind w:left="127" w:right="79"/>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台州湾陆岛联动综合码头工程（一期）建筑工程一切险及安全生产责任险保险服务项目（重新招标）</w:t>
            </w:r>
          </w:p>
        </w:tc>
        <w:tc>
          <w:tcPr>
            <w:tcW w:w="1080" w:type="dxa"/>
            <w:tcBorders>
              <w:top w:val="single" w:color="000000" w:sz="2" w:space="0"/>
              <w:bottom w:val="single" w:color="000000" w:sz="2" w:space="0"/>
            </w:tcBorders>
            <w:noWrap w:val="0"/>
            <w:vAlign w:val="center"/>
          </w:tcPr>
          <w:p w14:paraId="75BC7628">
            <w:pPr>
              <w:spacing w:before="68" w:line="220" w:lineRule="auto"/>
              <w:ind w:hanging="5"/>
              <w:jc w:val="center"/>
              <w:rPr>
                <w:rFonts w:hint="eastAsia" w:ascii="宋体" w:hAnsi="宋体" w:eastAsia="宋体" w:cs="宋体"/>
                <w:color w:val="auto"/>
                <w:sz w:val="21"/>
                <w:szCs w:val="21"/>
                <w:highlight w:val="none"/>
              </w:rPr>
            </w:pPr>
          </w:p>
          <w:p w14:paraId="3017BE9C">
            <w:pPr>
              <w:spacing w:before="68" w:line="220" w:lineRule="auto"/>
              <w:ind w:hanging="5"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建筑工程一切险</w:t>
            </w:r>
          </w:p>
        </w:tc>
        <w:tc>
          <w:tcPr>
            <w:tcW w:w="1905" w:type="dxa"/>
            <w:tcBorders>
              <w:top w:val="single" w:color="000000" w:sz="2" w:space="0"/>
              <w:bottom w:val="single" w:color="000000" w:sz="2" w:space="0"/>
            </w:tcBorders>
            <w:noWrap w:val="0"/>
            <w:vAlign w:val="center"/>
          </w:tcPr>
          <w:p w14:paraId="3EEB9EE3">
            <w:pPr>
              <w:spacing w:before="68" w:line="220" w:lineRule="auto"/>
              <w:ind w:hanging="5"/>
              <w:jc w:val="center"/>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815892366元</w:t>
            </w:r>
          </w:p>
        </w:tc>
        <w:tc>
          <w:tcPr>
            <w:tcW w:w="1200" w:type="dxa"/>
            <w:tcBorders>
              <w:top w:val="single" w:color="000000" w:sz="2" w:space="0"/>
              <w:bottom w:val="single" w:color="000000" w:sz="2" w:space="0"/>
            </w:tcBorders>
            <w:noWrap w:val="0"/>
            <w:vAlign w:val="center"/>
          </w:tcPr>
          <w:p w14:paraId="099C8E53">
            <w:pPr>
              <w:spacing w:before="68" w:line="220" w:lineRule="auto"/>
              <w:ind w:hanging="5"/>
              <w:jc w:val="center"/>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3‰</w:t>
            </w:r>
          </w:p>
        </w:tc>
        <w:tc>
          <w:tcPr>
            <w:tcW w:w="1050" w:type="dxa"/>
            <w:tcBorders>
              <w:top w:val="single" w:color="000000" w:sz="2" w:space="0"/>
              <w:bottom w:val="single" w:color="000000" w:sz="2" w:space="0"/>
            </w:tcBorders>
            <w:noWrap w:val="0"/>
            <w:vAlign w:val="center"/>
          </w:tcPr>
          <w:p w14:paraId="1A8BC661">
            <w:pPr>
              <w:spacing w:before="68" w:line="220" w:lineRule="auto"/>
              <w:ind w:hanging="5"/>
              <w:jc w:val="center"/>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 xml:space="preserve">     ‰</w:t>
            </w:r>
          </w:p>
        </w:tc>
        <w:tc>
          <w:tcPr>
            <w:tcW w:w="1290" w:type="dxa"/>
            <w:tcBorders>
              <w:top w:val="single" w:color="000000" w:sz="2" w:space="0"/>
              <w:bottom w:val="single" w:color="000000" w:sz="2" w:space="0"/>
            </w:tcBorders>
            <w:noWrap w:val="0"/>
            <w:vAlign w:val="center"/>
          </w:tcPr>
          <w:p w14:paraId="75C72D48">
            <w:pPr>
              <w:spacing w:before="68" w:line="220" w:lineRule="auto"/>
              <w:ind w:hanging="5"/>
              <w:jc w:val="center"/>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2447677元</w:t>
            </w:r>
          </w:p>
        </w:tc>
        <w:tc>
          <w:tcPr>
            <w:tcW w:w="1605" w:type="dxa"/>
            <w:tcBorders>
              <w:top w:val="single" w:color="000000" w:sz="2" w:space="0"/>
              <w:bottom w:val="single" w:color="000000" w:sz="2" w:space="0"/>
            </w:tcBorders>
            <w:noWrap w:val="0"/>
            <w:vAlign w:val="center"/>
          </w:tcPr>
          <w:p w14:paraId="33645DA0">
            <w:pPr>
              <w:spacing w:before="68" w:line="220" w:lineRule="auto"/>
              <w:ind w:hanging="5"/>
              <w:jc w:val="center"/>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 xml:space="preserve">        元</w:t>
            </w:r>
          </w:p>
        </w:tc>
      </w:tr>
      <w:tr w14:paraId="452A3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2" w:hRule="atLeast"/>
        </w:trPr>
        <w:tc>
          <w:tcPr>
            <w:tcW w:w="1274" w:type="dxa"/>
            <w:vMerge w:val="continue"/>
            <w:noWrap w:val="0"/>
            <w:vAlign w:val="center"/>
          </w:tcPr>
          <w:p w14:paraId="45AE0FF9">
            <w:pPr>
              <w:jc w:val="center"/>
              <w:rPr>
                <w:rFonts w:ascii="Arial"/>
                <w:color w:val="auto"/>
                <w:sz w:val="21"/>
                <w:highlight w:val="none"/>
              </w:rPr>
            </w:pPr>
          </w:p>
        </w:tc>
        <w:tc>
          <w:tcPr>
            <w:tcW w:w="1080" w:type="dxa"/>
            <w:tcBorders>
              <w:top w:val="single" w:color="000000" w:sz="2" w:space="0"/>
              <w:bottom w:val="single" w:color="000000" w:sz="2" w:space="0"/>
            </w:tcBorders>
            <w:noWrap w:val="0"/>
            <w:vAlign w:val="center"/>
          </w:tcPr>
          <w:p w14:paraId="266BFC2A">
            <w:pPr>
              <w:spacing w:before="68" w:line="220" w:lineRule="auto"/>
              <w:ind w:hanging="5"/>
              <w:jc w:val="center"/>
              <w:rPr>
                <w:rFonts w:hint="eastAsia" w:ascii="宋体" w:hAnsi="宋体" w:eastAsia="宋体" w:cs="宋体"/>
                <w:color w:val="auto"/>
                <w:sz w:val="21"/>
                <w:szCs w:val="21"/>
                <w:highlight w:val="none"/>
              </w:rPr>
            </w:pPr>
          </w:p>
          <w:p w14:paraId="581D14EB">
            <w:pPr>
              <w:spacing w:before="68" w:line="220" w:lineRule="auto"/>
              <w:ind w:hanging="5" w:firstLineChars="0"/>
              <w:jc w:val="center"/>
              <w:rPr>
                <w:rFonts w:hint="eastAsia" w:ascii="宋体" w:hAnsi="宋体" w:eastAsia="宋体" w:cs="宋体"/>
                <w:color w:val="auto"/>
                <w:kern w:val="2"/>
                <w:sz w:val="21"/>
                <w:szCs w:val="21"/>
                <w:highlight w:val="none"/>
                <w:lang w:val="en-US" w:eastAsia="zh-CN" w:bidi="ar-SA"/>
              </w:rPr>
            </w:pPr>
          </w:p>
          <w:p w14:paraId="06FC79C8">
            <w:pPr>
              <w:spacing w:before="68" w:line="220" w:lineRule="auto"/>
              <w:ind w:hanging="5"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安全生产责任险</w:t>
            </w:r>
          </w:p>
        </w:tc>
        <w:tc>
          <w:tcPr>
            <w:tcW w:w="1905" w:type="dxa"/>
            <w:tcBorders>
              <w:top w:val="single" w:color="000000" w:sz="2" w:space="0"/>
              <w:bottom w:val="single" w:color="000000" w:sz="2" w:space="0"/>
            </w:tcBorders>
            <w:noWrap w:val="0"/>
            <w:vAlign w:val="center"/>
          </w:tcPr>
          <w:p w14:paraId="1FF5F5C6">
            <w:pPr>
              <w:spacing w:before="68" w:line="220" w:lineRule="auto"/>
              <w:ind w:hanging="5"/>
              <w:jc w:val="center"/>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815892366元</w:t>
            </w:r>
          </w:p>
        </w:tc>
        <w:tc>
          <w:tcPr>
            <w:tcW w:w="1200" w:type="dxa"/>
            <w:tcBorders>
              <w:top w:val="single" w:color="000000" w:sz="2" w:space="0"/>
              <w:bottom w:val="single" w:color="000000" w:sz="2" w:space="0"/>
            </w:tcBorders>
            <w:noWrap w:val="0"/>
            <w:vAlign w:val="center"/>
          </w:tcPr>
          <w:p w14:paraId="4A39D385">
            <w:pPr>
              <w:spacing w:before="68" w:line="220" w:lineRule="auto"/>
              <w:ind w:hanging="5"/>
              <w:jc w:val="center"/>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2‰</w:t>
            </w:r>
          </w:p>
        </w:tc>
        <w:tc>
          <w:tcPr>
            <w:tcW w:w="1050" w:type="dxa"/>
            <w:tcBorders>
              <w:top w:val="single" w:color="000000" w:sz="2" w:space="0"/>
              <w:bottom w:val="single" w:color="000000" w:sz="2" w:space="0"/>
            </w:tcBorders>
            <w:noWrap w:val="0"/>
            <w:vAlign w:val="center"/>
          </w:tcPr>
          <w:p w14:paraId="6232C359">
            <w:pPr>
              <w:spacing w:before="68" w:line="220" w:lineRule="auto"/>
              <w:ind w:hanging="5"/>
              <w:jc w:val="center"/>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 xml:space="preserve">      ‰</w:t>
            </w:r>
          </w:p>
        </w:tc>
        <w:tc>
          <w:tcPr>
            <w:tcW w:w="1290" w:type="dxa"/>
            <w:tcBorders>
              <w:top w:val="single" w:color="000000" w:sz="2" w:space="0"/>
              <w:bottom w:val="single" w:color="000000" w:sz="2" w:space="0"/>
            </w:tcBorders>
            <w:noWrap w:val="0"/>
            <w:vAlign w:val="center"/>
          </w:tcPr>
          <w:p w14:paraId="25EC8B37">
            <w:pPr>
              <w:spacing w:before="68" w:line="220" w:lineRule="auto"/>
              <w:ind w:hanging="5"/>
              <w:jc w:val="center"/>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1631785元</w:t>
            </w:r>
          </w:p>
        </w:tc>
        <w:tc>
          <w:tcPr>
            <w:tcW w:w="1605" w:type="dxa"/>
            <w:tcBorders>
              <w:top w:val="single" w:color="000000" w:sz="2" w:space="0"/>
              <w:bottom w:val="single" w:color="000000" w:sz="2" w:space="0"/>
            </w:tcBorders>
            <w:noWrap w:val="0"/>
            <w:vAlign w:val="center"/>
          </w:tcPr>
          <w:p w14:paraId="455DED28">
            <w:pPr>
              <w:spacing w:before="68" w:line="220" w:lineRule="auto"/>
              <w:ind w:hanging="5"/>
              <w:jc w:val="center"/>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 xml:space="preserve">        元</w:t>
            </w:r>
          </w:p>
        </w:tc>
      </w:tr>
      <w:tr w14:paraId="72975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3" w:hRule="atLeast"/>
        </w:trPr>
        <w:tc>
          <w:tcPr>
            <w:tcW w:w="9404" w:type="dxa"/>
            <w:gridSpan w:val="7"/>
            <w:tcBorders>
              <w:top w:val="single" w:color="000000" w:sz="2" w:space="0"/>
              <w:bottom w:val="single" w:color="000000" w:sz="2" w:space="0"/>
            </w:tcBorders>
            <w:noWrap w:val="0"/>
            <w:vAlign w:val="center"/>
          </w:tcPr>
          <w:p w14:paraId="6585EB13">
            <w:pPr>
              <w:spacing w:line="342" w:lineRule="auto"/>
              <w:jc w:val="center"/>
              <w:rPr>
                <w:rFonts w:ascii="Arial"/>
                <w:color w:val="auto"/>
                <w:sz w:val="21"/>
                <w:highlight w:val="none"/>
              </w:rPr>
            </w:pPr>
          </w:p>
          <w:p w14:paraId="40A3DA70">
            <w:pPr>
              <w:spacing w:before="68" w:line="220" w:lineRule="auto"/>
              <w:ind w:firstLine="824" w:firstLineChars="400"/>
              <w:jc w:val="both"/>
              <w:rPr>
                <w:rFonts w:hint="default" w:ascii="Arial" w:eastAsia="宋体"/>
                <w:color w:val="auto"/>
                <w:sz w:val="21"/>
                <w:highlight w:val="none"/>
                <w:lang w:val="en-US" w:eastAsia="zh-CN"/>
              </w:rPr>
            </w:pPr>
            <w:r>
              <w:rPr>
                <w:rFonts w:ascii="宋体" w:hAnsi="宋体" w:eastAsia="宋体" w:cs="宋体"/>
                <w:color w:val="auto"/>
                <w:spacing w:val="-2"/>
                <w:sz w:val="21"/>
                <w:szCs w:val="21"/>
                <w:highlight w:val="none"/>
              </w:rPr>
              <w:t>保</w:t>
            </w:r>
            <w:r>
              <w:rPr>
                <w:rFonts w:hint="eastAsia" w:ascii="宋体" w:hAnsi="宋体" w:eastAsia="宋体" w:cs="宋体"/>
                <w:color w:val="auto"/>
                <w:spacing w:val="-2"/>
                <w:sz w:val="21"/>
                <w:szCs w:val="21"/>
                <w:highlight w:val="none"/>
              </w:rPr>
              <w:t>险</w:t>
            </w:r>
            <w:r>
              <w:rPr>
                <w:rFonts w:ascii="宋体" w:hAnsi="宋体" w:eastAsia="宋体" w:cs="宋体"/>
                <w:color w:val="auto"/>
                <w:spacing w:val="-2"/>
                <w:sz w:val="21"/>
                <w:szCs w:val="21"/>
                <w:highlight w:val="none"/>
              </w:rPr>
              <w:t>费</w:t>
            </w:r>
            <w:r>
              <w:rPr>
                <w:rFonts w:ascii="宋体" w:hAnsi="宋体" w:eastAsia="宋体" w:cs="宋体"/>
                <w:color w:val="auto"/>
                <w:spacing w:val="-1"/>
                <w:sz w:val="21"/>
                <w:szCs w:val="21"/>
                <w:highlight w:val="none"/>
              </w:rPr>
              <w:t>合计</w:t>
            </w: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u w:val="single"/>
                <w:lang w:val="en-US" w:eastAsia="zh-CN"/>
              </w:rPr>
              <w:t xml:space="preserve">                           </w:t>
            </w:r>
            <w:r>
              <w:rPr>
                <w:rFonts w:hint="eastAsia" w:ascii="宋体" w:hAnsi="宋体" w:eastAsia="宋体" w:cs="宋体"/>
                <w:color w:val="auto"/>
                <w:spacing w:val="-1"/>
                <w:sz w:val="21"/>
                <w:szCs w:val="21"/>
                <w:highlight w:val="none"/>
                <w:lang w:val="en-US" w:eastAsia="zh-CN"/>
              </w:rPr>
              <w:t xml:space="preserve"> 元</w:t>
            </w:r>
          </w:p>
          <w:p w14:paraId="33446220">
            <w:pPr>
              <w:spacing w:before="68" w:line="183" w:lineRule="auto"/>
              <w:ind w:left="531"/>
              <w:jc w:val="center"/>
              <w:rPr>
                <w:rFonts w:ascii="宋体" w:hAnsi="宋体" w:eastAsia="宋体" w:cs="宋体"/>
                <w:color w:val="auto"/>
                <w:sz w:val="21"/>
                <w:szCs w:val="21"/>
                <w:highlight w:val="none"/>
              </w:rPr>
            </w:pPr>
          </w:p>
        </w:tc>
      </w:tr>
    </w:tbl>
    <w:p w14:paraId="22751A23">
      <w:pPr>
        <w:pStyle w:val="27"/>
        <w:spacing w:before="0" w:beforeAutospacing="0" w:after="0" w:afterAutospacing="0"/>
        <w:rPr>
          <w:rFonts w:hint="eastAsia" w:cs="宋体"/>
          <w:b/>
          <w:bCs/>
          <w:color w:val="auto"/>
          <w:sz w:val="32"/>
          <w:szCs w:val="32"/>
          <w:highlight w:val="none"/>
        </w:rPr>
      </w:pPr>
    </w:p>
    <w:p w14:paraId="7952F9A4">
      <w:pPr>
        <w:spacing w:before="134" w:line="220" w:lineRule="auto"/>
        <w:ind w:left="296"/>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说</w:t>
      </w:r>
      <w:r>
        <w:rPr>
          <w:rFonts w:ascii="宋体" w:hAnsi="宋体" w:eastAsia="宋体" w:cs="宋体"/>
          <w:color w:val="auto"/>
          <w:spacing w:val="-8"/>
          <w:sz w:val="21"/>
          <w:szCs w:val="21"/>
          <w:highlight w:val="none"/>
        </w:rPr>
        <w:t>明： 1、费率用“‰”号表示，保留小数点后 2 位；</w:t>
      </w:r>
    </w:p>
    <w:p w14:paraId="303EA445">
      <w:pPr>
        <w:spacing w:before="215" w:line="218" w:lineRule="auto"/>
        <w:ind w:left="927"/>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2、上</w:t>
      </w:r>
      <w:r>
        <w:rPr>
          <w:rFonts w:ascii="宋体" w:hAnsi="宋体" w:eastAsia="宋体" w:cs="宋体"/>
          <w:color w:val="auto"/>
          <w:spacing w:val="-3"/>
          <w:sz w:val="21"/>
          <w:szCs w:val="21"/>
          <w:highlight w:val="none"/>
        </w:rPr>
        <w:t>述报价为含增值税价款；</w:t>
      </w:r>
    </w:p>
    <w:p w14:paraId="71F074B0">
      <w:pPr>
        <w:spacing w:before="217" w:line="219" w:lineRule="auto"/>
        <w:ind w:left="928"/>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3、保费精确到元</w:t>
      </w:r>
      <w:r>
        <w:rPr>
          <w:rFonts w:ascii="宋体" w:hAnsi="宋体" w:eastAsia="宋体" w:cs="宋体"/>
          <w:color w:val="auto"/>
          <w:spacing w:val="-5"/>
          <w:sz w:val="21"/>
          <w:szCs w:val="21"/>
          <w:highlight w:val="none"/>
        </w:rPr>
        <w:t>；</w:t>
      </w:r>
    </w:p>
    <w:p w14:paraId="162F2322">
      <w:pPr>
        <w:spacing w:before="232" w:line="218" w:lineRule="auto"/>
        <w:ind w:left="923"/>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4、投标</w:t>
      </w:r>
      <w:r>
        <w:rPr>
          <w:rFonts w:ascii="宋体" w:hAnsi="宋体" w:eastAsia="宋体" w:cs="宋体"/>
          <w:color w:val="auto"/>
          <w:spacing w:val="-5"/>
          <w:sz w:val="21"/>
          <w:szCs w:val="21"/>
          <w:highlight w:val="none"/>
        </w:rPr>
        <w:t>总</w:t>
      </w:r>
      <w:r>
        <w:rPr>
          <w:rFonts w:ascii="宋体" w:hAnsi="宋体" w:eastAsia="宋体" w:cs="宋体"/>
          <w:color w:val="auto"/>
          <w:spacing w:val="-3"/>
          <w:sz w:val="21"/>
          <w:szCs w:val="21"/>
          <w:highlight w:val="none"/>
        </w:rPr>
        <w:t>报价须以本项目</w:t>
      </w:r>
      <w:r>
        <w:rPr>
          <w:rFonts w:ascii="宋体" w:hAnsi="宋体" w:eastAsia="宋体" w:cs="宋体"/>
          <w:b/>
          <w:bCs/>
          <w:color w:val="auto"/>
          <w:spacing w:val="-3"/>
          <w:sz w:val="21"/>
          <w:szCs w:val="21"/>
          <w:highlight w:val="none"/>
        </w:rPr>
        <w:t>100%的份额</w:t>
      </w:r>
      <w:r>
        <w:rPr>
          <w:rFonts w:ascii="宋体" w:hAnsi="宋体" w:eastAsia="宋体" w:cs="宋体"/>
          <w:color w:val="auto"/>
          <w:spacing w:val="-3"/>
          <w:sz w:val="21"/>
          <w:szCs w:val="21"/>
          <w:highlight w:val="none"/>
        </w:rPr>
        <w:t>进行报价；</w:t>
      </w:r>
    </w:p>
    <w:p w14:paraId="0EF17011">
      <w:pPr>
        <w:spacing w:before="217" w:line="220" w:lineRule="auto"/>
        <w:ind w:left="92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5、费率与保险金</w:t>
      </w:r>
      <w:r>
        <w:rPr>
          <w:rFonts w:ascii="宋体" w:hAnsi="宋体" w:eastAsia="宋体" w:cs="宋体"/>
          <w:color w:val="auto"/>
          <w:sz w:val="21"/>
          <w:szCs w:val="21"/>
          <w:highlight w:val="none"/>
        </w:rPr>
        <w:t>额的乘积和保险费不一致的，以保险费为准，修正费率。</w:t>
      </w:r>
    </w:p>
    <w:p w14:paraId="2C22171A">
      <w:pPr>
        <w:pStyle w:val="27"/>
        <w:spacing w:before="0" w:beforeAutospacing="0" w:after="0" w:afterAutospacing="0"/>
        <w:ind w:firstLine="420" w:firstLineChars="200"/>
        <w:rPr>
          <w:rFonts w:hint="eastAsia" w:cs="宋体"/>
          <w:snapToGrid w:val="0"/>
          <w:color w:val="auto"/>
          <w:sz w:val="21"/>
          <w:szCs w:val="21"/>
          <w:highlight w:val="none"/>
        </w:rPr>
      </w:pPr>
    </w:p>
    <w:p w14:paraId="44612340">
      <w:pPr>
        <w:spacing w:line="440" w:lineRule="exact"/>
        <w:rPr>
          <w:rFonts w:hint="eastAsia" w:ascii="宋体" w:hAnsi="宋体" w:eastAsia="宋体" w:cs="宋体"/>
          <w:color w:val="auto"/>
          <w:sz w:val="21"/>
          <w:szCs w:val="21"/>
          <w:highlight w:val="none"/>
        </w:rPr>
      </w:pPr>
    </w:p>
    <w:p w14:paraId="74381D03">
      <w:pPr>
        <w:ind w:firstLine="210" w:firstLineChars="100"/>
        <w:rPr>
          <w:rFonts w:hint="eastAsia" w:ascii="宋体" w:hAnsi="宋体" w:eastAsia="宋体" w:cs="宋体"/>
          <w:snapToGrid w:val="0"/>
          <w:color w:val="auto"/>
          <w:sz w:val="21"/>
          <w:szCs w:val="21"/>
          <w:highlight w:val="none"/>
        </w:rPr>
      </w:pPr>
    </w:p>
    <w:p w14:paraId="0A5E94BB">
      <w:pPr>
        <w:ind w:firstLine="210" w:firstLineChars="10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投标单位名称： (盖单位电子公章)</w:t>
      </w:r>
    </w:p>
    <w:p w14:paraId="65766C55">
      <w:pPr>
        <w:ind w:firstLine="210" w:firstLineChars="100"/>
        <w:rPr>
          <w:rFonts w:hint="eastAsia" w:ascii="宋体" w:hAnsi="宋体" w:eastAsia="宋体" w:cs="宋体"/>
          <w:snapToGrid w:val="0"/>
          <w:color w:val="auto"/>
          <w:sz w:val="21"/>
          <w:szCs w:val="21"/>
          <w:highlight w:val="none"/>
        </w:rPr>
      </w:pPr>
    </w:p>
    <w:p w14:paraId="1892B10A">
      <w:pPr>
        <w:ind w:firstLine="210" w:firstLineChars="10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法定代表人（负责人）或委托代理人：（电子签章）</w:t>
      </w:r>
    </w:p>
    <w:p w14:paraId="415576C6">
      <w:pPr>
        <w:spacing w:line="440" w:lineRule="exact"/>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 xml:space="preserve">  日期：   年   月   日</w:t>
      </w:r>
    </w:p>
    <w:p w14:paraId="7D5DA510">
      <w:pPr>
        <w:outlineLvl w:val="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br w:type="page"/>
      </w:r>
      <w:bookmarkStart w:id="70" w:name="_Toc19592"/>
      <w:r>
        <w:rPr>
          <w:rFonts w:hint="eastAsia" w:ascii="宋体" w:hAnsi="宋体" w:eastAsia="宋体" w:cs="宋体"/>
          <w:color w:val="auto"/>
          <w:sz w:val="21"/>
          <w:szCs w:val="21"/>
          <w:highlight w:val="none"/>
        </w:rPr>
        <w:t>附件</w:t>
      </w:r>
      <w:bookmarkEnd w:id="70"/>
      <w:r>
        <w:rPr>
          <w:rFonts w:hint="eastAsia" w:ascii="宋体" w:hAnsi="宋体" w:eastAsia="宋体" w:cs="宋体"/>
          <w:color w:val="auto"/>
          <w:sz w:val="21"/>
          <w:szCs w:val="21"/>
          <w:highlight w:val="none"/>
          <w:lang w:val="en-US" w:eastAsia="zh-CN"/>
        </w:rPr>
        <w:t>3</w:t>
      </w:r>
    </w:p>
    <w:p w14:paraId="0FC62190">
      <w:pPr>
        <w:pStyle w:val="17"/>
        <w:spacing w:line="360" w:lineRule="auto"/>
        <w:ind w:left="0" w:leftChars="0" w:firstLine="0" w:firstLineChars="0"/>
        <w:jc w:val="center"/>
        <w:rPr>
          <w:rFonts w:hint="eastAsia" w:ascii="宋体" w:hAnsi="宋体" w:eastAsia="宋体" w:cs="宋体"/>
          <w:b/>
          <w:bCs/>
          <w:color w:val="auto"/>
          <w:szCs w:val="32"/>
          <w:highlight w:val="none"/>
        </w:rPr>
      </w:pPr>
      <w:bookmarkStart w:id="71" w:name="_Toc32022_WPSOffice_Level1"/>
      <w:r>
        <w:rPr>
          <w:rFonts w:hint="eastAsia" w:ascii="宋体" w:hAnsi="宋体" w:eastAsia="宋体" w:cs="宋体"/>
          <w:b/>
          <w:bCs/>
          <w:color w:val="auto"/>
          <w:szCs w:val="32"/>
          <w:highlight w:val="none"/>
        </w:rPr>
        <w:t>台州湾陆岛联动综合码头工程（一期）</w:t>
      </w:r>
      <w:r>
        <w:rPr>
          <w:rFonts w:hint="eastAsia" w:ascii="宋体" w:hAnsi="宋体" w:eastAsia="宋体" w:cs="宋体"/>
          <w:b/>
          <w:bCs/>
          <w:color w:val="auto"/>
          <w:szCs w:val="32"/>
          <w:highlight w:val="none"/>
          <w:lang w:eastAsia="zh-CN"/>
        </w:rPr>
        <w:t>建筑工程一切险</w:t>
      </w:r>
      <w:r>
        <w:rPr>
          <w:rFonts w:hint="eastAsia" w:ascii="宋体" w:hAnsi="宋体" w:eastAsia="宋体" w:cs="宋体"/>
          <w:b/>
          <w:bCs/>
          <w:color w:val="auto"/>
          <w:szCs w:val="32"/>
          <w:highlight w:val="none"/>
        </w:rPr>
        <w:t>及安全生产责任险保险方案</w:t>
      </w:r>
      <w:bookmarkEnd w:id="71"/>
    </w:p>
    <w:p w14:paraId="77D2C8C6">
      <w:pPr>
        <w:ind w:firstLine="2530" w:firstLineChars="900"/>
        <w:jc w:val="both"/>
        <w:rPr>
          <w:rFonts w:hint="default" w:eastAsia="宋体"/>
          <w:color w:val="auto"/>
          <w:highlight w:val="none"/>
          <w:lang w:val="en-US" w:eastAsia="zh-CN"/>
        </w:rPr>
      </w:pPr>
      <w:r>
        <w:rPr>
          <w:rFonts w:hint="eastAsia" w:ascii="宋体" w:hAnsi="宋体" w:eastAsia="宋体" w:cs="宋体"/>
          <w:b/>
          <w:bCs/>
          <w:color w:val="auto"/>
          <w:sz w:val="28"/>
          <w:szCs w:val="24"/>
          <w:highlight w:val="none"/>
          <w:lang w:eastAsia="zh-CN"/>
        </w:rPr>
        <w:t>拟投入人员一览表</w:t>
      </w:r>
    </w:p>
    <w:tbl>
      <w:tblPr>
        <w:tblStyle w:val="30"/>
        <w:tblpPr w:leftFromText="180" w:rightFromText="180" w:vertAnchor="text" w:horzAnchor="page" w:tblpX="1421" w:tblpY="115"/>
        <w:tblOverlap w:val="never"/>
        <w:tblW w:w="9086"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5"/>
        <w:gridCol w:w="1737"/>
        <w:gridCol w:w="868"/>
        <w:gridCol w:w="659"/>
        <w:gridCol w:w="1422"/>
        <w:gridCol w:w="1332"/>
        <w:gridCol w:w="2343"/>
      </w:tblGrid>
      <w:tr w14:paraId="49A0D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3" w:hRule="atLeast"/>
        </w:trPr>
        <w:tc>
          <w:tcPr>
            <w:tcW w:w="725" w:type="dxa"/>
            <w:tcBorders>
              <w:left w:val="single" w:color="000000" w:sz="12" w:space="0"/>
              <w:right w:val="single" w:color="000000" w:sz="6" w:space="0"/>
            </w:tcBorders>
            <w:noWrap w:val="0"/>
            <w:vAlign w:val="top"/>
          </w:tcPr>
          <w:p w14:paraId="6253A11D">
            <w:pPr>
              <w:spacing w:line="393" w:lineRule="auto"/>
              <w:rPr>
                <w:rFonts w:ascii="Arial"/>
                <w:color w:val="auto"/>
                <w:sz w:val="21"/>
                <w:highlight w:val="none"/>
              </w:rPr>
            </w:pPr>
          </w:p>
          <w:p w14:paraId="0813D48F">
            <w:pPr>
              <w:spacing w:before="62" w:line="226" w:lineRule="auto"/>
              <w:ind w:left="141"/>
              <w:rPr>
                <w:rFonts w:ascii="宋体" w:hAnsi="宋体" w:eastAsia="宋体" w:cs="宋体"/>
                <w:color w:val="auto"/>
                <w:sz w:val="19"/>
                <w:szCs w:val="19"/>
                <w:highlight w:val="none"/>
              </w:rPr>
            </w:pPr>
            <w:r>
              <w:rPr>
                <w:rFonts w:ascii="宋体" w:hAnsi="宋体" w:eastAsia="宋体" w:cs="宋体"/>
                <w:color w:val="auto"/>
                <w:spacing w:val="2"/>
                <w:sz w:val="19"/>
                <w:szCs w:val="19"/>
                <w:highlight w:val="none"/>
              </w:rPr>
              <w:t>序</w:t>
            </w:r>
            <w:r>
              <w:rPr>
                <w:rFonts w:ascii="宋体" w:hAnsi="宋体" w:eastAsia="宋体" w:cs="宋体"/>
                <w:color w:val="auto"/>
                <w:spacing w:val="1"/>
                <w:sz w:val="19"/>
                <w:szCs w:val="19"/>
                <w:highlight w:val="none"/>
              </w:rPr>
              <w:t>号</w:t>
            </w:r>
          </w:p>
        </w:tc>
        <w:tc>
          <w:tcPr>
            <w:tcW w:w="1737" w:type="dxa"/>
            <w:tcBorders>
              <w:left w:val="single" w:color="000000" w:sz="6" w:space="0"/>
              <w:right w:val="single" w:color="000000" w:sz="6" w:space="0"/>
            </w:tcBorders>
            <w:noWrap w:val="0"/>
            <w:vAlign w:val="top"/>
          </w:tcPr>
          <w:p w14:paraId="0CE36ABE">
            <w:pPr>
              <w:spacing w:line="394" w:lineRule="auto"/>
              <w:rPr>
                <w:rFonts w:ascii="Arial"/>
                <w:color w:val="auto"/>
                <w:sz w:val="21"/>
                <w:highlight w:val="none"/>
              </w:rPr>
            </w:pPr>
          </w:p>
          <w:p w14:paraId="25D1F0D4">
            <w:pPr>
              <w:spacing w:before="61" w:line="224" w:lineRule="auto"/>
              <w:ind w:left="671"/>
              <w:rPr>
                <w:rFonts w:ascii="宋体" w:hAnsi="宋体" w:eastAsia="宋体" w:cs="宋体"/>
                <w:color w:val="auto"/>
                <w:sz w:val="19"/>
                <w:szCs w:val="19"/>
                <w:highlight w:val="none"/>
              </w:rPr>
            </w:pPr>
            <w:r>
              <w:rPr>
                <w:rFonts w:ascii="宋体" w:hAnsi="宋体" w:eastAsia="宋体" w:cs="宋体"/>
                <w:color w:val="auto"/>
                <w:spacing w:val="1"/>
                <w:sz w:val="19"/>
                <w:szCs w:val="19"/>
                <w:highlight w:val="none"/>
              </w:rPr>
              <w:t>姓名</w:t>
            </w:r>
          </w:p>
        </w:tc>
        <w:tc>
          <w:tcPr>
            <w:tcW w:w="868" w:type="dxa"/>
            <w:tcBorders>
              <w:left w:val="single" w:color="000000" w:sz="6" w:space="0"/>
              <w:right w:val="single" w:color="000000" w:sz="6" w:space="0"/>
            </w:tcBorders>
            <w:noWrap w:val="0"/>
            <w:vAlign w:val="top"/>
          </w:tcPr>
          <w:p w14:paraId="243C51A8">
            <w:pPr>
              <w:spacing w:line="393" w:lineRule="auto"/>
              <w:rPr>
                <w:rFonts w:ascii="Arial"/>
                <w:color w:val="auto"/>
                <w:sz w:val="21"/>
                <w:highlight w:val="none"/>
              </w:rPr>
            </w:pPr>
          </w:p>
          <w:p w14:paraId="28A2FAA3">
            <w:pPr>
              <w:spacing w:before="62" w:line="225" w:lineRule="auto"/>
              <w:ind w:left="243"/>
              <w:rPr>
                <w:rFonts w:ascii="宋体" w:hAnsi="宋体" w:eastAsia="宋体" w:cs="宋体"/>
                <w:color w:val="auto"/>
                <w:sz w:val="19"/>
                <w:szCs w:val="19"/>
                <w:highlight w:val="none"/>
              </w:rPr>
            </w:pPr>
            <w:r>
              <w:rPr>
                <w:rFonts w:ascii="宋体" w:hAnsi="宋体" w:eastAsia="宋体" w:cs="宋体"/>
                <w:color w:val="auto"/>
                <w:sz w:val="19"/>
                <w:szCs w:val="19"/>
                <w:highlight w:val="none"/>
              </w:rPr>
              <w:t>性别</w:t>
            </w:r>
          </w:p>
        </w:tc>
        <w:tc>
          <w:tcPr>
            <w:tcW w:w="659" w:type="dxa"/>
            <w:tcBorders>
              <w:left w:val="single" w:color="000000" w:sz="6" w:space="0"/>
              <w:right w:val="single" w:color="000000" w:sz="6" w:space="0"/>
            </w:tcBorders>
            <w:noWrap w:val="0"/>
            <w:vAlign w:val="top"/>
          </w:tcPr>
          <w:p w14:paraId="0929D740">
            <w:pPr>
              <w:spacing w:line="394" w:lineRule="auto"/>
              <w:rPr>
                <w:rFonts w:ascii="Arial"/>
                <w:color w:val="auto"/>
                <w:sz w:val="21"/>
                <w:highlight w:val="none"/>
              </w:rPr>
            </w:pPr>
          </w:p>
          <w:p w14:paraId="0FEEEE12">
            <w:pPr>
              <w:spacing w:before="61" w:line="224" w:lineRule="auto"/>
              <w:ind w:left="139"/>
              <w:rPr>
                <w:rFonts w:ascii="宋体" w:hAnsi="宋体" w:eastAsia="宋体" w:cs="宋体"/>
                <w:color w:val="auto"/>
                <w:sz w:val="19"/>
                <w:szCs w:val="19"/>
                <w:highlight w:val="none"/>
              </w:rPr>
            </w:pPr>
            <w:r>
              <w:rPr>
                <w:rFonts w:ascii="宋体" w:hAnsi="宋体" w:eastAsia="宋体" w:cs="宋体"/>
                <w:color w:val="auto"/>
                <w:spacing w:val="1"/>
                <w:sz w:val="19"/>
                <w:szCs w:val="19"/>
                <w:highlight w:val="none"/>
              </w:rPr>
              <w:t>年</w:t>
            </w:r>
            <w:r>
              <w:rPr>
                <w:rFonts w:ascii="宋体" w:hAnsi="宋体" w:eastAsia="宋体" w:cs="宋体"/>
                <w:color w:val="auto"/>
                <w:sz w:val="19"/>
                <w:szCs w:val="19"/>
                <w:highlight w:val="none"/>
              </w:rPr>
              <w:t>龄</w:t>
            </w:r>
          </w:p>
        </w:tc>
        <w:tc>
          <w:tcPr>
            <w:tcW w:w="1422" w:type="dxa"/>
            <w:tcBorders>
              <w:left w:val="single" w:color="000000" w:sz="6" w:space="0"/>
              <w:right w:val="single" w:color="000000" w:sz="6" w:space="0"/>
            </w:tcBorders>
            <w:noWrap w:val="0"/>
            <w:vAlign w:val="top"/>
          </w:tcPr>
          <w:p w14:paraId="7EF51F29">
            <w:pPr>
              <w:spacing w:line="394" w:lineRule="auto"/>
              <w:rPr>
                <w:rFonts w:ascii="Arial"/>
                <w:color w:val="auto"/>
                <w:sz w:val="21"/>
                <w:highlight w:val="none"/>
              </w:rPr>
            </w:pPr>
          </w:p>
          <w:p w14:paraId="2BCE6523">
            <w:pPr>
              <w:spacing w:before="61" w:line="224" w:lineRule="auto"/>
              <w:ind w:left="532"/>
              <w:rPr>
                <w:rFonts w:ascii="宋体" w:hAnsi="宋体" w:eastAsia="宋体" w:cs="宋体"/>
                <w:color w:val="auto"/>
                <w:sz w:val="19"/>
                <w:szCs w:val="19"/>
                <w:highlight w:val="none"/>
              </w:rPr>
            </w:pPr>
            <w:r>
              <w:rPr>
                <w:rFonts w:ascii="宋体" w:hAnsi="宋体" w:eastAsia="宋体" w:cs="宋体"/>
                <w:color w:val="auto"/>
                <w:spacing w:val="1"/>
                <w:sz w:val="19"/>
                <w:szCs w:val="19"/>
                <w:highlight w:val="none"/>
              </w:rPr>
              <w:t>职</w:t>
            </w:r>
            <w:r>
              <w:rPr>
                <w:rFonts w:ascii="宋体" w:hAnsi="宋体" w:eastAsia="宋体" w:cs="宋体"/>
                <w:color w:val="auto"/>
                <w:sz w:val="19"/>
                <w:szCs w:val="19"/>
                <w:highlight w:val="none"/>
              </w:rPr>
              <w:t>务</w:t>
            </w:r>
          </w:p>
        </w:tc>
        <w:tc>
          <w:tcPr>
            <w:tcW w:w="1332" w:type="dxa"/>
            <w:tcBorders>
              <w:left w:val="single" w:color="000000" w:sz="6" w:space="0"/>
              <w:right w:val="single" w:color="000000" w:sz="6" w:space="0"/>
            </w:tcBorders>
            <w:noWrap w:val="0"/>
            <w:vAlign w:val="top"/>
          </w:tcPr>
          <w:p w14:paraId="27172EA4">
            <w:pPr>
              <w:spacing w:line="394" w:lineRule="auto"/>
              <w:rPr>
                <w:rFonts w:ascii="Arial"/>
                <w:color w:val="auto"/>
                <w:sz w:val="21"/>
                <w:highlight w:val="none"/>
              </w:rPr>
            </w:pPr>
          </w:p>
          <w:p w14:paraId="358C1A19">
            <w:pPr>
              <w:spacing w:before="61" w:line="224" w:lineRule="auto"/>
              <w:ind w:left="281"/>
              <w:rPr>
                <w:rFonts w:ascii="宋体" w:hAnsi="宋体" w:eastAsia="宋体" w:cs="宋体"/>
                <w:color w:val="auto"/>
                <w:sz w:val="19"/>
                <w:szCs w:val="19"/>
                <w:highlight w:val="none"/>
              </w:rPr>
            </w:pPr>
            <w:r>
              <w:rPr>
                <w:rFonts w:ascii="宋体" w:hAnsi="宋体" w:eastAsia="宋体" w:cs="宋体"/>
                <w:color w:val="auto"/>
                <w:spacing w:val="3"/>
                <w:sz w:val="19"/>
                <w:szCs w:val="19"/>
                <w:highlight w:val="none"/>
              </w:rPr>
              <w:t>技术职</w:t>
            </w:r>
            <w:r>
              <w:rPr>
                <w:rFonts w:ascii="宋体" w:hAnsi="宋体" w:eastAsia="宋体" w:cs="宋体"/>
                <w:color w:val="auto"/>
                <w:spacing w:val="2"/>
                <w:sz w:val="19"/>
                <w:szCs w:val="19"/>
                <w:highlight w:val="none"/>
              </w:rPr>
              <w:t>称</w:t>
            </w:r>
          </w:p>
        </w:tc>
        <w:tc>
          <w:tcPr>
            <w:tcW w:w="2343" w:type="dxa"/>
            <w:tcBorders>
              <w:left w:val="single" w:color="000000" w:sz="6" w:space="0"/>
              <w:right w:val="single" w:color="000000" w:sz="12" w:space="0"/>
            </w:tcBorders>
            <w:noWrap w:val="0"/>
            <w:vAlign w:val="top"/>
          </w:tcPr>
          <w:p w14:paraId="452706E4">
            <w:pPr>
              <w:spacing w:line="393" w:lineRule="auto"/>
              <w:rPr>
                <w:rFonts w:ascii="Arial"/>
                <w:color w:val="auto"/>
                <w:sz w:val="21"/>
                <w:highlight w:val="none"/>
              </w:rPr>
            </w:pPr>
          </w:p>
          <w:p w14:paraId="682BA76F">
            <w:pPr>
              <w:spacing w:before="62" w:line="224" w:lineRule="auto"/>
              <w:ind w:left="301"/>
              <w:rPr>
                <w:rFonts w:ascii="宋体" w:hAnsi="宋体" w:eastAsia="宋体" w:cs="宋体"/>
                <w:color w:val="auto"/>
                <w:sz w:val="19"/>
                <w:szCs w:val="19"/>
                <w:highlight w:val="none"/>
              </w:rPr>
            </w:pPr>
            <w:r>
              <w:rPr>
                <w:rFonts w:ascii="宋体" w:hAnsi="宋体" w:eastAsia="宋体" w:cs="宋体"/>
                <w:color w:val="auto"/>
                <w:spacing w:val="4"/>
                <w:sz w:val="19"/>
                <w:szCs w:val="19"/>
                <w:highlight w:val="none"/>
              </w:rPr>
              <w:t>本项目拟担任的职务</w:t>
            </w:r>
          </w:p>
        </w:tc>
      </w:tr>
      <w:tr w14:paraId="7AD063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725" w:type="dxa"/>
            <w:tcBorders>
              <w:left w:val="single" w:color="000000" w:sz="12" w:space="0"/>
              <w:right w:val="single" w:color="000000" w:sz="6" w:space="0"/>
            </w:tcBorders>
            <w:noWrap w:val="0"/>
            <w:vAlign w:val="top"/>
          </w:tcPr>
          <w:p w14:paraId="228C126B">
            <w:pPr>
              <w:rPr>
                <w:rFonts w:ascii="Arial"/>
                <w:color w:val="auto"/>
                <w:sz w:val="21"/>
                <w:highlight w:val="none"/>
              </w:rPr>
            </w:pPr>
          </w:p>
        </w:tc>
        <w:tc>
          <w:tcPr>
            <w:tcW w:w="1737" w:type="dxa"/>
            <w:tcBorders>
              <w:left w:val="single" w:color="000000" w:sz="6" w:space="0"/>
              <w:right w:val="single" w:color="000000" w:sz="6" w:space="0"/>
            </w:tcBorders>
            <w:noWrap w:val="0"/>
            <w:vAlign w:val="top"/>
          </w:tcPr>
          <w:p w14:paraId="7BDCAA37">
            <w:pPr>
              <w:rPr>
                <w:rFonts w:ascii="Arial"/>
                <w:color w:val="auto"/>
                <w:sz w:val="21"/>
                <w:highlight w:val="none"/>
              </w:rPr>
            </w:pPr>
          </w:p>
        </w:tc>
        <w:tc>
          <w:tcPr>
            <w:tcW w:w="868" w:type="dxa"/>
            <w:tcBorders>
              <w:left w:val="single" w:color="000000" w:sz="6" w:space="0"/>
              <w:right w:val="single" w:color="000000" w:sz="6" w:space="0"/>
            </w:tcBorders>
            <w:noWrap w:val="0"/>
            <w:vAlign w:val="top"/>
          </w:tcPr>
          <w:p w14:paraId="19BE72CF">
            <w:pPr>
              <w:rPr>
                <w:rFonts w:ascii="Arial"/>
                <w:color w:val="auto"/>
                <w:sz w:val="21"/>
                <w:highlight w:val="none"/>
              </w:rPr>
            </w:pPr>
          </w:p>
        </w:tc>
        <w:tc>
          <w:tcPr>
            <w:tcW w:w="659" w:type="dxa"/>
            <w:tcBorders>
              <w:left w:val="single" w:color="000000" w:sz="6" w:space="0"/>
              <w:right w:val="single" w:color="000000" w:sz="6" w:space="0"/>
            </w:tcBorders>
            <w:noWrap w:val="0"/>
            <w:vAlign w:val="top"/>
          </w:tcPr>
          <w:p w14:paraId="204A1E41">
            <w:pPr>
              <w:rPr>
                <w:rFonts w:ascii="Arial"/>
                <w:color w:val="auto"/>
                <w:sz w:val="21"/>
                <w:highlight w:val="none"/>
              </w:rPr>
            </w:pPr>
          </w:p>
        </w:tc>
        <w:tc>
          <w:tcPr>
            <w:tcW w:w="1422" w:type="dxa"/>
            <w:tcBorders>
              <w:left w:val="single" w:color="000000" w:sz="6" w:space="0"/>
              <w:right w:val="single" w:color="000000" w:sz="6" w:space="0"/>
            </w:tcBorders>
            <w:noWrap w:val="0"/>
            <w:vAlign w:val="top"/>
          </w:tcPr>
          <w:p w14:paraId="088EEC1C">
            <w:pPr>
              <w:rPr>
                <w:rFonts w:ascii="Arial"/>
                <w:color w:val="auto"/>
                <w:sz w:val="21"/>
                <w:highlight w:val="none"/>
              </w:rPr>
            </w:pPr>
          </w:p>
        </w:tc>
        <w:tc>
          <w:tcPr>
            <w:tcW w:w="1332" w:type="dxa"/>
            <w:tcBorders>
              <w:left w:val="single" w:color="000000" w:sz="6" w:space="0"/>
              <w:right w:val="single" w:color="000000" w:sz="6" w:space="0"/>
            </w:tcBorders>
            <w:noWrap w:val="0"/>
            <w:vAlign w:val="top"/>
          </w:tcPr>
          <w:p w14:paraId="349C1D97">
            <w:pPr>
              <w:rPr>
                <w:rFonts w:ascii="Arial"/>
                <w:color w:val="auto"/>
                <w:sz w:val="21"/>
                <w:highlight w:val="none"/>
              </w:rPr>
            </w:pPr>
          </w:p>
        </w:tc>
        <w:tc>
          <w:tcPr>
            <w:tcW w:w="2343" w:type="dxa"/>
            <w:tcBorders>
              <w:left w:val="single" w:color="000000" w:sz="6" w:space="0"/>
              <w:right w:val="single" w:color="000000" w:sz="12" w:space="0"/>
            </w:tcBorders>
            <w:noWrap w:val="0"/>
            <w:vAlign w:val="top"/>
          </w:tcPr>
          <w:p w14:paraId="60D35305">
            <w:pPr>
              <w:rPr>
                <w:rFonts w:ascii="Arial"/>
                <w:color w:val="auto"/>
                <w:sz w:val="21"/>
                <w:highlight w:val="none"/>
              </w:rPr>
            </w:pPr>
          </w:p>
        </w:tc>
      </w:tr>
      <w:tr w14:paraId="4EA240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725" w:type="dxa"/>
            <w:tcBorders>
              <w:left w:val="single" w:color="000000" w:sz="12" w:space="0"/>
              <w:right w:val="single" w:color="000000" w:sz="6" w:space="0"/>
            </w:tcBorders>
            <w:noWrap w:val="0"/>
            <w:vAlign w:val="top"/>
          </w:tcPr>
          <w:p w14:paraId="79331736">
            <w:pPr>
              <w:rPr>
                <w:rFonts w:ascii="Arial"/>
                <w:color w:val="auto"/>
                <w:sz w:val="21"/>
                <w:highlight w:val="none"/>
              </w:rPr>
            </w:pPr>
          </w:p>
        </w:tc>
        <w:tc>
          <w:tcPr>
            <w:tcW w:w="1737" w:type="dxa"/>
            <w:tcBorders>
              <w:left w:val="single" w:color="000000" w:sz="6" w:space="0"/>
              <w:right w:val="single" w:color="000000" w:sz="6" w:space="0"/>
            </w:tcBorders>
            <w:noWrap w:val="0"/>
            <w:vAlign w:val="top"/>
          </w:tcPr>
          <w:p w14:paraId="39FAABF2">
            <w:pPr>
              <w:rPr>
                <w:rFonts w:ascii="Arial"/>
                <w:color w:val="auto"/>
                <w:sz w:val="21"/>
                <w:highlight w:val="none"/>
              </w:rPr>
            </w:pPr>
          </w:p>
        </w:tc>
        <w:tc>
          <w:tcPr>
            <w:tcW w:w="868" w:type="dxa"/>
            <w:tcBorders>
              <w:left w:val="single" w:color="000000" w:sz="6" w:space="0"/>
              <w:right w:val="single" w:color="000000" w:sz="6" w:space="0"/>
            </w:tcBorders>
            <w:noWrap w:val="0"/>
            <w:vAlign w:val="top"/>
          </w:tcPr>
          <w:p w14:paraId="344DD98B">
            <w:pPr>
              <w:rPr>
                <w:rFonts w:ascii="Arial"/>
                <w:color w:val="auto"/>
                <w:sz w:val="21"/>
                <w:highlight w:val="none"/>
              </w:rPr>
            </w:pPr>
          </w:p>
        </w:tc>
        <w:tc>
          <w:tcPr>
            <w:tcW w:w="659" w:type="dxa"/>
            <w:tcBorders>
              <w:left w:val="single" w:color="000000" w:sz="6" w:space="0"/>
              <w:right w:val="single" w:color="000000" w:sz="6" w:space="0"/>
            </w:tcBorders>
            <w:noWrap w:val="0"/>
            <w:vAlign w:val="top"/>
          </w:tcPr>
          <w:p w14:paraId="55C39496">
            <w:pPr>
              <w:rPr>
                <w:rFonts w:ascii="Arial"/>
                <w:color w:val="auto"/>
                <w:sz w:val="21"/>
                <w:highlight w:val="none"/>
              </w:rPr>
            </w:pPr>
          </w:p>
        </w:tc>
        <w:tc>
          <w:tcPr>
            <w:tcW w:w="1422" w:type="dxa"/>
            <w:tcBorders>
              <w:left w:val="single" w:color="000000" w:sz="6" w:space="0"/>
              <w:right w:val="single" w:color="000000" w:sz="6" w:space="0"/>
            </w:tcBorders>
            <w:noWrap w:val="0"/>
            <w:vAlign w:val="top"/>
          </w:tcPr>
          <w:p w14:paraId="767D45B1">
            <w:pPr>
              <w:rPr>
                <w:rFonts w:ascii="Arial"/>
                <w:color w:val="auto"/>
                <w:sz w:val="21"/>
                <w:highlight w:val="none"/>
              </w:rPr>
            </w:pPr>
          </w:p>
        </w:tc>
        <w:tc>
          <w:tcPr>
            <w:tcW w:w="1332" w:type="dxa"/>
            <w:tcBorders>
              <w:left w:val="single" w:color="000000" w:sz="6" w:space="0"/>
              <w:right w:val="single" w:color="000000" w:sz="6" w:space="0"/>
            </w:tcBorders>
            <w:noWrap w:val="0"/>
            <w:vAlign w:val="top"/>
          </w:tcPr>
          <w:p w14:paraId="031F30B9">
            <w:pPr>
              <w:rPr>
                <w:rFonts w:ascii="Arial"/>
                <w:color w:val="auto"/>
                <w:sz w:val="21"/>
                <w:highlight w:val="none"/>
              </w:rPr>
            </w:pPr>
          </w:p>
        </w:tc>
        <w:tc>
          <w:tcPr>
            <w:tcW w:w="2343" w:type="dxa"/>
            <w:tcBorders>
              <w:left w:val="single" w:color="000000" w:sz="6" w:space="0"/>
              <w:right w:val="single" w:color="000000" w:sz="12" w:space="0"/>
            </w:tcBorders>
            <w:noWrap w:val="0"/>
            <w:vAlign w:val="top"/>
          </w:tcPr>
          <w:p w14:paraId="69FA64D7">
            <w:pPr>
              <w:rPr>
                <w:rFonts w:ascii="Arial"/>
                <w:color w:val="auto"/>
                <w:sz w:val="21"/>
                <w:highlight w:val="none"/>
              </w:rPr>
            </w:pPr>
          </w:p>
        </w:tc>
      </w:tr>
      <w:tr w14:paraId="30123E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725" w:type="dxa"/>
            <w:tcBorders>
              <w:left w:val="single" w:color="000000" w:sz="12" w:space="0"/>
              <w:right w:val="single" w:color="000000" w:sz="6" w:space="0"/>
            </w:tcBorders>
            <w:noWrap w:val="0"/>
            <w:vAlign w:val="top"/>
          </w:tcPr>
          <w:p w14:paraId="5F16D361">
            <w:pPr>
              <w:rPr>
                <w:rFonts w:ascii="Arial"/>
                <w:color w:val="auto"/>
                <w:sz w:val="21"/>
                <w:highlight w:val="none"/>
              </w:rPr>
            </w:pPr>
          </w:p>
        </w:tc>
        <w:tc>
          <w:tcPr>
            <w:tcW w:w="1737" w:type="dxa"/>
            <w:tcBorders>
              <w:left w:val="single" w:color="000000" w:sz="6" w:space="0"/>
              <w:right w:val="single" w:color="000000" w:sz="6" w:space="0"/>
            </w:tcBorders>
            <w:noWrap w:val="0"/>
            <w:vAlign w:val="top"/>
          </w:tcPr>
          <w:p w14:paraId="20DF1520">
            <w:pPr>
              <w:rPr>
                <w:rFonts w:ascii="Arial"/>
                <w:color w:val="auto"/>
                <w:sz w:val="21"/>
                <w:highlight w:val="none"/>
              </w:rPr>
            </w:pPr>
          </w:p>
        </w:tc>
        <w:tc>
          <w:tcPr>
            <w:tcW w:w="868" w:type="dxa"/>
            <w:tcBorders>
              <w:left w:val="single" w:color="000000" w:sz="6" w:space="0"/>
              <w:right w:val="single" w:color="000000" w:sz="6" w:space="0"/>
            </w:tcBorders>
            <w:noWrap w:val="0"/>
            <w:vAlign w:val="top"/>
          </w:tcPr>
          <w:p w14:paraId="3A31C534">
            <w:pPr>
              <w:rPr>
                <w:rFonts w:ascii="Arial"/>
                <w:color w:val="auto"/>
                <w:sz w:val="21"/>
                <w:highlight w:val="none"/>
              </w:rPr>
            </w:pPr>
          </w:p>
        </w:tc>
        <w:tc>
          <w:tcPr>
            <w:tcW w:w="659" w:type="dxa"/>
            <w:tcBorders>
              <w:left w:val="single" w:color="000000" w:sz="6" w:space="0"/>
              <w:right w:val="single" w:color="000000" w:sz="6" w:space="0"/>
            </w:tcBorders>
            <w:noWrap w:val="0"/>
            <w:vAlign w:val="top"/>
          </w:tcPr>
          <w:p w14:paraId="16F01E80">
            <w:pPr>
              <w:rPr>
                <w:rFonts w:ascii="Arial"/>
                <w:color w:val="auto"/>
                <w:sz w:val="21"/>
                <w:highlight w:val="none"/>
              </w:rPr>
            </w:pPr>
          </w:p>
        </w:tc>
        <w:tc>
          <w:tcPr>
            <w:tcW w:w="1422" w:type="dxa"/>
            <w:tcBorders>
              <w:left w:val="single" w:color="000000" w:sz="6" w:space="0"/>
              <w:right w:val="single" w:color="000000" w:sz="6" w:space="0"/>
            </w:tcBorders>
            <w:noWrap w:val="0"/>
            <w:vAlign w:val="top"/>
          </w:tcPr>
          <w:p w14:paraId="544CAA03">
            <w:pPr>
              <w:rPr>
                <w:rFonts w:ascii="Arial"/>
                <w:color w:val="auto"/>
                <w:sz w:val="21"/>
                <w:highlight w:val="none"/>
              </w:rPr>
            </w:pPr>
          </w:p>
        </w:tc>
        <w:tc>
          <w:tcPr>
            <w:tcW w:w="1332" w:type="dxa"/>
            <w:tcBorders>
              <w:left w:val="single" w:color="000000" w:sz="6" w:space="0"/>
              <w:right w:val="single" w:color="000000" w:sz="6" w:space="0"/>
            </w:tcBorders>
            <w:noWrap w:val="0"/>
            <w:vAlign w:val="top"/>
          </w:tcPr>
          <w:p w14:paraId="6BDAF3D0">
            <w:pPr>
              <w:rPr>
                <w:rFonts w:ascii="Arial"/>
                <w:color w:val="auto"/>
                <w:sz w:val="21"/>
                <w:highlight w:val="none"/>
              </w:rPr>
            </w:pPr>
          </w:p>
        </w:tc>
        <w:tc>
          <w:tcPr>
            <w:tcW w:w="2343" w:type="dxa"/>
            <w:tcBorders>
              <w:left w:val="single" w:color="000000" w:sz="6" w:space="0"/>
              <w:right w:val="single" w:color="000000" w:sz="12" w:space="0"/>
            </w:tcBorders>
            <w:noWrap w:val="0"/>
            <w:vAlign w:val="top"/>
          </w:tcPr>
          <w:p w14:paraId="37C0C8C6">
            <w:pPr>
              <w:rPr>
                <w:rFonts w:ascii="Arial"/>
                <w:color w:val="auto"/>
                <w:sz w:val="21"/>
                <w:highlight w:val="none"/>
              </w:rPr>
            </w:pPr>
          </w:p>
        </w:tc>
      </w:tr>
      <w:tr w14:paraId="5D207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725" w:type="dxa"/>
            <w:tcBorders>
              <w:left w:val="single" w:color="000000" w:sz="12" w:space="0"/>
              <w:right w:val="single" w:color="000000" w:sz="6" w:space="0"/>
            </w:tcBorders>
            <w:noWrap w:val="0"/>
            <w:vAlign w:val="top"/>
          </w:tcPr>
          <w:p w14:paraId="56432633">
            <w:pPr>
              <w:rPr>
                <w:rFonts w:ascii="Arial"/>
                <w:color w:val="auto"/>
                <w:sz w:val="21"/>
                <w:highlight w:val="none"/>
              </w:rPr>
            </w:pPr>
          </w:p>
        </w:tc>
        <w:tc>
          <w:tcPr>
            <w:tcW w:w="1737" w:type="dxa"/>
            <w:tcBorders>
              <w:left w:val="single" w:color="000000" w:sz="6" w:space="0"/>
              <w:right w:val="single" w:color="000000" w:sz="6" w:space="0"/>
            </w:tcBorders>
            <w:noWrap w:val="0"/>
            <w:vAlign w:val="top"/>
          </w:tcPr>
          <w:p w14:paraId="4C09BF81">
            <w:pPr>
              <w:rPr>
                <w:rFonts w:ascii="Arial"/>
                <w:color w:val="auto"/>
                <w:sz w:val="21"/>
                <w:highlight w:val="none"/>
              </w:rPr>
            </w:pPr>
          </w:p>
        </w:tc>
        <w:tc>
          <w:tcPr>
            <w:tcW w:w="868" w:type="dxa"/>
            <w:tcBorders>
              <w:left w:val="single" w:color="000000" w:sz="6" w:space="0"/>
              <w:right w:val="single" w:color="000000" w:sz="6" w:space="0"/>
            </w:tcBorders>
            <w:noWrap w:val="0"/>
            <w:vAlign w:val="top"/>
          </w:tcPr>
          <w:p w14:paraId="5F362343">
            <w:pPr>
              <w:rPr>
                <w:rFonts w:ascii="Arial"/>
                <w:color w:val="auto"/>
                <w:sz w:val="21"/>
                <w:highlight w:val="none"/>
              </w:rPr>
            </w:pPr>
          </w:p>
        </w:tc>
        <w:tc>
          <w:tcPr>
            <w:tcW w:w="659" w:type="dxa"/>
            <w:tcBorders>
              <w:left w:val="single" w:color="000000" w:sz="6" w:space="0"/>
              <w:right w:val="single" w:color="000000" w:sz="6" w:space="0"/>
            </w:tcBorders>
            <w:noWrap w:val="0"/>
            <w:vAlign w:val="top"/>
          </w:tcPr>
          <w:p w14:paraId="6E453384">
            <w:pPr>
              <w:rPr>
                <w:rFonts w:ascii="Arial"/>
                <w:color w:val="auto"/>
                <w:sz w:val="21"/>
                <w:highlight w:val="none"/>
              </w:rPr>
            </w:pPr>
          </w:p>
        </w:tc>
        <w:tc>
          <w:tcPr>
            <w:tcW w:w="1422" w:type="dxa"/>
            <w:tcBorders>
              <w:left w:val="single" w:color="000000" w:sz="6" w:space="0"/>
              <w:right w:val="single" w:color="000000" w:sz="6" w:space="0"/>
            </w:tcBorders>
            <w:noWrap w:val="0"/>
            <w:vAlign w:val="top"/>
          </w:tcPr>
          <w:p w14:paraId="5DCF32CA">
            <w:pPr>
              <w:rPr>
                <w:rFonts w:ascii="Arial"/>
                <w:color w:val="auto"/>
                <w:sz w:val="21"/>
                <w:highlight w:val="none"/>
              </w:rPr>
            </w:pPr>
          </w:p>
        </w:tc>
        <w:tc>
          <w:tcPr>
            <w:tcW w:w="1332" w:type="dxa"/>
            <w:tcBorders>
              <w:left w:val="single" w:color="000000" w:sz="6" w:space="0"/>
              <w:right w:val="single" w:color="000000" w:sz="6" w:space="0"/>
            </w:tcBorders>
            <w:noWrap w:val="0"/>
            <w:vAlign w:val="top"/>
          </w:tcPr>
          <w:p w14:paraId="54EDE62C">
            <w:pPr>
              <w:rPr>
                <w:rFonts w:ascii="Arial"/>
                <w:color w:val="auto"/>
                <w:sz w:val="21"/>
                <w:highlight w:val="none"/>
              </w:rPr>
            </w:pPr>
          </w:p>
        </w:tc>
        <w:tc>
          <w:tcPr>
            <w:tcW w:w="2343" w:type="dxa"/>
            <w:tcBorders>
              <w:left w:val="single" w:color="000000" w:sz="6" w:space="0"/>
              <w:right w:val="single" w:color="000000" w:sz="12" w:space="0"/>
            </w:tcBorders>
            <w:noWrap w:val="0"/>
            <w:vAlign w:val="top"/>
          </w:tcPr>
          <w:p w14:paraId="5380FC2E">
            <w:pPr>
              <w:rPr>
                <w:rFonts w:ascii="Arial"/>
                <w:color w:val="auto"/>
                <w:sz w:val="21"/>
                <w:highlight w:val="none"/>
              </w:rPr>
            </w:pPr>
          </w:p>
        </w:tc>
      </w:tr>
      <w:tr w14:paraId="668EF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725" w:type="dxa"/>
            <w:tcBorders>
              <w:left w:val="single" w:color="000000" w:sz="12" w:space="0"/>
              <w:right w:val="single" w:color="000000" w:sz="6" w:space="0"/>
            </w:tcBorders>
            <w:noWrap w:val="0"/>
            <w:vAlign w:val="top"/>
          </w:tcPr>
          <w:p w14:paraId="2F6F6CA0">
            <w:pPr>
              <w:rPr>
                <w:rFonts w:ascii="Arial"/>
                <w:color w:val="auto"/>
                <w:sz w:val="21"/>
                <w:highlight w:val="none"/>
              </w:rPr>
            </w:pPr>
          </w:p>
        </w:tc>
        <w:tc>
          <w:tcPr>
            <w:tcW w:w="1737" w:type="dxa"/>
            <w:tcBorders>
              <w:left w:val="single" w:color="000000" w:sz="6" w:space="0"/>
              <w:right w:val="single" w:color="000000" w:sz="6" w:space="0"/>
            </w:tcBorders>
            <w:noWrap w:val="0"/>
            <w:vAlign w:val="top"/>
          </w:tcPr>
          <w:p w14:paraId="0E3A8265">
            <w:pPr>
              <w:rPr>
                <w:rFonts w:ascii="Arial"/>
                <w:color w:val="auto"/>
                <w:sz w:val="21"/>
                <w:highlight w:val="none"/>
              </w:rPr>
            </w:pPr>
          </w:p>
        </w:tc>
        <w:tc>
          <w:tcPr>
            <w:tcW w:w="868" w:type="dxa"/>
            <w:tcBorders>
              <w:left w:val="single" w:color="000000" w:sz="6" w:space="0"/>
              <w:right w:val="single" w:color="000000" w:sz="6" w:space="0"/>
            </w:tcBorders>
            <w:noWrap w:val="0"/>
            <w:vAlign w:val="top"/>
          </w:tcPr>
          <w:p w14:paraId="41462A8A">
            <w:pPr>
              <w:rPr>
                <w:rFonts w:ascii="Arial"/>
                <w:color w:val="auto"/>
                <w:sz w:val="21"/>
                <w:highlight w:val="none"/>
              </w:rPr>
            </w:pPr>
          </w:p>
        </w:tc>
        <w:tc>
          <w:tcPr>
            <w:tcW w:w="659" w:type="dxa"/>
            <w:tcBorders>
              <w:left w:val="single" w:color="000000" w:sz="6" w:space="0"/>
              <w:right w:val="single" w:color="000000" w:sz="6" w:space="0"/>
            </w:tcBorders>
            <w:noWrap w:val="0"/>
            <w:vAlign w:val="top"/>
          </w:tcPr>
          <w:p w14:paraId="36E5F88D">
            <w:pPr>
              <w:rPr>
                <w:rFonts w:ascii="Arial"/>
                <w:color w:val="auto"/>
                <w:sz w:val="21"/>
                <w:highlight w:val="none"/>
              </w:rPr>
            </w:pPr>
          </w:p>
        </w:tc>
        <w:tc>
          <w:tcPr>
            <w:tcW w:w="1422" w:type="dxa"/>
            <w:tcBorders>
              <w:left w:val="single" w:color="000000" w:sz="6" w:space="0"/>
              <w:right w:val="single" w:color="000000" w:sz="6" w:space="0"/>
            </w:tcBorders>
            <w:noWrap w:val="0"/>
            <w:vAlign w:val="top"/>
          </w:tcPr>
          <w:p w14:paraId="589C41D6">
            <w:pPr>
              <w:rPr>
                <w:rFonts w:ascii="Arial"/>
                <w:color w:val="auto"/>
                <w:sz w:val="21"/>
                <w:highlight w:val="none"/>
              </w:rPr>
            </w:pPr>
          </w:p>
        </w:tc>
        <w:tc>
          <w:tcPr>
            <w:tcW w:w="1332" w:type="dxa"/>
            <w:tcBorders>
              <w:left w:val="single" w:color="000000" w:sz="6" w:space="0"/>
              <w:right w:val="single" w:color="000000" w:sz="6" w:space="0"/>
            </w:tcBorders>
            <w:noWrap w:val="0"/>
            <w:vAlign w:val="top"/>
          </w:tcPr>
          <w:p w14:paraId="1559378F">
            <w:pPr>
              <w:rPr>
                <w:rFonts w:ascii="Arial"/>
                <w:color w:val="auto"/>
                <w:sz w:val="21"/>
                <w:highlight w:val="none"/>
              </w:rPr>
            </w:pPr>
          </w:p>
        </w:tc>
        <w:tc>
          <w:tcPr>
            <w:tcW w:w="2343" w:type="dxa"/>
            <w:tcBorders>
              <w:left w:val="single" w:color="000000" w:sz="6" w:space="0"/>
              <w:right w:val="single" w:color="000000" w:sz="12" w:space="0"/>
            </w:tcBorders>
            <w:noWrap w:val="0"/>
            <w:vAlign w:val="top"/>
          </w:tcPr>
          <w:p w14:paraId="364CEEA3">
            <w:pPr>
              <w:rPr>
                <w:rFonts w:ascii="Arial"/>
                <w:color w:val="auto"/>
                <w:sz w:val="21"/>
                <w:highlight w:val="none"/>
              </w:rPr>
            </w:pPr>
          </w:p>
        </w:tc>
      </w:tr>
      <w:tr w14:paraId="294DD6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725" w:type="dxa"/>
            <w:tcBorders>
              <w:left w:val="single" w:color="000000" w:sz="12" w:space="0"/>
              <w:right w:val="single" w:color="000000" w:sz="6" w:space="0"/>
            </w:tcBorders>
            <w:noWrap w:val="0"/>
            <w:vAlign w:val="top"/>
          </w:tcPr>
          <w:p w14:paraId="09187E01">
            <w:pPr>
              <w:rPr>
                <w:rFonts w:ascii="Arial"/>
                <w:color w:val="auto"/>
                <w:sz w:val="21"/>
                <w:highlight w:val="none"/>
              </w:rPr>
            </w:pPr>
          </w:p>
        </w:tc>
        <w:tc>
          <w:tcPr>
            <w:tcW w:w="1737" w:type="dxa"/>
            <w:tcBorders>
              <w:left w:val="single" w:color="000000" w:sz="6" w:space="0"/>
              <w:right w:val="single" w:color="000000" w:sz="6" w:space="0"/>
            </w:tcBorders>
            <w:noWrap w:val="0"/>
            <w:vAlign w:val="top"/>
          </w:tcPr>
          <w:p w14:paraId="5EE5B652">
            <w:pPr>
              <w:rPr>
                <w:rFonts w:ascii="Arial"/>
                <w:color w:val="auto"/>
                <w:sz w:val="21"/>
                <w:highlight w:val="none"/>
              </w:rPr>
            </w:pPr>
          </w:p>
        </w:tc>
        <w:tc>
          <w:tcPr>
            <w:tcW w:w="868" w:type="dxa"/>
            <w:tcBorders>
              <w:left w:val="single" w:color="000000" w:sz="6" w:space="0"/>
              <w:right w:val="single" w:color="000000" w:sz="6" w:space="0"/>
            </w:tcBorders>
            <w:noWrap w:val="0"/>
            <w:vAlign w:val="top"/>
          </w:tcPr>
          <w:p w14:paraId="562E624C">
            <w:pPr>
              <w:rPr>
                <w:rFonts w:ascii="Arial"/>
                <w:color w:val="auto"/>
                <w:sz w:val="21"/>
                <w:highlight w:val="none"/>
              </w:rPr>
            </w:pPr>
          </w:p>
        </w:tc>
        <w:tc>
          <w:tcPr>
            <w:tcW w:w="659" w:type="dxa"/>
            <w:tcBorders>
              <w:left w:val="single" w:color="000000" w:sz="6" w:space="0"/>
              <w:right w:val="single" w:color="000000" w:sz="6" w:space="0"/>
            </w:tcBorders>
            <w:noWrap w:val="0"/>
            <w:vAlign w:val="top"/>
          </w:tcPr>
          <w:p w14:paraId="10ECC8F7">
            <w:pPr>
              <w:rPr>
                <w:rFonts w:ascii="Arial"/>
                <w:color w:val="auto"/>
                <w:sz w:val="21"/>
                <w:highlight w:val="none"/>
              </w:rPr>
            </w:pPr>
          </w:p>
        </w:tc>
        <w:tc>
          <w:tcPr>
            <w:tcW w:w="1422" w:type="dxa"/>
            <w:tcBorders>
              <w:left w:val="single" w:color="000000" w:sz="6" w:space="0"/>
              <w:right w:val="single" w:color="000000" w:sz="6" w:space="0"/>
            </w:tcBorders>
            <w:noWrap w:val="0"/>
            <w:vAlign w:val="top"/>
          </w:tcPr>
          <w:p w14:paraId="56DF6537">
            <w:pPr>
              <w:rPr>
                <w:rFonts w:ascii="Arial"/>
                <w:color w:val="auto"/>
                <w:sz w:val="21"/>
                <w:highlight w:val="none"/>
              </w:rPr>
            </w:pPr>
          </w:p>
        </w:tc>
        <w:tc>
          <w:tcPr>
            <w:tcW w:w="1332" w:type="dxa"/>
            <w:tcBorders>
              <w:left w:val="single" w:color="000000" w:sz="6" w:space="0"/>
              <w:right w:val="single" w:color="000000" w:sz="6" w:space="0"/>
            </w:tcBorders>
            <w:noWrap w:val="0"/>
            <w:vAlign w:val="top"/>
          </w:tcPr>
          <w:p w14:paraId="322941CA">
            <w:pPr>
              <w:rPr>
                <w:rFonts w:ascii="Arial"/>
                <w:color w:val="auto"/>
                <w:sz w:val="21"/>
                <w:highlight w:val="none"/>
              </w:rPr>
            </w:pPr>
          </w:p>
        </w:tc>
        <w:tc>
          <w:tcPr>
            <w:tcW w:w="2343" w:type="dxa"/>
            <w:tcBorders>
              <w:left w:val="single" w:color="000000" w:sz="6" w:space="0"/>
              <w:right w:val="single" w:color="000000" w:sz="12" w:space="0"/>
            </w:tcBorders>
            <w:noWrap w:val="0"/>
            <w:vAlign w:val="top"/>
          </w:tcPr>
          <w:p w14:paraId="37914FC9">
            <w:pPr>
              <w:rPr>
                <w:rFonts w:ascii="Arial"/>
                <w:color w:val="auto"/>
                <w:sz w:val="21"/>
                <w:highlight w:val="none"/>
              </w:rPr>
            </w:pPr>
          </w:p>
        </w:tc>
      </w:tr>
      <w:tr w14:paraId="64345B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725" w:type="dxa"/>
            <w:tcBorders>
              <w:left w:val="single" w:color="000000" w:sz="12" w:space="0"/>
              <w:right w:val="single" w:color="000000" w:sz="6" w:space="0"/>
            </w:tcBorders>
            <w:noWrap w:val="0"/>
            <w:vAlign w:val="top"/>
          </w:tcPr>
          <w:p w14:paraId="7C7D35C9">
            <w:pPr>
              <w:rPr>
                <w:rFonts w:ascii="Arial"/>
                <w:color w:val="auto"/>
                <w:sz w:val="21"/>
                <w:highlight w:val="none"/>
              </w:rPr>
            </w:pPr>
          </w:p>
        </w:tc>
        <w:tc>
          <w:tcPr>
            <w:tcW w:w="1737" w:type="dxa"/>
            <w:tcBorders>
              <w:left w:val="single" w:color="000000" w:sz="6" w:space="0"/>
              <w:right w:val="single" w:color="000000" w:sz="6" w:space="0"/>
            </w:tcBorders>
            <w:noWrap w:val="0"/>
            <w:vAlign w:val="top"/>
          </w:tcPr>
          <w:p w14:paraId="6C6E609D">
            <w:pPr>
              <w:rPr>
                <w:rFonts w:ascii="Arial"/>
                <w:color w:val="auto"/>
                <w:sz w:val="21"/>
                <w:highlight w:val="none"/>
              </w:rPr>
            </w:pPr>
          </w:p>
        </w:tc>
        <w:tc>
          <w:tcPr>
            <w:tcW w:w="868" w:type="dxa"/>
            <w:tcBorders>
              <w:left w:val="single" w:color="000000" w:sz="6" w:space="0"/>
              <w:right w:val="single" w:color="000000" w:sz="6" w:space="0"/>
            </w:tcBorders>
            <w:noWrap w:val="0"/>
            <w:vAlign w:val="top"/>
          </w:tcPr>
          <w:p w14:paraId="5C6EDF92">
            <w:pPr>
              <w:rPr>
                <w:rFonts w:ascii="Arial"/>
                <w:color w:val="auto"/>
                <w:sz w:val="21"/>
                <w:highlight w:val="none"/>
              </w:rPr>
            </w:pPr>
          </w:p>
        </w:tc>
        <w:tc>
          <w:tcPr>
            <w:tcW w:w="659" w:type="dxa"/>
            <w:tcBorders>
              <w:left w:val="single" w:color="000000" w:sz="6" w:space="0"/>
              <w:right w:val="single" w:color="000000" w:sz="6" w:space="0"/>
            </w:tcBorders>
            <w:noWrap w:val="0"/>
            <w:vAlign w:val="top"/>
          </w:tcPr>
          <w:p w14:paraId="499D42CF">
            <w:pPr>
              <w:rPr>
                <w:rFonts w:ascii="Arial"/>
                <w:color w:val="auto"/>
                <w:sz w:val="21"/>
                <w:highlight w:val="none"/>
              </w:rPr>
            </w:pPr>
          </w:p>
        </w:tc>
        <w:tc>
          <w:tcPr>
            <w:tcW w:w="1422" w:type="dxa"/>
            <w:tcBorders>
              <w:left w:val="single" w:color="000000" w:sz="6" w:space="0"/>
              <w:right w:val="single" w:color="000000" w:sz="6" w:space="0"/>
            </w:tcBorders>
            <w:noWrap w:val="0"/>
            <w:vAlign w:val="top"/>
          </w:tcPr>
          <w:p w14:paraId="308B4C97">
            <w:pPr>
              <w:rPr>
                <w:rFonts w:ascii="Arial"/>
                <w:color w:val="auto"/>
                <w:sz w:val="21"/>
                <w:highlight w:val="none"/>
              </w:rPr>
            </w:pPr>
          </w:p>
        </w:tc>
        <w:tc>
          <w:tcPr>
            <w:tcW w:w="1332" w:type="dxa"/>
            <w:tcBorders>
              <w:left w:val="single" w:color="000000" w:sz="6" w:space="0"/>
              <w:right w:val="single" w:color="000000" w:sz="6" w:space="0"/>
            </w:tcBorders>
            <w:noWrap w:val="0"/>
            <w:vAlign w:val="top"/>
          </w:tcPr>
          <w:p w14:paraId="03BEB3FD">
            <w:pPr>
              <w:rPr>
                <w:rFonts w:ascii="Arial"/>
                <w:color w:val="auto"/>
                <w:sz w:val="21"/>
                <w:highlight w:val="none"/>
              </w:rPr>
            </w:pPr>
          </w:p>
        </w:tc>
        <w:tc>
          <w:tcPr>
            <w:tcW w:w="2343" w:type="dxa"/>
            <w:tcBorders>
              <w:left w:val="single" w:color="000000" w:sz="6" w:space="0"/>
              <w:right w:val="single" w:color="000000" w:sz="12" w:space="0"/>
            </w:tcBorders>
            <w:noWrap w:val="0"/>
            <w:vAlign w:val="top"/>
          </w:tcPr>
          <w:p w14:paraId="35298E1F">
            <w:pPr>
              <w:rPr>
                <w:rFonts w:ascii="Arial"/>
                <w:color w:val="auto"/>
                <w:sz w:val="21"/>
                <w:highlight w:val="none"/>
              </w:rPr>
            </w:pPr>
          </w:p>
        </w:tc>
      </w:tr>
      <w:tr w14:paraId="49BA6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725" w:type="dxa"/>
            <w:tcBorders>
              <w:left w:val="single" w:color="000000" w:sz="12" w:space="0"/>
              <w:right w:val="single" w:color="000000" w:sz="6" w:space="0"/>
            </w:tcBorders>
            <w:noWrap w:val="0"/>
            <w:vAlign w:val="top"/>
          </w:tcPr>
          <w:p w14:paraId="150428A9">
            <w:pPr>
              <w:rPr>
                <w:rFonts w:ascii="Arial"/>
                <w:color w:val="auto"/>
                <w:sz w:val="21"/>
                <w:highlight w:val="none"/>
              </w:rPr>
            </w:pPr>
          </w:p>
        </w:tc>
        <w:tc>
          <w:tcPr>
            <w:tcW w:w="1737" w:type="dxa"/>
            <w:tcBorders>
              <w:left w:val="single" w:color="000000" w:sz="6" w:space="0"/>
              <w:right w:val="single" w:color="000000" w:sz="6" w:space="0"/>
            </w:tcBorders>
            <w:noWrap w:val="0"/>
            <w:vAlign w:val="top"/>
          </w:tcPr>
          <w:p w14:paraId="62942C19">
            <w:pPr>
              <w:rPr>
                <w:rFonts w:ascii="Arial"/>
                <w:color w:val="auto"/>
                <w:sz w:val="21"/>
                <w:highlight w:val="none"/>
              </w:rPr>
            </w:pPr>
          </w:p>
        </w:tc>
        <w:tc>
          <w:tcPr>
            <w:tcW w:w="868" w:type="dxa"/>
            <w:tcBorders>
              <w:left w:val="single" w:color="000000" w:sz="6" w:space="0"/>
              <w:right w:val="single" w:color="000000" w:sz="6" w:space="0"/>
            </w:tcBorders>
            <w:noWrap w:val="0"/>
            <w:vAlign w:val="top"/>
          </w:tcPr>
          <w:p w14:paraId="48FF0B0E">
            <w:pPr>
              <w:rPr>
                <w:rFonts w:ascii="Arial"/>
                <w:color w:val="auto"/>
                <w:sz w:val="21"/>
                <w:highlight w:val="none"/>
              </w:rPr>
            </w:pPr>
          </w:p>
        </w:tc>
        <w:tc>
          <w:tcPr>
            <w:tcW w:w="659" w:type="dxa"/>
            <w:tcBorders>
              <w:left w:val="single" w:color="000000" w:sz="6" w:space="0"/>
              <w:right w:val="single" w:color="000000" w:sz="6" w:space="0"/>
            </w:tcBorders>
            <w:noWrap w:val="0"/>
            <w:vAlign w:val="top"/>
          </w:tcPr>
          <w:p w14:paraId="18FDA744">
            <w:pPr>
              <w:rPr>
                <w:rFonts w:ascii="Arial"/>
                <w:color w:val="auto"/>
                <w:sz w:val="21"/>
                <w:highlight w:val="none"/>
              </w:rPr>
            </w:pPr>
          </w:p>
        </w:tc>
        <w:tc>
          <w:tcPr>
            <w:tcW w:w="1422" w:type="dxa"/>
            <w:tcBorders>
              <w:left w:val="single" w:color="000000" w:sz="6" w:space="0"/>
              <w:right w:val="single" w:color="000000" w:sz="6" w:space="0"/>
            </w:tcBorders>
            <w:noWrap w:val="0"/>
            <w:vAlign w:val="top"/>
          </w:tcPr>
          <w:p w14:paraId="24D8FC28">
            <w:pPr>
              <w:rPr>
                <w:rFonts w:ascii="Arial"/>
                <w:color w:val="auto"/>
                <w:sz w:val="21"/>
                <w:highlight w:val="none"/>
              </w:rPr>
            </w:pPr>
          </w:p>
        </w:tc>
        <w:tc>
          <w:tcPr>
            <w:tcW w:w="1332" w:type="dxa"/>
            <w:tcBorders>
              <w:left w:val="single" w:color="000000" w:sz="6" w:space="0"/>
              <w:right w:val="single" w:color="000000" w:sz="6" w:space="0"/>
            </w:tcBorders>
            <w:noWrap w:val="0"/>
            <w:vAlign w:val="top"/>
          </w:tcPr>
          <w:p w14:paraId="37C8E83E">
            <w:pPr>
              <w:rPr>
                <w:rFonts w:ascii="Arial"/>
                <w:color w:val="auto"/>
                <w:sz w:val="21"/>
                <w:highlight w:val="none"/>
              </w:rPr>
            </w:pPr>
          </w:p>
        </w:tc>
        <w:tc>
          <w:tcPr>
            <w:tcW w:w="2343" w:type="dxa"/>
            <w:tcBorders>
              <w:left w:val="single" w:color="000000" w:sz="6" w:space="0"/>
              <w:right w:val="single" w:color="000000" w:sz="12" w:space="0"/>
            </w:tcBorders>
            <w:noWrap w:val="0"/>
            <w:vAlign w:val="top"/>
          </w:tcPr>
          <w:p w14:paraId="00CA1FB8">
            <w:pPr>
              <w:rPr>
                <w:rFonts w:ascii="Arial"/>
                <w:color w:val="auto"/>
                <w:sz w:val="21"/>
                <w:highlight w:val="none"/>
              </w:rPr>
            </w:pPr>
          </w:p>
        </w:tc>
      </w:tr>
      <w:tr w14:paraId="7738D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725" w:type="dxa"/>
            <w:tcBorders>
              <w:left w:val="single" w:color="000000" w:sz="12" w:space="0"/>
              <w:right w:val="single" w:color="000000" w:sz="6" w:space="0"/>
            </w:tcBorders>
            <w:noWrap w:val="0"/>
            <w:vAlign w:val="top"/>
          </w:tcPr>
          <w:p w14:paraId="1E97E455">
            <w:pPr>
              <w:rPr>
                <w:rFonts w:ascii="Arial"/>
                <w:color w:val="auto"/>
                <w:sz w:val="21"/>
                <w:highlight w:val="none"/>
              </w:rPr>
            </w:pPr>
          </w:p>
        </w:tc>
        <w:tc>
          <w:tcPr>
            <w:tcW w:w="1737" w:type="dxa"/>
            <w:tcBorders>
              <w:left w:val="single" w:color="000000" w:sz="6" w:space="0"/>
              <w:right w:val="single" w:color="000000" w:sz="6" w:space="0"/>
            </w:tcBorders>
            <w:noWrap w:val="0"/>
            <w:vAlign w:val="top"/>
          </w:tcPr>
          <w:p w14:paraId="66D638AE">
            <w:pPr>
              <w:rPr>
                <w:rFonts w:ascii="Arial"/>
                <w:color w:val="auto"/>
                <w:sz w:val="21"/>
                <w:highlight w:val="none"/>
              </w:rPr>
            </w:pPr>
          </w:p>
        </w:tc>
        <w:tc>
          <w:tcPr>
            <w:tcW w:w="868" w:type="dxa"/>
            <w:tcBorders>
              <w:left w:val="single" w:color="000000" w:sz="6" w:space="0"/>
              <w:right w:val="single" w:color="000000" w:sz="6" w:space="0"/>
            </w:tcBorders>
            <w:noWrap w:val="0"/>
            <w:vAlign w:val="top"/>
          </w:tcPr>
          <w:p w14:paraId="0DEB941E">
            <w:pPr>
              <w:rPr>
                <w:rFonts w:ascii="Arial"/>
                <w:color w:val="auto"/>
                <w:sz w:val="21"/>
                <w:highlight w:val="none"/>
              </w:rPr>
            </w:pPr>
          </w:p>
        </w:tc>
        <w:tc>
          <w:tcPr>
            <w:tcW w:w="659" w:type="dxa"/>
            <w:tcBorders>
              <w:left w:val="single" w:color="000000" w:sz="6" w:space="0"/>
              <w:right w:val="single" w:color="000000" w:sz="6" w:space="0"/>
            </w:tcBorders>
            <w:noWrap w:val="0"/>
            <w:vAlign w:val="top"/>
          </w:tcPr>
          <w:p w14:paraId="07B3419D">
            <w:pPr>
              <w:rPr>
                <w:rFonts w:ascii="Arial"/>
                <w:color w:val="auto"/>
                <w:sz w:val="21"/>
                <w:highlight w:val="none"/>
              </w:rPr>
            </w:pPr>
          </w:p>
        </w:tc>
        <w:tc>
          <w:tcPr>
            <w:tcW w:w="1422" w:type="dxa"/>
            <w:tcBorders>
              <w:left w:val="single" w:color="000000" w:sz="6" w:space="0"/>
              <w:right w:val="single" w:color="000000" w:sz="6" w:space="0"/>
            </w:tcBorders>
            <w:noWrap w:val="0"/>
            <w:vAlign w:val="top"/>
          </w:tcPr>
          <w:p w14:paraId="07DCFAE8">
            <w:pPr>
              <w:rPr>
                <w:rFonts w:ascii="Arial"/>
                <w:color w:val="auto"/>
                <w:sz w:val="21"/>
                <w:highlight w:val="none"/>
              </w:rPr>
            </w:pPr>
          </w:p>
        </w:tc>
        <w:tc>
          <w:tcPr>
            <w:tcW w:w="1332" w:type="dxa"/>
            <w:tcBorders>
              <w:left w:val="single" w:color="000000" w:sz="6" w:space="0"/>
              <w:right w:val="single" w:color="000000" w:sz="6" w:space="0"/>
            </w:tcBorders>
            <w:noWrap w:val="0"/>
            <w:vAlign w:val="top"/>
          </w:tcPr>
          <w:p w14:paraId="69553618">
            <w:pPr>
              <w:rPr>
                <w:rFonts w:ascii="Arial"/>
                <w:color w:val="auto"/>
                <w:sz w:val="21"/>
                <w:highlight w:val="none"/>
              </w:rPr>
            </w:pPr>
          </w:p>
        </w:tc>
        <w:tc>
          <w:tcPr>
            <w:tcW w:w="2343" w:type="dxa"/>
            <w:tcBorders>
              <w:left w:val="single" w:color="000000" w:sz="6" w:space="0"/>
              <w:right w:val="single" w:color="000000" w:sz="12" w:space="0"/>
            </w:tcBorders>
            <w:noWrap w:val="0"/>
            <w:vAlign w:val="top"/>
          </w:tcPr>
          <w:p w14:paraId="4D335878">
            <w:pPr>
              <w:rPr>
                <w:rFonts w:ascii="Arial"/>
                <w:color w:val="auto"/>
                <w:sz w:val="21"/>
                <w:highlight w:val="none"/>
              </w:rPr>
            </w:pPr>
          </w:p>
        </w:tc>
      </w:tr>
      <w:tr w14:paraId="28707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725" w:type="dxa"/>
            <w:tcBorders>
              <w:left w:val="single" w:color="000000" w:sz="12" w:space="0"/>
              <w:right w:val="single" w:color="000000" w:sz="6" w:space="0"/>
            </w:tcBorders>
            <w:noWrap w:val="0"/>
            <w:vAlign w:val="top"/>
          </w:tcPr>
          <w:p w14:paraId="32E31E4E">
            <w:pPr>
              <w:rPr>
                <w:rFonts w:ascii="Arial"/>
                <w:color w:val="auto"/>
                <w:sz w:val="21"/>
                <w:highlight w:val="none"/>
              </w:rPr>
            </w:pPr>
          </w:p>
        </w:tc>
        <w:tc>
          <w:tcPr>
            <w:tcW w:w="1737" w:type="dxa"/>
            <w:tcBorders>
              <w:left w:val="single" w:color="000000" w:sz="6" w:space="0"/>
              <w:right w:val="single" w:color="000000" w:sz="6" w:space="0"/>
            </w:tcBorders>
            <w:noWrap w:val="0"/>
            <w:vAlign w:val="top"/>
          </w:tcPr>
          <w:p w14:paraId="18FCBD54">
            <w:pPr>
              <w:rPr>
                <w:rFonts w:ascii="Arial"/>
                <w:color w:val="auto"/>
                <w:sz w:val="21"/>
                <w:highlight w:val="none"/>
              </w:rPr>
            </w:pPr>
          </w:p>
        </w:tc>
        <w:tc>
          <w:tcPr>
            <w:tcW w:w="868" w:type="dxa"/>
            <w:tcBorders>
              <w:left w:val="single" w:color="000000" w:sz="6" w:space="0"/>
              <w:right w:val="single" w:color="000000" w:sz="6" w:space="0"/>
            </w:tcBorders>
            <w:noWrap w:val="0"/>
            <w:vAlign w:val="top"/>
          </w:tcPr>
          <w:p w14:paraId="5C709698">
            <w:pPr>
              <w:rPr>
                <w:rFonts w:ascii="Arial"/>
                <w:color w:val="auto"/>
                <w:sz w:val="21"/>
                <w:highlight w:val="none"/>
              </w:rPr>
            </w:pPr>
          </w:p>
        </w:tc>
        <w:tc>
          <w:tcPr>
            <w:tcW w:w="659" w:type="dxa"/>
            <w:tcBorders>
              <w:left w:val="single" w:color="000000" w:sz="6" w:space="0"/>
              <w:right w:val="single" w:color="000000" w:sz="6" w:space="0"/>
            </w:tcBorders>
            <w:noWrap w:val="0"/>
            <w:vAlign w:val="top"/>
          </w:tcPr>
          <w:p w14:paraId="757A5599">
            <w:pPr>
              <w:rPr>
                <w:rFonts w:ascii="Arial"/>
                <w:color w:val="auto"/>
                <w:sz w:val="21"/>
                <w:highlight w:val="none"/>
              </w:rPr>
            </w:pPr>
          </w:p>
        </w:tc>
        <w:tc>
          <w:tcPr>
            <w:tcW w:w="1422" w:type="dxa"/>
            <w:tcBorders>
              <w:left w:val="single" w:color="000000" w:sz="6" w:space="0"/>
              <w:right w:val="single" w:color="000000" w:sz="6" w:space="0"/>
            </w:tcBorders>
            <w:noWrap w:val="0"/>
            <w:vAlign w:val="top"/>
          </w:tcPr>
          <w:p w14:paraId="29D5F784">
            <w:pPr>
              <w:rPr>
                <w:rFonts w:ascii="Arial"/>
                <w:color w:val="auto"/>
                <w:sz w:val="21"/>
                <w:highlight w:val="none"/>
              </w:rPr>
            </w:pPr>
          </w:p>
        </w:tc>
        <w:tc>
          <w:tcPr>
            <w:tcW w:w="1332" w:type="dxa"/>
            <w:tcBorders>
              <w:left w:val="single" w:color="000000" w:sz="6" w:space="0"/>
              <w:right w:val="single" w:color="000000" w:sz="6" w:space="0"/>
            </w:tcBorders>
            <w:noWrap w:val="0"/>
            <w:vAlign w:val="top"/>
          </w:tcPr>
          <w:p w14:paraId="4ABC9884">
            <w:pPr>
              <w:rPr>
                <w:rFonts w:ascii="Arial"/>
                <w:color w:val="auto"/>
                <w:sz w:val="21"/>
                <w:highlight w:val="none"/>
              </w:rPr>
            </w:pPr>
          </w:p>
        </w:tc>
        <w:tc>
          <w:tcPr>
            <w:tcW w:w="2343" w:type="dxa"/>
            <w:tcBorders>
              <w:left w:val="single" w:color="000000" w:sz="6" w:space="0"/>
              <w:right w:val="single" w:color="000000" w:sz="12" w:space="0"/>
            </w:tcBorders>
            <w:noWrap w:val="0"/>
            <w:vAlign w:val="top"/>
          </w:tcPr>
          <w:p w14:paraId="1CC0E54D">
            <w:pPr>
              <w:rPr>
                <w:rFonts w:ascii="Arial"/>
                <w:color w:val="auto"/>
                <w:sz w:val="21"/>
                <w:highlight w:val="none"/>
              </w:rPr>
            </w:pPr>
          </w:p>
        </w:tc>
      </w:tr>
      <w:tr w14:paraId="5C038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725" w:type="dxa"/>
            <w:tcBorders>
              <w:left w:val="single" w:color="000000" w:sz="12" w:space="0"/>
              <w:right w:val="single" w:color="000000" w:sz="6" w:space="0"/>
            </w:tcBorders>
            <w:noWrap w:val="0"/>
            <w:vAlign w:val="top"/>
          </w:tcPr>
          <w:p w14:paraId="2CA7C7E7">
            <w:pPr>
              <w:rPr>
                <w:rFonts w:ascii="Arial"/>
                <w:color w:val="auto"/>
                <w:sz w:val="21"/>
                <w:highlight w:val="none"/>
              </w:rPr>
            </w:pPr>
          </w:p>
        </w:tc>
        <w:tc>
          <w:tcPr>
            <w:tcW w:w="1737" w:type="dxa"/>
            <w:tcBorders>
              <w:left w:val="single" w:color="000000" w:sz="6" w:space="0"/>
              <w:right w:val="single" w:color="000000" w:sz="6" w:space="0"/>
            </w:tcBorders>
            <w:noWrap w:val="0"/>
            <w:vAlign w:val="top"/>
          </w:tcPr>
          <w:p w14:paraId="3D8E7303">
            <w:pPr>
              <w:rPr>
                <w:rFonts w:ascii="Arial"/>
                <w:color w:val="auto"/>
                <w:sz w:val="21"/>
                <w:highlight w:val="none"/>
              </w:rPr>
            </w:pPr>
          </w:p>
        </w:tc>
        <w:tc>
          <w:tcPr>
            <w:tcW w:w="868" w:type="dxa"/>
            <w:tcBorders>
              <w:left w:val="single" w:color="000000" w:sz="6" w:space="0"/>
              <w:right w:val="single" w:color="000000" w:sz="6" w:space="0"/>
            </w:tcBorders>
            <w:noWrap w:val="0"/>
            <w:vAlign w:val="top"/>
          </w:tcPr>
          <w:p w14:paraId="7B29100E">
            <w:pPr>
              <w:rPr>
                <w:rFonts w:ascii="Arial"/>
                <w:color w:val="auto"/>
                <w:sz w:val="21"/>
                <w:highlight w:val="none"/>
              </w:rPr>
            </w:pPr>
          </w:p>
        </w:tc>
        <w:tc>
          <w:tcPr>
            <w:tcW w:w="659" w:type="dxa"/>
            <w:tcBorders>
              <w:left w:val="single" w:color="000000" w:sz="6" w:space="0"/>
              <w:right w:val="single" w:color="000000" w:sz="6" w:space="0"/>
            </w:tcBorders>
            <w:noWrap w:val="0"/>
            <w:vAlign w:val="top"/>
          </w:tcPr>
          <w:p w14:paraId="2D2238A1">
            <w:pPr>
              <w:rPr>
                <w:rFonts w:ascii="Arial"/>
                <w:color w:val="auto"/>
                <w:sz w:val="21"/>
                <w:highlight w:val="none"/>
              </w:rPr>
            </w:pPr>
          </w:p>
        </w:tc>
        <w:tc>
          <w:tcPr>
            <w:tcW w:w="1422" w:type="dxa"/>
            <w:tcBorders>
              <w:left w:val="single" w:color="000000" w:sz="6" w:space="0"/>
              <w:right w:val="single" w:color="000000" w:sz="6" w:space="0"/>
            </w:tcBorders>
            <w:noWrap w:val="0"/>
            <w:vAlign w:val="top"/>
          </w:tcPr>
          <w:p w14:paraId="7E9972F2">
            <w:pPr>
              <w:rPr>
                <w:rFonts w:ascii="Arial"/>
                <w:color w:val="auto"/>
                <w:sz w:val="21"/>
                <w:highlight w:val="none"/>
              </w:rPr>
            </w:pPr>
          </w:p>
        </w:tc>
        <w:tc>
          <w:tcPr>
            <w:tcW w:w="1332" w:type="dxa"/>
            <w:tcBorders>
              <w:left w:val="single" w:color="000000" w:sz="6" w:space="0"/>
              <w:right w:val="single" w:color="000000" w:sz="6" w:space="0"/>
            </w:tcBorders>
            <w:noWrap w:val="0"/>
            <w:vAlign w:val="top"/>
          </w:tcPr>
          <w:p w14:paraId="1DB48C27">
            <w:pPr>
              <w:rPr>
                <w:rFonts w:ascii="Arial"/>
                <w:color w:val="auto"/>
                <w:sz w:val="21"/>
                <w:highlight w:val="none"/>
              </w:rPr>
            </w:pPr>
          </w:p>
        </w:tc>
        <w:tc>
          <w:tcPr>
            <w:tcW w:w="2343" w:type="dxa"/>
            <w:tcBorders>
              <w:left w:val="single" w:color="000000" w:sz="6" w:space="0"/>
              <w:right w:val="single" w:color="000000" w:sz="12" w:space="0"/>
            </w:tcBorders>
            <w:noWrap w:val="0"/>
            <w:vAlign w:val="top"/>
          </w:tcPr>
          <w:p w14:paraId="5B7B9D3C">
            <w:pPr>
              <w:rPr>
                <w:rFonts w:ascii="Arial"/>
                <w:color w:val="auto"/>
                <w:sz w:val="21"/>
                <w:highlight w:val="none"/>
              </w:rPr>
            </w:pPr>
          </w:p>
        </w:tc>
      </w:tr>
    </w:tbl>
    <w:p w14:paraId="1511DE59">
      <w:pPr>
        <w:ind w:firstLine="210" w:firstLineChars="100"/>
        <w:rPr>
          <w:rFonts w:hint="eastAsia" w:ascii="宋体" w:hAnsi="宋体" w:eastAsia="宋体" w:cs="宋体"/>
          <w:snapToGrid w:val="0"/>
          <w:color w:val="auto"/>
          <w:sz w:val="21"/>
          <w:szCs w:val="21"/>
          <w:highlight w:val="none"/>
        </w:rPr>
      </w:pPr>
    </w:p>
    <w:p w14:paraId="2CD3D741">
      <w:pPr>
        <w:ind w:firstLine="210" w:firstLineChars="10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投标单位名称： (盖单位电子公章)</w:t>
      </w:r>
    </w:p>
    <w:p w14:paraId="31016314">
      <w:pPr>
        <w:ind w:firstLine="210" w:firstLineChars="100"/>
        <w:rPr>
          <w:rFonts w:hint="eastAsia" w:ascii="宋体" w:hAnsi="宋体" w:eastAsia="宋体" w:cs="宋体"/>
          <w:snapToGrid w:val="0"/>
          <w:color w:val="auto"/>
          <w:sz w:val="21"/>
          <w:szCs w:val="21"/>
          <w:highlight w:val="none"/>
        </w:rPr>
      </w:pPr>
    </w:p>
    <w:p w14:paraId="6998F90F">
      <w:pPr>
        <w:ind w:firstLine="210" w:firstLineChars="10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法定代表人（负责人）或委托代理人：（电子签章）</w:t>
      </w:r>
    </w:p>
    <w:p w14:paraId="2B7619DE">
      <w:pPr>
        <w:spacing w:line="440" w:lineRule="exact"/>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 xml:space="preserve">  日期：   年   月   日</w:t>
      </w:r>
    </w:p>
    <w:p w14:paraId="1B996642">
      <w:pPr>
        <w:jc w:val="left"/>
        <w:rPr>
          <w:rFonts w:hint="eastAsia" w:ascii="宋体" w:hAnsi="宋体" w:eastAsia="宋体" w:cs="宋体"/>
          <w:b/>
          <w:bCs/>
          <w:color w:val="auto"/>
          <w:sz w:val="21"/>
          <w:szCs w:val="21"/>
          <w:highlight w:val="none"/>
          <w:lang w:val="en-US" w:eastAsia="zh-CN"/>
        </w:rPr>
      </w:pPr>
      <w:r>
        <w:rPr>
          <w:rFonts w:ascii="宋体" w:hAnsi="宋体" w:eastAsia="宋体" w:cs="宋体"/>
          <w:color w:val="auto"/>
          <w:spacing w:val="18"/>
          <w:sz w:val="28"/>
          <w:szCs w:val="28"/>
          <w:highlight w:val="none"/>
        </w:rPr>
        <w:br w:type="page"/>
      </w:r>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4</w:t>
      </w:r>
    </w:p>
    <w:p w14:paraId="53AE5220">
      <w:pPr>
        <w:jc w:val="center"/>
        <w:rPr>
          <w:rFonts w:hint="eastAsia" w:ascii="宋体" w:hAnsi="宋体" w:eastAsia="宋体" w:cs="宋体"/>
          <w:b/>
          <w:bCs/>
          <w:color w:val="auto"/>
          <w:kern w:val="2"/>
          <w:sz w:val="28"/>
          <w:szCs w:val="24"/>
          <w:highlight w:val="none"/>
          <w:lang w:val="en-US" w:eastAsia="zh-CN" w:bidi="ar-SA"/>
        </w:rPr>
      </w:pPr>
      <w:r>
        <w:rPr>
          <w:rFonts w:hint="eastAsia" w:ascii="宋体" w:hAnsi="宋体" w:eastAsia="宋体" w:cs="宋体"/>
          <w:b/>
          <w:bCs/>
          <w:color w:val="auto"/>
          <w:kern w:val="2"/>
          <w:sz w:val="28"/>
          <w:szCs w:val="24"/>
          <w:highlight w:val="none"/>
          <w:lang w:val="en-US" w:eastAsia="zh-CN" w:bidi="ar-SA"/>
        </w:rPr>
        <w:t>台州湾陆岛联动综合码头工程（一期）建筑工程一切险及安全生产责任险保险服务项目（重新招标）</w:t>
      </w:r>
    </w:p>
    <w:p w14:paraId="3F1E687B">
      <w:pPr>
        <w:pStyle w:val="17"/>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color w:val="auto"/>
          <w:kern w:val="2"/>
          <w:sz w:val="28"/>
          <w:szCs w:val="24"/>
          <w:highlight w:val="none"/>
          <w:lang w:val="en-US" w:eastAsia="zh-CN" w:bidi="ar-SA"/>
        </w:rPr>
      </w:pPr>
      <w:r>
        <w:rPr>
          <w:rFonts w:hint="eastAsia" w:ascii="宋体" w:hAnsi="宋体" w:eastAsia="宋体" w:cs="宋体"/>
          <w:b/>
          <w:bCs/>
          <w:color w:val="auto"/>
          <w:kern w:val="2"/>
          <w:sz w:val="28"/>
          <w:szCs w:val="24"/>
          <w:highlight w:val="none"/>
          <w:lang w:val="en-US" w:eastAsia="zh-CN" w:bidi="ar-SA"/>
        </w:rPr>
        <w:t>拟投入主要人员简历表</w:t>
      </w:r>
    </w:p>
    <w:tbl>
      <w:tblPr>
        <w:tblStyle w:val="30"/>
        <w:tblW w:w="9221"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6"/>
        <w:gridCol w:w="824"/>
        <w:gridCol w:w="823"/>
        <w:gridCol w:w="778"/>
        <w:gridCol w:w="913"/>
        <w:gridCol w:w="823"/>
        <w:gridCol w:w="135"/>
        <w:gridCol w:w="539"/>
        <w:gridCol w:w="718"/>
        <w:gridCol w:w="509"/>
        <w:gridCol w:w="1063"/>
        <w:gridCol w:w="1370"/>
      </w:tblGrid>
      <w:tr w14:paraId="2C8C4A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9221" w:type="dxa"/>
            <w:gridSpan w:val="12"/>
            <w:tcBorders>
              <w:left w:val="single" w:color="000000" w:sz="12" w:space="0"/>
              <w:right w:val="single" w:color="000000" w:sz="12" w:space="0"/>
            </w:tcBorders>
            <w:noWrap w:val="0"/>
            <w:vAlign w:val="top"/>
          </w:tcPr>
          <w:p w14:paraId="71112A69">
            <w:pPr>
              <w:spacing w:before="299" w:line="220" w:lineRule="auto"/>
              <w:ind w:left="4067"/>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1</w:t>
            </w:r>
            <w:r>
              <w:rPr>
                <w:rFonts w:ascii="宋体" w:hAnsi="宋体" w:eastAsia="宋体" w:cs="宋体"/>
                <w:color w:val="auto"/>
                <w:spacing w:val="-5"/>
                <w:sz w:val="24"/>
                <w:szCs w:val="24"/>
                <w:highlight w:val="none"/>
              </w:rPr>
              <w:t>．一般情况</w:t>
            </w:r>
          </w:p>
        </w:tc>
      </w:tr>
      <w:tr w14:paraId="1FAC7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726" w:type="dxa"/>
            <w:tcBorders>
              <w:left w:val="single" w:color="000000" w:sz="12" w:space="0"/>
              <w:right w:val="single" w:color="000000" w:sz="6" w:space="0"/>
            </w:tcBorders>
            <w:noWrap w:val="0"/>
            <w:vAlign w:val="top"/>
          </w:tcPr>
          <w:p w14:paraId="2EC04319">
            <w:pPr>
              <w:spacing w:before="276" w:line="220" w:lineRule="auto"/>
              <w:ind w:left="9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姓</w:t>
            </w:r>
            <w:r>
              <w:rPr>
                <w:rFonts w:ascii="宋体" w:hAnsi="宋体" w:eastAsia="宋体" w:cs="宋体"/>
                <w:color w:val="auto"/>
                <w:spacing w:val="-2"/>
                <w:sz w:val="24"/>
                <w:szCs w:val="24"/>
                <w:highlight w:val="none"/>
              </w:rPr>
              <w:t>名</w:t>
            </w:r>
          </w:p>
        </w:tc>
        <w:tc>
          <w:tcPr>
            <w:tcW w:w="824" w:type="dxa"/>
            <w:tcBorders>
              <w:left w:val="single" w:color="000000" w:sz="6" w:space="0"/>
              <w:right w:val="single" w:color="000000" w:sz="6" w:space="0"/>
            </w:tcBorders>
            <w:noWrap w:val="0"/>
            <w:vAlign w:val="top"/>
          </w:tcPr>
          <w:p w14:paraId="71B71F77">
            <w:pPr>
              <w:rPr>
                <w:rFonts w:ascii="Arial"/>
                <w:color w:val="auto"/>
                <w:sz w:val="21"/>
                <w:highlight w:val="none"/>
              </w:rPr>
            </w:pPr>
          </w:p>
        </w:tc>
        <w:tc>
          <w:tcPr>
            <w:tcW w:w="823" w:type="dxa"/>
            <w:tcBorders>
              <w:left w:val="single" w:color="000000" w:sz="6" w:space="0"/>
              <w:right w:val="single" w:color="000000" w:sz="6" w:space="0"/>
            </w:tcBorders>
            <w:noWrap w:val="0"/>
            <w:vAlign w:val="top"/>
          </w:tcPr>
          <w:p w14:paraId="6DE977A0">
            <w:pPr>
              <w:spacing w:before="277" w:line="220" w:lineRule="auto"/>
              <w:ind w:left="10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性别</w:t>
            </w:r>
          </w:p>
        </w:tc>
        <w:tc>
          <w:tcPr>
            <w:tcW w:w="778" w:type="dxa"/>
            <w:tcBorders>
              <w:left w:val="single" w:color="000000" w:sz="6" w:space="0"/>
              <w:right w:val="single" w:color="000000" w:sz="6" w:space="0"/>
            </w:tcBorders>
            <w:noWrap w:val="0"/>
            <w:vAlign w:val="top"/>
          </w:tcPr>
          <w:p w14:paraId="1344A0CA">
            <w:pPr>
              <w:rPr>
                <w:rFonts w:ascii="Arial"/>
                <w:color w:val="auto"/>
                <w:sz w:val="21"/>
                <w:highlight w:val="none"/>
              </w:rPr>
            </w:pPr>
          </w:p>
        </w:tc>
        <w:tc>
          <w:tcPr>
            <w:tcW w:w="913" w:type="dxa"/>
            <w:tcBorders>
              <w:left w:val="single" w:color="000000" w:sz="6" w:space="0"/>
              <w:right w:val="single" w:color="000000" w:sz="6" w:space="0"/>
            </w:tcBorders>
            <w:noWrap w:val="0"/>
            <w:vAlign w:val="top"/>
          </w:tcPr>
          <w:p w14:paraId="54B79EED">
            <w:pPr>
              <w:spacing w:before="276" w:line="220" w:lineRule="auto"/>
              <w:ind w:left="11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年</w:t>
            </w:r>
            <w:r>
              <w:rPr>
                <w:rFonts w:ascii="宋体" w:hAnsi="宋体" w:eastAsia="宋体" w:cs="宋体"/>
                <w:color w:val="auto"/>
                <w:spacing w:val="-2"/>
                <w:sz w:val="24"/>
                <w:szCs w:val="24"/>
                <w:highlight w:val="none"/>
              </w:rPr>
              <w:t>龄</w:t>
            </w:r>
          </w:p>
        </w:tc>
        <w:tc>
          <w:tcPr>
            <w:tcW w:w="823" w:type="dxa"/>
            <w:tcBorders>
              <w:left w:val="single" w:color="000000" w:sz="6" w:space="0"/>
              <w:right w:val="single" w:color="000000" w:sz="6" w:space="0"/>
            </w:tcBorders>
            <w:noWrap w:val="0"/>
            <w:vAlign w:val="top"/>
          </w:tcPr>
          <w:p w14:paraId="0200F0D3">
            <w:pPr>
              <w:rPr>
                <w:rFonts w:ascii="Arial"/>
                <w:color w:val="auto"/>
                <w:sz w:val="21"/>
                <w:highlight w:val="none"/>
              </w:rPr>
            </w:pPr>
          </w:p>
        </w:tc>
        <w:tc>
          <w:tcPr>
            <w:tcW w:w="674" w:type="dxa"/>
            <w:gridSpan w:val="2"/>
            <w:tcBorders>
              <w:left w:val="single" w:color="000000" w:sz="6" w:space="0"/>
              <w:right w:val="single" w:color="000000" w:sz="6" w:space="0"/>
            </w:tcBorders>
            <w:noWrap w:val="0"/>
            <w:vAlign w:val="top"/>
          </w:tcPr>
          <w:p w14:paraId="158A057B">
            <w:pPr>
              <w:spacing w:before="126" w:line="231" w:lineRule="auto"/>
              <w:ind w:left="136"/>
              <w:rPr>
                <w:rFonts w:ascii="宋体" w:hAnsi="宋体" w:eastAsia="宋体" w:cs="宋体"/>
                <w:color w:val="auto"/>
                <w:sz w:val="24"/>
                <w:szCs w:val="24"/>
                <w:highlight w:val="none"/>
              </w:rPr>
            </w:pPr>
            <w:r>
              <w:rPr>
                <w:rFonts w:ascii="宋体" w:hAnsi="宋体" w:eastAsia="宋体" w:cs="宋体"/>
                <w:color w:val="auto"/>
                <w:sz w:val="24"/>
                <w:szCs w:val="24"/>
                <w:highlight w:val="none"/>
              </w:rPr>
              <w:t>学</w:t>
            </w:r>
          </w:p>
          <w:p w14:paraId="11336EE7">
            <w:pPr>
              <w:spacing w:before="1" w:line="220" w:lineRule="auto"/>
              <w:ind w:left="131"/>
              <w:rPr>
                <w:rFonts w:ascii="宋体" w:hAnsi="宋体" w:eastAsia="宋体" w:cs="宋体"/>
                <w:color w:val="auto"/>
                <w:sz w:val="24"/>
                <w:szCs w:val="24"/>
                <w:highlight w:val="none"/>
              </w:rPr>
            </w:pPr>
            <w:r>
              <w:rPr>
                <w:rFonts w:ascii="宋体" w:hAnsi="宋体" w:eastAsia="宋体" w:cs="宋体"/>
                <w:color w:val="auto"/>
                <w:sz w:val="24"/>
                <w:szCs w:val="24"/>
                <w:highlight w:val="none"/>
              </w:rPr>
              <w:t>位</w:t>
            </w:r>
          </w:p>
        </w:tc>
        <w:tc>
          <w:tcPr>
            <w:tcW w:w="718" w:type="dxa"/>
            <w:tcBorders>
              <w:left w:val="single" w:color="000000" w:sz="6" w:space="0"/>
              <w:right w:val="single" w:color="000000" w:sz="6" w:space="0"/>
            </w:tcBorders>
            <w:noWrap w:val="0"/>
            <w:vAlign w:val="top"/>
          </w:tcPr>
          <w:p w14:paraId="7B06AC80">
            <w:pPr>
              <w:rPr>
                <w:rFonts w:ascii="Arial"/>
                <w:color w:val="auto"/>
                <w:sz w:val="21"/>
                <w:highlight w:val="none"/>
              </w:rPr>
            </w:pPr>
          </w:p>
        </w:tc>
        <w:tc>
          <w:tcPr>
            <w:tcW w:w="1572" w:type="dxa"/>
            <w:gridSpan w:val="2"/>
            <w:tcBorders>
              <w:left w:val="single" w:color="000000" w:sz="6" w:space="0"/>
              <w:right w:val="single" w:color="000000" w:sz="6" w:space="0"/>
            </w:tcBorders>
            <w:noWrap w:val="0"/>
            <w:vAlign w:val="top"/>
          </w:tcPr>
          <w:p w14:paraId="4FEC7BE6">
            <w:pPr>
              <w:spacing w:before="276" w:line="220" w:lineRule="auto"/>
              <w:ind w:left="12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身</w:t>
            </w:r>
            <w:r>
              <w:rPr>
                <w:rFonts w:ascii="宋体" w:hAnsi="宋体" w:eastAsia="宋体" w:cs="宋体"/>
                <w:color w:val="auto"/>
                <w:spacing w:val="-2"/>
                <w:sz w:val="24"/>
                <w:szCs w:val="24"/>
                <w:highlight w:val="none"/>
              </w:rPr>
              <w:t>份证号码</w:t>
            </w:r>
          </w:p>
        </w:tc>
        <w:tc>
          <w:tcPr>
            <w:tcW w:w="1370" w:type="dxa"/>
            <w:tcBorders>
              <w:left w:val="single" w:color="000000" w:sz="6" w:space="0"/>
              <w:right w:val="single" w:color="000000" w:sz="12" w:space="0"/>
            </w:tcBorders>
            <w:noWrap w:val="0"/>
            <w:vAlign w:val="top"/>
          </w:tcPr>
          <w:p w14:paraId="07179DC0">
            <w:pPr>
              <w:rPr>
                <w:rFonts w:ascii="Arial"/>
                <w:color w:val="auto"/>
                <w:sz w:val="21"/>
                <w:highlight w:val="none"/>
              </w:rPr>
            </w:pPr>
          </w:p>
        </w:tc>
      </w:tr>
      <w:tr w14:paraId="5D9B3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4064" w:type="dxa"/>
            <w:gridSpan w:val="5"/>
            <w:tcBorders>
              <w:left w:val="single" w:color="000000" w:sz="12" w:space="0"/>
              <w:right w:val="single" w:color="000000" w:sz="6" w:space="0"/>
            </w:tcBorders>
            <w:noWrap w:val="0"/>
            <w:vAlign w:val="top"/>
          </w:tcPr>
          <w:p w14:paraId="62477A4D">
            <w:pPr>
              <w:spacing w:before="276" w:line="220" w:lineRule="auto"/>
              <w:ind w:left="102"/>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为投标人服务时间(年</w:t>
            </w:r>
            <w:r>
              <w:rPr>
                <w:rFonts w:ascii="宋体" w:hAnsi="宋体" w:eastAsia="宋体" w:cs="宋体"/>
                <w:color w:val="auto"/>
                <w:spacing w:val="6"/>
                <w:sz w:val="24"/>
                <w:szCs w:val="24"/>
                <w:highlight w:val="none"/>
              </w:rPr>
              <w:t>)</w:t>
            </w:r>
          </w:p>
        </w:tc>
        <w:tc>
          <w:tcPr>
            <w:tcW w:w="1497" w:type="dxa"/>
            <w:gridSpan w:val="3"/>
            <w:tcBorders>
              <w:left w:val="single" w:color="000000" w:sz="6" w:space="0"/>
              <w:right w:val="single" w:color="000000" w:sz="6" w:space="0"/>
            </w:tcBorders>
            <w:noWrap w:val="0"/>
            <w:vAlign w:val="top"/>
          </w:tcPr>
          <w:p w14:paraId="0AD40090">
            <w:pPr>
              <w:rPr>
                <w:rFonts w:ascii="Arial"/>
                <w:color w:val="auto"/>
                <w:sz w:val="21"/>
                <w:highlight w:val="none"/>
              </w:rPr>
            </w:pPr>
          </w:p>
        </w:tc>
        <w:tc>
          <w:tcPr>
            <w:tcW w:w="2290" w:type="dxa"/>
            <w:gridSpan w:val="3"/>
            <w:tcBorders>
              <w:left w:val="single" w:color="000000" w:sz="6" w:space="0"/>
              <w:right w:val="single" w:color="000000" w:sz="6" w:space="0"/>
            </w:tcBorders>
            <w:noWrap w:val="0"/>
            <w:vAlign w:val="top"/>
          </w:tcPr>
          <w:p w14:paraId="27391137">
            <w:pPr>
              <w:spacing w:before="277" w:line="219" w:lineRule="auto"/>
              <w:ind w:left="11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在本合同中</w:t>
            </w:r>
            <w:r>
              <w:rPr>
                <w:rFonts w:ascii="宋体" w:hAnsi="宋体" w:eastAsia="宋体" w:cs="宋体"/>
                <w:color w:val="auto"/>
                <w:sz w:val="24"/>
                <w:szCs w:val="24"/>
                <w:highlight w:val="none"/>
              </w:rPr>
              <w:t>拟任职</w:t>
            </w:r>
          </w:p>
        </w:tc>
        <w:tc>
          <w:tcPr>
            <w:tcW w:w="1370" w:type="dxa"/>
            <w:tcBorders>
              <w:left w:val="single" w:color="000000" w:sz="6" w:space="0"/>
              <w:right w:val="single" w:color="000000" w:sz="12" w:space="0"/>
            </w:tcBorders>
            <w:noWrap w:val="0"/>
            <w:vAlign w:val="top"/>
          </w:tcPr>
          <w:p w14:paraId="00D6F8DE">
            <w:pPr>
              <w:rPr>
                <w:rFonts w:ascii="Arial"/>
                <w:color w:val="auto"/>
                <w:sz w:val="21"/>
                <w:highlight w:val="none"/>
              </w:rPr>
            </w:pPr>
          </w:p>
        </w:tc>
      </w:tr>
      <w:tr w14:paraId="130F6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726" w:type="dxa"/>
            <w:tcBorders>
              <w:left w:val="single" w:color="000000" w:sz="12" w:space="0"/>
              <w:right w:val="single" w:color="000000" w:sz="6" w:space="0"/>
            </w:tcBorders>
            <w:noWrap w:val="0"/>
            <w:vAlign w:val="top"/>
          </w:tcPr>
          <w:p w14:paraId="6565D39D">
            <w:pPr>
              <w:spacing w:before="278" w:line="221" w:lineRule="auto"/>
              <w:ind w:left="104"/>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学</w:t>
            </w:r>
            <w:r>
              <w:rPr>
                <w:rFonts w:ascii="宋体" w:hAnsi="宋体" w:eastAsia="宋体" w:cs="宋体"/>
                <w:color w:val="auto"/>
                <w:spacing w:val="-3"/>
                <w:sz w:val="24"/>
                <w:szCs w:val="24"/>
                <w:highlight w:val="none"/>
              </w:rPr>
              <w:t>历</w:t>
            </w:r>
          </w:p>
        </w:tc>
        <w:tc>
          <w:tcPr>
            <w:tcW w:w="1647" w:type="dxa"/>
            <w:gridSpan w:val="2"/>
            <w:tcBorders>
              <w:left w:val="single" w:color="000000" w:sz="6" w:space="0"/>
              <w:right w:val="nil"/>
            </w:tcBorders>
            <w:noWrap w:val="0"/>
            <w:vAlign w:val="top"/>
          </w:tcPr>
          <w:p w14:paraId="3C9A601D">
            <w:pPr>
              <w:spacing w:before="277" w:line="220" w:lineRule="auto"/>
              <w:ind w:left="11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年毕业</w:t>
            </w:r>
            <w:r>
              <w:rPr>
                <w:rFonts w:ascii="宋体" w:hAnsi="宋体" w:eastAsia="宋体" w:cs="宋体"/>
                <w:color w:val="auto"/>
                <w:spacing w:val="-1"/>
                <w:sz w:val="24"/>
                <w:szCs w:val="24"/>
                <w:highlight w:val="none"/>
              </w:rPr>
              <w:t>于</w:t>
            </w:r>
          </w:p>
        </w:tc>
        <w:tc>
          <w:tcPr>
            <w:tcW w:w="2514" w:type="dxa"/>
            <w:gridSpan w:val="3"/>
            <w:tcBorders>
              <w:left w:val="nil"/>
              <w:right w:val="nil"/>
            </w:tcBorders>
            <w:noWrap w:val="0"/>
            <w:vAlign w:val="top"/>
          </w:tcPr>
          <w:p w14:paraId="4EC76884">
            <w:pPr>
              <w:spacing w:before="278" w:line="220" w:lineRule="auto"/>
              <w:ind w:left="887"/>
              <w:rPr>
                <w:rFonts w:ascii="宋体" w:hAnsi="宋体" w:eastAsia="宋体" w:cs="宋体"/>
                <w:color w:val="auto"/>
                <w:sz w:val="24"/>
                <w:szCs w:val="24"/>
                <w:highlight w:val="none"/>
              </w:rPr>
            </w:pPr>
            <w:r>
              <w:rPr>
                <w:rFonts w:ascii="宋体" w:hAnsi="宋体" w:eastAsia="宋体" w:cs="宋体"/>
                <w:color w:val="auto"/>
                <w:spacing w:val="23"/>
                <w:sz w:val="24"/>
                <w:szCs w:val="24"/>
                <w:highlight w:val="none"/>
              </w:rPr>
              <w:t>(</w:t>
            </w:r>
            <w:r>
              <w:rPr>
                <w:rFonts w:ascii="宋体" w:hAnsi="宋体" w:eastAsia="宋体" w:cs="宋体"/>
                <w:color w:val="auto"/>
                <w:spacing w:val="22"/>
                <w:sz w:val="24"/>
                <w:szCs w:val="24"/>
                <w:highlight w:val="none"/>
              </w:rPr>
              <w:t>学校)</w:t>
            </w:r>
          </w:p>
        </w:tc>
        <w:tc>
          <w:tcPr>
            <w:tcW w:w="4334" w:type="dxa"/>
            <w:gridSpan w:val="6"/>
            <w:tcBorders>
              <w:left w:val="nil"/>
              <w:right w:val="single" w:color="000000" w:sz="12" w:space="0"/>
            </w:tcBorders>
            <w:noWrap w:val="0"/>
            <w:vAlign w:val="top"/>
          </w:tcPr>
          <w:p w14:paraId="751D20CD">
            <w:pPr>
              <w:spacing w:before="278" w:line="220" w:lineRule="auto"/>
              <w:ind w:left="1376"/>
              <w:rPr>
                <w:rFonts w:ascii="宋体" w:hAnsi="宋体" w:eastAsia="宋体" w:cs="宋体"/>
                <w:color w:val="auto"/>
                <w:sz w:val="24"/>
                <w:szCs w:val="24"/>
                <w:highlight w:val="none"/>
              </w:rPr>
            </w:pPr>
            <w:r>
              <w:rPr>
                <w:rFonts w:ascii="宋体" w:hAnsi="宋体" w:eastAsia="宋体" w:cs="宋体"/>
                <w:color w:val="auto"/>
                <w:spacing w:val="23"/>
                <w:sz w:val="24"/>
                <w:szCs w:val="24"/>
                <w:highlight w:val="none"/>
              </w:rPr>
              <w:t>(</w:t>
            </w:r>
            <w:r>
              <w:rPr>
                <w:rFonts w:ascii="宋体" w:hAnsi="宋体" w:eastAsia="宋体" w:cs="宋体"/>
                <w:color w:val="auto"/>
                <w:spacing w:val="22"/>
                <w:sz w:val="24"/>
                <w:szCs w:val="24"/>
                <w:highlight w:val="none"/>
              </w:rPr>
              <w:t>专业)</w:t>
            </w:r>
          </w:p>
        </w:tc>
      </w:tr>
      <w:tr w14:paraId="01970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726" w:type="dxa"/>
            <w:tcBorders>
              <w:left w:val="single" w:color="000000" w:sz="12" w:space="0"/>
              <w:right w:val="single" w:color="000000" w:sz="6" w:space="0"/>
            </w:tcBorders>
            <w:noWrap w:val="0"/>
            <w:vAlign w:val="top"/>
          </w:tcPr>
          <w:p w14:paraId="5A6BEC6C">
            <w:pPr>
              <w:spacing w:before="128" w:line="246" w:lineRule="auto"/>
              <w:ind w:left="109" w:right="132" w:hanging="9"/>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专业</w:t>
            </w:r>
            <w:r>
              <w:rPr>
                <w:rFonts w:ascii="宋体" w:hAnsi="宋体" w:eastAsia="宋体" w:cs="宋体"/>
                <w:color w:val="auto"/>
                <w:sz w:val="24"/>
                <w:szCs w:val="24"/>
                <w:highlight w:val="none"/>
              </w:rPr>
              <w:t xml:space="preserve"> </w:t>
            </w:r>
            <w:r>
              <w:rPr>
                <w:rFonts w:ascii="宋体" w:hAnsi="宋体" w:eastAsia="宋体" w:cs="宋体"/>
                <w:color w:val="auto"/>
                <w:spacing w:val="-11"/>
                <w:sz w:val="24"/>
                <w:szCs w:val="24"/>
                <w:highlight w:val="none"/>
              </w:rPr>
              <w:t>资</w:t>
            </w:r>
            <w:r>
              <w:rPr>
                <w:rFonts w:ascii="宋体" w:hAnsi="宋体" w:eastAsia="宋体" w:cs="宋体"/>
                <w:color w:val="auto"/>
                <w:spacing w:val="-9"/>
                <w:sz w:val="24"/>
                <w:szCs w:val="24"/>
                <w:highlight w:val="none"/>
              </w:rPr>
              <w:t>格</w:t>
            </w:r>
          </w:p>
        </w:tc>
        <w:tc>
          <w:tcPr>
            <w:tcW w:w="8495" w:type="dxa"/>
            <w:gridSpan w:val="11"/>
            <w:tcBorders>
              <w:left w:val="single" w:color="000000" w:sz="6" w:space="0"/>
              <w:right w:val="single" w:color="000000" w:sz="12" w:space="0"/>
            </w:tcBorders>
            <w:noWrap w:val="0"/>
            <w:vAlign w:val="top"/>
          </w:tcPr>
          <w:p w14:paraId="5854CDAC">
            <w:pPr>
              <w:rPr>
                <w:rFonts w:ascii="Arial"/>
                <w:color w:val="auto"/>
                <w:sz w:val="21"/>
                <w:highlight w:val="none"/>
              </w:rPr>
            </w:pPr>
          </w:p>
        </w:tc>
      </w:tr>
      <w:tr w14:paraId="4D44D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221" w:type="dxa"/>
            <w:gridSpan w:val="12"/>
            <w:tcBorders>
              <w:left w:val="single" w:color="000000" w:sz="12" w:space="0"/>
              <w:right w:val="single" w:color="000000" w:sz="12" w:space="0"/>
            </w:tcBorders>
            <w:noWrap w:val="0"/>
            <w:vAlign w:val="top"/>
          </w:tcPr>
          <w:p w14:paraId="6676FE3A">
            <w:pPr>
              <w:spacing w:before="279" w:line="222" w:lineRule="auto"/>
              <w:ind w:left="4187"/>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2</w:t>
            </w:r>
            <w:r>
              <w:rPr>
                <w:rFonts w:ascii="宋体" w:hAnsi="宋体" w:eastAsia="宋体" w:cs="宋体"/>
                <w:color w:val="auto"/>
                <w:spacing w:val="-5"/>
                <w:sz w:val="24"/>
                <w:szCs w:val="24"/>
                <w:highlight w:val="none"/>
              </w:rPr>
              <w:t>．经历</w:t>
            </w:r>
          </w:p>
        </w:tc>
      </w:tr>
      <w:tr w14:paraId="4773A8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726" w:type="dxa"/>
            <w:tcBorders>
              <w:left w:val="single" w:color="000000" w:sz="12" w:space="0"/>
              <w:right w:val="single" w:color="000000" w:sz="6" w:space="0"/>
            </w:tcBorders>
            <w:noWrap w:val="0"/>
            <w:vAlign w:val="top"/>
          </w:tcPr>
          <w:p w14:paraId="019EA65E">
            <w:pPr>
              <w:spacing w:before="280" w:line="222" w:lineRule="auto"/>
              <w:ind w:left="111"/>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时</w:t>
            </w:r>
            <w:r>
              <w:rPr>
                <w:rFonts w:ascii="宋体" w:hAnsi="宋体" w:eastAsia="宋体" w:cs="宋体"/>
                <w:color w:val="auto"/>
                <w:spacing w:val="-5"/>
                <w:sz w:val="24"/>
                <w:szCs w:val="24"/>
                <w:highlight w:val="none"/>
              </w:rPr>
              <w:t>间</w:t>
            </w:r>
          </w:p>
        </w:tc>
        <w:tc>
          <w:tcPr>
            <w:tcW w:w="4296" w:type="dxa"/>
            <w:gridSpan w:val="6"/>
            <w:tcBorders>
              <w:left w:val="single" w:color="000000" w:sz="6" w:space="0"/>
              <w:right w:val="single" w:color="000000" w:sz="6" w:space="0"/>
            </w:tcBorders>
            <w:noWrap w:val="0"/>
            <w:vAlign w:val="top"/>
          </w:tcPr>
          <w:p w14:paraId="7036835A">
            <w:pPr>
              <w:spacing w:before="279" w:line="220" w:lineRule="auto"/>
              <w:ind w:left="126"/>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负</w:t>
            </w:r>
            <w:r>
              <w:rPr>
                <w:rFonts w:ascii="宋体" w:hAnsi="宋体" w:eastAsia="宋体" w:cs="宋体"/>
                <w:color w:val="auto"/>
                <w:spacing w:val="6"/>
                <w:sz w:val="24"/>
                <w:szCs w:val="24"/>
                <w:highlight w:val="none"/>
              </w:rPr>
              <w:t>责过的主要工程(类型和金额)</w:t>
            </w:r>
          </w:p>
        </w:tc>
        <w:tc>
          <w:tcPr>
            <w:tcW w:w="1766" w:type="dxa"/>
            <w:gridSpan w:val="3"/>
            <w:tcBorders>
              <w:left w:val="single" w:color="000000" w:sz="6" w:space="0"/>
              <w:right w:val="single" w:color="000000" w:sz="6" w:space="0"/>
            </w:tcBorders>
            <w:noWrap w:val="0"/>
            <w:vAlign w:val="top"/>
          </w:tcPr>
          <w:p w14:paraId="2D0276C5">
            <w:pPr>
              <w:spacing w:before="279" w:line="220" w:lineRule="auto"/>
              <w:ind w:left="12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该项目</w:t>
            </w:r>
            <w:r>
              <w:rPr>
                <w:rFonts w:ascii="宋体" w:hAnsi="宋体" w:eastAsia="宋体" w:cs="宋体"/>
                <w:color w:val="auto"/>
                <w:spacing w:val="-1"/>
                <w:sz w:val="24"/>
                <w:szCs w:val="24"/>
                <w:highlight w:val="none"/>
              </w:rPr>
              <w:t>中任职</w:t>
            </w:r>
          </w:p>
        </w:tc>
        <w:tc>
          <w:tcPr>
            <w:tcW w:w="2433" w:type="dxa"/>
            <w:gridSpan w:val="2"/>
            <w:tcBorders>
              <w:left w:val="single" w:color="000000" w:sz="6" w:space="0"/>
              <w:right w:val="single" w:color="000000" w:sz="12" w:space="0"/>
            </w:tcBorders>
            <w:noWrap w:val="0"/>
            <w:vAlign w:val="top"/>
          </w:tcPr>
          <w:p w14:paraId="69C92BA9">
            <w:pPr>
              <w:spacing w:before="280" w:line="220" w:lineRule="auto"/>
              <w:ind w:left="12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发</w:t>
            </w:r>
            <w:r>
              <w:rPr>
                <w:rFonts w:ascii="宋体" w:hAnsi="宋体" w:eastAsia="宋体" w:cs="宋体"/>
                <w:color w:val="auto"/>
                <w:spacing w:val="-1"/>
                <w:sz w:val="24"/>
                <w:szCs w:val="24"/>
                <w:highlight w:val="none"/>
              </w:rPr>
              <w:t>包人及联系电话</w:t>
            </w:r>
          </w:p>
        </w:tc>
      </w:tr>
      <w:tr w14:paraId="6DE510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6" w:hRule="atLeast"/>
        </w:trPr>
        <w:tc>
          <w:tcPr>
            <w:tcW w:w="726" w:type="dxa"/>
            <w:tcBorders>
              <w:left w:val="single" w:color="000000" w:sz="12" w:space="0"/>
              <w:right w:val="single" w:color="000000" w:sz="6" w:space="0"/>
            </w:tcBorders>
            <w:noWrap w:val="0"/>
            <w:vAlign w:val="top"/>
          </w:tcPr>
          <w:p w14:paraId="1E0D3C06">
            <w:pPr>
              <w:rPr>
                <w:rFonts w:ascii="Arial"/>
                <w:color w:val="auto"/>
                <w:sz w:val="21"/>
                <w:highlight w:val="none"/>
              </w:rPr>
            </w:pPr>
          </w:p>
        </w:tc>
        <w:tc>
          <w:tcPr>
            <w:tcW w:w="4296" w:type="dxa"/>
            <w:gridSpan w:val="6"/>
            <w:tcBorders>
              <w:left w:val="single" w:color="000000" w:sz="6" w:space="0"/>
              <w:right w:val="single" w:color="000000" w:sz="6" w:space="0"/>
            </w:tcBorders>
            <w:noWrap w:val="0"/>
            <w:vAlign w:val="top"/>
          </w:tcPr>
          <w:p w14:paraId="79254D9F">
            <w:pPr>
              <w:rPr>
                <w:rFonts w:ascii="Arial"/>
                <w:color w:val="auto"/>
                <w:sz w:val="21"/>
                <w:highlight w:val="none"/>
              </w:rPr>
            </w:pPr>
          </w:p>
        </w:tc>
        <w:tc>
          <w:tcPr>
            <w:tcW w:w="1766" w:type="dxa"/>
            <w:gridSpan w:val="3"/>
            <w:tcBorders>
              <w:left w:val="single" w:color="000000" w:sz="6" w:space="0"/>
              <w:right w:val="single" w:color="000000" w:sz="6" w:space="0"/>
            </w:tcBorders>
            <w:noWrap w:val="0"/>
            <w:vAlign w:val="top"/>
          </w:tcPr>
          <w:p w14:paraId="00D76992">
            <w:pPr>
              <w:rPr>
                <w:rFonts w:ascii="Arial"/>
                <w:color w:val="auto"/>
                <w:sz w:val="21"/>
                <w:highlight w:val="none"/>
              </w:rPr>
            </w:pPr>
          </w:p>
        </w:tc>
        <w:tc>
          <w:tcPr>
            <w:tcW w:w="2433" w:type="dxa"/>
            <w:gridSpan w:val="2"/>
            <w:tcBorders>
              <w:left w:val="single" w:color="000000" w:sz="6" w:space="0"/>
              <w:right w:val="single" w:color="000000" w:sz="12" w:space="0"/>
            </w:tcBorders>
            <w:noWrap w:val="0"/>
            <w:vAlign w:val="top"/>
          </w:tcPr>
          <w:p w14:paraId="56D4AF84">
            <w:pPr>
              <w:rPr>
                <w:rFonts w:ascii="Arial"/>
                <w:color w:val="auto"/>
                <w:sz w:val="21"/>
                <w:highlight w:val="none"/>
              </w:rPr>
            </w:pPr>
          </w:p>
        </w:tc>
      </w:tr>
      <w:tr w14:paraId="36880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9221" w:type="dxa"/>
            <w:gridSpan w:val="12"/>
            <w:tcBorders>
              <w:left w:val="single" w:color="000000" w:sz="12" w:space="0"/>
              <w:right w:val="single" w:color="000000" w:sz="12" w:space="0"/>
            </w:tcBorders>
            <w:noWrap w:val="0"/>
            <w:vAlign w:val="top"/>
          </w:tcPr>
          <w:p w14:paraId="56139704">
            <w:pPr>
              <w:spacing w:before="280" w:line="220" w:lineRule="auto"/>
              <w:ind w:left="3694"/>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3</w:t>
            </w:r>
            <w:r>
              <w:rPr>
                <w:rFonts w:ascii="宋体" w:hAnsi="宋体" w:eastAsia="宋体" w:cs="宋体"/>
                <w:color w:val="auto"/>
                <w:spacing w:val="-3"/>
                <w:sz w:val="24"/>
                <w:szCs w:val="24"/>
                <w:highlight w:val="none"/>
              </w:rPr>
              <w:t>．</w:t>
            </w:r>
            <w:r>
              <w:rPr>
                <w:rFonts w:ascii="宋体" w:hAnsi="宋体" w:eastAsia="宋体" w:cs="宋体"/>
                <w:color w:val="auto"/>
                <w:spacing w:val="-2"/>
                <w:sz w:val="24"/>
                <w:szCs w:val="24"/>
                <w:highlight w:val="none"/>
              </w:rPr>
              <w:t>目前承担的任务</w:t>
            </w:r>
          </w:p>
        </w:tc>
      </w:tr>
      <w:tr w14:paraId="63E29F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8" w:hRule="atLeast"/>
        </w:trPr>
        <w:tc>
          <w:tcPr>
            <w:tcW w:w="9221" w:type="dxa"/>
            <w:gridSpan w:val="12"/>
            <w:tcBorders>
              <w:left w:val="single" w:color="000000" w:sz="12" w:space="0"/>
              <w:right w:val="single" w:color="000000" w:sz="12" w:space="0"/>
            </w:tcBorders>
            <w:noWrap w:val="0"/>
            <w:vAlign w:val="top"/>
          </w:tcPr>
          <w:p w14:paraId="72EBEFE4">
            <w:pPr>
              <w:rPr>
                <w:rFonts w:ascii="Arial"/>
                <w:color w:val="auto"/>
                <w:sz w:val="21"/>
                <w:highlight w:val="none"/>
              </w:rPr>
            </w:pPr>
          </w:p>
        </w:tc>
      </w:tr>
    </w:tbl>
    <w:p w14:paraId="301FC060">
      <w:pPr>
        <w:rPr>
          <w:rFonts w:hint="eastAsia" w:ascii="宋体" w:hAnsi="宋体" w:eastAsia="宋体" w:cs="宋体"/>
          <w:snapToGrid w:val="0"/>
          <w:color w:val="auto"/>
          <w:sz w:val="21"/>
          <w:szCs w:val="21"/>
          <w:highlight w:val="none"/>
        </w:rPr>
      </w:pPr>
    </w:p>
    <w:p w14:paraId="1C59FE29">
      <w:pPr>
        <w:rPr>
          <w:rFonts w:hint="eastAsia" w:ascii="宋体" w:hAnsi="宋体" w:eastAsia="宋体" w:cs="宋体"/>
          <w:snapToGrid w:val="0"/>
          <w:color w:val="auto"/>
          <w:sz w:val="21"/>
          <w:szCs w:val="21"/>
          <w:highlight w:val="none"/>
        </w:rPr>
      </w:pPr>
    </w:p>
    <w:p w14:paraId="13AA6CF5">
      <w:pPr>
        <w:rPr>
          <w:rFonts w:hint="eastAsia" w:ascii="宋体" w:hAnsi="宋体" w:eastAsia="宋体" w:cs="宋体"/>
          <w:snapToGrid w:val="0"/>
          <w:color w:val="auto"/>
          <w:sz w:val="21"/>
          <w:szCs w:val="21"/>
          <w:highlight w:val="none"/>
        </w:rPr>
      </w:pPr>
    </w:p>
    <w:p w14:paraId="2E989B7F">
      <w:pP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投标单位名称： (盖单位电子公章)</w:t>
      </w:r>
    </w:p>
    <w:p w14:paraId="031CCEB0">
      <w:pPr>
        <w:ind w:firstLine="210" w:firstLineChars="100"/>
        <w:rPr>
          <w:rFonts w:hint="eastAsia" w:ascii="宋体" w:hAnsi="宋体" w:eastAsia="宋体" w:cs="宋体"/>
          <w:snapToGrid w:val="0"/>
          <w:color w:val="auto"/>
          <w:sz w:val="21"/>
          <w:szCs w:val="21"/>
          <w:highlight w:val="none"/>
        </w:rPr>
      </w:pPr>
    </w:p>
    <w:p w14:paraId="4B880B38">
      <w:pP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法定代表人（负责人）或委托代理人：（电子签章）</w:t>
      </w:r>
    </w:p>
    <w:p w14:paraId="485B6CD9">
      <w:pPr>
        <w:rPr>
          <w:rFonts w:hint="eastAsia" w:ascii="宋体" w:hAnsi="宋体" w:eastAsia="宋体" w:cs="宋体"/>
          <w:snapToGrid w:val="0"/>
          <w:color w:val="auto"/>
          <w:sz w:val="21"/>
          <w:szCs w:val="21"/>
          <w:highlight w:val="none"/>
        </w:rPr>
      </w:pPr>
    </w:p>
    <w:p w14:paraId="1B544E67">
      <w:pP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日期：  </w:t>
      </w:r>
      <w:r>
        <w:rPr>
          <w:rFonts w:hint="eastAsia" w:ascii="宋体" w:hAnsi="宋体" w:eastAsia="宋体" w:cs="宋体"/>
          <w:snapToGrid w:val="0"/>
          <w:color w:val="auto"/>
          <w:sz w:val="21"/>
          <w:szCs w:val="21"/>
          <w:highlight w:val="none"/>
          <w:u w:val="single"/>
        </w:rPr>
        <w:t xml:space="preserve">         </w:t>
      </w:r>
      <w:r>
        <w:rPr>
          <w:rFonts w:hint="eastAsia" w:ascii="宋体" w:hAnsi="宋体" w:eastAsia="宋体" w:cs="宋体"/>
          <w:snapToGrid w:val="0"/>
          <w:color w:val="auto"/>
          <w:sz w:val="21"/>
          <w:szCs w:val="21"/>
          <w:highlight w:val="none"/>
        </w:rPr>
        <w:t>年</w:t>
      </w:r>
      <w:r>
        <w:rPr>
          <w:rFonts w:hint="eastAsia" w:ascii="宋体" w:hAnsi="宋体" w:eastAsia="宋体" w:cs="宋体"/>
          <w:snapToGrid w:val="0"/>
          <w:color w:val="auto"/>
          <w:sz w:val="21"/>
          <w:szCs w:val="21"/>
          <w:highlight w:val="none"/>
          <w:u w:val="single"/>
        </w:rPr>
        <w:t xml:space="preserve">     </w:t>
      </w:r>
      <w:r>
        <w:rPr>
          <w:rFonts w:hint="eastAsia" w:ascii="宋体" w:hAnsi="宋体" w:eastAsia="宋体" w:cs="宋体"/>
          <w:snapToGrid w:val="0"/>
          <w:color w:val="auto"/>
          <w:sz w:val="21"/>
          <w:szCs w:val="21"/>
          <w:highlight w:val="none"/>
        </w:rPr>
        <w:t>月</w:t>
      </w:r>
      <w:r>
        <w:rPr>
          <w:rFonts w:hint="eastAsia" w:ascii="宋体" w:hAnsi="宋体" w:eastAsia="宋体" w:cs="宋体"/>
          <w:snapToGrid w:val="0"/>
          <w:color w:val="auto"/>
          <w:sz w:val="21"/>
          <w:szCs w:val="21"/>
          <w:highlight w:val="none"/>
          <w:u w:val="single"/>
        </w:rPr>
        <w:t xml:space="preserve">     </w:t>
      </w:r>
      <w:r>
        <w:rPr>
          <w:rFonts w:hint="eastAsia" w:ascii="宋体" w:hAnsi="宋体" w:eastAsia="宋体" w:cs="宋体"/>
          <w:snapToGrid w:val="0"/>
          <w:color w:val="auto"/>
          <w:sz w:val="21"/>
          <w:szCs w:val="21"/>
          <w:highlight w:val="none"/>
        </w:rPr>
        <w:t>日</w:t>
      </w:r>
    </w:p>
    <w:p w14:paraId="03F1D7FD">
      <w:pPr>
        <w:pStyle w:val="5"/>
        <w:tabs>
          <w:tab w:val="left" w:pos="4592"/>
        </w:tabs>
        <w:ind w:left="4592" w:hanging="4592"/>
        <w:rPr>
          <w:rFonts w:hint="eastAsia" w:ascii="宋体" w:hAnsi="宋体" w:eastAsia="宋体" w:cs="宋体"/>
          <w:b w:val="0"/>
          <w:color w:val="auto"/>
          <w:sz w:val="21"/>
          <w:szCs w:val="21"/>
          <w:highlight w:val="none"/>
        </w:rPr>
      </w:pPr>
      <w:bookmarkStart w:id="72" w:name="_Toc321553332"/>
      <w:bookmarkStart w:id="73" w:name="_Toc106553078"/>
      <w:bookmarkStart w:id="74" w:name="_Toc243713940"/>
      <w:bookmarkStart w:id="75" w:name="_Toc106012816"/>
      <w:bookmarkStart w:id="76" w:name="_Toc184620125"/>
      <w:bookmarkStart w:id="77" w:name="_Toc163027440"/>
      <w:bookmarkStart w:id="78" w:name="_Toc331149340"/>
      <w:bookmarkStart w:id="79" w:name="_Toc3932"/>
      <w:bookmarkStart w:id="80" w:name="_Toc268120612"/>
      <w:bookmarkStart w:id="81" w:name="_Toc106553077"/>
      <w:bookmarkStart w:id="82" w:name="_Toc288213731"/>
      <w:bookmarkStart w:id="83" w:name="_Toc331149338"/>
      <w:r>
        <w:rPr>
          <w:rFonts w:hint="eastAsia" w:ascii="宋体" w:hAnsi="宋体" w:eastAsia="宋体" w:cs="宋体"/>
          <w:b w:val="0"/>
          <w:color w:val="auto"/>
          <w:sz w:val="21"/>
          <w:szCs w:val="21"/>
          <w:highlight w:val="none"/>
        </w:rPr>
        <w:t>附件</w:t>
      </w:r>
      <w:r>
        <w:rPr>
          <w:rFonts w:hint="eastAsia" w:ascii="宋体" w:hAnsi="宋体" w:eastAsia="宋体" w:cs="宋体"/>
          <w:b w:val="0"/>
          <w:color w:val="auto"/>
          <w:sz w:val="21"/>
          <w:szCs w:val="21"/>
          <w:highlight w:val="none"/>
          <w:lang w:val="en-US" w:eastAsia="zh-CN"/>
        </w:rPr>
        <w:t>5</w:t>
      </w:r>
      <w:bookmarkEnd w:id="72"/>
      <w:bookmarkEnd w:id="73"/>
      <w:bookmarkEnd w:id="74"/>
      <w:bookmarkEnd w:id="75"/>
      <w:bookmarkEnd w:id="76"/>
      <w:bookmarkEnd w:id="77"/>
      <w:bookmarkEnd w:id="78"/>
      <w:bookmarkEnd w:id="79"/>
    </w:p>
    <w:p w14:paraId="22BD3499">
      <w:pPr>
        <w:pStyle w:val="17"/>
        <w:spacing w:line="360" w:lineRule="auto"/>
        <w:ind w:left="0" w:leftChars="0" w:firstLine="0" w:firstLineChars="0"/>
        <w:jc w:val="center"/>
        <w:rPr>
          <w:rFonts w:hint="eastAsia" w:ascii="宋体" w:hAnsi="宋体" w:eastAsia="宋体" w:cs="宋体"/>
          <w:b/>
          <w:bCs/>
          <w:color w:val="auto"/>
          <w:szCs w:val="32"/>
          <w:highlight w:val="none"/>
        </w:rPr>
      </w:pPr>
      <w:bookmarkStart w:id="84" w:name="_Toc19762_WPSOffice_Level1"/>
      <w:r>
        <w:rPr>
          <w:rFonts w:hint="eastAsia" w:ascii="宋体" w:hAnsi="宋体" w:eastAsia="宋体" w:cs="宋体"/>
          <w:b/>
          <w:bCs/>
          <w:color w:val="auto"/>
          <w:szCs w:val="32"/>
          <w:highlight w:val="none"/>
        </w:rPr>
        <w:t>诚信投标承诺书</w:t>
      </w:r>
      <w:bookmarkEnd w:id="84"/>
    </w:p>
    <w:p w14:paraId="76015ADB">
      <w:pPr>
        <w:adjustRightInd w:val="0"/>
        <w:snapToGrid w:val="0"/>
        <w:spacing w:line="360" w:lineRule="auto"/>
        <w:ind w:firstLine="482"/>
        <w:rPr>
          <w:rFonts w:hint="eastAsia" w:ascii="宋体" w:hAnsi="宋体" w:eastAsia="宋体" w:cs="宋体"/>
          <w:color w:val="auto"/>
          <w:sz w:val="21"/>
          <w:szCs w:val="21"/>
          <w:highlight w:val="none"/>
        </w:rPr>
      </w:pPr>
    </w:p>
    <w:p w14:paraId="4A3B1378">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本人以企业法定代表人的身份郑重承诺：</w:t>
      </w:r>
    </w:p>
    <w:p w14:paraId="2FE0616D">
      <w:pPr>
        <w:keepNext w:val="0"/>
        <w:keepLines w:val="0"/>
        <w:pageBreakBefore w:val="0"/>
        <w:widowControl w:val="0"/>
        <w:kinsoku/>
        <w:wordWrap/>
        <w:overflowPunct/>
        <w:topLinePunct w:val="0"/>
        <w:autoSpaceDE/>
        <w:autoSpaceDN/>
        <w:bidi w:val="0"/>
        <w:adjustRightInd w:val="0"/>
        <w:snapToGrid w:val="0"/>
        <w:spacing w:line="480" w:lineRule="auto"/>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一、将遵循公开、公平、公正和诚实信用的原则参加</w:t>
      </w:r>
      <w:r>
        <w:rPr>
          <w:rFonts w:hint="eastAsia" w:ascii="宋体" w:hAnsi="宋体" w:eastAsia="宋体" w:cs="宋体"/>
          <w:color w:val="auto"/>
          <w:sz w:val="24"/>
          <w:szCs w:val="24"/>
          <w:highlight w:val="none"/>
          <w:u w:val="single"/>
          <w:lang w:val="en-US" w:eastAsia="zh-CN"/>
        </w:rPr>
        <w:t>台州湾陆岛联动综合码头工程（一期）建筑工程一切险及安全生产责任险保险服务项目（重新招标）</w:t>
      </w:r>
      <w:r>
        <w:rPr>
          <w:rFonts w:hint="eastAsia" w:ascii="宋体" w:hAnsi="宋体" w:eastAsia="宋体" w:cs="宋体"/>
          <w:color w:val="auto"/>
          <w:sz w:val="24"/>
          <w:szCs w:val="24"/>
          <w:highlight w:val="none"/>
        </w:rPr>
        <w:t>的投标；</w:t>
      </w:r>
    </w:p>
    <w:p w14:paraId="15033351">
      <w:pPr>
        <w:keepNext w:val="0"/>
        <w:keepLines w:val="0"/>
        <w:pageBreakBefore w:val="0"/>
        <w:widowControl w:val="0"/>
        <w:tabs>
          <w:tab w:val="left" w:pos="287"/>
        </w:tabs>
        <w:kinsoku/>
        <w:wordWrap/>
        <w:overflowPunct/>
        <w:topLinePunct w:val="0"/>
        <w:autoSpaceDE/>
        <w:autoSpaceDN/>
        <w:bidi w:val="0"/>
        <w:adjustRightInd w:val="0"/>
        <w:snapToGrid w:val="0"/>
        <w:spacing w:line="480" w:lineRule="auto"/>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二、所提供的一切材料都是真实、有效、合法的；</w:t>
      </w:r>
    </w:p>
    <w:p w14:paraId="6093762D">
      <w:pPr>
        <w:keepNext w:val="0"/>
        <w:keepLines w:val="0"/>
        <w:pageBreakBefore w:val="0"/>
        <w:widowControl w:val="0"/>
        <w:kinsoku/>
        <w:wordWrap/>
        <w:overflowPunct/>
        <w:topLinePunct w:val="0"/>
        <w:autoSpaceDE/>
        <w:autoSpaceDN/>
        <w:bidi w:val="0"/>
        <w:adjustRightInd w:val="0"/>
        <w:snapToGrid w:val="0"/>
        <w:spacing w:line="480" w:lineRule="auto"/>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三、不与其他投标人相互串通投标报价，不排挤其他投标人的公平竞争，不损害招标人或其他投标人的合法权益；</w:t>
      </w:r>
    </w:p>
    <w:p w14:paraId="795D78E1">
      <w:pPr>
        <w:keepNext w:val="0"/>
        <w:keepLines w:val="0"/>
        <w:pageBreakBefore w:val="0"/>
        <w:widowControl w:val="0"/>
        <w:kinsoku/>
        <w:wordWrap/>
        <w:overflowPunct/>
        <w:topLinePunct w:val="0"/>
        <w:autoSpaceDE/>
        <w:autoSpaceDN/>
        <w:bidi w:val="0"/>
        <w:adjustRightInd w:val="0"/>
        <w:snapToGrid w:val="0"/>
        <w:spacing w:line="480" w:lineRule="auto"/>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四、不与招标人或招标代理机构串通投标，损害国家利益、社会公共利益或者他人的合法权益；</w:t>
      </w:r>
    </w:p>
    <w:p w14:paraId="01E4A6C5">
      <w:pPr>
        <w:keepNext w:val="0"/>
        <w:keepLines w:val="0"/>
        <w:pageBreakBefore w:val="0"/>
        <w:widowControl w:val="0"/>
        <w:kinsoku/>
        <w:wordWrap/>
        <w:overflowPunct/>
        <w:topLinePunct w:val="0"/>
        <w:autoSpaceDE/>
        <w:autoSpaceDN/>
        <w:bidi w:val="0"/>
        <w:adjustRightInd w:val="0"/>
        <w:snapToGrid w:val="0"/>
        <w:spacing w:line="480" w:lineRule="auto"/>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五、不向招标人或者评标委员会成员行贿以牟取中标；</w:t>
      </w:r>
    </w:p>
    <w:p w14:paraId="3CFBA5E5">
      <w:pPr>
        <w:keepNext w:val="0"/>
        <w:keepLines w:val="0"/>
        <w:pageBreakBefore w:val="0"/>
        <w:widowControl w:val="0"/>
        <w:kinsoku/>
        <w:wordWrap/>
        <w:overflowPunct/>
        <w:topLinePunct w:val="0"/>
        <w:autoSpaceDE/>
        <w:autoSpaceDN/>
        <w:bidi w:val="0"/>
        <w:adjustRightInd w:val="0"/>
        <w:snapToGrid w:val="0"/>
        <w:spacing w:line="480" w:lineRule="auto"/>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六、不以他人名义投标或者以其他方式弄虚作假，骗取中标；</w:t>
      </w:r>
    </w:p>
    <w:p w14:paraId="5DDB9619">
      <w:pPr>
        <w:keepNext w:val="0"/>
        <w:keepLines w:val="0"/>
        <w:pageBreakBefore w:val="0"/>
        <w:widowControl w:val="0"/>
        <w:kinsoku/>
        <w:wordWrap/>
        <w:overflowPunct/>
        <w:topLinePunct w:val="0"/>
        <w:autoSpaceDE/>
        <w:autoSpaceDN/>
        <w:bidi w:val="0"/>
        <w:adjustRightInd w:val="0"/>
        <w:snapToGrid w:val="0"/>
        <w:spacing w:line="48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本公司若有违反本承诺内容的行为，愿意承担法律责任。如已中标的，自动放弃中标资格；给招标人造成损失的，依法承担赔偿责任。</w:t>
      </w:r>
    </w:p>
    <w:p w14:paraId="1FC7476A">
      <w:pPr>
        <w:adjustRightInd w:val="0"/>
        <w:snapToGrid w:val="0"/>
        <w:spacing w:line="360" w:lineRule="auto"/>
        <w:ind w:firstLine="482"/>
        <w:rPr>
          <w:rFonts w:hint="eastAsia" w:ascii="宋体" w:hAnsi="宋体" w:eastAsia="宋体" w:cs="宋体"/>
          <w:color w:val="auto"/>
          <w:sz w:val="21"/>
          <w:szCs w:val="21"/>
          <w:highlight w:val="none"/>
        </w:rPr>
      </w:pPr>
    </w:p>
    <w:p w14:paraId="1C5292A1">
      <w:pPr>
        <w:pStyle w:val="2"/>
        <w:numPr>
          <w:ilvl w:val="0"/>
          <w:numId w:val="0"/>
        </w:numPr>
        <w:jc w:val="both"/>
        <w:rPr>
          <w:rFonts w:hint="eastAsia" w:ascii="宋体" w:hAnsi="宋体" w:cs="宋体"/>
          <w:color w:val="auto"/>
          <w:sz w:val="21"/>
          <w:szCs w:val="21"/>
          <w:highlight w:val="none"/>
        </w:rPr>
      </w:pPr>
    </w:p>
    <w:p w14:paraId="7923BECE">
      <w:pPr>
        <w:rPr>
          <w:rFonts w:hint="eastAsia" w:ascii="宋体" w:hAnsi="宋体" w:eastAsia="宋体" w:cs="宋体"/>
          <w:b w:val="0"/>
          <w:bCs w:val="0"/>
          <w:color w:val="auto"/>
          <w:sz w:val="21"/>
          <w:szCs w:val="21"/>
          <w:highlight w:val="none"/>
        </w:rPr>
      </w:pPr>
    </w:p>
    <w:p w14:paraId="0C654A59">
      <w:pPr>
        <w:pStyle w:val="2"/>
        <w:numPr>
          <w:ilvl w:val="0"/>
          <w:numId w:val="0"/>
        </w:numPr>
        <w:ind w:left="4410" w:leftChars="0"/>
        <w:jc w:val="both"/>
        <w:rPr>
          <w:rFonts w:hint="eastAsia" w:ascii="宋体" w:hAnsi="宋体" w:cs="宋体"/>
          <w:color w:val="auto"/>
          <w:sz w:val="21"/>
          <w:szCs w:val="21"/>
          <w:highlight w:val="none"/>
        </w:rPr>
      </w:pPr>
    </w:p>
    <w:p w14:paraId="36E1CB45">
      <w:pPr>
        <w:rPr>
          <w:rFonts w:hint="eastAsia"/>
          <w:color w:val="auto"/>
          <w:highlight w:val="none"/>
        </w:rPr>
      </w:pPr>
    </w:p>
    <w:p w14:paraId="178C0668">
      <w:pPr>
        <w:ind w:firstLine="210" w:firstLineChars="100"/>
        <w:rPr>
          <w:rFonts w:hint="eastAsia" w:ascii="宋体" w:hAnsi="宋体" w:eastAsia="宋体" w:cs="宋体"/>
          <w:snapToGrid w:val="0"/>
          <w:color w:val="auto"/>
          <w:sz w:val="21"/>
          <w:szCs w:val="21"/>
          <w:highlight w:val="none"/>
        </w:rPr>
      </w:pPr>
      <w:bookmarkStart w:id="85" w:name="_Toc1627"/>
      <w:r>
        <w:rPr>
          <w:rFonts w:hint="eastAsia" w:ascii="宋体" w:hAnsi="宋体" w:eastAsia="宋体" w:cs="宋体"/>
          <w:snapToGrid w:val="0"/>
          <w:color w:val="auto"/>
          <w:sz w:val="21"/>
          <w:szCs w:val="21"/>
          <w:highlight w:val="none"/>
        </w:rPr>
        <w:t>投标单位名称： (盖单位电子公章)</w:t>
      </w:r>
    </w:p>
    <w:p w14:paraId="3C00FB7B">
      <w:pPr>
        <w:ind w:firstLine="210" w:firstLineChars="100"/>
        <w:rPr>
          <w:rFonts w:hint="eastAsia" w:ascii="宋体" w:hAnsi="宋体" w:eastAsia="宋体" w:cs="宋体"/>
          <w:snapToGrid w:val="0"/>
          <w:color w:val="auto"/>
          <w:sz w:val="21"/>
          <w:szCs w:val="21"/>
          <w:highlight w:val="none"/>
        </w:rPr>
      </w:pPr>
    </w:p>
    <w:p w14:paraId="38A7A6E9">
      <w:pPr>
        <w:ind w:firstLine="210" w:firstLineChars="10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法定代表人（负责人）或委托代理人：（电子签章）</w:t>
      </w:r>
    </w:p>
    <w:p w14:paraId="38D7EB7F">
      <w:pPr>
        <w:ind w:firstLine="210" w:firstLineChars="100"/>
        <w:rPr>
          <w:rFonts w:hint="eastAsia" w:ascii="宋体" w:hAnsi="宋体" w:eastAsia="宋体" w:cs="宋体"/>
          <w:snapToGrid w:val="0"/>
          <w:color w:val="auto"/>
          <w:sz w:val="21"/>
          <w:szCs w:val="21"/>
          <w:highlight w:val="none"/>
        </w:rPr>
      </w:pPr>
    </w:p>
    <w:p w14:paraId="5414C812">
      <w:pPr>
        <w:rPr>
          <w:rFonts w:hint="eastAsia" w:ascii="宋体" w:hAnsi="宋体" w:eastAsia="宋体" w:cs="宋体"/>
          <w:snapToGrid w:val="0"/>
          <w:color w:val="auto"/>
          <w:sz w:val="21"/>
          <w:szCs w:val="21"/>
          <w:highlight w:val="none"/>
        </w:rPr>
      </w:pPr>
    </w:p>
    <w:p w14:paraId="3F05DC7E">
      <w:pP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                                           日期： </w:t>
      </w:r>
      <w:r>
        <w:rPr>
          <w:rFonts w:hint="eastAsia" w:ascii="宋体" w:hAnsi="宋体" w:eastAsia="宋体" w:cs="宋体"/>
          <w:snapToGrid w:val="0"/>
          <w:color w:val="auto"/>
          <w:sz w:val="21"/>
          <w:szCs w:val="21"/>
          <w:highlight w:val="none"/>
          <w:u w:val="single"/>
        </w:rPr>
        <w:t xml:space="preserve">     </w:t>
      </w:r>
      <w:r>
        <w:rPr>
          <w:rFonts w:hint="eastAsia" w:ascii="宋体" w:hAnsi="宋体" w:eastAsia="宋体" w:cs="宋体"/>
          <w:snapToGrid w:val="0"/>
          <w:color w:val="auto"/>
          <w:sz w:val="21"/>
          <w:szCs w:val="21"/>
          <w:highlight w:val="none"/>
        </w:rPr>
        <w:t>年</w:t>
      </w:r>
      <w:r>
        <w:rPr>
          <w:rFonts w:hint="eastAsia" w:ascii="宋体" w:hAnsi="宋体" w:eastAsia="宋体" w:cs="宋体"/>
          <w:snapToGrid w:val="0"/>
          <w:color w:val="auto"/>
          <w:sz w:val="21"/>
          <w:szCs w:val="21"/>
          <w:highlight w:val="none"/>
          <w:u w:val="single"/>
        </w:rPr>
        <w:t xml:space="preserve">     </w:t>
      </w:r>
      <w:r>
        <w:rPr>
          <w:rFonts w:hint="eastAsia" w:ascii="宋体" w:hAnsi="宋体" w:eastAsia="宋体" w:cs="宋体"/>
          <w:snapToGrid w:val="0"/>
          <w:color w:val="auto"/>
          <w:sz w:val="21"/>
          <w:szCs w:val="21"/>
          <w:highlight w:val="none"/>
        </w:rPr>
        <w:t>月</w:t>
      </w:r>
      <w:r>
        <w:rPr>
          <w:rFonts w:hint="eastAsia" w:ascii="宋体" w:hAnsi="宋体" w:eastAsia="宋体" w:cs="宋体"/>
          <w:snapToGrid w:val="0"/>
          <w:color w:val="auto"/>
          <w:sz w:val="21"/>
          <w:szCs w:val="21"/>
          <w:highlight w:val="none"/>
          <w:u w:val="single"/>
        </w:rPr>
        <w:t xml:space="preserve">      </w:t>
      </w:r>
      <w:r>
        <w:rPr>
          <w:rFonts w:hint="eastAsia" w:ascii="宋体" w:hAnsi="宋体" w:eastAsia="宋体" w:cs="宋体"/>
          <w:snapToGrid w:val="0"/>
          <w:color w:val="auto"/>
          <w:sz w:val="21"/>
          <w:szCs w:val="21"/>
          <w:highlight w:val="none"/>
        </w:rPr>
        <w:t>日</w:t>
      </w:r>
    </w:p>
    <w:p w14:paraId="4B359E3D">
      <w:pPr>
        <w:pStyle w:val="5"/>
        <w:tabs>
          <w:tab w:val="left" w:pos="4592"/>
        </w:tabs>
        <w:rPr>
          <w:rFonts w:hint="eastAsia" w:ascii="宋体" w:hAnsi="宋体" w:eastAsia="宋体" w:cs="宋体"/>
          <w:b w:val="0"/>
          <w:bCs w:val="0"/>
          <w:color w:val="auto"/>
          <w:sz w:val="28"/>
          <w:szCs w:val="28"/>
          <w:highlight w:val="none"/>
        </w:rPr>
      </w:pPr>
      <w:bookmarkStart w:id="86" w:name="_Toc510085063"/>
      <w:bookmarkStart w:id="87" w:name="_Toc7472"/>
      <w:r>
        <w:rPr>
          <w:rFonts w:hint="eastAsia" w:ascii="宋体" w:hAnsi="宋体" w:eastAsia="宋体" w:cs="宋体"/>
          <w:b w:val="0"/>
          <w:color w:val="auto"/>
          <w:sz w:val="21"/>
          <w:szCs w:val="21"/>
          <w:highlight w:val="none"/>
        </w:rPr>
        <w:t>附件</w:t>
      </w:r>
      <w:r>
        <w:rPr>
          <w:rFonts w:hint="eastAsia" w:ascii="宋体" w:hAnsi="宋体" w:eastAsia="宋体" w:cs="宋体"/>
          <w:b w:val="0"/>
          <w:color w:val="auto"/>
          <w:sz w:val="21"/>
          <w:szCs w:val="21"/>
          <w:highlight w:val="none"/>
          <w:lang w:val="en-US" w:eastAsia="zh-CN"/>
        </w:rPr>
        <w:t>6</w:t>
      </w:r>
      <w:bookmarkEnd w:id="86"/>
      <w:bookmarkEnd w:id="87"/>
    </w:p>
    <w:p w14:paraId="2D95A5FD">
      <w:pPr>
        <w:spacing w:before="293" w:line="222" w:lineRule="auto"/>
        <w:ind w:left="3266"/>
        <w:rPr>
          <w:rFonts w:ascii="宋体" w:hAnsi="宋体" w:eastAsia="宋体" w:cs="宋体"/>
          <w:color w:val="auto"/>
          <w:sz w:val="36"/>
          <w:szCs w:val="36"/>
          <w:highlight w:val="none"/>
        </w:rPr>
      </w:pPr>
      <w:bookmarkStart w:id="88" w:name="_Toc22791_WPSOffice_Level1"/>
      <w:bookmarkStart w:id="89" w:name="_Toc331149339"/>
      <w:bookmarkStart w:id="90" w:name="_Toc427133094"/>
      <w:bookmarkStart w:id="91" w:name="_Toc10635"/>
      <w:bookmarkStart w:id="92" w:name="_Toc163027439"/>
      <w:bookmarkStart w:id="93" w:name="_Toc510085064"/>
      <w:bookmarkStart w:id="94" w:name="_Toc288213732"/>
      <w:bookmarkStart w:id="95" w:name="_Toc184620124"/>
      <w:bookmarkStart w:id="96" w:name="_Toc427131831"/>
      <w:bookmarkStart w:id="97" w:name="_Toc243713939"/>
      <w:bookmarkStart w:id="98" w:name="_Toc268120613"/>
      <w:r>
        <w:rPr>
          <w:rFonts w:ascii="宋体" w:hAnsi="宋体" w:eastAsia="宋体" w:cs="宋体"/>
          <w:color w:val="auto"/>
          <w:spacing w:val="48"/>
          <w:sz w:val="36"/>
          <w:szCs w:val="36"/>
          <w:highlight w:val="none"/>
        </w:rPr>
        <w:t>业务授权书</w:t>
      </w:r>
      <w:bookmarkEnd w:id="88"/>
    </w:p>
    <w:p w14:paraId="310392CD">
      <w:pPr>
        <w:spacing w:line="270" w:lineRule="auto"/>
        <w:rPr>
          <w:rFonts w:ascii="Arial"/>
          <w:color w:val="auto"/>
          <w:sz w:val="21"/>
          <w:highlight w:val="none"/>
        </w:rPr>
      </w:pPr>
    </w:p>
    <w:p w14:paraId="1A6649C6">
      <w:pPr>
        <w:spacing w:line="271" w:lineRule="auto"/>
        <w:rPr>
          <w:rFonts w:ascii="Arial"/>
          <w:color w:val="auto"/>
          <w:sz w:val="21"/>
          <w:highlight w:val="none"/>
        </w:rPr>
      </w:pPr>
    </w:p>
    <w:p w14:paraId="7CA120D0">
      <w:pPr>
        <w:spacing w:line="271" w:lineRule="auto"/>
        <w:rPr>
          <w:rFonts w:ascii="Arial"/>
          <w:color w:val="auto"/>
          <w:sz w:val="21"/>
          <w:highlight w:val="none"/>
        </w:rPr>
      </w:pPr>
    </w:p>
    <w:p w14:paraId="2E2B834B">
      <w:pPr>
        <w:spacing w:before="68" w:line="412" w:lineRule="auto"/>
        <w:ind w:left="23"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 xml:space="preserve">本业务授权书声明： </w:t>
      </w:r>
      <w:r>
        <w:rPr>
          <w:rFonts w:ascii="宋体" w:hAnsi="宋体" w:eastAsia="宋体" w:cs="宋体"/>
          <w:color w:val="auto"/>
          <w:sz w:val="21"/>
          <w:szCs w:val="21"/>
          <w:highlight w:val="none"/>
          <w:u w:val="single"/>
        </w:rPr>
        <w:t xml:space="preserve">               (投标单位总公司名称) </w:t>
      </w:r>
      <w:r>
        <w:rPr>
          <w:rFonts w:ascii="宋体" w:hAnsi="宋体" w:eastAsia="宋体" w:cs="宋体"/>
          <w:color w:val="auto"/>
          <w:sz w:val="21"/>
          <w:szCs w:val="21"/>
          <w:highlight w:val="none"/>
        </w:rPr>
        <w:t>授权注册于</w:t>
      </w:r>
      <w:r>
        <w:rPr>
          <w:rFonts w:ascii="宋体" w:hAnsi="宋体" w:eastAsia="宋体" w:cs="宋体"/>
          <w:color w:val="auto"/>
          <w:sz w:val="21"/>
          <w:szCs w:val="21"/>
          <w:highlight w:val="none"/>
          <w:u w:val="single"/>
        </w:rPr>
        <w:t xml:space="preserve">     (注册</w:t>
      </w:r>
      <w:r>
        <w:rPr>
          <w:rFonts w:ascii="宋体" w:hAnsi="宋体" w:eastAsia="宋体" w:cs="宋体"/>
          <w:color w:val="auto"/>
          <w:sz w:val="21"/>
          <w:szCs w:val="21"/>
          <w:highlight w:val="none"/>
        </w:rPr>
        <w:t xml:space="preserve"> </w:t>
      </w:r>
      <w:r>
        <w:rPr>
          <w:rFonts w:ascii="宋体" w:hAnsi="宋体" w:eastAsia="宋体" w:cs="宋体"/>
          <w:color w:val="auto"/>
          <w:spacing w:val="-8"/>
          <w:sz w:val="21"/>
          <w:szCs w:val="21"/>
          <w:highlight w:val="none"/>
          <w:u w:val="single"/>
        </w:rPr>
        <w:t xml:space="preserve">地址) </w:t>
      </w:r>
      <w:r>
        <w:rPr>
          <w:rFonts w:ascii="宋体" w:hAnsi="宋体" w:eastAsia="宋体" w:cs="宋体"/>
          <w:color w:val="auto"/>
          <w:spacing w:val="-6"/>
          <w:sz w:val="21"/>
          <w:szCs w:val="21"/>
          <w:highlight w:val="none"/>
        </w:rPr>
        <w:t>的</w:t>
      </w:r>
      <w:r>
        <w:rPr>
          <w:rFonts w:ascii="宋体" w:hAnsi="宋体" w:eastAsia="宋体" w:cs="宋体"/>
          <w:color w:val="auto"/>
          <w:spacing w:val="-4"/>
          <w:sz w:val="21"/>
          <w:szCs w:val="21"/>
          <w:highlight w:val="none"/>
          <w:u w:val="single"/>
        </w:rPr>
        <w:t xml:space="preserve">         (省级或地市级分支机构名称) </w:t>
      </w:r>
      <w:r>
        <w:rPr>
          <w:rFonts w:ascii="宋体" w:hAnsi="宋体" w:eastAsia="宋体" w:cs="宋体"/>
          <w:color w:val="auto"/>
          <w:spacing w:val="-4"/>
          <w:sz w:val="21"/>
          <w:szCs w:val="21"/>
          <w:highlight w:val="none"/>
        </w:rPr>
        <w:t xml:space="preserve"> 代表本公司， 参加</w:t>
      </w:r>
      <w:r>
        <w:rPr>
          <w:rFonts w:ascii="宋体" w:hAnsi="宋体" w:eastAsia="宋体" w:cs="宋体"/>
          <w:color w:val="auto"/>
          <w:spacing w:val="-4"/>
          <w:sz w:val="21"/>
          <w:szCs w:val="21"/>
          <w:highlight w:val="none"/>
          <w:u w:val="single"/>
        </w:rPr>
        <w:t xml:space="preserve"> (项目名称) </w:t>
      </w:r>
      <w:r>
        <w:rPr>
          <w:rFonts w:ascii="宋体" w:hAnsi="宋体" w:eastAsia="宋体" w:cs="宋体"/>
          <w:color w:val="auto"/>
          <w:spacing w:val="-4"/>
          <w:sz w:val="21"/>
          <w:szCs w:val="21"/>
          <w:highlight w:val="none"/>
        </w:rPr>
        <w:t>的投标、</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谈判</w:t>
      </w:r>
      <w:r>
        <w:rPr>
          <w:rFonts w:ascii="宋体" w:hAnsi="宋体" w:eastAsia="宋体" w:cs="宋体"/>
          <w:color w:val="auto"/>
          <w:spacing w:val="-3"/>
          <w:sz w:val="21"/>
          <w:szCs w:val="21"/>
          <w:highlight w:val="none"/>
        </w:rPr>
        <w:t>、</w:t>
      </w:r>
      <w:r>
        <w:rPr>
          <w:rFonts w:ascii="宋体" w:hAnsi="宋体" w:eastAsia="宋体" w:cs="宋体"/>
          <w:color w:val="auto"/>
          <w:spacing w:val="-2"/>
          <w:sz w:val="21"/>
          <w:szCs w:val="21"/>
          <w:highlight w:val="none"/>
        </w:rPr>
        <w:t>以及中标后保险合同的履行， 并以</w:t>
      </w:r>
      <w:r>
        <w:rPr>
          <w:rFonts w:ascii="宋体" w:hAnsi="宋体" w:eastAsia="宋体" w:cs="宋体"/>
          <w:color w:val="auto"/>
          <w:spacing w:val="-2"/>
          <w:sz w:val="21"/>
          <w:szCs w:val="21"/>
          <w:highlight w:val="none"/>
          <w:u w:val="single"/>
        </w:rPr>
        <w:t xml:space="preserve">              (省级或地市级分支机构名称) </w:t>
      </w:r>
      <w:r>
        <w:rPr>
          <w:rFonts w:ascii="宋体" w:hAnsi="宋体" w:eastAsia="宋体" w:cs="宋体"/>
          <w:color w:val="auto"/>
          <w:spacing w:val="-2"/>
          <w:sz w:val="21"/>
          <w:szCs w:val="21"/>
          <w:highlight w:val="none"/>
        </w:rPr>
        <w:t>名</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义处理一切</w:t>
      </w:r>
      <w:r>
        <w:rPr>
          <w:rFonts w:ascii="宋体" w:hAnsi="宋体" w:eastAsia="宋体" w:cs="宋体"/>
          <w:color w:val="auto"/>
          <w:sz w:val="21"/>
          <w:szCs w:val="21"/>
          <w:highlight w:val="none"/>
        </w:rPr>
        <w:t>与之有关的各项事务(包括法律事务)，由此产生的法律效力本公司均予以承认。</w:t>
      </w:r>
    </w:p>
    <w:p w14:paraId="1C9311D6">
      <w:pPr>
        <w:spacing w:before="1" w:line="415" w:lineRule="auto"/>
        <w:ind w:left="444" w:right="64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本业务授权书自本公司签章之日起生效，在该项目保</w:t>
      </w:r>
      <w:r>
        <w:rPr>
          <w:rFonts w:ascii="宋体" w:hAnsi="宋体" w:eastAsia="宋体" w:cs="宋体"/>
          <w:color w:val="auto"/>
          <w:sz w:val="21"/>
          <w:szCs w:val="21"/>
          <w:highlight w:val="none"/>
        </w:rPr>
        <w:t xml:space="preserve">险合同有效期内持续有效。 </w:t>
      </w:r>
      <w:r>
        <w:rPr>
          <w:rFonts w:ascii="宋体" w:hAnsi="宋体" w:eastAsia="宋体" w:cs="宋体"/>
          <w:color w:val="auto"/>
          <w:spacing w:val="-6"/>
          <w:sz w:val="21"/>
          <w:szCs w:val="21"/>
          <w:highlight w:val="none"/>
        </w:rPr>
        <w:t>特此授权。</w:t>
      </w:r>
    </w:p>
    <w:p w14:paraId="3A77B34C">
      <w:pPr>
        <w:spacing w:line="380" w:lineRule="auto"/>
        <w:rPr>
          <w:rFonts w:ascii="Arial"/>
          <w:color w:val="auto"/>
          <w:sz w:val="21"/>
          <w:highlight w:val="none"/>
        </w:rPr>
      </w:pPr>
    </w:p>
    <w:p w14:paraId="1FF57CB4">
      <w:pPr>
        <w:spacing w:before="68" w:line="481" w:lineRule="exact"/>
        <w:ind w:left="1600"/>
        <w:rPr>
          <w:rFonts w:ascii="宋体" w:hAnsi="宋体" w:eastAsia="宋体" w:cs="宋体"/>
          <w:color w:val="auto"/>
          <w:sz w:val="21"/>
          <w:szCs w:val="21"/>
          <w:highlight w:val="none"/>
        </w:rPr>
      </w:pPr>
      <w:r>
        <w:rPr>
          <w:rFonts w:ascii="宋体" w:hAnsi="宋体" w:eastAsia="宋体" w:cs="宋体"/>
          <w:color w:val="auto"/>
          <w:spacing w:val="10"/>
          <w:position w:val="20"/>
          <w:sz w:val="21"/>
          <w:szCs w:val="21"/>
          <w:highlight w:val="none"/>
        </w:rPr>
        <w:t>授权</w:t>
      </w:r>
      <w:r>
        <w:rPr>
          <w:rFonts w:ascii="宋体" w:hAnsi="宋体" w:eastAsia="宋体" w:cs="宋体"/>
          <w:color w:val="auto"/>
          <w:spacing w:val="5"/>
          <w:position w:val="20"/>
          <w:sz w:val="21"/>
          <w:szCs w:val="21"/>
          <w:highlight w:val="none"/>
        </w:rPr>
        <w:t>方(总公司)：(盖单位公章)</w:t>
      </w:r>
    </w:p>
    <w:p w14:paraId="7A448194">
      <w:pPr>
        <w:spacing w:line="218" w:lineRule="auto"/>
        <w:ind w:left="160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法定代表人：</w:t>
      </w:r>
      <w:r>
        <w:rPr>
          <w:rFonts w:ascii="宋体" w:hAnsi="宋体" w:eastAsia="宋体" w:cs="宋体"/>
          <w:color w:val="auto"/>
          <w:sz w:val="21"/>
          <w:szCs w:val="21"/>
          <w:highlight w:val="none"/>
        </w:rPr>
        <w:t>(签字或盖章)</w:t>
      </w:r>
    </w:p>
    <w:p w14:paraId="30BCDA7D">
      <w:pPr>
        <w:spacing w:before="217" w:line="465" w:lineRule="exact"/>
        <w:ind w:left="1601"/>
        <w:rPr>
          <w:rFonts w:ascii="宋体" w:hAnsi="宋体" w:eastAsia="宋体" w:cs="宋体"/>
          <w:color w:val="auto"/>
          <w:sz w:val="21"/>
          <w:szCs w:val="21"/>
          <w:highlight w:val="none"/>
        </w:rPr>
      </w:pPr>
      <w:r>
        <w:rPr>
          <w:rFonts w:ascii="宋体" w:hAnsi="宋体" w:eastAsia="宋体" w:cs="宋体"/>
          <w:color w:val="auto"/>
          <w:spacing w:val="4"/>
          <w:position w:val="19"/>
          <w:sz w:val="21"/>
          <w:szCs w:val="21"/>
          <w:highlight w:val="none"/>
        </w:rPr>
        <w:t>被授权方(省级或地市级分支机构)：(盖单位公章</w:t>
      </w:r>
      <w:r>
        <w:rPr>
          <w:rFonts w:ascii="宋体" w:hAnsi="宋体" w:eastAsia="宋体" w:cs="宋体"/>
          <w:color w:val="auto"/>
          <w:spacing w:val="1"/>
          <w:position w:val="19"/>
          <w:sz w:val="21"/>
          <w:szCs w:val="21"/>
          <w:highlight w:val="none"/>
        </w:rPr>
        <w:t>)</w:t>
      </w:r>
    </w:p>
    <w:p w14:paraId="450E7133">
      <w:pPr>
        <w:spacing w:before="1" w:line="218" w:lineRule="auto"/>
        <w:ind w:left="160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负</w:t>
      </w:r>
      <w:r>
        <w:rPr>
          <w:rFonts w:ascii="宋体" w:hAnsi="宋体" w:eastAsia="宋体" w:cs="宋体"/>
          <w:color w:val="auto"/>
          <w:spacing w:val="-1"/>
          <w:sz w:val="21"/>
          <w:szCs w:val="21"/>
          <w:highlight w:val="none"/>
        </w:rPr>
        <w:t xml:space="preserve"> 责 人：(签字或盖章)</w:t>
      </w:r>
    </w:p>
    <w:p w14:paraId="4E9ACF45">
      <w:pPr>
        <w:spacing w:before="216" w:line="220" w:lineRule="auto"/>
        <w:ind w:left="433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年   月   日</w:t>
      </w:r>
    </w:p>
    <w:p w14:paraId="3B575E53">
      <w:pPr>
        <w:spacing w:line="279" w:lineRule="auto"/>
        <w:rPr>
          <w:rFonts w:ascii="Arial"/>
          <w:color w:val="auto"/>
          <w:sz w:val="21"/>
          <w:highlight w:val="none"/>
        </w:rPr>
      </w:pPr>
    </w:p>
    <w:p w14:paraId="6BCD0FFE">
      <w:pPr>
        <w:spacing w:line="280" w:lineRule="auto"/>
        <w:rPr>
          <w:rFonts w:ascii="Arial"/>
          <w:color w:val="auto"/>
          <w:sz w:val="21"/>
          <w:highlight w:val="none"/>
        </w:rPr>
      </w:pPr>
    </w:p>
    <w:p w14:paraId="74D593E5">
      <w:pPr>
        <w:spacing w:line="280" w:lineRule="auto"/>
        <w:rPr>
          <w:rFonts w:ascii="Arial"/>
          <w:color w:val="auto"/>
          <w:sz w:val="21"/>
          <w:highlight w:val="none"/>
        </w:rPr>
      </w:pPr>
    </w:p>
    <w:p w14:paraId="2BF3C617">
      <w:pPr>
        <w:spacing w:line="280" w:lineRule="auto"/>
        <w:rPr>
          <w:rFonts w:ascii="Arial"/>
          <w:color w:val="auto"/>
          <w:sz w:val="21"/>
          <w:highlight w:val="none"/>
        </w:rPr>
      </w:pPr>
    </w:p>
    <w:p w14:paraId="44B6C780">
      <w:pPr>
        <w:spacing w:line="280" w:lineRule="auto"/>
        <w:rPr>
          <w:rFonts w:ascii="Arial"/>
          <w:color w:val="auto"/>
          <w:sz w:val="21"/>
          <w:highlight w:val="none"/>
        </w:rPr>
      </w:pPr>
    </w:p>
    <w:p w14:paraId="5D01BA13">
      <w:pPr>
        <w:spacing w:before="69" w:line="219" w:lineRule="auto"/>
        <w:ind w:left="264"/>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 xml:space="preserve">注： </w:t>
      </w:r>
      <w:r>
        <w:rPr>
          <w:rFonts w:ascii="宋体" w:hAnsi="宋体" w:eastAsia="宋体" w:cs="宋体"/>
          <w:color w:val="auto"/>
          <w:spacing w:val="-3"/>
          <w:sz w:val="21"/>
          <w:szCs w:val="21"/>
          <w:highlight w:val="none"/>
        </w:rPr>
        <w:t>1、本业务授权书适用于投标人总公司授权其省级或地市级分支机构参加本项目投标</w:t>
      </w:r>
    </w:p>
    <w:p w14:paraId="6F0F6141">
      <w:pPr>
        <w:spacing w:before="217" w:line="375" w:lineRule="exact"/>
        <w:ind w:left="23"/>
        <w:rPr>
          <w:rFonts w:ascii="宋体" w:hAnsi="宋体" w:eastAsia="宋体" w:cs="宋体"/>
          <w:color w:val="auto"/>
          <w:sz w:val="21"/>
          <w:szCs w:val="21"/>
          <w:highlight w:val="none"/>
        </w:rPr>
      </w:pPr>
      <w:r>
        <w:rPr>
          <w:rFonts w:ascii="宋体" w:hAnsi="宋体" w:eastAsia="宋体" w:cs="宋体"/>
          <w:color w:val="auto"/>
          <w:spacing w:val="-4"/>
          <w:position w:val="12"/>
          <w:sz w:val="21"/>
          <w:szCs w:val="21"/>
          <w:highlight w:val="none"/>
        </w:rPr>
        <w:t>及中标</w:t>
      </w:r>
      <w:r>
        <w:rPr>
          <w:rFonts w:ascii="宋体" w:hAnsi="宋体" w:eastAsia="宋体" w:cs="宋体"/>
          <w:color w:val="auto"/>
          <w:spacing w:val="-2"/>
          <w:position w:val="12"/>
          <w:sz w:val="21"/>
          <w:szCs w:val="21"/>
          <w:highlight w:val="none"/>
        </w:rPr>
        <w:t>后项目的具体操作。</w:t>
      </w:r>
    </w:p>
    <w:p w14:paraId="1F7DE1BF">
      <w:pPr>
        <w:spacing w:before="1" w:line="218" w:lineRule="auto"/>
        <w:ind w:left="44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2、本业务授</w:t>
      </w:r>
      <w:r>
        <w:rPr>
          <w:rFonts w:ascii="宋体" w:hAnsi="宋体" w:eastAsia="宋体" w:cs="宋体"/>
          <w:color w:val="auto"/>
          <w:sz w:val="21"/>
          <w:szCs w:val="21"/>
          <w:highlight w:val="none"/>
        </w:rPr>
        <w:t>权书应附拟法定代表人、省级或地市级分支机构机构负责人身份证复制件</w:t>
      </w:r>
    </w:p>
    <w:p w14:paraId="12BC25B8">
      <w:pPr>
        <w:spacing w:before="66" w:line="219" w:lineRule="auto"/>
        <w:ind w:left="29"/>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并加</w:t>
      </w:r>
      <w:r>
        <w:rPr>
          <w:rFonts w:ascii="宋体" w:hAnsi="宋体" w:eastAsia="宋体" w:cs="宋体"/>
          <w:color w:val="auto"/>
          <w:spacing w:val="-3"/>
          <w:sz w:val="21"/>
          <w:szCs w:val="21"/>
          <w:highlight w:val="none"/>
        </w:rPr>
        <w:t>盖单位电子公章。</w:t>
      </w:r>
    </w:p>
    <w:p w14:paraId="4E08793A">
      <w:pPr>
        <w:pStyle w:val="5"/>
        <w:tabs>
          <w:tab w:val="left" w:pos="4592"/>
        </w:tabs>
        <w:ind w:left="4592" w:hanging="4592"/>
        <w:rPr>
          <w:rFonts w:ascii="Arial"/>
          <w:color w:val="auto"/>
          <w:sz w:val="21"/>
          <w:highlight w:val="none"/>
        </w:rPr>
      </w:pPr>
      <w:r>
        <w:rPr>
          <w:rFonts w:ascii="Arial"/>
          <w:color w:val="auto"/>
          <w:sz w:val="21"/>
          <w:highlight w:val="none"/>
        </w:rPr>
        <w:br w:type="page"/>
      </w:r>
      <w:r>
        <w:rPr>
          <w:rFonts w:hint="eastAsia" w:ascii="宋体" w:hAnsi="宋体" w:eastAsia="宋体" w:cs="宋体"/>
          <w:b w:val="0"/>
          <w:color w:val="auto"/>
          <w:sz w:val="21"/>
          <w:szCs w:val="21"/>
          <w:highlight w:val="none"/>
        </w:rPr>
        <w:t>附件</w:t>
      </w:r>
      <w:r>
        <w:rPr>
          <w:rFonts w:hint="eastAsia" w:ascii="宋体" w:hAnsi="宋体" w:eastAsia="宋体" w:cs="宋体"/>
          <w:b w:val="0"/>
          <w:color w:val="auto"/>
          <w:sz w:val="21"/>
          <w:szCs w:val="21"/>
          <w:highlight w:val="none"/>
          <w:lang w:val="en-US" w:eastAsia="zh-CN"/>
        </w:rPr>
        <w:t>7</w:t>
      </w:r>
    </w:p>
    <w:p w14:paraId="1E2150D9">
      <w:pPr>
        <w:spacing w:before="91" w:line="222" w:lineRule="auto"/>
        <w:jc w:val="center"/>
        <w:rPr>
          <w:rFonts w:ascii="Arial"/>
          <w:color w:val="auto"/>
          <w:sz w:val="21"/>
          <w:highlight w:val="none"/>
        </w:rPr>
      </w:pPr>
      <w:bookmarkStart w:id="99" w:name="_Toc12157_WPSOffice_Level1"/>
      <w:r>
        <w:rPr>
          <w:rFonts w:hint="eastAsia" w:ascii="宋体" w:hAnsi="宋体" w:eastAsia="宋体" w:cs="宋体"/>
          <w:b/>
          <w:bCs/>
          <w:color w:val="auto"/>
          <w:sz w:val="36"/>
          <w:szCs w:val="52"/>
          <w:highlight w:val="none"/>
        </w:rPr>
        <w:t>法定代表人（负责人）授权委托书</w:t>
      </w:r>
      <w:bookmarkEnd w:id="99"/>
    </w:p>
    <w:p w14:paraId="12471E23">
      <w:pPr>
        <w:spacing w:line="248" w:lineRule="auto"/>
        <w:rPr>
          <w:rFonts w:ascii="Arial"/>
          <w:color w:val="auto"/>
          <w:sz w:val="21"/>
          <w:highlight w:val="none"/>
        </w:rPr>
      </w:pPr>
    </w:p>
    <w:p w14:paraId="2AE2DEAE">
      <w:pPr>
        <w:spacing w:before="68" w:line="414" w:lineRule="auto"/>
        <w:ind w:left="25" w:right="14" w:firstLine="419"/>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本人</w:t>
      </w:r>
      <w:r>
        <w:rPr>
          <w:rFonts w:ascii="宋体" w:hAnsi="宋体" w:eastAsia="宋体" w:cs="宋体"/>
          <w:color w:val="auto"/>
          <w:spacing w:val="8"/>
          <w:sz w:val="21"/>
          <w:szCs w:val="21"/>
          <w:highlight w:val="none"/>
          <w:u w:val="single"/>
        </w:rPr>
        <w:t xml:space="preserve"> (姓名</w:t>
      </w:r>
      <w:r>
        <w:rPr>
          <w:rFonts w:ascii="宋体" w:hAnsi="宋体" w:eastAsia="宋体" w:cs="宋体"/>
          <w:color w:val="auto"/>
          <w:spacing w:val="7"/>
          <w:sz w:val="21"/>
          <w:szCs w:val="21"/>
          <w:highlight w:val="none"/>
          <w:u w:val="single"/>
        </w:rPr>
        <w:t>)</w:t>
      </w:r>
      <w:r>
        <w:rPr>
          <w:rFonts w:ascii="宋体" w:hAnsi="宋体" w:eastAsia="宋体" w:cs="宋体"/>
          <w:color w:val="auto"/>
          <w:spacing w:val="4"/>
          <w:sz w:val="21"/>
          <w:szCs w:val="21"/>
          <w:highlight w:val="none"/>
          <w:u w:val="single"/>
        </w:rPr>
        <w:t xml:space="preserve"> </w:t>
      </w:r>
      <w:r>
        <w:rPr>
          <w:rFonts w:ascii="宋体" w:hAnsi="宋体" w:eastAsia="宋体" w:cs="宋体"/>
          <w:color w:val="auto"/>
          <w:spacing w:val="4"/>
          <w:sz w:val="21"/>
          <w:szCs w:val="21"/>
          <w:highlight w:val="none"/>
        </w:rPr>
        <w:t xml:space="preserve"> 系</w:t>
      </w:r>
      <w:r>
        <w:rPr>
          <w:rFonts w:ascii="宋体" w:hAnsi="宋体" w:eastAsia="宋体" w:cs="宋体"/>
          <w:color w:val="auto"/>
          <w:spacing w:val="4"/>
          <w:sz w:val="21"/>
          <w:szCs w:val="21"/>
          <w:highlight w:val="none"/>
          <w:u w:val="single"/>
        </w:rPr>
        <w:t xml:space="preserve">   (投标人名称)   </w:t>
      </w:r>
      <w:r>
        <w:rPr>
          <w:rFonts w:ascii="宋体" w:hAnsi="宋体" w:eastAsia="宋体" w:cs="宋体"/>
          <w:color w:val="auto"/>
          <w:spacing w:val="4"/>
          <w:sz w:val="21"/>
          <w:szCs w:val="21"/>
          <w:highlight w:val="none"/>
        </w:rPr>
        <w:t xml:space="preserve"> 的法定代表</w:t>
      </w:r>
      <w:r>
        <w:rPr>
          <w:rFonts w:hint="eastAsia" w:ascii="宋体" w:hAnsi="宋体" w:eastAsia="宋体" w:cs="宋体"/>
          <w:color w:val="auto"/>
          <w:spacing w:val="4"/>
          <w:sz w:val="21"/>
          <w:szCs w:val="21"/>
          <w:highlight w:val="none"/>
        </w:rPr>
        <w:t>(或负责)</w:t>
      </w:r>
      <w:r>
        <w:rPr>
          <w:rFonts w:ascii="宋体" w:hAnsi="宋体" w:eastAsia="宋体" w:cs="宋体"/>
          <w:color w:val="auto"/>
          <w:spacing w:val="4"/>
          <w:sz w:val="21"/>
          <w:szCs w:val="21"/>
          <w:highlight w:val="none"/>
        </w:rPr>
        <w:t>人，现委托</w:t>
      </w:r>
      <w:r>
        <w:rPr>
          <w:rFonts w:ascii="宋体" w:hAnsi="宋体" w:eastAsia="宋体" w:cs="宋体"/>
          <w:color w:val="auto"/>
          <w:spacing w:val="4"/>
          <w:sz w:val="21"/>
          <w:szCs w:val="21"/>
          <w:highlight w:val="none"/>
          <w:u w:val="single"/>
        </w:rPr>
        <w:t xml:space="preserve"> (姓名) </w:t>
      </w:r>
      <w:r>
        <w:rPr>
          <w:rFonts w:ascii="宋体" w:hAnsi="宋体" w:eastAsia="宋体" w:cs="宋体"/>
          <w:color w:val="auto"/>
          <w:spacing w:val="4"/>
          <w:sz w:val="21"/>
          <w:szCs w:val="21"/>
          <w:highlight w:val="none"/>
        </w:rPr>
        <w:t xml:space="preserve"> 为我方代理</w:t>
      </w:r>
      <w:r>
        <w:rPr>
          <w:rFonts w:ascii="宋体" w:hAnsi="宋体" w:eastAsia="宋体" w:cs="宋体"/>
          <w:color w:val="auto"/>
          <w:spacing w:val="-6"/>
          <w:sz w:val="21"/>
          <w:szCs w:val="21"/>
          <w:highlight w:val="none"/>
        </w:rPr>
        <w:t>人。代理人</w:t>
      </w:r>
      <w:r>
        <w:rPr>
          <w:rFonts w:ascii="宋体" w:hAnsi="宋体" w:eastAsia="宋体" w:cs="宋体"/>
          <w:color w:val="auto"/>
          <w:spacing w:val="-4"/>
          <w:sz w:val="21"/>
          <w:szCs w:val="21"/>
          <w:highlight w:val="none"/>
        </w:rPr>
        <w:t>根</w:t>
      </w:r>
      <w:r>
        <w:rPr>
          <w:rFonts w:ascii="宋体" w:hAnsi="宋体" w:eastAsia="宋体" w:cs="宋体"/>
          <w:color w:val="auto"/>
          <w:spacing w:val="-3"/>
          <w:sz w:val="21"/>
          <w:szCs w:val="21"/>
          <w:highlight w:val="none"/>
        </w:rPr>
        <w:t xml:space="preserve">据授权，以我方名义签署、澄清、说明、补正、递交、撤回、修改 </w:t>
      </w:r>
      <w:r>
        <w:rPr>
          <w:rFonts w:ascii="宋体" w:hAnsi="宋体" w:eastAsia="宋体" w:cs="宋体"/>
          <w:color w:val="auto"/>
          <w:spacing w:val="-3"/>
          <w:sz w:val="21"/>
          <w:szCs w:val="21"/>
          <w:highlight w:val="none"/>
          <w:u w:val="single"/>
        </w:rPr>
        <w:t xml:space="preserve">    (项目</w:t>
      </w:r>
      <w:r>
        <w:rPr>
          <w:rFonts w:ascii="宋体" w:hAnsi="宋体" w:eastAsia="宋体" w:cs="宋体"/>
          <w:color w:val="auto"/>
          <w:spacing w:val="-6"/>
          <w:sz w:val="21"/>
          <w:szCs w:val="21"/>
          <w:highlight w:val="none"/>
          <w:u w:val="single"/>
        </w:rPr>
        <w:t xml:space="preserve">名称)  </w:t>
      </w:r>
      <w:r>
        <w:rPr>
          <w:rFonts w:ascii="宋体" w:hAnsi="宋体" w:eastAsia="宋体" w:cs="宋体"/>
          <w:color w:val="auto"/>
          <w:spacing w:val="-4"/>
          <w:sz w:val="21"/>
          <w:szCs w:val="21"/>
          <w:highlight w:val="none"/>
          <w:u w:val="single"/>
        </w:rPr>
        <w:t xml:space="preserve"> </w:t>
      </w:r>
      <w:r>
        <w:rPr>
          <w:rFonts w:ascii="宋体" w:hAnsi="宋体" w:eastAsia="宋体" w:cs="宋体"/>
          <w:color w:val="auto"/>
          <w:spacing w:val="-3"/>
          <w:sz w:val="21"/>
          <w:szCs w:val="21"/>
          <w:highlight w:val="none"/>
          <w:u w:val="single"/>
        </w:rPr>
        <w:t xml:space="preserve"> </w:t>
      </w:r>
      <w:r>
        <w:rPr>
          <w:rFonts w:ascii="宋体" w:hAnsi="宋体" w:eastAsia="宋体" w:cs="宋体"/>
          <w:color w:val="auto"/>
          <w:spacing w:val="-3"/>
          <w:sz w:val="21"/>
          <w:szCs w:val="21"/>
          <w:highlight w:val="none"/>
        </w:rPr>
        <w:t xml:space="preserve"> 保险投标文件、签订合同和处理有关事宜，其法律后果由我方承担。</w:t>
      </w:r>
    </w:p>
    <w:p w14:paraId="608F4823">
      <w:pPr>
        <w:spacing w:before="215" w:line="220" w:lineRule="auto"/>
        <w:ind w:firstLine="42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委托期限： 签发之日起至    年  月  日。</w:t>
      </w:r>
    </w:p>
    <w:p w14:paraId="0996FEB9">
      <w:pPr>
        <w:spacing w:before="215" w:line="220" w:lineRule="auto"/>
        <w:ind w:firstLine="420"/>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代</w:t>
      </w:r>
      <w:r>
        <w:rPr>
          <w:rFonts w:ascii="宋体" w:hAnsi="宋体" w:eastAsia="宋体" w:cs="宋体"/>
          <w:color w:val="auto"/>
          <w:spacing w:val="-4"/>
          <w:sz w:val="21"/>
          <w:szCs w:val="21"/>
          <w:highlight w:val="none"/>
        </w:rPr>
        <w:t>理</w:t>
      </w:r>
      <w:r>
        <w:rPr>
          <w:rFonts w:ascii="宋体" w:hAnsi="宋体" w:eastAsia="宋体" w:cs="宋体"/>
          <w:color w:val="auto"/>
          <w:spacing w:val="-3"/>
          <w:sz w:val="21"/>
          <w:szCs w:val="21"/>
          <w:highlight w:val="none"/>
        </w:rPr>
        <w:t>人无转委托权。</w:t>
      </w:r>
    </w:p>
    <w:p w14:paraId="635429C6">
      <w:pPr>
        <w:spacing w:line="304" w:lineRule="auto"/>
        <w:rPr>
          <w:rFonts w:ascii="Arial"/>
          <w:color w:val="auto"/>
          <w:sz w:val="21"/>
          <w:highlight w:val="none"/>
        </w:rPr>
      </w:pPr>
    </w:p>
    <w:p w14:paraId="49EFDC9C">
      <w:pPr>
        <w:spacing w:line="304" w:lineRule="auto"/>
        <w:rPr>
          <w:rFonts w:ascii="Arial"/>
          <w:color w:val="auto"/>
          <w:sz w:val="21"/>
          <w:highlight w:val="none"/>
        </w:rPr>
      </w:pPr>
    </w:p>
    <w:p w14:paraId="775A0296">
      <w:pPr>
        <w:spacing w:before="68" w:line="219" w:lineRule="auto"/>
        <w:ind w:left="447"/>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投标人(盖单位电子公章)：</w:t>
      </w:r>
    </w:p>
    <w:p w14:paraId="370E4993">
      <w:pPr>
        <w:spacing w:before="232" w:line="465" w:lineRule="exact"/>
        <w:ind w:left="445"/>
        <w:rPr>
          <w:rFonts w:ascii="宋体" w:hAnsi="宋体" w:eastAsia="宋体" w:cs="宋体"/>
          <w:color w:val="auto"/>
          <w:sz w:val="21"/>
          <w:szCs w:val="21"/>
          <w:highlight w:val="none"/>
        </w:rPr>
      </w:pPr>
      <w:r>
        <w:rPr>
          <w:rFonts w:hint="eastAsia" w:ascii="宋体" w:hAnsi="宋体" w:eastAsia="宋体" w:cs="宋体"/>
          <w:color w:val="auto"/>
          <w:spacing w:val="2"/>
          <w:position w:val="19"/>
          <w:sz w:val="21"/>
          <w:szCs w:val="21"/>
          <w:highlight w:val="none"/>
        </w:rPr>
        <w:t>法定代表人（负责人）</w:t>
      </w:r>
      <w:r>
        <w:rPr>
          <w:rFonts w:ascii="宋体" w:hAnsi="宋体" w:eastAsia="宋体" w:cs="宋体"/>
          <w:color w:val="auto"/>
          <w:spacing w:val="2"/>
          <w:position w:val="19"/>
          <w:sz w:val="21"/>
          <w:szCs w:val="21"/>
          <w:highlight w:val="none"/>
        </w:rPr>
        <w:t xml:space="preserve"> (盖电子章)：</w:t>
      </w:r>
    </w:p>
    <w:p w14:paraId="46A26CE5">
      <w:pPr>
        <w:spacing w:before="1" w:line="219" w:lineRule="auto"/>
        <w:ind w:left="443"/>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代理人(被授权人) ：</w:t>
      </w:r>
    </w:p>
    <w:p w14:paraId="0C54C207">
      <w:pPr>
        <w:spacing w:before="215" w:line="220" w:lineRule="auto"/>
        <w:ind w:left="445"/>
        <w:rPr>
          <w:rFonts w:ascii="宋体" w:hAnsi="宋体" w:eastAsia="宋体" w:cs="宋体"/>
          <w:color w:val="auto"/>
          <w:sz w:val="21"/>
          <w:szCs w:val="21"/>
          <w:highlight w:val="none"/>
        </w:rPr>
      </w:pPr>
      <w:r>
        <w:rPr>
          <w:rFonts w:ascii="宋体" w:hAnsi="宋体" w:eastAsia="宋体" w:cs="宋体"/>
          <w:color w:val="auto"/>
          <w:spacing w:val="-14"/>
          <w:sz w:val="21"/>
          <w:szCs w:val="21"/>
          <w:highlight w:val="none"/>
        </w:rPr>
        <w:t>职</w:t>
      </w:r>
      <w:r>
        <w:rPr>
          <w:rFonts w:ascii="宋体" w:hAnsi="宋体" w:eastAsia="宋体" w:cs="宋体"/>
          <w:color w:val="auto"/>
          <w:spacing w:val="-12"/>
          <w:sz w:val="21"/>
          <w:szCs w:val="21"/>
          <w:highlight w:val="none"/>
        </w:rPr>
        <w:t>务：</w:t>
      </w:r>
    </w:p>
    <w:p w14:paraId="238A21A4">
      <w:pPr>
        <w:spacing w:before="215" w:line="220" w:lineRule="auto"/>
        <w:ind w:left="480"/>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 xml:space="preserve">日期：     年  月  </w:t>
      </w:r>
      <w:r>
        <w:rPr>
          <w:rFonts w:ascii="宋体" w:hAnsi="宋体" w:eastAsia="宋体" w:cs="宋体"/>
          <w:color w:val="auto"/>
          <w:spacing w:val="-6"/>
          <w:sz w:val="21"/>
          <w:szCs w:val="21"/>
          <w:highlight w:val="none"/>
        </w:rPr>
        <w:t>日</w:t>
      </w:r>
    </w:p>
    <w:p w14:paraId="3E64345D">
      <w:pPr>
        <w:spacing w:line="311" w:lineRule="auto"/>
        <w:rPr>
          <w:rFonts w:ascii="Arial"/>
          <w:color w:val="auto"/>
          <w:sz w:val="21"/>
          <w:highlight w:val="none"/>
        </w:rPr>
      </w:pPr>
    </w:p>
    <w:p w14:paraId="4F3B9A14">
      <w:pPr>
        <w:spacing w:line="312" w:lineRule="auto"/>
        <w:rPr>
          <w:rFonts w:ascii="Arial"/>
          <w:color w:val="auto"/>
          <w:sz w:val="21"/>
          <w:highlight w:val="none"/>
        </w:rPr>
      </w:pPr>
    </w:p>
    <w:p w14:paraId="75E1B47A">
      <w:pPr>
        <w:spacing w:before="69" w:line="219" w:lineRule="auto"/>
        <w:ind w:left="234"/>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注：</w:t>
      </w:r>
      <w:r>
        <w:rPr>
          <w:rFonts w:ascii="宋体" w:hAnsi="宋体" w:eastAsia="宋体" w:cs="宋体"/>
          <w:color w:val="auto"/>
          <w:spacing w:val="-7"/>
          <w:sz w:val="21"/>
          <w:szCs w:val="21"/>
          <w:highlight w:val="none"/>
        </w:rPr>
        <w:t xml:space="preserve"> </w:t>
      </w:r>
      <w:r>
        <w:rPr>
          <w:rFonts w:ascii="宋体" w:hAnsi="宋体" w:eastAsia="宋体" w:cs="宋体"/>
          <w:color w:val="auto"/>
          <w:spacing w:val="-5"/>
          <w:sz w:val="21"/>
          <w:szCs w:val="21"/>
          <w:highlight w:val="none"/>
        </w:rPr>
        <w:t>1、应由投标人的</w:t>
      </w:r>
      <w:r>
        <w:rPr>
          <w:rFonts w:hint="eastAsia" w:ascii="宋体" w:hAnsi="宋体" w:eastAsia="宋体" w:cs="宋体"/>
          <w:color w:val="auto"/>
          <w:spacing w:val="-5"/>
          <w:sz w:val="21"/>
          <w:szCs w:val="21"/>
          <w:highlight w:val="none"/>
        </w:rPr>
        <w:t>法定代表 (或负责) 人</w:t>
      </w:r>
      <w:r>
        <w:rPr>
          <w:rFonts w:ascii="宋体" w:hAnsi="宋体" w:eastAsia="宋体" w:cs="宋体"/>
          <w:color w:val="auto"/>
          <w:spacing w:val="-5"/>
          <w:sz w:val="21"/>
          <w:szCs w:val="21"/>
          <w:highlight w:val="none"/>
        </w:rPr>
        <w:t>签署授权委托书。</w:t>
      </w:r>
    </w:p>
    <w:p w14:paraId="68BD4399">
      <w:pPr>
        <w:spacing w:before="217" w:line="415" w:lineRule="auto"/>
        <w:ind w:left="30" w:right="15" w:firstLine="62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w:t>
      </w:r>
      <w:r>
        <w:rPr>
          <w:rFonts w:ascii="宋体" w:hAnsi="宋体" w:eastAsia="宋体" w:cs="宋体"/>
          <w:color w:val="auto"/>
          <w:sz w:val="21"/>
          <w:szCs w:val="21"/>
          <w:highlight w:val="none"/>
        </w:rPr>
        <w:t>、若由</w:t>
      </w:r>
      <w:r>
        <w:rPr>
          <w:rFonts w:hint="eastAsia" w:ascii="宋体" w:hAnsi="宋体" w:eastAsia="宋体" w:cs="宋体"/>
          <w:color w:val="auto"/>
          <w:sz w:val="21"/>
          <w:szCs w:val="21"/>
          <w:highlight w:val="none"/>
        </w:rPr>
        <w:t>法定代表 (或负责) 人</w:t>
      </w:r>
      <w:r>
        <w:rPr>
          <w:rFonts w:ascii="宋体" w:hAnsi="宋体" w:eastAsia="宋体" w:cs="宋体"/>
          <w:color w:val="auto"/>
          <w:sz w:val="21"/>
          <w:szCs w:val="21"/>
          <w:highlight w:val="none"/>
        </w:rPr>
        <w:t>签署投标文件，则不需要提供授权委托书。</w:t>
      </w:r>
      <w:r>
        <w:rPr>
          <w:rFonts w:hint="eastAsia" w:ascii="宋体" w:hAnsi="宋体" w:eastAsia="宋体" w:cs="宋体"/>
          <w:color w:val="auto"/>
          <w:sz w:val="21"/>
          <w:szCs w:val="21"/>
          <w:highlight w:val="none"/>
        </w:rPr>
        <w:t>法定代表 (或负责) 人</w:t>
      </w:r>
      <w:r>
        <w:rPr>
          <w:rFonts w:ascii="宋体" w:hAnsi="宋体" w:eastAsia="宋体" w:cs="宋体"/>
          <w:color w:val="auto"/>
          <w:sz w:val="21"/>
          <w:szCs w:val="21"/>
          <w:highlight w:val="none"/>
        </w:rPr>
        <w:t>以营业执</w:t>
      </w:r>
      <w:r>
        <w:rPr>
          <w:rFonts w:ascii="宋体" w:hAnsi="宋体" w:eastAsia="宋体" w:cs="宋体"/>
          <w:color w:val="auto"/>
          <w:spacing w:val="-7"/>
          <w:sz w:val="21"/>
          <w:szCs w:val="21"/>
          <w:highlight w:val="none"/>
        </w:rPr>
        <w:t>照</w:t>
      </w:r>
      <w:r>
        <w:rPr>
          <w:rFonts w:ascii="宋体" w:hAnsi="宋体" w:eastAsia="宋体" w:cs="宋体"/>
          <w:color w:val="auto"/>
          <w:spacing w:val="-5"/>
          <w:sz w:val="21"/>
          <w:szCs w:val="21"/>
          <w:highlight w:val="none"/>
        </w:rPr>
        <w:t>中载明为准。</w:t>
      </w:r>
    </w:p>
    <w:p w14:paraId="44B227BF">
      <w:pPr>
        <w:rPr>
          <w:color w:val="auto"/>
          <w:highlight w:val="none"/>
        </w:rPr>
      </w:pPr>
    </w:p>
    <w:p w14:paraId="764F3B76">
      <w:pPr>
        <w:spacing w:line="75" w:lineRule="exact"/>
        <w:rPr>
          <w:color w:val="auto"/>
          <w:highlight w:val="none"/>
        </w:rPr>
      </w:pPr>
    </w:p>
    <w:p w14:paraId="520BF60F">
      <w:pPr>
        <w:pStyle w:val="5"/>
        <w:tabs>
          <w:tab w:val="left" w:pos="4592"/>
        </w:tabs>
        <w:ind w:left="4592" w:hanging="4592"/>
        <w:rPr>
          <w:rFonts w:hint="eastAsia" w:ascii="宋体" w:hAnsi="宋体" w:eastAsia="宋体" w:cs="宋体"/>
          <w:b w:val="0"/>
          <w:color w:val="auto"/>
          <w:sz w:val="21"/>
          <w:szCs w:val="21"/>
          <w:highlight w:val="none"/>
        </w:rPr>
      </w:pPr>
    </w:p>
    <w:p w14:paraId="2890EBD5">
      <w:pPr>
        <w:pStyle w:val="5"/>
        <w:tabs>
          <w:tab w:val="left" w:pos="4592"/>
        </w:tabs>
        <w:ind w:left="4592" w:hanging="4592"/>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br w:type="page"/>
      </w:r>
      <w:r>
        <w:rPr>
          <w:rFonts w:hint="eastAsia" w:ascii="宋体" w:hAnsi="宋体" w:eastAsia="宋体" w:cs="宋体"/>
          <w:b w:val="0"/>
          <w:color w:val="auto"/>
          <w:sz w:val="21"/>
          <w:szCs w:val="21"/>
          <w:highlight w:val="none"/>
        </w:rPr>
        <w:t>附件</w:t>
      </w:r>
      <w:bookmarkEnd w:id="89"/>
      <w:bookmarkEnd w:id="90"/>
      <w:bookmarkEnd w:id="91"/>
      <w:bookmarkEnd w:id="92"/>
      <w:bookmarkEnd w:id="93"/>
      <w:bookmarkEnd w:id="94"/>
      <w:bookmarkEnd w:id="95"/>
      <w:bookmarkEnd w:id="96"/>
      <w:bookmarkEnd w:id="97"/>
      <w:bookmarkEnd w:id="98"/>
      <w:r>
        <w:rPr>
          <w:rFonts w:hint="eastAsia" w:ascii="宋体" w:hAnsi="宋体" w:eastAsia="宋体" w:cs="宋体"/>
          <w:b w:val="0"/>
          <w:color w:val="auto"/>
          <w:sz w:val="21"/>
          <w:szCs w:val="21"/>
          <w:highlight w:val="none"/>
          <w:lang w:val="en-US" w:eastAsia="zh-CN"/>
        </w:rPr>
        <w:t>8</w:t>
      </w:r>
    </w:p>
    <w:bookmarkEnd w:id="80"/>
    <w:bookmarkEnd w:id="81"/>
    <w:bookmarkEnd w:id="82"/>
    <w:bookmarkEnd w:id="83"/>
    <w:bookmarkEnd w:id="85"/>
    <w:p w14:paraId="08B1804F">
      <w:pPr>
        <w:spacing w:before="91" w:line="222" w:lineRule="auto"/>
        <w:jc w:val="center"/>
        <w:rPr>
          <w:rFonts w:hint="eastAsia" w:ascii="宋体" w:hAnsi="宋体" w:eastAsia="宋体" w:cs="宋体"/>
          <w:b/>
          <w:bCs/>
          <w:color w:val="auto"/>
          <w:sz w:val="36"/>
          <w:szCs w:val="52"/>
          <w:highlight w:val="none"/>
        </w:rPr>
      </w:pPr>
      <w:bookmarkStart w:id="100" w:name="_Toc13036_WPSOffice_Level1"/>
      <w:r>
        <w:rPr>
          <w:rFonts w:hint="eastAsia" w:ascii="宋体" w:hAnsi="宋体" w:eastAsia="宋体" w:cs="宋体"/>
          <w:b/>
          <w:bCs/>
          <w:color w:val="auto"/>
          <w:sz w:val="36"/>
          <w:szCs w:val="52"/>
          <w:highlight w:val="none"/>
        </w:rPr>
        <w:t>法定代表人（负责人）身份证明</w:t>
      </w:r>
      <w:bookmarkEnd w:id="100"/>
    </w:p>
    <w:p w14:paraId="418F416F">
      <w:pPr>
        <w:pStyle w:val="52"/>
        <w:spacing w:line="440" w:lineRule="exact"/>
        <w:rPr>
          <w:rFonts w:hint="eastAsia" w:ascii="宋体" w:hAnsi="宋体" w:cs="宋体"/>
          <w:color w:val="auto"/>
          <w:sz w:val="24"/>
          <w:szCs w:val="24"/>
          <w:highlight w:val="none"/>
        </w:rPr>
      </w:pPr>
    </w:p>
    <w:p w14:paraId="5E0D97B4">
      <w:pPr>
        <w:pStyle w:val="52"/>
        <w:spacing w:line="6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投标人名称：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0E9D1144">
      <w:pPr>
        <w:pStyle w:val="52"/>
        <w:spacing w:line="6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单位性质：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56905108">
      <w:pPr>
        <w:pStyle w:val="52"/>
        <w:spacing w:line="6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 xml:space="preserve">                                   </w:t>
      </w:r>
    </w:p>
    <w:p w14:paraId="45A6B186">
      <w:pPr>
        <w:pStyle w:val="52"/>
        <w:spacing w:line="6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成立时间：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日</w:t>
      </w:r>
    </w:p>
    <w:p w14:paraId="423D44F4">
      <w:pPr>
        <w:pStyle w:val="52"/>
        <w:spacing w:line="6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姓名：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性别：</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年龄：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身份证号码：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35AB517C">
      <w:pPr>
        <w:pStyle w:val="52"/>
        <w:spacing w:line="60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电子邮箱：</w:t>
      </w:r>
      <w:r>
        <w:rPr>
          <w:rFonts w:hint="eastAsia" w:ascii="宋体" w:hAnsi="宋体" w:cs="宋体"/>
          <w:color w:val="auto"/>
          <w:sz w:val="24"/>
          <w:szCs w:val="24"/>
          <w:highlight w:val="none"/>
          <w:u w:val="single"/>
        </w:rPr>
        <w:t xml:space="preserve">            </w:t>
      </w:r>
    </w:p>
    <w:p w14:paraId="47644AED">
      <w:pPr>
        <w:pStyle w:val="52"/>
        <w:spacing w:line="60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p>
    <w:p w14:paraId="69EB595B">
      <w:pPr>
        <w:pStyle w:val="52"/>
        <w:spacing w:line="6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（投标人名称）的法定代表</w:t>
      </w:r>
      <w:r>
        <w:rPr>
          <w:rFonts w:hint="eastAsia" w:ascii="宋体" w:hAnsi="宋体" w:cs="宋体"/>
          <w:color w:val="auto"/>
          <w:sz w:val="24"/>
          <w:szCs w:val="24"/>
          <w:highlight w:val="none"/>
          <w:lang w:val="en-US" w:eastAsia="zh-CN"/>
        </w:rPr>
        <w:t>人</w:t>
      </w:r>
      <w:r>
        <w:rPr>
          <w:rFonts w:hint="eastAsia" w:ascii="宋体" w:hAnsi="宋体" w:cs="宋体"/>
          <w:color w:val="auto"/>
          <w:sz w:val="24"/>
          <w:szCs w:val="24"/>
          <w:highlight w:val="none"/>
        </w:rPr>
        <w:t xml:space="preserve"> (负责人)。</w:t>
      </w:r>
    </w:p>
    <w:p w14:paraId="35635EB6">
      <w:pPr>
        <w:pStyle w:val="52"/>
        <w:spacing w:line="6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特此证明。</w:t>
      </w:r>
    </w:p>
    <w:p w14:paraId="3930D6BD">
      <w:pPr>
        <w:pStyle w:val="52"/>
        <w:spacing w:line="600" w:lineRule="exact"/>
        <w:rPr>
          <w:rFonts w:hint="eastAsia" w:ascii="宋体" w:hAnsi="宋体" w:cs="宋体"/>
          <w:color w:val="auto"/>
          <w:sz w:val="24"/>
          <w:szCs w:val="24"/>
          <w:highlight w:val="none"/>
        </w:rPr>
      </w:pPr>
    </w:p>
    <w:p w14:paraId="210A1496">
      <w:pPr>
        <w:pStyle w:val="52"/>
        <w:spacing w:line="440" w:lineRule="exact"/>
        <w:rPr>
          <w:rFonts w:hint="eastAsia" w:ascii="宋体" w:hAnsi="宋体" w:cs="宋体"/>
          <w:color w:val="auto"/>
          <w:sz w:val="24"/>
          <w:szCs w:val="24"/>
          <w:highlight w:val="none"/>
        </w:rPr>
      </w:pPr>
    </w:p>
    <w:p w14:paraId="2269870E">
      <w:pPr>
        <w:pStyle w:val="52"/>
        <w:spacing w:line="440" w:lineRule="exact"/>
        <w:rPr>
          <w:rFonts w:hint="eastAsia" w:ascii="宋体" w:hAnsi="宋体" w:cs="宋体"/>
          <w:color w:val="auto"/>
          <w:sz w:val="24"/>
          <w:szCs w:val="24"/>
          <w:highlight w:val="none"/>
        </w:rPr>
      </w:pPr>
    </w:p>
    <w:p w14:paraId="62089905">
      <w:pPr>
        <w:pStyle w:val="52"/>
        <w:spacing w:line="7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投标人：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（盖单位电子公章）</w:t>
      </w:r>
    </w:p>
    <w:p w14:paraId="1E69AF4D">
      <w:pPr>
        <w:pStyle w:val="52"/>
        <w:spacing w:line="7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11BBF5FD">
      <w:pPr>
        <w:shd w:val="clear" w:color="auto" w:fill="auto"/>
        <w:ind w:firstLine="435"/>
        <w:rPr>
          <w:rFonts w:hint="eastAsia" w:ascii="宋体" w:hAnsi="宋体"/>
          <w:b/>
          <w:color w:val="auto"/>
          <w:sz w:val="32"/>
          <w:szCs w:val="32"/>
          <w:highlight w:val="none"/>
          <w:lang w:val="en-GB" w:eastAsia="en-GB"/>
        </w:rPr>
      </w:pPr>
    </w:p>
    <w:sectPr>
      <w:headerReference r:id="rId10" w:type="default"/>
      <w:footerReference r:id="rId11"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E109B">
    <w:pPr>
      <w:pStyle w:val="2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B9ACF">
    <w:pPr>
      <w:pStyle w:val="20"/>
      <w:ind w:right="360" w:firstLine="360"/>
    </w:pPr>
    <w: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v:imagedata o:title=""/>
          <o:lock v:ext="edit" aspectratio="f"/>
          <v:textbox inset="0mm,0mm,0mm,0mm" style="mso-fit-shape-to-text:t;">
            <w:txbxContent>
              <w:p w14:paraId="1BCEE321">
                <w:pPr>
                  <w:pStyle w:val="20"/>
                </w:pPr>
                <w:r>
                  <w:fldChar w:fldCharType="begin"/>
                </w:r>
                <w:r>
                  <w:instrText xml:space="preserve"> PAGE  \* MERGEFORMAT </w:instrText>
                </w:r>
                <w:r>
                  <w:fldChar w:fldCharType="separate"/>
                </w:r>
                <w:r>
                  <w:t>4</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B991E">
    <w:pPr>
      <w:pStyle w:val="20"/>
      <w:ind w:right="360" w:firstLine="360"/>
    </w:pPr>
    <w:r>
      <w:pict>
        <v:shape id="_x0000_s4098" o:spid="_x0000_s4098"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1.25pt"/>
          <v:imagedata o:title=""/>
          <o:lock v:ext="edit" aspectratio="f"/>
          <v:textbox inset="0mm,0mm,0mm,0mm" style="mso-fit-shape-to-text:t;">
            <w:txbxContent>
              <w:p w14:paraId="6323BAA9">
                <w:pPr>
                  <w:pStyle w:val="20"/>
                </w:pPr>
                <w:r>
                  <w:fldChar w:fldCharType="begin"/>
                </w:r>
                <w:r>
                  <w:instrText xml:space="preserve"> PAGE  \* MERGEFORMAT </w:instrText>
                </w:r>
                <w:r>
                  <w:fldChar w:fldCharType="separate"/>
                </w:r>
                <w:r>
                  <w:t>4</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F50DE">
    <w:pPr>
      <w:pStyle w:val="20"/>
    </w:pPr>
    <w: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320CE3A">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15</w:t>
                </w:r>
                <w:r>
                  <w:rPr>
                    <w:rFonts w:hint="eastAsia"/>
                    <w:sz w:val="1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EACC4">
    <w:pPr>
      <w:pStyle w:val="20"/>
    </w:pPr>
    <w:r>
      <w:rPr>
        <w:sz w:val="18"/>
      </w:rPr>
      <w:pict>
        <v:shape id="_x0000_s4100" o:spid="_x0000_s410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0F0CC6C7">
                <w:pPr>
                  <w:pStyle w:val="20"/>
                </w:pPr>
                <w:r>
                  <w:fldChar w:fldCharType="begin"/>
                </w:r>
                <w:r>
                  <w:instrText xml:space="preserve"> PAGE  \* MERGEFORMAT </w:instrText>
                </w:r>
                <w:r>
                  <w:fldChar w:fldCharType="separate"/>
                </w:r>
                <w:r>
                  <w:t>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38814">
    <w:pPr>
      <w:pStyle w:val="21"/>
      <w:jc w:val="right"/>
      <w:rPr>
        <w:rFonts w:hint="eastAsia" w:eastAsia="宋体"/>
        <w:lang w:val="en-US" w:eastAsia="zh-CN"/>
      </w:rPr>
    </w:pPr>
    <w:r>
      <w:rPr>
        <w:rFonts w:hint="eastAsia"/>
        <w:lang w:val="en-US" w:eastAsia="zh-CN"/>
      </w:rPr>
      <w:t>台州湾陆岛联动综合码头工程（一期）建筑工程一切险及安全生产责任险保险服务项目（重新招标）招标文件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F109F">
    <w:pPr>
      <w:pStyle w:val="2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B8BB7">
    <w:pPr>
      <w:pStyle w:val="21"/>
      <w:jc w:val="right"/>
      <w:rPr>
        <w:rFonts w:hint="default"/>
        <w:lang w:val="en-US"/>
      </w:rPr>
    </w:pPr>
    <w:r>
      <w:rPr>
        <w:rFonts w:hint="eastAsia"/>
        <w:lang w:val="en-US" w:eastAsia="zh-CN"/>
      </w:rPr>
      <w:t>台州湾陆岛联动综合码头工程（一期）建筑工程一切险及安全生产责任险保险服务项目（重新招标）</w:t>
    </w:r>
    <w:r>
      <w:rPr>
        <w:rFonts w:hint="default"/>
        <w:lang w:val="en-US"/>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CBCD3">
    <w:pPr>
      <w:pStyle w:val="21"/>
      <w:jc w:val="right"/>
      <w:rPr>
        <w:rFonts w:hint="eastAsia" w:eastAsia="宋体"/>
        <w:lang w:val="en-US" w:eastAsia="zh-CN"/>
      </w:rPr>
    </w:pPr>
    <w:r>
      <w:rPr>
        <w:rFonts w:hint="eastAsia"/>
        <w:lang w:val="en-US" w:eastAsia="zh-CN"/>
      </w:rPr>
      <w:t>台州湾陆岛联动综合码头工程（一期）建筑工程一切险及安全生产责任险保险服务项目（重新招标）招标文件</w:t>
    </w:r>
  </w:p>
  <w:p w14:paraId="69B56F42">
    <w:pPr>
      <w:spacing w:line="20" w:lineRule="atLea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B9B16E"/>
    <w:multiLevelType w:val="singleLevel"/>
    <w:tmpl w:val="8DB9B16E"/>
    <w:lvl w:ilvl="0" w:tentative="0">
      <w:start w:val="2"/>
      <w:numFmt w:val="decimal"/>
      <w:suff w:val="nothing"/>
      <w:lvlText w:val="（%1）"/>
      <w:lvlJc w:val="left"/>
    </w:lvl>
  </w:abstractNum>
  <w:abstractNum w:abstractNumId="1">
    <w:nsid w:val="999FB372"/>
    <w:multiLevelType w:val="singleLevel"/>
    <w:tmpl w:val="999FB372"/>
    <w:lvl w:ilvl="0" w:tentative="0">
      <w:start w:val="1"/>
      <w:numFmt w:val="decimal"/>
      <w:suff w:val="nothing"/>
      <w:lvlText w:val="（%1）"/>
      <w:lvlJc w:val="left"/>
    </w:lvl>
  </w:abstractNum>
  <w:abstractNum w:abstractNumId="2">
    <w:nsid w:val="B37BFBCE"/>
    <w:multiLevelType w:val="singleLevel"/>
    <w:tmpl w:val="B37BFBCE"/>
    <w:lvl w:ilvl="0" w:tentative="0">
      <w:start w:val="1"/>
      <w:numFmt w:val="decimal"/>
      <w:pStyle w:val="6"/>
      <w:lvlText w:val="%1."/>
      <w:lvlJc w:val="left"/>
      <w:pPr>
        <w:tabs>
          <w:tab w:val="left" w:pos="360"/>
        </w:tabs>
        <w:ind w:left="360" w:hanging="360"/>
      </w:pPr>
    </w:lvl>
  </w:abstractNum>
  <w:abstractNum w:abstractNumId="3">
    <w:nsid w:val="BB7B9BA6"/>
    <w:multiLevelType w:val="singleLevel"/>
    <w:tmpl w:val="BB7B9BA6"/>
    <w:lvl w:ilvl="0" w:tentative="0">
      <w:start w:val="1"/>
      <w:numFmt w:val="decimal"/>
      <w:lvlText w:val="(%1)"/>
      <w:lvlJc w:val="left"/>
      <w:pPr>
        <w:ind w:left="425" w:hanging="425"/>
      </w:pPr>
      <w:rPr>
        <w:rFonts w:hint="default"/>
      </w:rPr>
    </w:lvl>
  </w:abstractNum>
  <w:abstractNum w:abstractNumId="4">
    <w:nsid w:val="BF907E09"/>
    <w:multiLevelType w:val="singleLevel"/>
    <w:tmpl w:val="BF907E09"/>
    <w:lvl w:ilvl="0" w:tentative="0">
      <w:start w:val="1"/>
      <w:numFmt w:val="japaneseCounting"/>
      <w:pStyle w:val="2"/>
      <w:lvlText w:val="%1、"/>
      <w:lvlJc w:val="left"/>
      <w:pPr>
        <w:tabs>
          <w:tab w:val="left" w:pos="960"/>
        </w:tabs>
        <w:ind w:left="5010" w:hanging="600"/>
      </w:pPr>
      <w:rPr>
        <w:rFonts w:hint="eastAsia" w:cs="Times New Roman"/>
      </w:rPr>
    </w:lvl>
  </w:abstractNum>
  <w:abstractNum w:abstractNumId="5">
    <w:nsid w:val="C87FB4EA"/>
    <w:multiLevelType w:val="singleLevel"/>
    <w:tmpl w:val="C87FB4EA"/>
    <w:lvl w:ilvl="0" w:tentative="0">
      <w:start w:val="8"/>
      <w:numFmt w:val="decimal"/>
      <w:suff w:val="nothing"/>
      <w:lvlText w:val="（%1）"/>
      <w:lvlJc w:val="left"/>
    </w:lvl>
  </w:abstractNum>
  <w:abstractNum w:abstractNumId="6">
    <w:nsid w:val="D154AD68"/>
    <w:multiLevelType w:val="singleLevel"/>
    <w:tmpl w:val="D154AD68"/>
    <w:lvl w:ilvl="0" w:tentative="0">
      <w:start w:val="1"/>
      <w:numFmt w:val="decimal"/>
      <w:suff w:val="nothing"/>
      <w:lvlText w:val="%1）"/>
      <w:lvlJc w:val="left"/>
    </w:lvl>
  </w:abstractNum>
  <w:abstractNum w:abstractNumId="7">
    <w:nsid w:val="E36A844B"/>
    <w:multiLevelType w:val="singleLevel"/>
    <w:tmpl w:val="E36A844B"/>
    <w:lvl w:ilvl="0" w:tentative="0">
      <w:start w:val="1"/>
      <w:numFmt w:val="decimal"/>
      <w:lvlText w:val="%1."/>
      <w:lvlJc w:val="left"/>
      <w:pPr>
        <w:ind w:left="425" w:hanging="425"/>
      </w:pPr>
      <w:rPr>
        <w:rFonts w:hint="default"/>
      </w:rPr>
    </w:lvl>
  </w:abstractNum>
  <w:abstractNum w:abstractNumId="8">
    <w:nsid w:val="020AD718"/>
    <w:multiLevelType w:val="singleLevel"/>
    <w:tmpl w:val="020AD718"/>
    <w:lvl w:ilvl="0" w:tentative="0">
      <w:start w:val="1"/>
      <w:numFmt w:val="decimal"/>
      <w:suff w:val="nothing"/>
      <w:lvlText w:val="%1）"/>
      <w:lvlJc w:val="left"/>
    </w:lvl>
  </w:abstractNum>
  <w:abstractNum w:abstractNumId="9">
    <w:nsid w:val="07BB528B"/>
    <w:multiLevelType w:val="multilevel"/>
    <w:tmpl w:val="07BB528B"/>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2FF92E1"/>
    <w:multiLevelType w:val="singleLevel"/>
    <w:tmpl w:val="12FF92E1"/>
    <w:lvl w:ilvl="0" w:tentative="0">
      <w:start w:val="1"/>
      <w:numFmt w:val="decimal"/>
      <w:suff w:val="nothing"/>
      <w:lvlText w:val="%1、"/>
      <w:lvlJc w:val="left"/>
      <w:pPr>
        <w:ind w:left="480" w:firstLine="0"/>
      </w:pPr>
    </w:lvl>
  </w:abstractNum>
  <w:abstractNum w:abstractNumId="11">
    <w:nsid w:val="1A7A62D2"/>
    <w:multiLevelType w:val="singleLevel"/>
    <w:tmpl w:val="1A7A62D2"/>
    <w:lvl w:ilvl="0" w:tentative="0">
      <w:start w:val="2"/>
      <w:numFmt w:val="upperLetter"/>
      <w:suff w:val="space"/>
      <w:lvlText w:val="%1."/>
      <w:lvlJc w:val="left"/>
      <w:pPr>
        <w:ind w:left="541" w:firstLine="0"/>
      </w:pPr>
    </w:lvl>
  </w:abstractNum>
  <w:abstractNum w:abstractNumId="12">
    <w:nsid w:val="28FE56A4"/>
    <w:multiLevelType w:val="multilevel"/>
    <w:tmpl w:val="28FE56A4"/>
    <w:lvl w:ilvl="0" w:tentative="0">
      <w:start w:val="1"/>
      <w:numFmt w:val="japaneseCounting"/>
      <w:lvlText w:val="（%1）"/>
      <w:lvlJc w:val="left"/>
      <w:pPr>
        <w:ind w:left="1140" w:hanging="720"/>
      </w:pPr>
      <w:rPr>
        <w:rFonts w:hint="default" w:ascii="宋体" w:hAnsi="宋体" w:eastAsia="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3315791B"/>
    <w:multiLevelType w:val="singleLevel"/>
    <w:tmpl w:val="3315791B"/>
    <w:lvl w:ilvl="0" w:tentative="0">
      <w:start w:val="8"/>
      <w:numFmt w:val="chineseCounting"/>
      <w:suff w:val="nothing"/>
      <w:lvlText w:val="（%1）"/>
      <w:lvlJc w:val="left"/>
      <w:rPr>
        <w:rFonts w:hint="eastAsia"/>
      </w:rPr>
    </w:lvl>
  </w:abstractNum>
  <w:abstractNum w:abstractNumId="14">
    <w:nsid w:val="3BA68D91"/>
    <w:multiLevelType w:val="singleLevel"/>
    <w:tmpl w:val="3BA68D91"/>
    <w:lvl w:ilvl="0" w:tentative="0">
      <w:start w:val="1"/>
      <w:numFmt w:val="bullet"/>
      <w:pStyle w:val="8"/>
      <w:lvlText w:val=""/>
      <w:lvlJc w:val="left"/>
      <w:pPr>
        <w:tabs>
          <w:tab w:val="left" w:pos="360"/>
        </w:tabs>
        <w:ind w:left="360" w:hanging="360"/>
      </w:pPr>
      <w:rPr>
        <w:rFonts w:hint="default" w:ascii="Wingdings" w:hAnsi="Wingdings"/>
      </w:rPr>
    </w:lvl>
  </w:abstractNum>
  <w:abstractNum w:abstractNumId="15">
    <w:nsid w:val="4765C7CC"/>
    <w:multiLevelType w:val="singleLevel"/>
    <w:tmpl w:val="4765C7CC"/>
    <w:lvl w:ilvl="0" w:tentative="0">
      <w:start w:val="1"/>
      <w:numFmt w:val="chineseCounting"/>
      <w:suff w:val="nothing"/>
      <w:lvlText w:val="%1、"/>
      <w:lvlJc w:val="left"/>
      <w:rPr>
        <w:rFonts w:hint="eastAsia"/>
      </w:rPr>
    </w:lvl>
  </w:abstractNum>
  <w:abstractNum w:abstractNumId="16">
    <w:nsid w:val="54C736D6"/>
    <w:multiLevelType w:val="singleLevel"/>
    <w:tmpl w:val="54C736D6"/>
    <w:lvl w:ilvl="0" w:tentative="0">
      <w:start w:val="1"/>
      <w:numFmt w:val="chineseCounting"/>
      <w:suff w:val="nothing"/>
      <w:lvlText w:val="（%1）"/>
      <w:lvlJc w:val="left"/>
      <w:rPr>
        <w:rFonts w:hint="eastAsia"/>
      </w:rPr>
    </w:lvl>
  </w:abstractNum>
  <w:abstractNum w:abstractNumId="17">
    <w:nsid w:val="5716F3E7"/>
    <w:multiLevelType w:val="singleLevel"/>
    <w:tmpl w:val="5716F3E7"/>
    <w:lvl w:ilvl="0" w:tentative="0">
      <w:start w:val="7"/>
      <w:numFmt w:val="chineseCounting"/>
      <w:suff w:val="nothing"/>
      <w:lvlText w:val="%1、"/>
      <w:lvlJc w:val="left"/>
    </w:lvl>
  </w:abstractNum>
  <w:abstractNum w:abstractNumId="18">
    <w:nsid w:val="573A893E"/>
    <w:multiLevelType w:val="singleLevel"/>
    <w:tmpl w:val="573A893E"/>
    <w:lvl w:ilvl="0" w:tentative="0">
      <w:start w:val="9"/>
      <w:numFmt w:val="chineseCounting"/>
      <w:suff w:val="nothing"/>
      <w:lvlText w:val="%1、"/>
      <w:lvlJc w:val="left"/>
    </w:lvl>
  </w:abstractNum>
  <w:abstractNum w:abstractNumId="19">
    <w:nsid w:val="652B95E5"/>
    <w:multiLevelType w:val="singleLevel"/>
    <w:tmpl w:val="652B95E5"/>
    <w:lvl w:ilvl="0" w:tentative="0">
      <w:start w:val="1"/>
      <w:numFmt w:val="bullet"/>
      <w:pStyle w:val="15"/>
      <w:lvlText w:val=""/>
      <w:lvlJc w:val="left"/>
      <w:pPr>
        <w:tabs>
          <w:tab w:val="left" w:pos="780"/>
        </w:tabs>
        <w:ind w:left="780" w:hanging="360"/>
      </w:pPr>
      <w:rPr>
        <w:rFonts w:hint="default" w:ascii="Wingdings" w:hAnsi="Wingdings"/>
      </w:rPr>
    </w:lvl>
  </w:abstractNum>
  <w:num w:numId="1">
    <w:abstractNumId w:val="4"/>
  </w:num>
  <w:num w:numId="2">
    <w:abstractNumId w:val="2"/>
  </w:num>
  <w:num w:numId="3">
    <w:abstractNumId w:val="14"/>
  </w:num>
  <w:num w:numId="4">
    <w:abstractNumId w:val="19"/>
  </w:num>
  <w:num w:numId="5">
    <w:abstractNumId w:val="13"/>
  </w:num>
  <w:num w:numId="6">
    <w:abstractNumId w:val="10"/>
  </w:num>
  <w:num w:numId="7">
    <w:abstractNumId w:val="15"/>
  </w:num>
  <w:num w:numId="8">
    <w:abstractNumId w:val="1"/>
  </w:num>
  <w:num w:numId="9">
    <w:abstractNumId w:val="9"/>
  </w:num>
  <w:num w:numId="10">
    <w:abstractNumId w:val="17"/>
  </w:num>
  <w:num w:numId="11">
    <w:abstractNumId w:val="18"/>
  </w:num>
  <w:num w:numId="12">
    <w:abstractNumId w:val="16"/>
  </w:num>
  <w:num w:numId="13">
    <w:abstractNumId w:val="0"/>
  </w:num>
  <w:num w:numId="14">
    <w:abstractNumId w:val="3"/>
  </w:num>
  <w:num w:numId="15">
    <w:abstractNumId w:val="6"/>
  </w:num>
  <w:num w:numId="16">
    <w:abstractNumId w:val="11"/>
  </w:num>
  <w:num w:numId="17">
    <w:abstractNumId w:val="8"/>
  </w:num>
  <w:num w:numId="18">
    <w:abstractNumId w:val="5"/>
  </w:num>
  <w:num w:numId="19">
    <w:abstractNumId w:val="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E1YjI5NjI4ODRjMjczZTJlYTk2NTYyNTg3ZjMwZTYifQ=="/>
  </w:docVars>
  <w:rsids>
    <w:rsidRoot w:val="00172A27"/>
    <w:rsid w:val="00214F44"/>
    <w:rsid w:val="00294867"/>
    <w:rsid w:val="003638F0"/>
    <w:rsid w:val="004E3B4A"/>
    <w:rsid w:val="00633577"/>
    <w:rsid w:val="006D5009"/>
    <w:rsid w:val="0077798E"/>
    <w:rsid w:val="0081551B"/>
    <w:rsid w:val="009E66CC"/>
    <w:rsid w:val="00C80DA5"/>
    <w:rsid w:val="00D1470C"/>
    <w:rsid w:val="00DB14C1"/>
    <w:rsid w:val="00DE6CBF"/>
    <w:rsid w:val="00E25199"/>
    <w:rsid w:val="00F85214"/>
    <w:rsid w:val="010433E2"/>
    <w:rsid w:val="010A29DC"/>
    <w:rsid w:val="0111381A"/>
    <w:rsid w:val="01423F24"/>
    <w:rsid w:val="016C5620"/>
    <w:rsid w:val="01A037A2"/>
    <w:rsid w:val="01B31EFF"/>
    <w:rsid w:val="01C04E49"/>
    <w:rsid w:val="01D54D98"/>
    <w:rsid w:val="023C4E17"/>
    <w:rsid w:val="024141DC"/>
    <w:rsid w:val="025056BB"/>
    <w:rsid w:val="02701BCE"/>
    <w:rsid w:val="027524D2"/>
    <w:rsid w:val="027C16B8"/>
    <w:rsid w:val="028505CA"/>
    <w:rsid w:val="028916CD"/>
    <w:rsid w:val="028B108B"/>
    <w:rsid w:val="02995210"/>
    <w:rsid w:val="02AC7C36"/>
    <w:rsid w:val="02BB5F6B"/>
    <w:rsid w:val="02BE582C"/>
    <w:rsid w:val="02C646E1"/>
    <w:rsid w:val="02CD3433"/>
    <w:rsid w:val="02FC0103"/>
    <w:rsid w:val="033D05A6"/>
    <w:rsid w:val="03524D53"/>
    <w:rsid w:val="03A53F43"/>
    <w:rsid w:val="03C81846"/>
    <w:rsid w:val="03EF0D16"/>
    <w:rsid w:val="040D4ABC"/>
    <w:rsid w:val="04206854"/>
    <w:rsid w:val="042E0786"/>
    <w:rsid w:val="04340C32"/>
    <w:rsid w:val="046224BC"/>
    <w:rsid w:val="0463615C"/>
    <w:rsid w:val="04910B5D"/>
    <w:rsid w:val="04A513DF"/>
    <w:rsid w:val="04B9586B"/>
    <w:rsid w:val="04BD6F80"/>
    <w:rsid w:val="052A1C56"/>
    <w:rsid w:val="056908C9"/>
    <w:rsid w:val="05856721"/>
    <w:rsid w:val="059565ED"/>
    <w:rsid w:val="05AC4062"/>
    <w:rsid w:val="05B14668"/>
    <w:rsid w:val="05B94EED"/>
    <w:rsid w:val="05FB56D9"/>
    <w:rsid w:val="06124A90"/>
    <w:rsid w:val="06234946"/>
    <w:rsid w:val="062835F9"/>
    <w:rsid w:val="062C5C85"/>
    <w:rsid w:val="063411A1"/>
    <w:rsid w:val="06606BFB"/>
    <w:rsid w:val="0673321C"/>
    <w:rsid w:val="06767C5A"/>
    <w:rsid w:val="06844B3B"/>
    <w:rsid w:val="06942E5A"/>
    <w:rsid w:val="06D8095E"/>
    <w:rsid w:val="06E94E42"/>
    <w:rsid w:val="06FC1F0D"/>
    <w:rsid w:val="07580F35"/>
    <w:rsid w:val="076126BA"/>
    <w:rsid w:val="07664B4A"/>
    <w:rsid w:val="076A5905"/>
    <w:rsid w:val="0777639B"/>
    <w:rsid w:val="07B9589B"/>
    <w:rsid w:val="07E31C88"/>
    <w:rsid w:val="084F5179"/>
    <w:rsid w:val="08602FC2"/>
    <w:rsid w:val="088B3DA8"/>
    <w:rsid w:val="089205F2"/>
    <w:rsid w:val="08BC0A60"/>
    <w:rsid w:val="08C35550"/>
    <w:rsid w:val="08D8516E"/>
    <w:rsid w:val="09047D11"/>
    <w:rsid w:val="09386398"/>
    <w:rsid w:val="095A2027"/>
    <w:rsid w:val="09756E61"/>
    <w:rsid w:val="09995822"/>
    <w:rsid w:val="09B6100A"/>
    <w:rsid w:val="09B85499"/>
    <w:rsid w:val="09C1516C"/>
    <w:rsid w:val="09D76B83"/>
    <w:rsid w:val="0A4A193E"/>
    <w:rsid w:val="0AA52C7E"/>
    <w:rsid w:val="0AC260D6"/>
    <w:rsid w:val="0AD61A4C"/>
    <w:rsid w:val="0B0C10FF"/>
    <w:rsid w:val="0B116715"/>
    <w:rsid w:val="0B122AC0"/>
    <w:rsid w:val="0B4E082E"/>
    <w:rsid w:val="0B845C77"/>
    <w:rsid w:val="0B8A512C"/>
    <w:rsid w:val="0B8E1A6B"/>
    <w:rsid w:val="0B987FAD"/>
    <w:rsid w:val="0BAD40C2"/>
    <w:rsid w:val="0BD7170D"/>
    <w:rsid w:val="0C2F7932"/>
    <w:rsid w:val="0C364685"/>
    <w:rsid w:val="0C4958E1"/>
    <w:rsid w:val="0C7661F5"/>
    <w:rsid w:val="0CA46076"/>
    <w:rsid w:val="0CB34B2F"/>
    <w:rsid w:val="0CB41A4E"/>
    <w:rsid w:val="0CD96FF3"/>
    <w:rsid w:val="0D3F1086"/>
    <w:rsid w:val="0D3F756A"/>
    <w:rsid w:val="0D8C4792"/>
    <w:rsid w:val="0DB0689E"/>
    <w:rsid w:val="0DBB0D4C"/>
    <w:rsid w:val="0DD60637"/>
    <w:rsid w:val="0DDA68C5"/>
    <w:rsid w:val="0DFA6B9B"/>
    <w:rsid w:val="0E083CBA"/>
    <w:rsid w:val="0E152F03"/>
    <w:rsid w:val="0E76470A"/>
    <w:rsid w:val="0EB5141D"/>
    <w:rsid w:val="0EE30717"/>
    <w:rsid w:val="0EFD4BED"/>
    <w:rsid w:val="0F516AE5"/>
    <w:rsid w:val="0F6D658B"/>
    <w:rsid w:val="0F7E1AD5"/>
    <w:rsid w:val="0FDA2B3C"/>
    <w:rsid w:val="0FEC4594"/>
    <w:rsid w:val="10083A28"/>
    <w:rsid w:val="10230BB8"/>
    <w:rsid w:val="10373622"/>
    <w:rsid w:val="1045133B"/>
    <w:rsid w:val="104E6EB8"/>
    <w:rsid w:val="105F678F"/>
    <w:rsid w:val="106C67B8"/>
    <w:rsid w:val="10930ECD"/>
    <w:rsid w:val="10AD5132"/>
    <w:rsid w:val="10E125E6"/>
    <w:rsid w:val="10FC16EA"/>
    <w:rsid w:val="10FC7A66"/>
    <w:rsid w:val="11347336"/>
    <w:rsid w:val="116E25C0"/>
    <w:rsid w:val="11915AAE"/>
    <w:rsid w:val="11A841FB"/>
    <w:rsid w:val="11C30F9C"/>
    <w:rsid w:val="11E132E5"/>
    <w:rsid w:val="120B0362"/>
    <w:rsid w:val="12665599"/>
    <w:rsid w:val="12783B64"/>
    <w:rsid w:val="12AE00DF"/>
    <w:rsid w:val="12B10B48"/>
    <w:rsid w:val="13001549"/>
    <w:rsid w:val="131D558B"/>
    <w:rsid w:val="131E5A61"/>
    <w:rsid w:val="13583775"/>
    <w:rsid w:val="1397638B"/>
    <w:rsid w:val="1399266F"/>
    <w:rsid w:val="139A0BC4"/>
    <w:rsid w:val="13A876DC"/>
    <w:rsid w:val="143B74C7"/>
    <w:rsid w:val="14885C9A"/>
    <w:rsid w:val="14BF6DFE"/>
    <w:rsid w:val="14D312AE"/>
    <w:rsid w:val="14EE302B"/>
    <w:rsid w:val="14FE7D0A"/>
    <w:rsid w:val="15040259"/>
    <w:rsid w:val="153F0EF0"/>
    <w:rsid w:val="154B0380"/>
    <w:rsid w:val="156405B1"/>
    <w:rsid w:val="157323BB"/>
    <w:rsid w:val="15A5287C"/>
    <w:rsid w:val="15B527C0"/>
    <w:rsid w:val="15D8055B"/>
    <w:rsid w:val="16223ECC"/>
    <w:rsid w:val="162F194B"/>
    <w:rsid w:val="16D01B7A"/>
    <w:rsid w:val="17676E7C"/>
    <w:rsid w:val="17770099"/>
    <w:rsid w:val="17862C8C"/>
    <w:rsid w:val="17B72054"/>
    <w:rsid w:val="17BB6160"/>
    <w:rsid w:val="17C97FB9"/>
    <w:rsid w:val="17DF3235"/>
    <w:rsid w:val="181E1BD4"/>
    <w:rsid w:val="184E0EA8"/>
    <w:rsid w:val="185760AF"/>
    <w:rsid w:val="18671C48"/>
    <w:rsid w:val="18814AF3"/>
    <w:rsid w:val="188505C9"/>
    <w:rsid w:val="189746FE"/>
    <w:rsid w:val="18A3218D"/>
    <w:rsid w:val="18C5421B"/>
    <w:rsid w:val="18D9060A"/>
    <w:rsid w:val="1908569A"/>
    <w:rsid w:val="190F2AAA"/>
    <w:rsid w:val="192E3823"/>
    <w:rsid w:val="19301BDF"/>
    <w:rsid w:val="193C52A5"/>
    <w:rsid w:val="193E2DCB"/>
    <w:rsid w:val="196640D0"/>
    <w:rsid w:val="19694AE9"/>
    <w:rsid w:val="198F51B4"/>
    <w:rsid w:val="19A07278"/>
    <w:rsid w:val="19BE353C"/>
    <w:rsid w:val="1A032585"/>
    <w:rsid w:val="1A0947A9"/>
    <w:rsid w:val="1A454F65"/>
    <w:rsid w:val="1A7202B3"/>
    <w:rsid w:val="1AB1625B"/>
    <w:rsid w:val="1AB5523E"/>
    <w:rsid w:val="1AC5588F"/>
    <w:rsid w:val="1ACC5AEF"/>
    <w:rsid w:val="1B0575A5"/>
    <w:rsid w:val="1B0B5E06"/>
    <w:rsid w:val="1B2D394B"/>
    <w:rsid w:val="1B4A157A"/>
    <w:rsid w:val="1B557C16"/>
    <w:rsid w:val="1B7A53D5"/>
    <w:rsid w:val="1B82591A"/>
    <w:rsid w:val="1B985885"/>
    <w:rsid w:val="1BBF4128"/>
    <w:rsid w:val="1C3A1F18"/>
    <w:rsid w:val="1C4D2974"/>
    <w:rsid w:val="1C87045D"/>
    <w:rsid w:val="1C8A6DD7"/>
    <w:rsid w:val="1CCB187C"/>
    <w:rsid w:val="1D402F70"/>
    <w:rsid w:val="1D777445"/>
    <w:rsid w:val="1DEC6C46"/>
    <w:rsid w:val="1E1A022A"/>
    <w:rsid w:val="1E572920"/>
    <w:rsid w:val="1E5A5660"/>
    <w:rsid w:val="1E5B61CE"/>
    <w:rsid w:val="1E803E86"/>
    <w:rsid w:val="1E8F40C9"/>
    <w:rsid w:val="1EB666B4"/>
    <w:rsid w:val="1EF84B98"/>
    <w:rsid w:val="1EF84D7D"/>
    <w:rsid w:val="1F5B27BE"/>
    <w:rsid w:val="1FA45952"/>
    <w:rsid w:val="1FB2712E"/>
    <w:rsid w:val="1FCF2831"/>
    <w:rsid w:val="1FDF0564"/>
    <w:rsid w:val="2007760D"/>
    <w:rsid w:val="20446132"/>
    <w:rsid w:val="20686980"/>
    <w:rsid w:val="206F7775"/>
    <w:rsid w:val="20CD32D6"/>
    <w:rsid w:val="20FF23C0"/>
    <w:rsid w:val="21121D33"/>
    <w:rsid w:val="21430A89"/>
    <w:rsid w:val="218A6B94"/>
    <w:rsid w:val="21BD5839"/>
    <w:rsid w:val="21D15036"/>
    <w:rsid w:val="21F4099B"/>
    <w:rsid w:val="22031056"/>
    <w:rsid w:val="220F3557"/>
    <w:rsid w:val="22307BFF"/>
    <w:rsid w:val="229069B7"/>
    <w:rsid w:val="22AA4E63"/>
    <w:rsid w:val="22BC539A"/>
    <w:rsid w:val="22D04B1E"/>
    <w:rsid w:val="22EE278F"/>
    <w:rsid w:val="23340235"/>
    <w:rsid w:val="235C4A0A"/>
    <w:rsid w:val="237D267E"/>
    <w:rsid w:val="238357F3"/>
    <w:rsid w:val="238B4E5F"/>
    <w:rsid w:val="23B67C1B"/>
    <w:rsid w:val="23CB0C30"/>
    <w:rsid w:val="23E84078"/>
    <w:rsid w:val="240411C5"/>
    <w:rsid w:val="241F3C70"/>
    <w:rsid w:val="242913CE"/>
    <w:rsid w:val="24430D1A"/>
    <w:rsid w:val="245637B2"/>
    <w:rsid w:val="246121EA"/>
    <w:rsid w:val="24B623B0"/>
    <w:rsid w:val="24B65F0C"/>
    <w:rsid w:val="24DE36B4"/>
    <w:rsid w:val="24ED17AF"/>
    <w:rsid w:val="24F21A82"/>
    <w:rsid w:val="24F2764F"/>
    <w:rsid w:val="2531044D"/>
    <w:rsid w:val="25381098"/>
    <w:rsid w:val="2573204F"/>
    <w:rsid w:val="258C62A1"/>
    <w:rsid w:val="259124D5"/>
    <w:rsid w:val="25D971A5"/>
    <w:rsid w:val="2631074B"/>
    <w:rsid w:val="269A360B"/>
    <w:rsid w:val="26A448DE"/>
    <w:rsid w:val="26C969F7"/>
    <w:rsid w:val="26F64CE5"/>
    <w:rsid w:val="271172E8"/>
    <w:rsid w:val="27196C26"/>
    <w:rsid w:val="27686C72"/>
    <w:rsid w:val="27803F7E"/>
    <w:rsid w:val="27DA050F"/>
    <w:rsid w:val="27F576DE"/>
    <w:rsid w:val="280733B1"/>
    <w:rsid w:val="289466FE"/>
    <w:rsid w:val="28960928"/>
    <w:rsid w:val="28A14135"/>
    <w:rsid w:val="28F76CD6"/>
    <w:rsid w:val="291050C1"/>
    <w:rsid w:val="29435DF4"/>
    <w:rsid w:val="29A057FB"/>
    <w:rsid w:val="29BB2216"/>
    <w:rsid w:val="29FD282F"/>
    <w:rsid w:val="2A05247F"/>
    <w:rsid w:val="2AAE58D7"/>
    <w:rsid w:val="2AFA54D0"/>
    <w:rsid w:val="2B0100FD"/>
    <w:rsid w:val="2B095B72"/>
    <w:rsid w:val="2B732CA6"/>
    <w:rsid w:val="2B944ACD"/>
    <w:rsid w:val="2BA2543C"/>
    <w:rsid w:val="2BC17C38"/>
    <w:rsid w:val="2BC41856"/>
    <w:rsid w:val="2C0F0BF9"/>
    <w:rsid w:val="2C106849"/>
    <w:rsid w:val="2C2D78F8"/>
    <w:rsid w:val="2C363841"/>
    <w:rsid w:val="2C520C10"/>
    <w:rsid w:val="2C7D6E0B"/>
    <w:rsid w:val="2D053812"/>
    <w:rsid w:val="2D331791"/>
    <w:rsid w:val="2D96274F"/>
    <w:rsid w:val="2DBF57BE"/>
    <w:rsid w:val="2DF55D16"/>
    <w:rsid w:val="2DF83A39"/>
    <w:rsid w:val="2DFF16B8"/>
    <w:rsid w:val="2E017B5A"/>
    <w:rsid w:val="2E32007E"/>
    <w:rsid w:val="2F155F25"/>
    <w:rsid w:val="2F3F7518"/>
    <w:rsid w:val="2F7C1265"/>
    <w:rsid w:val="2F86762E"/>
    <w:rsid w:val="2F977766"/>
    <w:rsid w:val="2FA60F79"/>
    <w:rsid w:val="2FB61527"/>
    <w:rsid w:val="2FC95E3C"/>
    <w:rsid w:val="304A2B4E"/>
    <w:rsid w:val="308810F3"/>
    <w:rsid w:val="30A04E3F"/>
    <w:rsid w:val="30C017B1"/>
    <w:rsid w:val="31081922"/>
    <w:rsid w:val="31160156"/>
    <w:rsid w:val="31181885"/>
    <w:rsid w:val="31232B7B"/>
    <w:rsid w:val="31264419"/>
    <w:rsid w:val="31613EEB"/>
    <w:rsid w:val="31EF1338"/>
    <w:rsid w:val="321F39A8"/>
    <w:rsid w:val="32292091"/>
    <w:rsid w:val="322B0D6E"/>
    <w:rsid w:val="32544A21"/>
    <w:rsid w:val="32665344"/>
    <w:rsid w:val="326F1DF0"/>
    <w:rsid w:val="32A221C5"/>
    <w:rsid w:val="32DA2984"/>
    <w:rsid w:val="32E76955"/>
    <w:rsid w:val="330A13B9"/>
    <w:rsid w:val="3321758E"/>
    <w:rsid w:val="33264BA4"/>
    <w:rsid w:val="3338560E"/>
    <w:rsid w:val="3339369A"/>
    <w:rsid w:val="337001EF"/>
    <w:rsid w:val="33DE722D"/>
    <w:rsid w:val="33F6786A"/>
    <w:rsid w:val="34312917"/>
    <w:rsid w:val="343F34C4"/>
    <w:rsid w:val="34604746"/>
    <w:rsid w:val="346911EC"/>
    <w:rsid w:val="34C36AFD"/>
    <w:rsid w:val="34CE3D82"/>
    <w:rsid w:val="34E84075"/>
    <w:rsid w:val="35612EBF"/>
    <w:rsid w:val="356E2833"/>
    <w:rsid w:val="3579545F"/>
    <w:rsid w:val="35902935"/>
    <w:rsid w:val="35A52533"/>
    <w:rsid w:val="35B069A7"/>
    <w:rsid w:val="35E24C38"/>
    <w:rsid w:val="35F86460"/>
    <w:rsid w:val="362D624A"/>
    <w:rsid w:val="36461167"/>
    <w:rsid w:val="366A313C"/>
    <w:rsid w:val="36761736"/>
    <w:rsid w:val="36C00E6C"/>
    <w:rsid w:val="36DC40C2"/>
    <w:rsid w:val="36F41EFD"/>
    <w:rsid w:val="36FB006D"/>
    <w:rsid w:val="37194B98"/>
    <w:rsid w:val="371F5B92"/>
    <w:rsid w:val="373358A5"/>
    <w:rsid w:val="374D1994"/>
    <w:rsid w:val="376B0359"/>
    <w:rsid w:val="37C4498C"/>
    <w:rsid w:val="37D464AC"/>
    <w:rsid w:val="37E46E65"/>
    <w:rsid w:val="37FD26DB"/>
    <w:rsid w:val="38060E26"/>
    <w:rsid w:val="38382BCA"/>
    <w:rsid w:val="38657F1D"/>
    <w:rsid w:val="389A7583"/>
    <w:rsid w:val="38B36763"/>
    <w:rsid w:val="38B63381"/>
    <w:rsid w:val="38B75593"/>
    <w:rsid w:val="38CC1D4A"/>
    <w:rsid w:val="38F4650B"/>
    <w:rsid w:val="38F577D2"/>
    <w:rsid w:val="38FF3C60"/>
    <w:rsid w:val="394138CF"/>
    <w:rsid w:val="396C7089"/>
    <w:rsid w:val="39F40674"/>
    <w:rsid w:val="3A7D446C"/>
    <w:rsid w:val="3A972492"/>
    <w:rsid w:val="3AB939A3"/>
    <w:rsid w:val="3B5514EC"/>
    <w:rsid w:val="3BE11C7B"/>
    <w:rsid w:val="3BE21884"/>
    <w:rsid w:val="3BFD3817"/>
    <w:rsid w:val="3C0C4122"/>
    <w:rsid w:val="3C201410"/>
    <w:rsid w:val="3C422E10"/>
    <w:rsid w:val="3C5030A7"/>
    <w:rsid w:val="3C683B38"/>
    <w:rsid w:val="3D4C16AB"/>
    <w:rsid w:val="3D7B782E"/>
    <w:rsid w:val="3DB178D0"/>
    <w:rsid w:val="3DDE1F12"/>
    <w:rsid w:val="3E081734"/>
    <w:rsid w:val="3E0A04A7"/>
    <w:rsid w:val="3E3F6B1A"/>
    <w:rsid w:val="3E4D219D"/>
    <w:rsid w:val="3EA40668"/>
    <w:rsid w:val="3EA43405"/>
    <w:rsid w:val="3EC84037"/>
    <w:rsid w:val="3EE57777"/>
    <w:rsid w:val="3F2232BD"/>
    <w:rsid w:val="3F3E4F37"/>
    <w:rsid w:val="3F86284A"/>
    <w:rsid w:val="3F88641F"/>
    <w:rsid w:val="3F97735A"/>
    <w:rsid w:val="3FA54CAF"/>
    <w:rsid w:val="3FC45529"/>
    <w:rsid w:val="3FFB190F"/>
    <w:rsid w:val="40006ED5"/>
    <w:rsid w:val="401E77A2"/>
    <w:rsid w:val="4026772A"/>
    <w:rsid w:val="40453E42"/>
    <w:rsid w:val="404A58EF"/>
    <w:rsid w:val="40847977"/>
    <w:rsid w:val="41032081"/>
    <w:rsid w:val="41183C07"/>
    <w:rsid w:val="418055C2"/>
    <w:rsid w:val="418B2DEB"/>
    <w:rsid w:val="41BA5EF0"/>
    <w:rsid w:val="421D297D"/>
    <w:rsid w:val="422229DB"/>
    <w:rsid w:val="4226288C"/>
    <w:rsid w:val="424B64F4"/>
    <w:rsid w:val="42A25018"/>
    <w:rsid w:val="42BA5743"/>
    <w:rsid w:val="42BC4BDD"/>
    <w:rsid w:val="42C579BB"/>
    <w:rsid w:val="434835A7"/>
    <w:rsid w:val="435E5C94"/>
    <w:rsid w:val="43733D9A"/>
    <w:rsid w:val="437F7570"/>
    <w:rsid w:val="43DA644B"/>
    <w:rsid w:val="43E720C7"/>
    <w:rsid w:val="4431187C"/>
    <w:rsid w:val="445A70F6"/>
    <w:rsid w:val="446468EB"/>
    <w:rsid w:val="44BA15F0"/>
    <w:rsid w:val="44BE4B5A"/>
    <w:rsid w:val="45442C68"/>
    <w:rsid w:val="456D21BF"/>
    <w:rsid w:val="457F5A18"/>
    <w:rsid w:val="45A2646C"/>
    <w:rsid w:val="45AD45E3"/>
    <w:rsid w:val="45CF0FFC"/>
    <w:rsid w:val="460536A7"/>
    <w:rsid w:val="46205672"/>
    <w:rsid w:val="46540A83"/>
    <w:rsid w:val="4665491C"/>
    <w:rsid w:val="466A7C06"/>
    <w:rsid w:val="46797B59"/>
    <w:rsid w:val="46C15020"/>
    <w:rsid w:val="46CD1BE8"/>
    <w:rsid w:val="46CE0E1F"/>
    <w:rsid w:val="46F015D0"/>
    <w:rsid w:val="46F77D3B"/>
    <w:rsid w:val="47005A20"/>
    <w:rsid w:val="47663BB2"/>
    <w:rsid w:val="477A6F61"/>
    <w:rsid w:val="478C2DF2"/>
    <w:rsid w:val="47A80E69"/>
    <w:rsid w:val="47D12ED9"/>
    <w:rsid w:val="47D87C43"/>
    <w:rsid w:val="487E05DD"/>
    <w:rsid w:val="487F504A"/>
    <w:rsid w:val="48A404FF"/>
    <w:rsid w:val="48AB372A"/>
    <w:rsid w:val="48AF7D73"/>
    <w:rsid w:val="48B830CA"/>
    <w:rsid w:val="48B977D3"/>
    <w:rsid w:val="48D50E87"/>
    <w:rsid w:val="48E16F9D"/>
    <w:rsid w:val="48E51145"/>
    <w:rsid w:val="49294119"/>
    <w:rsid w:val="4930715B"/>
    <w:rsid w:val="495518E8"/>
    <w:rsid w:val="49581CC9"/>
    <w:rsid w:val="495F2766"/>
    <w:rsid w:val="49610D63"/>
    <w:rsid w:val="496225F0"/>
    <w:rsid w:val="4965086D"/>
    <w:rsid w:val="49BA119B"/>
    <w:rsid w:val="49C06E61"/>
    <w:rsid w:val="49C4513B"/>
    <w:rsid w:val="49D8401A"/>
    <w:rsid w:val="4A040AC8"/>
    <w:rsid w:val="4A3223F1"/>
    <w:rsid w:val="4A7D35E5"/>
    <w:rsid w:val="4A8444DB"/>
    <w:rsid w:val="4A9F4869"/>
    <w:rsid w:val="4ABD2F58"/>
    <w:rsid w:val="4AC76815"/>
    <w:rsid w:val="4ACC1024"/>
    <w:rsid w:val="4B571947"/>
    <w:rsid w:val="4BAB2129"/>
    <w:rsid w:val="4C084DC7"/>
    <w:rsid w:val="4C0F594D"/>
    <w:rsid w:val="4C6B77B0"/>
    <w:rsid w:val="4C6F2CC0"/>
    <w:rsid w:val="4C7402D7"/>
    <w:rsid w:val="4C771B75"/>
    <w:rsid w:val="4C7C7D69"/>
    <w:rsid w:val="4C8809C6"/>
    <w:rsid w:val="4CA85C5E"/>
    <w:rsid w:val="4CBE7524"/>
    <w:rsid w:val="4CCD0235"/>
    <w:rsid w:val="4CDA7732"/>
    <w:rsid w:val="4D197CBB"/>
    <w:rsid w:val="4D9B74A7"/>
    <w:rsid w:val="4DB20386"/>
    <w:rsid w:val="4E216FA8"/>
    <w:rsid w:val="4E4C150B"/>
    <w:rsid w:val="4E663322"/>
    <w:rsid w:val="4EB8094F"/>
    <w:rsid w:val="4EC759C0"/>
    <w:rsid w:val="4ED67027"/>
    <w:rsid w:val="4F042483"/>
    <w:rsid w:val="4F0A4F22"/>
    <w:rsid w:val="4F1C6801"/>
    <w:rsid w:val="4F1F6F85"/>
    <w:rsid w:val="4F203A18"/>
    <w:rsid w:val="4FEB08B0"/>
    <w:rsid w:val="4FFF44B2"/>
    <w:rsid w:val="50094C3C"/>
    <w:rsid w:val="5035213F"/>
    <w:rsid w:val="5038341D"/>
    <w:rsid w:val="504E4CBF"/>
    <w:rsid w:val="50670CB2"/>
    <w:rsid w:val="50830C96"/>
    <w:rsid w:val="50A201E6"/>
    <w:rsid w:val="50A47828"/>
    <w:rsid w:val="50C81206"/>
    <w:rsid w:val="50DC50D5"/>
    <w:rsid w:val="51DD7272"/>
    <w:rsid w:val="520610C7"/>
    <w:rsid w:val="523D2E61"/>
    <w:rsid w:val="527E3768"/>
    <w:rsid w:val="532760A3"/>
    <w:rsid w:val="533B1B4E"/>
    <w:rsid w:val="535513E3"/>
    <w:rsid w:val="53627CDB"/>
    <w:rsid w:val="541128AF"/>
    <w:rsid w:val="54590618"/>
    <w:rsid w:val="547C5F7A"/>
    <w:rsid w:val="54DD4734"/>
    <w:rsid w:val="54E73006"/>
    <w:rsid w:val="552656EB"/>
    <w:rsid w:val="55302B56"/>
    <w:rsid w:val="55A53940"/>
    <w:rsid w:val="55CE2806"/>
    <w:rsid w:val="55E16367"/>
    <w:rsid w:val="567A555F"/>
    <w:rsid w:val="568B7D9F"/>
    <w:rsid w:val="56A63033"/>
    <w:rsid w:val="56B87C30"/>
    <w:rsid w:val="56C66B98"/>
    <w:rsid w:val="56D06A51"/>
    <w:rsid w:val="57156C92"/>
    <w:rsid w:val="57223FB7"/>
    <w:rsid w:val="57261240"/>
    <w:rsid w:val="574A5591"/>
    <w:rsid w:val="57B9155E"/>
    <w:rsid w:val="57BF5664"/>
    <w:rsid w:val="57CA34A1"/>
    <w:rsid w:val="57D24779"/>
    <w:rsid w:val="58191F09"/>
    <w:rsid w:val="58335872"/>
    <w:rsid w:val="58435112"/>
    <w:rsid w:val="585316E8"/>
    <w:rsid w:val="58613483"/>
    <w:rsid w:val="58AF67EA"/>
    <w:rsid w:val="58B207F6"/>
    <w:rsid w:val="58E13912"/>
    <w:rsid w:val="58EE6DE5"/>
    <w:rsid w:val="593B4656"/>
    <w:rsid w:val="593E5EE8"/>
    <w:rsid w:val="594405E4"/>
    <w:rsid w:val="59554FEC"/>
    <w:rsid w:val="59694D3A"/>
    <w:rsid w:val="59725B9E"/>
    <w:rsid w:val="59AC10B0"/>
    <w:rsid w:val="59AD4E28"/>
    <w:rsid w:val="59F506B6"/>
    <w:rsid w:val="59F93BC9"/>
    <w:rsid w:val="59FB3DE5"/>
    <w:rsid w:val="5A1C1DE6"/>
    <w:rsid w:val="5AA64FD2"/>
    <w:rsid w:val="5AAF4394"/>
    <w:rsid w:val="5ADD6B60"/>
    <w:rsid w:val="5AEC4A4F"/>
    <w:rsid w:val="5B4302B8"/>
    <w:rsid w:val="5B5B6365"/>
    <w:rsid w:val="5B660E8D"/>
    <w:rsid w:val="5B8B4E43"/>
    <w:rsid w:val="5BD33BC5"/>
    <w:rsid w:val="5BDE10EB"/>
    <w:rsid w:val="5BFC1303"/>
    <w:rsid w:val="5C077D4C"/>
    <w:rsid w:val="5C1B0481"/>
    <w:rsid w:val="5C3142AB"/>
    <w:rsid w:val="5C5C4327"/>
    <w:rsid w:val="5C615406"/>
    <w:rsid w:val="5C7A634D"/>
    <w:rsid w:val="5C9D67BC"/>
    <w:rsid w:val="5CD76941"/>
    <w:rsid w:val="5D1D3C73"/>
    <w:rsid w:val="5D521445"/>
    <w:rsid w:val="5D7719D5"/>
    <w:rsid w:val="5D785D30"/>
    <w:rsid w:val="5DD25D05"/>
    <w:rsid w:val="5DFC6BEB"/>
    <w:rsid w:val="5E0D554E"/>
    <w:rsid w:val="5E316C88"/>
    <w:rsid w:val="5E325CCA"/>
    <w:rsid w:val="5E4078C7"/>
    <w:rsid w:val="5E457D25"/>
    <w:rsid w:val="5E814E30"/>
    <w:rsid w:val="5ECF26CD"/>
    <w:rsid w:val="5EE1245A"/>
    <w:rsid w:val="5EF26FC8"/>
    <w:rsid w:val="5EF642D1"/>
    <w:rsid w:val="5F2A22D6"/>
    <w:rsid w:val="5FBC5DC5"/>
    <w:rsid w:val="5FCA0880"/>
    <w:rsid w:val="604E0154"/>
    <w:rsid w:val="607858CD"/>
    <w:rsid w:val="60A56859"/>
    <w:rsid w:val="60D21F5D"/>
    <w:rsid w:val="611522C3"/>
    <w:rsid w:val="617241EB"/>
    <w:rsid w:val="617C5BD0"/>
    <w:rsid w:val="61842912"/>
    <w:rsid w:val="6187176F"/>
    <w:rsid w:val="61B73A22"/>
    <w:rsid w:val="621321DF"/>
    <w:rsid w:val="623F0013"/>
    <w:rsid w:val="625E7607"/>
    <w:rsid w:val="628030DA"/>
    <w:rsid w:val="62AE25CD"/>
    <w:rsid w:val="62C121BE"/>
    <w:rsid w:val="62CB1DCF"/>
    <w:rsid w:val="630468D5"/>
    <w:rsid w:val="630B6D68"/>
    <w:rsid w:val="630F4158"/>
    <w:rsid w:val="632052E1"/>
    <w:rsid w:val="633F0475"/>
    <w:rsid w:val="636370CE"/>
    <w:rsid w:val="636D37D6"/>
    <w:rsid w:val="63C86872"/>
    <w:rsid w:val="63F024E1"/>
    <w:rsid w:val="63F607D9"/>
    <w:rsid w:val="64A23975"/>
    <w:rsid w:val="64BB489D"/>
    <w:rsid w:val="64DE51C6"/>
    <w:rsid w:val="652A37D1"/>
    <w:rsid w:val="6549634D"/>
    <w:rsid w:val="65502FE7"/>
    <w:rsid w:val="65C9123C"/>
    <w:rsid w:val="65EC19D3"/>
    <w:rsid w:val="65F31E15"/>
    <w:rsid w:val="66460C69"/>
    <w:rsid w:val="666C0AE0"/>
    <w:rsid w:val="66862C89"/>
    <w:rsid w:val="66906713"/>
    <w:rsid w:val="66ED4AB6"/>
    <w:rsid w:val="66F95DEB"/>
    <w:rsid w:val="67116B5E"/>
    <w:rsid w:val="671253F8"/>
    <w:rsid w:val="671B4F8B"/>
    <w:rsid w:val="67292640"/>
    <w:rsid w:val="674E7C4A"/>
    <w:rsid w:val="677C3DE8"/>
    <w:rsid w:val="67831FA4"/>
    <w:rsid w:val="67B7439F"/>
    <w:rsid w:val="67D866DA"/>
    <w:rsid w:val="68305AF4"/>
    <w:rsid w:val="6894026A"/>
    <w:rsid w:val="68955405"/>
    <w:rsid w:val="68B1313D"/>
    <w:rsid w:val="68B166E3"/>
    <w:rsid w:val="68CD0126"/>
    <w:rsid w:val="697777B0"/>
    <w:rsid w:val="697E02EA"/>
    <w:rsid w:val="69A13C82"/>
    <w:rsid w:val="69A66213"/>
    <w:rsid w:val="6A077F06"/>
    <w:rsid w:val="6A2131AB"/>
    <w:rsid w:val="6A235A98"/>
    <w:rsid w:val="6A2F013D"/>
    <w:rsid w:val="6A414A72"/>
    <w:rsid w:val="6A5003B2"/>
    <w:rsid w:val="6A613465"/>
    <w:rsid w:val="6A7844BC"/>
    <w:rsid w:val="6A8028C3"/>
    <w:rsid w:val="6A900A52"/>
    <w:rsid w:val="6AB64522"/>
    <w:rsid w:val="6AC63C42"/>
    <w:rsid w:val="6AD431EC"/>
    <w:rsid w:val="6AF749B9"/>
    <w:rsid w:val="6B0E12FD"/>
    <w:rsid w:val="6B4B2663"/>
    <w:rsid w:val="6B6D2669"/>
    <w:rsid w:val="6B740087"/>
    <w:rsid w:val="6B7F26FD"/>
    <w:rsid w:val="6BFA214F"/>
    <w:rsid w:val="6C134FBF"/>
    <w:rsid w:val="6C3573D1"/>
    <w:rsid w:val="6C6F1649"/>
    <w:rsid w:val="6C9048E4"/>
    <w:rsid w:val="6CB87914"/>
    <w:rsid w:val="6CC7054B"/>
    <w:rsid w:val="6CCC1876"/>
    <w:rsid w:val="6CE27577"/>
    <w:rsid w:val="6CEE36A6"/>
    <w:rsid w:val="6DC626AE"/>
    <w:rsid w:val="6E10332A"/>
    <w:rsid w:val="6E1F6E43"/>
    <w:rsid w:val="6E7942D2"/>
    <w:rsid w:val="6EA47666"/>
    <w:rsid w:val="6EDA6366"/>
    <w:rsid w:val="6EE06A91"/>
    <w:rsid w:val="6F0C782F"/>
    <w:rsid w:val="6F16284C"/>
    <w:rsid w:val="6F7047B8"/>
    <w:rsid w:val="6FB548B4"/>
    <w:rsid w:val="6FC23282"/>
    <w:rsid w:val="6FCA6314"/>
    <w:rsid w:val="6FE02268"/>
    <w:rsid w:val="6FE252C1"/>
    <w:rsid w:val="6FF82DE6"/>
    <w:rsid w:val="700658E8"/>
    <w:rsid w:val="701F03D6"/>
    <w:rsid w:val="702157FA"/>
    <w:rsid w:val="704F34CF"/>
    <w:rsid w:val="70510CCE"/>
    <w:rsid w:val="70CB1582"/>
    <w:rsid w:val="70EF1F9B"/>
    <w:rsid w:val="70F7175E"/>
    <w:rsid w:val="71272FC9"/>
    <w:rsid w:val="717841EA"/>
    <w:rsid w:val="71A4767B"/>
    <w:rsid w:val="71AD6008"/>
    <w:rsid w:val="71C66BDA"/>
    <w:rsid w:val="71D348ED"/>
    <w:rsid w:val="723B2957"/>
    <w:rsid w:val="723D14A1"/>
    <w:rsid w:val="724C2EB3"/>
    <w:rsid w:val="726B691E"/>
    <w:rsid w:val="727D6E07"/>
    <w:rsid w:val="727F3EE9"/>
    <w:rsid w:val="729974EC"/>
    <w:rsid w:val="72A31C76"/>
    <w:rsid w:val="72AB4355"/>
    <w:rsid w:val="72F62F44"/>
    <w:rsid w:val="73362D1B"/>
    <w:rsid w:val="734C1B91"/>
    <w:rsid w:val="734C48BA"/>
    <w:rsid w:val="73810422"/>
    <w:rsid w:val="7393097D"/>
    <w:rsid w:val="73A73693"/>
    <w:rsid w:val="746D3AB2"/>
    <w:rsid w:val="7479687E"/>
    <w:rsid w:val="74DF0134"/>
    <w:rsid w:val="752B3379"/>
    <w:rsid w:val="753D00E6"/>
    <w:rsid w:val="75650BDF"/>
    <w:rsid w:val="758121CF"/>
    <w:rsid w:val="75A629FF"/>
    <w:rsid w:val="75A633A1"/>
    <w:rsid w:val="75A92CA7"/>
    <w:rsid w:val="75C4507C"/>
    <w:rsid w:val="75EE15A7"/>
    <w:rsid w:val="75F34042"/>
    <w:rsid w:val="75F97519"/>
    <w:rsid w:val="76057898"/>
    <w:rsid w:val="7616632D"/>
    <w:rsid w:val="76580192"/>
    <w:rsid w:val="768216BE"/>
    <w:rsid w:val="76D11CFE"/>
    <w:rsid w:val="76F419B5"/>
    <w:rsid w:val="77056071"/>
    <w:rsid w:val="770E5AE1"/>
    <w:rsid w:val="777C4360"/>
    <w:rsid w:val="77A7077A"/>
    <w:rsid w:val="77AA0058"/>
    <w:rsid w:val="781418DA"/>
    <w:rsid w:val="781A337A"/>
    <w:rsid w:val="781C6B1A"/>
    <w:rsid w:val="785B6A87"/>
    <w:rsid w:val="786A29AA"/>
    <w:rsid w:val="78874C35"/>
    <w:rsid w:val="789C3B82"/>
    <w:rsid w:val="78A92B59"/>
    <w:rsid w:val="78AD5A34"/>
    <w:rsid w:val="78C87131"/>
    <w:rsid w:val="78C968C6"/>
    <w:rsid w:val="79133EC0"/>
    <w:rsid w:val="793B5B55"/>
    <w:rsid w:val="79490009"/>
    <w:rsid w:val="794C0A6B"/>
    <w:rsid w:val="7954038A"/>
    <w:rsid w:val="798016BB"/>
    <w:rsid w:val="79911FCE"/>
    <w:rsid w:val="79CC3126"/>
    <w:rsid w:val="79EE7531"/>
    <w:rsid w:val="7A0A4F2F"/>
    <w:rsid w:val="7A0B1BCA"/>
    <w:rsid w:val="7A454CC4"/>
    <w:rsid w:val="7A7F1069"/>
    <w:rsid w:val="7A8A304E"/>
    <w:rsid w:val="7B9038CE"/>
    <w:rsid w:val="7BDF09CF"/>
    <w:rsid w:val="7BFE2A15"/>
    <w:rsid w:val="7C5152E0"/>
    <w:rsid w:val="7CBB4802"/>
    <w:rsid w:val="7CCC504D"/>
    <w:rsid w:val="7D205E6E"/>
    <w:rsid w:val="7D2232B3"/>
    <w:rsid w:val="7D5300AB"/>
    <w:rsid w:val="7D837841"/>
    <w:rsid w:val="7DAD0F67"/>
    <w:rsid w:val="7DCA211E"/>
    <w:rsid w:val="7E10135E"/>
    <w:rsid w:val="7E221091"/>
    <w:rsid w:val="7E3A1B5E"/>
    <w:rsid w:val="7E4529A9"/>
    <w:rsid w:val="7E627BF0"/>
    <w:rsid w:val="7E9A5506"/>
    <w:rsid w:val="7EB3502E"/>
    <w:rsid w:val="7EB909F2"/>
    <w:rsid w:val="7F01514B"/>
    <w:rsid w:val="7F117F00"/>
    <w:rsid w:val="7F253854"/>
    <w:rsid w:val="7F8E2E82"/>
    <w:rsid w:val="7FC01F03"/>
    <w:rsid w:val="7FD36AE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99"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Arial" w:hAnsi="Arial" w:eastAsia="Arial" w:cs="Arial"/>
      <w:kern w:val="2"/>
      <w:sz w:val="21"/>
      <w:szCs w:val="24"/>
      <w:lang w:val="en-US" w:eastAsia="zh-CN" w:bidi="ar-SA"/>
    </w:rPr>
  </w:style>
  <w:style w:type="paragraph" w:styleId="3">
    <w:name w:val="heading 1"/>
    <w:basedOn w:val="1"/>
    <w:next w:val="1"/>
    <w:link w:val="37"/>
    <w:qFormat/>
    <w:uiPriority w:val="0"/>
    <w:pPr>
      <w:keepNext/>
      <w:keepLines/>
      <w:widowControl w:val="0"/>
      <w:spacing w:before="340" w:after="330" w:line="576" w:lineRule="auto"/>
      <w:outlineLvl w:val="0"/>
    </w:pPr>
    <w:rPr>
      <w:b/>
      <w:bCs/>
      <w:kern w:val="44"/>
      <w:sz w:val="44"/>
      <w:szCs w:val="44"/>
    </w:rPr>
  </w:style>
  <w:style w:type="paragraph" w:styleId="4">
    <w:name w:val="heading 2"/>
    <w:basedOn w:val="1"/>
    <w:next w:val="1"/>
    <w:qFormat/>
    <w:uiPriority w:val="0"/>
    <w:pPr>
      <w:keepNext/>
      <w:keepLines/>
      <w:widowControl/>
      <w:spacing w:before="260" w:after="260" w:line="412" w:lineRule="auto"/>
      <w:jc w:val="left"/>
      <w:outlineLvl w:val="1"/>
    </w:pPr>
    <w:rPr>
      <w:rFonts w:ascii="Arial" w:hAnsi="Arial" w:eastAsia="黑体"/>
      <w:b/>
      <w:bCs/>
      <w:sz w:val="32"/>
      <w:szCs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character" w:default="1" w:styleId="32">
    <w:name w:val="Default Paragraph Font"/>
    <w:qFormat/>
    <w:uiPriority w:val="0"/>
  </w:style>
  <w:style w:type="table" w:default="1" w:styleId="30">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numPr>
        <w:ilvl w:val="0"/>
        <w:numId w:val="1"/>
      </w:numPr>
      <w:adjustRightInd w:val="0"/>
      <w:snapToGrid w:val="0"/>
      <w:spacing w:line="400" w:lineRule="exact"/>
      <w:jc w:val="center"/>
      <w:outlineLvl w:val="0"/>
    </w:pPr>
    <w:rPr>
      <w:rFonts w:eastAsia="微软雅黑"/>
      <w:b/>
      <w:spacing w:val="5"/>
      <w:kern w:val="28"/>
      <w:sz w:val="24"/>
      <w:szCs w:val="24"/>
    </w:rPr>
  </w:style>
  <w:style w:type="paragraph" w:styleId="6">
    <w:name w:val="List Number"/>
    <w:basedOn w:val="1"/>
    <w:qFormat/>
    <w:uiPriority w:val="0"/>
    <w:pPr>
      <w:numPr>
        <w:ilvl w:val="0"/>
        <w:numId w:val="2"/>
      </w:numPr>
    </w:pPr>
  </w:style>
  <w:style w:type="paragraph" w:styleId="7">
    <w:name w:val="Normal Indent"/>
    <w:basedOn w:val="1"/>
    <w:qFormat/>
    <w:uiPriority w:val="0"/>
    <w:pPr>
      <w:ind w:firstLine="420"/>
    </w:pPr>
    <w:rPr>
      <w:szCs w:val="20"/>
    </w:rPr>
  </w:style>
  <w:style w:type="paragraph" w:styleId="8">
    <w:name w:val="List Bullet"/>
    <w:basedOn w:val="1"/>
    <w:next w:val="1"/>
    <w:qFormat/>
    <w:uiPriority w:val="0"/>
    <w:pPr>
      <w:numPr>
        <w:ilvl w:val="0"/>
        <w:numId w:val="3"/>
      </w:numPr>
    </w:pPr>
  </w:style>
  <w:style w:type="paragraph" w:styleId="9">
    <w:name w:val="annotation text"/>
    <w:basedOn w:val="1"/>
    <w:qFormat/>
    <w:uiPriority w:val="0"/>
    <w:pPr>
      <w:jc w:val="left"/>
    </w:pPr>
    <w:rPr>
      <w:kern w:val="2"/>
      <w:sz w:val="21"/>
      <w:szCs w:val="24"/>
    </w:rPr>
  </w:style>
  <w:style w:type="paragraph" w:styleId="10">
    <w:name w:val="Body Text 3"/>
    <w:basedOn w:val="1"/>
    <w:qFormat/>
    <w:uiPriority w:val="0"/>
    <w:pPr>
      <w:spacing w:after="120" w:afterLines="0"/>
    </w:pPr>
    <w:rPr>
      <w:sz w:val="16"/>
      <w:szCs w:val="16"/>
    </w:rPr>
  </w:style>
  <w:style w:type="paragraph" w:styleId="11">
    <w:name w:val="Body Text"/>
    <w:basedOn w:val="1"/>
    <w:next w:val="12"/>
    <w:qFormat/>
    <w:uiPriority w:val="0"/>
    <w:pPr>
      <w:spacing w:after="120"/>
    </w:pPr>
    <w:rPr>
      <w:rFonts w:ascii="Times New Roman" w:hAnsi="Times New Roman" w:eastAsia="宋体" w:cs="Times New Roman"/>
      <w:szCs w:val="24"/>
      <w:lang w:bidi="ar-SA"/>
    </w:rPr>
  </w:style>
  <w:style w:type="paragraph" w:customStyle="1" w:styleId="12">
    <w:name w:val="Body Text First Indent1"/>
    <w:basedOn w:val="11"/>
    <w:qFormat/>
    <w:uiPriority w:val="0"/>
    <w:pPr>
      <w:tabs>
        <w:tab w:val="left" w:pos="574"/>
      </w:tabs>
      <w:spacing w:after="120" w:afterLines="0" w:line="240" w:lineRule="auto"/>
      <w:ind w:firstLine="420" w:firstLineChars="100"/>
    </w:pPr>
    <w:rPr>
      <w:rFonts w:ascii="Arial" w:hAnsi="Arial" w:cs="Arial"/>
      <w:kern w:val="0"/>
      <w:sz w:val="32"/>
    </w:rPr>
  </w:style>
  <w:style w:type="paragraph" w:styleId="13">
    <w:name w:val="Body Text Indent"/>
    <w:basedOn w:val="1"/>
    <w:next w:val="1"/>
    <w:qFormat/>
    <w:uiPriority w:val="0"/>
    <w:pPr>
      <w:spacing w:after="120"/>
      <w:ind w:left="200" w:leftChars="200"/>
    </w:pPr>
  </w:style>
  <w:style w:type="paragraph" w:styleId="14">
    <w:name w:val="Block Text"/>
    <w:basedOn w:val="1"/>
    <w:qFormat/>
    <w:uiPriority w:val="99"/>
    <w:pPr>
      <w:adjustRightInd w:val="0"/>
      <w:spacing w:line="300" w:lineRule="auto"/>
      <w:ind w:left="958" w:right="-120" w:rightChars="-120"/>
      <w:jc w:val="left"/>
    </w:pPr>
    <w:rPr>
      <w:rFonts w:ascii="宋体" w:hAnsi="宋体" w:cs="宋体"/>
      <w:sz w:val="28"/>
      <w:szCs w:val="28"/>
    </w:rPr>
  </w:style>
  <w:style w:type="paragraph" w:styleId="15">
    <w:name w:val="List Bullet 2"/>
    <w:basedOn w:val="1"/>
    <w:next w:val="8"/>
    <w:qFormat/>
    <w:uiPriority w:val="0"/>
    <w:pPr>
      <w:numPr>
        <w:ilvl w:val="0"/>
        <w:numId w:val="4"/>
      </w:numPr>
    </w:pPr>
  </w:style>
  <w:style w:type="paragraph" w:styleId="16">
    <w:name w:val="Plain Text"/>
    <w:basedOn w:val="1"/>
    <w:next w:val="17"/>
    <w:qFormat/>
    <w:uiPriority w:val="0"/>
    <w:rPr>
      <w:rFonts w:ascii="宋体" w:cs="Times New Roman"/>
      <w:lang w:bidi="ar-SA"/>
    </w:rPr>
  </w:style>
  <w:style w:type="paragraph" w:styleId="17">
    <w:name w:val="Date"/>
    <w:basedOn w:val="1"/>
    <w:next w:val="1"/>
    <w:qFormat/>
    <w:uiPriority w:val="0"/>
    <w:pPr>
      <w:ind w:left="2500" w:leftChars="2500"/>
    </w:pPr>
    <w:rPr>
      <w:rFonts w:ascii="Calibri" w:hAnsi="Calibri" w:eastAsia="楷体_GB2312"/>
      <w:sz w:val="32"/>
      <w:szCs w:val="22"/>
    </w:rPr>
  </w:style>
  <w:style w:type="paragraph" w:styleId="18">
    <w:name w:val="toc 8"/>
    <w:basedOn w:val="1"/>
    <w:next w:val="1"/>
    <w:unhideWhenUsed/>
    <w:qFormat/>
    <w:uiPriority w:val="39"/>
    <w:pPr>
      <w:widowControl/>
      <w:ind w:left="2940" w:leftChars="1400"/>
      <w:jc w:val="left"/>
    </w:pPr>
    <w:rPr>
      <w:rFonts w:ascii="宋体" w:hAnsi="宋体" w:cs="宋体"/>
      <w:kern w:val="0"/>
      <w:sz w:val="24"/>
    </w:rPr>
  </w:style>
  <w:style w:type="paragraph" w:styleId="19">
    <w:name w:val="Balloon Text"/>
    <w:basedOn w:val="1"/>
    <w:qFormat/>
    <w:uiPriority w:val="0"/>
    <w:rPr>
      <w:rFonts w:ascii="Times New Roman" w:hAnsi="Times New Roman" w:eastAsia="宋体" w:cs="Times New Roman"/>
      <w:sz w:val="18"/>
      <w:szCs w:val="18"/>
      <w:lang w:bidi="ar-SA"/>
    </w:rPr>
  </w:style>
  <w:style w:type="paragraph" w:styleId="20">
    <w:name w:val="footer"/>
    <w:basedOn w:val="1"/>
    <w:qFormat/>
    <w:uiPriority w:val="0"/>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Subtitle"/>
    <w:basedOn w:val="1"/>
    <w:next w:val="1"/>
    <w:qFormat/>
    <w:uiPriority w:val="0"/>
    <w:pPr>
      <w:spacing w:before="240" w:after="60" w:line="312" w:lineRule="auto"/>
      <w:jc w:val="center"/>
      <w:outlineLvl w:val="1"/>
    </w:pPr>
    <w:rPr>
      <w:rFonts w:ascii="Cambria" w:hAnsi="Cambria" w:eastAsia="宋体"/>
      <w:b/>
      <w:bCs/>
      <w:kern w:val="28"/>
      <w:szCs w:val="32"/>
    </w:rPr>
  </w:style>
  <w:style w:type="paragraph" w:styleId="23">
    <w:name w:val="toc 6"/>
    <w:basedOn w:val="1"/>
    <w:next w:val="1"/>
    <w:qFormat/>
    <w:uiPriority w:val="0"/>
    <w:pPr>
      <w:widowControl/>
      <w:ind w:left="2100" w:leftChars="1000"/>
      <w:jc w:val="left"/>
    </w:pPr>
    <w:rPr>
      <w:rFonts w:ascii="宋体" w:hAnsi="宋体" w:cs="宋体"/>
      <w:kern w:val="0"/>
      <w:sz w:val="24"/>
    </w:rPr>
  </w:style>
  <w:style w:type="paragraph" w:styleId="24">
    <w:name w:val="Body Text Indent 3"/>
    <w:basedOn w:val="1"/>
    <w:qFormat/>
    <w:uiPriority w:val="0"/>
    <w:pPr>
      <w:spacing w:after="120"/>
      <w:ind w:left="420" w:leftChars="200"/>
    </w:pPr>
    <w:rPr>
      <w:sz w:val="16"/>
      <w:szCs w:val="16"/>
    </w:rPr>
  </w:style>
  <w:style w:type="paragraph" w:styleId="25">
    <w:name w:val="toc 2"/>
    <w:basedOn w:val="1"/>
    <w:next w:val="1"/>
    <w:qFormat/>
    <w:uiPriority w:val="0"/>
    <w:pPr>
      <w:spacing w:line="480" w:lineRule="auto"/>
      <w:ind w:left="200" w:leftChars="200"/>
    </w:pPr>
  </w:style>
  <w:style w:type="paragraph" w:styleId="26">
    <w:name w:val="Body Text 2"/>
    <w:basedOn w:val="1"/>
    <w:qFormat/>
    <w:uiPriority w:val="0"/>
    <w:pPr>
      <w:autoSpaceDE w:val="0"/>
      <w:autoSpaceDN w:val="0"/>
      <w:adjustRightInd w:val="0"/>
      <w:spacing w:line="360" w:lineRule="auto"/>
    </w:pPr>
    <w:rPr>
      <w:rFonts w:ascii="宋体"/>
      <w:color w:val="000000"/>
      <w:kern w:val="0"/>
      <w:sz w:val="24"/>
    </w:rPr>
  </w:style>
  <w:style w:type="paragraph" w:styleId="27">
    <w:name w:val="Normal (Web)"/>
    <w:basedOn w:val="1"/>
    <w:qFormat/>
    <w:uiPriority w:val="0"/>
    <w:pPr>
      <w:widowControl/>
      <w:spacing w:before="100" w:beforeAutospacing="1" w:after="100" w:afterAutospacing="1"/>
      <w:jc w:val="left"/>
    </w:pPr>
    <w:rPr>
      <w:rFonts w:ascii="宋体"/>
      <w:kern w:val="0"/>
      <w:sz w:val="24"/>
    </w:rPr>
  </w:style>
  <w:style w:type="paragraph" w:styleId="28">
    <w:name w:val="Body Text First Indent"/>
    <w:basedOn w:val="11"/>
    <w:next w:val="1"/>
    <w:qFormat/>
    <w:uiPriority w:val="0"/>
    <w:pPr>
      <w:ind w:firstLine="100" w:firstLineChars="100"/>
    </w:pPr>
  </w:style>
  <w:style w:type="paragraph" w:styleId="29">
    <w:name w:val="Body Text First Indent 2"/>
    <w:basedOn w:val="13"/>
    <w:next w:val="1"/>
    <w:qFormat/>
    <w:uiPriority w:val="0"/>
    <w:pPr>
      <w:tabs>
        <w:tab w:val="left" w:pos="720"/>
        <w:tab w:val="left" w:pos="900"/>
        <w:tab w:val="left" w:pos="1260"/>
        <w:tab w:val="left" w:pos="2160"/>
        <w:tab w:val="left" w:pos="2880"/>
        <w:tab w:val="left" w:pos="3600"/>
        <w:tab w:val="left" w:pos="4320"/>
        <w:tab w:val="left" w:pos="5040"/>
        <w:tab w:val="left" w:pos="5760"/>
      </w:tabs>
      <w:spacing w:after="120" w:line="240" w:lineRule="auto"/>
      <w:ind w:left="200" w:leftChars="200" w:firstLine="420"/>
    </w:pPr>
    <w:rPr>
      <w:sz w:val="21"/>
      <w:szCs w:val="21"/>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22"/>
    <w:rPr>
      <w:b/>
    </w:rPr>
  </w:style>
  <w:style w:type="character" w:styleId="34">
    <w:name w:val="Hyperlink"/>
    <w:qFormat/>
    <w:uiPriority w:val="0"/>
    <w:rPr>
      <w:color w:val="0000FF"/>
      <w:u w:val="single"/>
    </w:rPr>
  </w:style>
  <w:style w:type="character" w:styleId="35">
    <w:name w:val="HTML Sample"/>
    <w:qFormat/>
    <w:uiPriority w:val="99"/>
    <w:rPr>
      <w:rFonts w:ascii="Courier New" w:hAnsi="Courier New" w:cs="Courier New"/>
    </w:rPr>
  </w:style>
  <w:style w:type="character" w:customStyle="1" w:styleId="36">
    <w:name w:val="NormalCharacter"/>
    <w:qFormat/>
    <w:uiPriority w:val="0"/>
  </w:style>
  <w:style w:type="character" w:customStyle="1" w:styleId="37">
    <w:name w:val="标题 1 Char"/>
    <w:link w:val="3"/>
    <w:qFormat/>
    <w:uiPriority w:val="0"/>
    <w:rPr>
      <w:b/>
      <w:bCs/>
      <w:kern w:val="44"/>
      <w:sz w:val="44"/>
      <w:szCs w:val="44"/>
    </w:rPr>
  </w:style>
  <w:style w:type="character" w:customStyle="1" w:styleId="38">
    <w:name w:val="apple-style-span"/>
    <w:basedOn w:val="32"/>
    <w:qFormat/>
    <w:uiPriority w:val="0"/>
  </w:style>
  <w:style w:type="character" w:customStyle="1" w:styleId="39">
    <w:name w:val="无"/>
    <w:qFormat/>
    <w:uiPriority w:val="0"/>
  </w:style>
  <w:style w:type="character" w:customStyle="1" w:styleId="40">
    <w:name w:val="fontstyle01"/>
    <w:qFormat/>
    <w:uiPriority w:val="0"/>
    <w:rPr>
      <w:rFonts w:hint="eastAsia" w:ascii="宋体" w:hAnsi="宋体" w:eastAsia="宋体" w:cs="宋体"/>
      <w:color w:val="000000"/>
      <w:sz w:val="24"/>
      <w:szCs w:val="24"/>
    </w:rPr>
  </w:style>
  <w:style w:type="character" w:customStyle="1" w:styleId="41">
    <w:name w:val="标题 2 Char1"/>
    <w:qFormat/>
    <w:uiPriority w:val="0"/>
    <w:rPr>
      <w:rFonts w:ascii="Arial" w:hAnsi="Arial" w:eastAsia="黑体"/>
      <w:b/>
      <w:bCs/>
      <w:kern w:val="2"/>
      <w:sz w:val="30"/>
      <w:szCs w:val="32"/>
      <w:lang w:val="en-US" w:eastAsia="zh-CN"/>
    </w:rPr>
  </w:style>
  <w:style w:type="character" w:customStyle="1" w:styleId="42">
    <w:name w:val="标题 2 Char"/>
    <w:qFormat/>
    <w:uiPriority w:val="0"/>
    <w:rPr>
      <w:rFonts w:ascii="Arial" w:hAnsi="Arial" w:eastAsia="黑体"/>
      <w:b/>
      <w:bCs/>
      <w:kern w:val="2"/>
      <w:sz w:val="30"/>
      <w:szCs w:val="32"/>
      <w:lang w:val="en-US" w:eastAsia="zh-CN"/>
    </w:rPr>
  </w:style>
  <w:style w:type="paragraph" w:customStyle="1" w:styleId="43">
    <w:name w:val="Body Text Indent"/>
    <w:basedOn w:val="1"/>
    <w:next w:val="1"/>
    <w:qFormat/>
    <w:uiPriority w:val="0"/>
    <w:pPr>
      <w:spacing w:after="120"/>
      <w:ind w:left="200" w:leftChars="200"/>
    </w:pPr>
    <w:rPr>
      <w:rFonts w:ascii="Times New Roman" w:hAnsi="Times New Roman" w:eastAsia="宋体" w:cs="Times New Roman"/>
      <w:szCs w:val="24"/>
      <w:lang w:bidi="ar-SA"/>
    </w:rPr>
  </w:style>
  <w:style w:type="paragraph" w:customStyle="1" w:styleId="44">
    <w:name w:val="Normal Indent"/>
    <w:basedOn w:val="1"/>
    <w:next w:val="25"/>
    <w:qFormat/>
    <w:uiPriority w:val="0"/>
    <w:pPr>
      <w:ind w:firstLine="420"/>
    </w:pPr>
    <w:rPr>
      <w:szCs w:val="20"/>
    </w:rPr>
  </w:style>
  <w:style w:type="paragraph" w:customStyle="1" w:styleId="45">
    <w:name w:val="zw"/>
    <w:basedOn w:val="1"/>
    <w:qFormat/>
    <w:uiPriority w:val="0"/>
    <w:pPr>
      <w:widowControl/>
      <w:spacing w:before="30"/>
      <w:ind w:left="100" w:right="100"/>
    </w:pPr>
    <w:rPr>
      <w:rFonts w:ascii="方正书宋简体" w:eastAsia="方正书宋简体"/>
      <w:color w:val="000000"/>
      <w:kern w:val="0"/>
      <w:szCs w:val="21"/>
    </w:rPr>
  </w:style>
  <w:style w:type="paragraph" w:customStyle="1" w:styleId="46">
    <w:name w:val="reader-word-layer"/>
    <w:basedOn w:val="1"/>
    <w:qFormat/>
    <w:uiPriority w:val="0"/>
    <w:pPr>
      <w:widowControl/>
      <w:spacing w:before="100" w:beforeAutospacing="1" w:after="100" w:afterAutospacing="1"/>
      <w:jc w:val="left"/>
    </w:pPr>
    <w:rPr>
      <w:rFonts w:ascii="宋体" w:cs="宋体"/>
      <w:kern w:val="0"/>
      <w:sz w:val="24"/>
      <w:lang w:bidi="ar-SA"/>
    </w:rPr>
  </w:style>
  <w:style w:type="paragraph" w:customStyle="1" w:styleId="47">
    <w:name w:val="表格文字"/>
    <w:basedOn w:val="1"/>
    <w:next w:val="11"/>
    <w:qFormat/>
    <w:uiPriority w:val="0"/>
    <w:pPr>
      <w:adjustRightInd w:val="0"/>
      <w:spacing w:line="420" w:lineRule="atLeast"/>
      <w:jc w:val="left"/>
      <w:textAlignment w:val="baseline"/>
    </w:pPr>
    <w:rPr>
      <w:kern w:val="0"/>
    </w:rPr>
  </w:style>
  <w:style w:type="paragraph" w:customStyle="1" w:styleId="48">
    <w:name w:val="表格"/>
    <w:basedOn w:val="49"/>
    <w:next w:val="1"/>
    <w:qFormat/>
    <w:uiPriority w:val="99"/>
    <w:pPr>
      <w:tabs>
        <w:tab w:val="left" w:pos="540"/>
      </w:tabs>
      <w:adjustRightInd w:val="0"/>
      <w:snapToGrid w:val="0"/>
      <w:spacing w:line="240" w:lineRule="atLeast"/>
      <w:textAlignment w:val="baseline"/>
    </w:pPr>
    <w:rPr>
      <w:rFonts w:ascii="仿宋_GB2312" w:eastAsia="仿宋"/>
      <w:kern w:val="0"/>
      <w:szCs w:val="20"/>
    </w:rPr>
  </w:style>
  <w:style w:type="paragraph" w:customStyle="1" w:styleId="49">
    <w:name w:val="表头"/>
    <w:basedOn w:val="50"/>
    <w:qFormat/>
    <w:uiPriority w:val="0"/>
    <w:pPr>
      <w:jc w:val="center"/>
    </w:pPr>
    <w:rPr>
      <w:rFonts w:ascii="楷体_GB2312"/>
      <w:b w:val="0"/>
      <w:kern w:val="28"/>
      <w:sz w:val="28"/>
      <w:szCs w:val="28"/>
    </w:rPr>
  </w:style>
  <w:style w:type="paragraph" w:styleId="50">
    <w:name w:val="No Spacing"/>
    <w:basedOn w:val="5"/>
    <w:qFormat/>
    <w:uiPriority w:val="0"/>
    <w:rPr>
      <w:sz w:val="22"/>
    </w:rPr>
  </w:style>
  <w:style w:type="paragraph" w:customStyle="1" w:styleId="51">
    <w:name w:val="_Style 3"/>
    <w:qFormat/>
    <w:uiPriority w:val="0"/>
    <w:pPr>
      <w:widowControl w:val="0"/>
      <w:jc w:val="both"/>
    </w:pPr>
    <w:rPr>
      <w:rFonts w:ascii="Calibri" w:hAnsi="Calibri" w:eastAsia="Arial" w:cs="Arial"/>
      <w:kern w:val="2"/>
      <w:sz w:val="21"/>
      <w:szCs w:val="22"/>
      <w:lang w:val="en-US" w:eastAsia="zh-CN" w:bidi="ar-SA"/>
    </w:rPr>
  </w:style>
  <w:style w:type="paragraph" w:customStyle="1" w:styleId="52">
    <w:name w:val="正文_4"/>
    <w:qFormat/>
    <w:uiPriority w:val="0"/>
    <w:pPr>
      <w:widowControl w:val="0"/>
      <w:jc w:val="both"/>
    </w:pPr>
    <w:rPr>
      <w:rFonts w:ascii="Arial" w:hAnsi="Arial" w:eastAsia="Arial" w:cs="Arial"/>
      <w:kern w:val="2"/>
      <w:sz w:val="21"/>
      <w:szCs w:val="24"/>
      <w:lang w:val="en-US" w:eastAsia="zh-CN" w:bidi="ar-SA"/>
    </w:rPr>
  </w:style>
  <w:style w:type="paragraph" w:customStyle="1" w:styleId="53">
    <w:name w:val="Date"/>
    <w:basedOn w:val="1"/>
    <w:next w:val="1"/>
    <w:qFormat/>
    <w:uiPriority w:val="0"/>
    <w:pPr>
      <w:ind w:left="2500" w:leftChars="2500"/>
    </w:pPr>
    <w:rPr>
      <w:rFonts w:ascii="Calibri" w:hAnsi="Calibri" w:eastAsia="楷体_GB2312"/>
      <w:sz w:val="32"/>
      <w:szCs w:val="22"/>
    </w:rPr>
  </w:style>
  <w:style w:type="paragraph" w:customStyle="1" w:styleId="54">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_10"/>
    <w:qFormat/>
    <w:uiPriority w:val="0"/>
    <w:pPr>
      <w:widowControl w:val="0"/>
      <w:jc w:val="both"/>
    </w:pPr>
    <w:rPr>
      <w:rFonts w:ascii="Arial" w:hAnsi="Arial" w:eastAsia="Arial" w:cs="Arial"/>
      <w:kern w:val="2"/>
      <w:sz w:val="21"/>
      <w:szCs w:val="24"/>
      <w:lang w:val="en-US" w:eastAsia="zh-CN" w:bidi="ar-SA"/>
    </w:rPr>
  </w:style>
  <w:style w:type="paragraph" w:customStyle="1" w:styleId="56">
    <w:name w:val="正文1"/>
    <w:next w:val="1"/>
    <w:qFormat/>
    <w:uiPriority w:val="0"/>
    <w:pPr>
      <w:widowControl w:val="0"/>
      <w:adjustRightInd w:val="0"/>
      <w:spacing w:line="240" w:lineRule="atLeast"/>
      <w:jc w:val="both"/>
    </w:pPr>
    <w:rPr>
      <w:rFonts w:ascii="宋体" w:hAnsi="Arial" w:eastAsia="Arial" w:cs="Arial"/>
      <w:sz w:val="34"/>
      <w:lang w:val="en-US" w:eastAsia="zh-CN" w:bidi="ar-SA"/>
    </w:rPr>
  </w:style>
  <w:style w:type="paragraph" w:customStyle="1" w:styleId="57">
    <w:name w:val="xl25"/>
    <w:basedOn w:val="1"/>
    <w:qFormat/>
    <w:uiPriority w:val="0"/>
    <w:pPr>
      <w:spacing w:before="100" w:beforeAutospacing="1" w:after="100" w:afterAutospacing="1"/>
      <w:jc w:val="center"/>
    </w:pPr>
    <w:rPr>
      <w:rFonts w:hint="eastAsia" w:ascii="楷体_GB2312" w:hAnsi="宋体" w:eastAsia="楷体_GB2312"/>
      <w:sz w:val="24"/>
    </w:rPr>
  </w:style>
  <w:style w:type="paragraph" w:customStyle="1" w:styleId="58">
    <w:name w:val="List Paragraph"/>
    <w:basedOn w:val="1"/>
    <w:qFormat/>
    <w:uiPriority w:val="0"/>
    <w:pPr>
      <w:ind w:firstLine="200" w:firstLineChars="200"/>
    </w:pPr>
    <w:rPr>
      <w:rFonts w:ascii="Calibri" w:hAnsi="Calibri"/>
      <w:szCs w:val="22"/>
    </w:rPr>
  </w:style>
  <w:style w:type="paragraph" w:customStyle="1" w:styleId="59">
    <w:name w:val="纯文本1"/>
    <w:basedOn w:val="56"/>
    <w:qFormat/>
    <w:uiPriority w:val="0"/>
    <w:pPr>
      <w:widowControl/>
      <w:jc w:val="left"/>
    </w:pPr>
  </w:style>
  <w:style w:type="paragraph" w:customStyle="1" w:styleId="60">
    <w:name w:val="段落"/>
    <w:qFormat/>
    <w:uiPriority w:val="5"/>
    <w:pPr>
      <w:adjustRightInd w:val="0"/>
      <w:snapToGrid w:val="0"/>
      <w:spacing w:line="360" w:lineRule="auto"/>
      <w:ind w:firstLine="200" w:firstLineChars="200"/>
    </w:pPr>
    <w:rPr>
      <w:rFonts w:ascii="Arial" w:hAnsi="Arial" w:eastAsia="Arial" w:cs="Arial"/>
      <w:snapToGrid w:val="0"/>
      <w:color w:val="000000"/>
      <w:sz w:val="24"/>
      <w:szCs w:val="24"/>
      <w:lang w:val="en-US" w:eastAsia="zh-CN" w:bidi="ar-SA"/>
    </w:rPr>
  </w:style>
  <w:style w:type="paragraph" w:customStyle="1" w:styleId="61">
    <w:name w:val="样式 10 磅31114"/>
    <w:qFormat/>
    <w:uiPriority w:val="0"/>
    <w:pPr>
      <w:widowControl w:val="0"/>
      <w:jc w:val="both"/>
    </w:pPr>
    <w:rPr>
      <w:rFonts w:ascii="Arial" w:hAnsi="Arial" w:eastAsia="Arial" w:cs="Arial"/>
      <w:kern w:val="2"/>
      <w:sz w:val="21"/>
      <w:szCs w:val="24"/>
      <w:lang w:val="en-US" w:eastAsia="zh-CN" w:bidi="ar-SA"/>
    </w:rPr>
  </w:style>
  <w:style w:type="paragraph" w:customStyle="1" w:styleId="62">
    <w:name w:val="正文_8_0_0"/>
    <w:qFormat/>
    <w:uiPriority w:val="0"/>
    <w:pPr>
      <w:widowControl w:val="0"/>
      <w:jc w:val="both"/>
    </w:pPr>
    <w:rPr>
      <w:rFonts w:ascii="Arial" w:hAnsi="Arial" w:eastAsia="Arial" w:cs="Arial"/>
      <w:kern w:val="2"/>
      <w:sz w:val="21"/>
      <w:szCs w:val="22"/>
      <w:lang w:val="en-US" w:eastAsia="zh-CN" w:bidi="ar-SA"/>
    </w:rPr>
  </w:style>
  <w:style w:type="paragraph" w:customStyle="1" w:styleId="63">
    <w:name w:val="正文_3_0"/>
    <w:qFormat/>
    <w:uiPriority w:val="0"/>
    <w:pPr>
      <w:widowControl w:val="0"/>
      <w:jc w:val="both"/>
    </w:pPr>
    <w:rPr>
      <w:rFonts w:ascii="Arial" w:hAnsi="Arial" w:eastAsia="Arial" w:cs="Arial"/>
      <w:kern w:val="2"/>
      <w:sz w:val="21"/>
      <w:szCs w:val="24"/>
      <w:lang w:val="en-US" w:eastAsia="zh-CN" w:bidi="ar-SA"/>
    </w:rPr>
  </w:style>
  <w:style w:type="paragraph" w:customStyle="1" w:styleId="64">
    <w:name w:val="表格文本"/>
    <w:basedOn w:val="1"/>
    <w:qFormat/>
    <w:uiPriority w:val="0"/>
    <w:pPr>
      <w:spacing w:before="120" w:after="120"/>
    </w:pPr>
    <w:rPr>
      <w:rFonts w:cs="黑体"/>
      <w:szCs w:val="21"/>
      <w:lang w:bidi="ar-SA"/>
    </w:rPr>
  </w:style>
  <w:style w:type="paragraph" w:customStyle="1" w:styleId="65">
    <w:name w:val="Plain Text"/>
    <w:basedOn w:val="1"/>
    <w:next w:val="53"/>
    <w:qFormat/>
    <w:uiPriority w:val="0"/>
    <w:rPr>
      <w:rFonts w:ascii="宋体" w:cs="黑体"/>
      <w:kern w:val="2"/>
      <w:sz w:val="21"/>
      <w:szCs w:val="24"/>
      <w:lang w:bidi="ar-SA"/>
    </w:rPr>
  </w:style>
  <w:style w:type="paragraph" w:customStyle="1" w:styleId="66">
    <w:name w:val="列表段落1"/>
    <w:basedOn w:val="1"/>
    <w:qFormat/>
    <w:uiPriority w:val="34"/>
    <w:pPr>
      <w:ind w:firstLine="420" w:firstLineChars="200"/>
    </w:pPr>
    <w:rPr>
      <w:rFonts w:ascii="Calibri" w:hAnsi="Calibri"/>
      <w:szCs w:val="22"/>
    </w:rPr>
  </w:style>
  <w:style w:type="paragraph" w:customStyle="1" w:styleId="67">
    <w:name w:val="正文_5"/>
    <w:qFormat/>
    <w:uiPriority w:val="0"/>
    <w:pPr>
      <w:widowControl w:val="0"/>
      <w:jc w:val="both"/>
    </w:pPr>
    <w:rPr>
      <w:rFonts w:ascii="Arial" w:hAnsi="Arial" w:eastAsia="Arial" w:cs="Arial"/>
      <w:kern w:val="2"/>
      <w:sz w:val="21"/>
      <w:szCs w:val="24"/>
      <w:lang w:val="en-US" w:eastAsia="zh-CN" w:bidi="ar-SA"/>
    </w:rPr>
  </w:style>
  <w:style w:type="paragraph" w:customStyle="1" w:styleId="68">
    <w:name w:val="Table Paragraph"/>
    <w:basedOn w:val="1"/>
    <w:qFormat/>
    <w:uiPriority w:val="1"/>
    <w:rPr>
      <w:rFonts w:ascii="宋体" w:hAnsi="宋体" w:eastAsia="宋体" w:cs="宋体"/>
      <w:lang w:val="zh-CN" w:eastAsia="zh-CN" w:bidi="zh-CN"/>
    </w:rPr>
  </w:style>
  <w:style w:type="paragraph" w:customStyle="1" w:styleId="69">
    <w:name w:val="Fließtext"/>
    <w:basedOn w:val="1"/>
    <w:qFormat/>
    <w:uiPriority w:val="0"/>
    <w:pPr>
      <w:overflowPunct w:val="0"/>
      <w:autoSpaceDE w:val="0"/>
      <w:autoSpaceDN w:val="0"/>
      <w:adjustRightInd w:val="0"/>
      <w:textAlignment w:val="baseline"/>
    </w:pPr>
    <w:rPr>
      <w:kern w:val="28"/>
      <w:szCs w:val="20"/>
    </w:rPr>
  </w:style>
  <w:style w:type="paragraph" w:customStyle="1" w:styleId="70">
    <w:name w:val="_Style 1"/>
    <w:qFormat/>
    <w:uiPriority w:val="99"/>
    <w:rPr>
      <w:rFonts w:ascii="Calibri" w:hAnsi="Calibri" w:eastAsia="宋体" w:cs="Times New Roman"/>
      <w:kern w:val="2"/>
      <w:sz w:val="28"/>
      <w:szCs w:val="22"/>
      <w:lang w:val="en-US" w:eastAsia="zh-CN" w:bidi="ar-SA"/>
    </w:rPr>
  </w:style>
  <w:style w:type="paragraph" w:customStyle="1" w:styleId="71">
    <w:name w:val="WPSOffice手动目录 1"/>
    <w:qFormat/>
    <w:uiPriority w:val="0"/>
    <w:pPr>
      <w:ind w:leftChars="0"/>
    </w:pPr>
    <w:rPr>
      <w:rFonts w:ascii="Arial" w:hAnsi="Arial" w:eastAsia="Arial" w:cs="Arial"/>
      <w:sz w:val="20"/>
      <w:szCs w:val="20"/>
    </w:rPr>
  </w:style>
  <w:style w:type="paragraph" w:customStyle="1" w:styleId="72">
    <w:name w:val="正文2"/>
    <w:basedOn w:val="1"/>
    <w:qFormat/>
    <w:uiPriority w:val="0"/>
    <w:pPr>
      <w:spacing w:before="156" w:line="360" w:lineRule="auto"/>
      <w:ind w:firstLine="200" w:firstLineChars="200"/>
    </w:pPr>
    <w:rPr>
      <w:kern w:val="2"/>
      <w:sz w:val="24"/>
    </w:rPr>
  </w:style>
  <w:style w:type="paragraph" w:customStyle="1" w:styleId="73">
    <w:name w:val="=正文="/>
    <w:qFormat/>
    <w:uiPriority w:val="0"/>
    <w:pPr>
      <w:widowControl w:val="0"/>
      <w:spacing w:before="50" w:beforeLines="50" w:line="360" w:lineRule="auto"/>
      <w:ind w:firstLine="200" w:firstLineChars="200"/>
      <w:jc w:val="both"/>
    </w:pPr>
    <w:rPr>
      <w:rFonts w:ascii="宋体" w:hAnsi="宋体" w:eastAsia="宋体" w:cs="Times New Roman"/>
      <w:kern w:val="2"/>
      <w:sz w:val="24"/>
      <w:szCs w:val="22"/>
      <w:lang w:val="en-US" w:eastAsia="zh-CN" w:bidi="ar-SA"/>
    </w:rPr>
  </w:style>
  <w:style w:type="paragraph" w:customStyle="1" w:styleId="74">
    <w:name w:val="Normal_15"/>
    <w:qFormat/>
    <w:uiPriority w:val="0"/>
    <w:pPr>
      <w:widowControl w:val="0"/>
      <w:jc w:val="both"/>
    </w:pPr>
    <w:rPr>
      <w:rFonts w:ascii="Arial" w:hAnsi="Arial" w:eastAsia="Arial" w:cs="Arial"/>
      <w:kern w:val="2"/>
      <w:sz w:val="21"/>
      <w:szCs w:val="22"/>
      <w:lang w:val="en-US" w:eastAsia="zh-CN" w:bidi="ar-SA"/>
    </w:rPr>
  </w:style>
  <w:style w:type="paragraph" w:customStyle="1" w:styleId="75">
    <w:name w:val="样式 标题 3 + (中文) 黑体 小四 非加粗 段前: 7.8 磅 段后: 0 磅 行距: 固定值 20 磅"/>
    <w:basedOn w:val="5"/>
    <w:qFormat/>
    <w:uiPriority w:val="0"/>
    <w:pPr>
      <w:tabs>
        <w:tab w:val="left" w:pos="900"/>
      </w:tabs>
      <w:spacing w:before="0" w:after="0" w:line="400" w:lineRule="exact"/>
    </w:pPr>
    <w:rPr>
      <w:rFonts w:eastAsia="黑体" w:cs="宋体"/>
      <w:b w:val="0"/>
      <w:sz w:val="24"/>
      <w:szCs w:val="20"/>
    </w:rPr>
  </w:style>
  <w:style w:type="paragraph" w:customStyle="1" w:styleId="76">
    <w:name w:val="正文_10_0"/>
    <w:qFormat/>
    <w:uiPriority w:val="0"/>
    <w:pPr>
      <w:widowControl w:val="0"/>
      <w:jc w:val="both"/>
    </w:pPr>
    <w:rPr>
      <w:rFonts w:ascii="Arial" w:hAnsi="Arial" w:eastAsia="Arial" w:cs="Arial"/>
      <w:kern w:val="2"/>
      <w:sz w:val="21"/>
      <w:szCs w:val="22"/>
      <w:lang w:val="en-US" w:eastAsia="zh-CN" w:bidi="ar-SA"/>
    </w:rPr>
  </w:style>
  <w:style w:type="paragraph" w:customStyle="1" w:styleId="77">
    <w:name w:val="Block Text"/>
    <w:basedOn w:val="1"/>
    <w:qFormat/>
    <w:uiPriority w:val="0"/>
    <w:pPr>
      <w:adjustRightInd w:val="0"/>
      <w:snapToGrid w:val="0"/>
      <w:spacing w:line="360" w:lineRule="auto"/>
      <w:ind w:left="270" w:leftChars="270" w:right="-150" w:rightChars="-150" w:firstLine="200" w:firstLineChars="200"/>
    </w:pPr>
    <w:rPr>
      <w:rFonts w:ascii="宋体"/>
      <w:sz w:val="24"/>
    </w:rPr>
  </w:style>
  <w:style w:type="paragraph" w:customStyle="1" w:styleId="78">
    <w:name w:val="Body Text First Indent 2"/>
    <w:basedOn w:val="43"/>
    <w:qFormat/>
    <w:uiPriority w:val="0"/>
    <w:pPr>
      <w:ind w:left="0" w:leftChars="0" w:firstLine="210"/>
    </w:pPr>
    <w:rPr>
      <w:sz w:val="24"/>
    </w:rPr>
  </w:style>
  <w:style w:type="paragraph" w:customStyle="1" w:styleId="79">
    <w:name w:val="正文（首行缩进2字符）"/>
    <w:basedOn w:val="1"/>
    <w:qFormat/>
    <w:uiPriority w:val="0"/>
    <w:pPr>
      <w:ind w:firstLine="200" w:firstLineChars="200"/>
    </w:pPr>
    <w:rPr>
      <w:sz w:val="24"/>
      <w:szCs w:val="20"/>
    </w:rPr>
  </w:style>
  <w:style w:type="paragraph" w:customStyle="1" w:styleId="80">
    <w:name w:val="正文_14"/>
    <w:qFormat/>
    <w:uiPriority w:val="0"/>
    <w:rPr>
      <w:rFonts w:ascii="Arial" w:hAnsi="Arial" w:eastAsia="Arial" w:cs="Arial"/>
      <w:sz w:val="21"/>
      <w:szCs w:val="22"/>
      <w:lang w:val="en-US" w:eastAsia="zh-CN" w:bidi="ar-SA"/>
    </w:rPr>
  </w:style>
  <w:style w:type="paragraph" w:customStyle="1" w:styleId="81">
    <w:name w:val="表内文字"/>
    <w:basedOn w:val="1"/>
    <w:qFormat/>
    <w:uiPriority w:val="0"/>
    <w:pPr>
      <w:spacing w:line="500" w:lineRule="atLeast"/>
      <w:jc w:val="center"/>
    </w:pPr>
    <w:rPr>
      <w:rFonts w:ascii="Arial" w:hAnsi="Arial" w:eastAsia="楷体_GB2312"/>
      <w:sz w:val="28"/>
      <w:szCs w:val="20"/>
    </w:rPr>
  </w:style>
  <w:style w:type="paragraph" w:customStyle="1" w:styleId="82">
    <w:name w:val="正文_2_0"/>
    <w:qFormat/>
    <w:uiPriority w:val="0"/>
    <w:pPr>
      <w:widowControl w:val="0"/>
      <w:jc w:val="both"/>
    </w:pPr>
    <w:rPr>
      <w:rFonts w:ascii="Arial" w:hAnsi="Arial" w:eastAsia="Arial" w:cs="Arial"/>
      <w:kern w:val="2"/>
      <w:sz w:val="21"/>
      <w:szCs w:val="24"/>
      <w:lang w:val="en-US" w:eastAsia="zh-CN" w:bidi="ar-SA"/>
    </w:rPr>
  </w:style>
  <w:style w:type="paragraph" w:customStyle="1" w:styleId="83">
    <w:name w:val="无间隔1"/>
    <w:qFormat/>
    <w:uiPriority w:val="0"/>
    <w:pPr>
      <w:adjustRightInd w:val="0"/>
      <w:snapToGrid w:val="0"/>
    </w:pPr>
    <w:rPr>
      <w:rFonts w:ascii="Tahoma" w:hAnsi="Tahoma" w:eastAsia="微软雅黑" w:cs="Times New Roman"/>
      <w:sz w:val="22"/>
      <w:szCs w:val="22"/>
      <w:lang w:val="en-US" w:eastAsia="zh-CN" w:bidi="ar-SA"/>
    </w:rPr>
  </w:style>
  <w:style w:type="paragraph" w:customStyle="1" w:styleId="84">
    <w:name w:val="[Normal]"/>
    <w:qFormat/>
    <w:uiPriority w:val="0"/>
    <w:rPr>
      <w:rFonts w:ascii="宋体" w:hAnsi="Arial" w:eastAsia="Arial" w:cs="Arial"/>
      <w:sz w:val="24"/>
      <w:szCs w:val="22"/>
      <w:lang w:val="zh-CN" w:eastAsia="zh-CN" w:bidi="ar-SA"/>
    </w:rPr>
  </w:style>
  <w:style w:type="paragraph" w:customStyle="1" w:styleId="85">
    <w:name w:val="Body Text"/>
    <w:basedOn w:val="1"/>
    <w:next w:val="86"/>
    <w:qFormat/>
    <w:uiPriority w:val="0"/>
    <w:pPr>
      <w:spacing w:after="120" w:afterLines="0" w:afterAutospacing="0"/>
    </w:pPr>
    <w:rPr>
      <w:rFonts w:ascii="Times New Roman" w:hAnsi="Times New Roman" w:eastAsia="宋体"/>
    </w:rPr>
  </w:style>
  <w:style w:type="paragraph" w:customStyle="1" w:styleId="86">
    <w:name w:val="Body Text First Indent"/>
    <w:basedOn w:val="11"/>
    <w:next w:val="1"/>
    <w:qFormat/>
    <w:uiPriority w:val="0"/>
    <w:pPr>
      <w:ind w:firstLine="100" w:firstLineChars="100"/>
    </w:pPr>
  </w:style>
  <w:style w:type="paragraph" w:customStyle="1" w:styleId="87">
    <w:name w:val="Normal (Web)"/>
    <w:basedOn w:val="1"/>
    <w:qFormat/>
    <w:uiPriority w:val="0"/>
    <w:pPr>
      <w:widowControl/>
      <w:spacing w:before="100" w:beforeAutospacing="1" w:after="100" w:afterAutospacing="1"/>
      <w:jc w:val="left"/>
    </w:pPr>
    <w:rPr>
      <w:rFonts w:ascii="宋体"/>
      <w:kern w:val="0"/>
      <w:sz w:val="24"/>
    </w:rPr>
  </w:style>
  <w:style w:type="paragraph" w:customStyle="1" w:styleId="88">
    <w:name w:val="正文_17"/>
    <w:qFormat/>
    <w:uiPriority w:val="0"/>
    <w:pPr>
      <w:widowControl w:val="0"/>
      <w:jc w:val="both"/>
    </w:pPr>
    <w:rPr>
      <w:rFonts w:ascii="Arial" w:hAnsi="Arial" w:eastAsia="Arial" w:cs="Arial"/>
      <w:kern w:val="2"/>
      <w:sz w:val="21"/>
      <w:szCs w:val="24"/>
      <w:lang w:val="en-US" w:eastAsia="zh-CN" w:bidi="ar-SA"/>
    </w:rPr>
  </w:style>
  <w:style w:type="paragraph" w:customStyle="1" w:styleId="89">
    <w:name w:val="纯文本_0_1"/>
    <w:basedOn w:val="1"/>
    <w:qFormat/>
    <w:uiPriority w:val="0"/>
    <w:pPr>
      <w:widowControl/>
      <w:jc w:val="left"/>
    </w:pPr>
    <w:rPr>
      <w:rFonts w:ascii="宋体"/>
      <w:szCs w:val="21"/>
    </w:rPr>
  </w:style>
  <w:style w:type="paragraph" w:customStyle="1" w:styleId="90">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eastAsia="Arial Unicode MS"/>
      <w:kern w:val="0"/>
      <w:sz w:val="24"/>
    </w:rPr>
  </w:style>
  <w:style w:type="paragraph" w:customStyle="1" w:styleId="91">
    <w:name w:val="正文_6"/>
    <w:qFormat/>
    <w:uiPriority w:val="0"/>
    <w:pPr>
      <w:widowControl w:val="0"/>
      <w:jc w:val="both"/>
    </w:pPr>
    <w:rPr>
      <w:rFonts w:ascii="Arial" w:hAnsi="Arial" w:eastAsia="Arial" w:cs="Arial"/>
      <w:kern w:val="2"/>
      <w:sz w:val="21"/>
      <w:szCs w:val="24"/>
      <w:lang w:val="en-US" w:eastAsia="zh-CN" w:bidi="ar-SA"/>
    </w:rPr>
  </w:style>
  <w:style w:type="paragraph" w:customStyle="1" w:styleId="92">
    <w:name w:val="纯文本_3"/>
    <w:basedOn w:val="55"/>
    <w:qFormat/>
    <w:uiPriority w:val="0"/>
    <w:pPr>
      <w:widowControl/>
      <w:jc w:val="left"/>
    </w:pPr>
    <w:rPr>
      <w:rFonts w:ascii="宋体"/>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textRotate="1"/>
    <customShpInfo spid="_x0000_s4098" textRotate="1"/>
    <customShpInfo spid="_x0000_s4099"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Company>
  <Pages>66</Pages>
  <Words>1753</Words>
  <Characters>1909</Characters>
  <Lines>138</Lines>
  <Paragraphs>38</Paragraphs>
  <TotalTime>19</TotalTime>
  <ScaleCrop>false</ScaleCrop>
  <LinksUpToDate>false</LinksUpToDate>
  <CharactersWithSpaces>1943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2020-11-23T08:11:00Z</dcterms:created>
  <dc:creator>苏彬</dc:creator>
  <cp:lastModifiedBy>dell</cp:lastModifiedBy>
  <cp:lastPrinted>2024-10-16T08:14:00Z</cp:lastPrinted>
  <dcterms:modified xsi:type="dcterms:W3CDTF">2024-11-19T00:59:51Z</dcterms:modified>
  <dc:title>Administrator</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1132194EB1504BC8A1486521F50B6E06_13</vt:lpwstr>
  </property>
</Properties>
</file>