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pStyle w:val="77"/>
        <w:jc w:val="center"/>
        <w:rPr>
          <w:b/>
          <w:bCs/>
          <w:sz w:val="36"/>
          <w:szCs w:val="40"/>
        </w:rPr>
      </w:pPr>
      <w:r>
        <w:rPr>
          <w:rFonts w:hint="eastAsia"/>
          <w:b/>
          <w:bCs/>
          <w:sz w:val="36"/>
          <w:szCs w:val="40"/>
          <w:lang w:eastAsia="zh-CN"/>
        </w:rPr>
        <w:t>台州市</w:t>
      </w:r>
      <w:r>
        <w:rPr>
          <w:rFonts w:hint="default" w:ascii="Times New Roman" w:hAnsi="Times New Roman" w:cs="Times New Roman"/>
          <w:b/>
          <w:bCs/>
          <w:sz w:val="36"/>
          <w:szCs w:val="40"/>
          <w:lang w:eastAsia="zh-CN"/>
        </w:rPr>
        <w:t>2023-</w:t>
      </w:r>
      <w:r>
        <w:rPr>
          <w:rFonts w:hint="default" w:ascii="Times New Roman" w:hAnsi="Times New Roman" w:cs="Times New Roman"/>
          <w:b/>
          <w:bCs/>
          <w:sz w:val="36"/>
          <w:szCs w:val="40"/>
          <w:lang w:val="en-US" w:eastAsia="zh-CN"/>
        </w:rPr>
        <w:t>4</w:t>
      </w:r>
      <w:r>
        <w:rPr>
          <w:rFonts w:hint="eastAsia"/>
          <w:b/>
          <w:bCs/>
          <w:sz w:val="36"/>
          <w:szCs w:val="40"/>
          <w:lang w:eastAsia="zh-CN"/>
        </w:rPr>
        <w:t>区块海域使用论证报告书编制项目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kern w:val="0"/>
          <w:sz w:val="32"/>
        </w:rPr>
      </w:pPr>
      <w:r>
        <w:rPr>
          <w:rFonts w:hint="eastAsia" w:ascii="宋体" w:hAnsi="宋体" w:cs="Calibri Light"/>
          <w:kern w:val="0"/>
          <w:szCs w:val="28"/>
        </w:rPr>
        <w:t>采购编号：</w:t>
      </w:r>
      <w:r>
        <w:rPr>
          <w:rFonts w:hint="eastAsia" w:ascii="宋体" w:hAnsi="宋体" w:cs="Calibri Light"/>
          <w:kern w:val="0"/>
          <w:szCs w:val="28"/>
        </w:rPr>
        <w:fldChar w:fldCharType="begin"/>
      </w:r>
      <w:r>
        <w:rPr>
          <w:rFonts w:hint="eastAsia" w:ascii="宋体" w:hAnsi="宋体" w:cs="Calibri Light"/>
          <w:kern w:val="0"/>
          <w:szCs w:val="28"/>
        </w:rPr>
        <w:instrText xml:space="preserve"> HYPERLINK "http://www.tzwztb.com/ztb/Framework/Main/Default.aspx?p=01001&amp;PrjId=I3310005276000328001" </w:instrText>
      </w:r>
      <w:r>
        <w:rPr>
          <w:rFonts w:hint="eastAsia" w:ascii="宋体" w:hAnsi="宋体" w:cs="Calibri Light"/>
          <w:kern w:val="0"/>
          <w:szCs w:val="28"/>
        </w:rPr>
        <w:fldChar w:fldCharType="separate"/>
      </w:r>
      <w:r>
        <w:rPr>
          <w:rFonts w:hint="eastAsia" w:ascii="宋体" w:hAnsi="宋体" w:cs="Calibri Light"/>
          <w:kern w:val="0"/>
          <w:szCs w:val="28"/>
        </w:rPr>
        <w:t>QBJ2023131</w:t>
      </w:r>
      <w:r>
        <w:rPr>
          <w:rFonts w:hint="eastAsia" w:ascii="宋体" w:hAnsi="宋体" w:cs="Calibri Light"/>
          <w:kern w:val="0"/>
          <w:szCs w:val="28"/>
        </w:rPr>
        <w:fldChar w:fldCharType="end"/>
      </w:r>
      <w:r>
        <w:rPr>
          <w:rFonts w:hint="eastAsia" w:ascii="宋体" w:hAnsi="宋体" w:cs="Calibri Light"/>
          <w:kern w:val="0"/>
          <w:szCs w:val="28"/>
        </w:rPr>
        <w:t xml:space="preserve">   </w:t>
      </w:r>
      <w:r>
        <w:rPr>
          <w:rFonts w:ascii="宋体" w:hAnsi="宋体" w:cs="Calibri Light"/>
          <w:kern w:val="0"/>
          <w:szCs w:val="28"/>
        </w:rPr>
        <w:t xml:space="preserve">    </w:t>
      </w:r>
    </w:p>
    <w:p>
      <w:pPr>
        <w:tabs>
          <w:tab w:val="left" w:pos="1260"/>
        </w:tabs>
        <w:spacing w:line="640" w:lineRule="exact"/>
        <w:outlineLvl w:val="0"/>
        <w:rPr>
          <w:rFonts w:hint="eastAsia" w:ascii="宋体" w:hAnsi="宋体"/>
          <w:spacing w:val="20"/>
          <w:kern w:val="21"/>
          <w:sz w:val="30"/>
          <w:szCs w:val="30"/>
        </w:rPr>
      </w:pPr>
    </w:p>
    <w:p>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采购人：</w:t>
      </w:r>
      <w:r>
        <w:rPr>
          <w:rFonts w:hint="eastAsia"/>
          <w:sz w:val="28"/>
          <w:u w:val="single"/>
          <w:lang w:eastAsia="zh-CN"/>
        </w:rPr>
        <w:t>台州市自然资源和规划局台州湾新区（高新区）分局</w:t>
      </w:r>
      <w:r>
        <w:rPr>
          <w:rFonts w:hint="eastAsia" w:ascii="宋体" w:hAnsi="宋体"/>
          <w:spacing w:val="20"/>
          <w:kern w:val="21"/>
          <w:sz w:val="30"/>
          <w:szCs w:val="30"/>
        </w:rPr>
        <w:t>（盖章）</w:t>
      </w:r>
    </w:p>
    <w:p>
      <w:pPr>
        <w:spacing w:line="640" w:lineRule="exact"/>
        <w:ind w:firstLine="1020" w:firstLineChars="300"/>
        <w:outlineLvl w:val="0"/>
        <w:rPr>
          <w:rFonts w:hint="eastAsia" w:ascii="宋体" w:hAnsi="宋体"/>
          <w:spacing w:val="20"/>
          <w:kern w:val="21"/>
          <w:sz w:val="30"/>
          <w:szCs w:val="30"/>
        </w:rPr>
      </w:pPr>
      <w:r>
        <w:rPr>
          <w:rFonts w:hint="eastAsia" w:ascii="宋体" w:hAnsi="宋体"/>
          <w:spacing w:val="20"/>
          <w:kern w:val="21"/>
          <w:sz w:val="30"/>
          <w:szCs w:val="30"/>
        </w:rPr>
        <w:t>联 系 人：</w:t>
      </w:r>
      <w:r>
        <w:rPr>
          <w:rFonts w:hint="eastAsia" w:hAnsi="宋体"/>
          <w:sz w:val="28"/>
          <w:u w:val="single"/>
          <w:lang w:val="en-US" w:eastAsia="zh-CN"/>
        </w:rPr>
        <w:t>蒋先生</w:t>
      </w:r>
    </w:p>
    <w:p>
      <w:pPr>
        <w:spacing w:line="640" w:lineRule="exact"/>
        <w:ind w:firstLine="1020" w:firstLineChars="300"/>
        <w:outlineLvl w:val="0"/>
        <w:rPr>
          <w:rFonts w:hint="eastAsia" w:ascii="宋体" w:hAnsi="宋体"/>
          <w:spacing w:val="20"/>
          <w:kern w:val="21"/>
          <w:sz w:val="30"/>
          <w:szCs w:val="30"/>
        </w:rPr>
      </w:pPr>
      <w:r>
        <w:rPr>
          <w:rFonts w:hint="eastAsia" w:ascii="宋体" w:hAnsi="宋体"/>
          <w:spacing w:val="20"/>
          <w:kern w:val="21"/>
          <w:sz w:val="30"/>
          <w:szCs w:val="30"/>
        </w:rPr>
        <w:t>联系电话：</w:t>
      </w:r>
      <w:r>
        <w:rPr>
          <w:rFonts w:hint="eastAsia" w:hAnsi="宋体"/>
          <w:sz w:val="28"/>
          <w:u w:val="single"/>
        </w:rPr>
        <w:t>0576-88909633</w:t>
      </w:r>
      <w:r>
        <w:rPr>
          <w:rFonts w:hint="eastAsia" w:ascii="宋体" w:hAnsi="宋体"/>
          <w:spacing w:val="20"/>
          <w:kern w:val="21"/>
          <w:sz w:val="30"/>
          <w:szCs w:val="30"/>
        </w:rPr>
        <w:t xml:space="preserve"> </w:t>
      </w: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z w:val="28"/>
          <w:u w:val="single"/>
        </w:rPr>
        <w:t>台州市建设咨询有限公司</w:t>
      </w:r>
      <w:r>
        <w:rPr>
          <w:rFonts w:hint="eastAsia" w:ascii="宋体" w:hAnsi="宋体"/>
          <w:spacing w:val="20"/>
          <w:kern w:val="21"/>
          <w:sz w:val="30"/>
          <w:szCs w:val="30"/>
        </w:rPr>
        <w:t>（盖章）</w:t>
      </w:r>
    </w:p>
    <w:p>
      <w:pPr>
        <w:spacing w:line="640" w:lineRule="exact"/>
        <w:ind w:firstLine="1020" w:firstLineChars="300"/>
        <w:outlineLvl w:val="0"/>
        <w:rPr>
          <w:rFonts w:hint="eastAsia" w:ascii="宋体" w:hAnsi="宋体"/>
          <w:spacing w:val="20"/>
          <w:kern w:val="21"/>
          <w:sz w:val="30"/>
          <w:szCs w:val="30"/>
        </w:rPr>
      </w:pPr>
      <w:r>
        <w:rPr>
          <w:rFonts w:hint="eastAsia" w:ascii="宋体" w:hAnsi="宋体"/>
          <w:spacing w:val="20"/>
          <w:kern w:val="21"/>
          <w:sz w:val="30"/>
          <w:szCs w:val="30"/>
        </w:rPr>
        <w:t>联 系 人：</w:t>
      </w:r>
      <w:r>
        <w:rPr>
          <w:rFonts w:hint="eastAsia" w:ascii="宋体" w:hAnsi="宋体"/>
          <w:sz w:val="28"/>
          <w:u w:val="single"/>
          <w:lang w:val="en-US" w:eastAsia="zh-CN"/>
        </w:rPr>
        <w:t>葛俊</w:t>
      </w:r>
      <w:r>
        <w:rPr>
          <w:sz w:val="28"/>
        </w:rPr>
        <w:t xml:space="preserve"> </w:t>
      </w:r>
    </w:p>
    <w:p>
      <w:pPr>
        <w:spacing w:line="480" w:lineRule="auto"/>
        <w:ind w:firstLine="1020" w:firstLineChars="300"/>
        <w:rPr>
          <w:rFonts w:ascii="宋体" w:hAnsi="宋体"/>
          <w:spacing w:val="20"/>
          <w:kern w:val="21"/>
          <w:sz w:val="30"/>
          <w:szCs w:val="30"/>
        </w:rPr>
      </w:pPr>
      <w:r>
        <w:rPr>
          <w:rFonts w:hint="eastAsia" w:ascii="宋体" w:hAnsi="宋体"/>
          <w:spacing w:val="20"/>
          <w:kern w:val="21"/>
          <w:sz w:val="30"/>
          <w:szCs w:val="30"/>
        </w:rPr>
        <w:t>联系电话：</w:t>
      </w:r>
      <w:r>
        <w:rPr>
          <w:rFonts w:hint="eastAsia" w:ascii="宋体" w:hAnsi="宋体"/>
          <w:sz w:val="28"/>
          <w:u w:val="single"/>
          <w:lang w:val="en-US" w:eastAsia="zh-CN"/>
        </w:rPr>
        <w:t>0576-88517783</w:t>
      </w:r>
    </w:p>
    <w:p>
      <w:pPr>
        <w:spacing w:line="640" w:lineRule="exact"/>
        <w:ind w:firstLine="1020" w:firstLineChars="300"/>
        <w:outlineLvl w:val="0"/>
        <w:rPr>
          <w:rFonts w:hint="eastAsia" w:ascii="宋体" w:hAnsi="宋体" w:eastAsia="宋体"/>
          <w:b/>
          <w:sz w:val="36"/>
          <w:lang w:val="en-US" w:eastAsia="zh-CN"/>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期：202</w:t>
      </w:r>
      <w:r>
        <w:rPr>
          <w:rFonts w:hint="eastAsia" w:ascii="宋体" w:hAnsi="宋体"/>
          <w:spacing w:val="20"/>
          <w:kern w:val="21"/>
          <w:sz w:val="30"/>
          <w:szCs w:val="30"/>
          <w:lang w:val="en-US" w:eastAsia="zh-CN"/>
        </w:rPr>
        <w:t>3</w:t>
      </w:r>
      <w:r>
        <w:rPr>
          <w:rFonts w:hint="eastAsia" w:ascii="宋体" w:hAnsi="宋体"/>
          <w:spacing w:val="20"/>
          <w:kern w:val="21"/>
          <w:sz w:val="30"/>
          <w:szCs w:val="30"/>
        </w:rPr>
        <w:t>年</w:t>
      </w:r>
      <w:r>
        <w:rPr>
          <w:rFonts w:hint="eastAsia" w:ascii="宋体" w:hAnsi="宋体"/>
          <w:spacing w:val="20"/>
          <w:kern w:val="21"/>
          <w:sz w:val="30"/>
          <w:szCs w:val="30"/>
          <w:lang w:val="en-US" w:eastAsia="zh-CN"/>
        </w:rPr>
        <w:t>7月</w:t>
      </w:r>
    </w:p>
    <w:p>
      <w:pPr>
        <w:spacing w:line="360" w:lineRule="auto"/>
      </w:pPr>
    </w:p>
    <w:p>
      <w:pPr>
        <w:pStyle w:val="33"/>
      </w:pPr>
    </w:p>
    <w:p>
      <w:pPr>
        <w:pStyle w:val="33"/>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8"/>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8"/>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5"/>
        <w:ind w:firstLine="480" w:firstLineChars="200"/>
        <w:rPr>
          <w:rFonts w:cs="宋体"/>
          <w:b w:val="0"/>
          <w:sz w:val="24"/>
          <w:szCs w:val="24"/>
        </w:rPr>
      </w:pPr>
      <w:bookmarkStart w:id="6" w:name="_Toc28359002"/>
      <w:bookmarkStart w:id="7" w:name="_Toc35393621"/>
      <w:bookmarkStart w:id="8" w:name="_Toc28359079"/>
      <w:bookmarkStart w:id="9" w:name="_Toc35393790"/>
      <w:bookmarkStart w:id="10" w:name="_Hlk24379207"/>
      <w:r>
        <w:rPr>
          <w:rFonts w:hint="eastAsia" w:cs="宋体"/>
          <w:b w:val="0"/>
          <w:sz w:val="24"/>
          <w:szCs w:val="24"/>
          <w:u w:val="single"/>
        </w:rPr>
        <w:t>台州市建设咨询有限公司</w:t>
      </w:r>
      <w:r>
        <w:rPr>
          <w:rFonts w:hint="eastAsia" w:cs="宋体"/>
          <w:b w:val="0"/>
          <w:sz w:val="24"/>
          <w:szCs w:val="24"/>
        </w:rPr>
        <w:t>受</w:t>
      </w:r>
      <w:r>
        <w:rPr>
          <w:rFonts w:hint="eastAsia" w:cs="宋体"/>
          <w:b w:val="0"/>
          <w:sz w:val="24"/>
          <w:szCs w:val="24"/>
          <w:u w:val="single"/>
          <w:lang w:eastAsia="zh-CN"/>
        </w:rPr>
        <w:t>台州市自然资源和规划局台州湾新区（高新区）分局</w:t>
      </w:r>
      <w:r>
        <w:rPr>
          <w:rFonts w:hint="eastAsia" w:cs="宋体"/>
          <w:b w:val="0"/>
          <w:sz w:val="24"/>
          <w:szCs w:val="24"/>
        </w:rPr>
        <w:t>委托，就</w:t>
      </w:r>
      <w:r>
        <w:rPr>
          <w:rFonts w:hint="eastAsia" w:cs="宋体"/>
          <w:b w:val="0"/>
          <w:sz w:val="24"/>
          <w:szCs w:val="24"/>
          <w:u w:val="single"/>
          <w:lang w:eastAsia="zh-CN"/>
        </w:rPr>
        <w:t>台州市2023-4区块海域使用论证报告书编制项目</w:t>
      </w:r>
      <w:r>
        <w:rPr>
          <w:rFonts w:hint="eastAsia" w:cs="宋体"/>
          <w:b w:val="0"/>
          <w:sz w:val="24"/>
          <w:szCs w:val="24"/>
        </w:rPr>
        <w:t>进行公开招标，欢迎符合资格条件的国内投标人参加投标。</w:t>
      </w:r>
    </w:p>
    <w:p>
      <w:pPr>
        <w:pStyle w:val="5"/>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rPr>
        <w:fldChar w:fldCharType="begin"/>
      </w:r>
      <w:r>
        <w:rPr>
          <w:rFonts w:hint="eastAsia" w:ascii="宋体" w:hAnsi="宋体" w:cs="宋体"/>
          <w:sz w:val="24"/>
        </w:rPr>
        <w:instrText xml:space="preserve"> HYPERLINK "http://www.tzwztb.com/ztb/Framework/Main/Default.aspx?p=01001&amp;PrjId=I3310005276000328001" </w:instrText>
      </w:r>
      <w:r>
        <w:rPr>
          <w:rFonts w:hint="eastAsia" w:ascii="宋体" w:hAnsi="宋体" w:cs="宋体"/>
          <w:sz w:val="24"/>
        </w:rPr>
        <w:fldChar w:fldCharType="separate"/>
      </w:r>
      <w:r>
        <w:rPr>
          <w:rFonts w:hint="eastAsia" w:ascii="宋体" w:hAnsi="宋体" w:cs="宋体"/>
          <w:sz w:val="24"/>
        </w:rPr>
        <w:t>QBJ2023131</w:t>
      </w:r>
      <w:r>
        <w:rPr>
          <w:rFonts w:hint="eastAsia" w:ascii="宋体" w:hAnsi="宋体" w:cs="宋体"/>
          <w:sz w:val="24"/>
        </w:rPr>
        <w:fldChar w:fldCharType="end"/>
      </w:r>
      <w:r>
        <w:rPr>
          <w:rFonts w:hint="eastAsia" w:ascii="宋体" w:hAnsi="宋体" w:cs="宋体"/>
          <w:sz w:val="24"/>
        </w:rPr>
        <w:t xml:space="preserve">   </w:t>
      </w:r>
    </w:p>
    <w:bookmarkEnd w:id="10"/>
    <w:p>
      <w:pPr>
        <w:spacing w:line="360" w:lineRule="auto"/>
        <w:ind w:firstLine="480" w:firstLineChars="200"/>
        <w:rPr>
          <w:rFonts w:hint="eastAsia" w:eastAsia="宋体"/>
          <w:lang w:eastAsia="zh-CN"/>
        </w:rPr>
      </w:pPr>
      <w:r>
        <w:rPr>
          <w:rFonts w:hint="eastAsia" w:ascii="宋体" w:hAnsi="宋体" w:cs="宋体"/>
          <w:sz w:val="24"/>
        </w:rPr>
        <w:t>项目名称：</w:t>
      </w:r>
      <w:r>
        <w:rPr>
          <w:rFonts w:hint="eastAsia" w:ascii="宋体" w:hAnsi="宋体" w:cs="宋体"/>
          <w:sz w:val="24"/>
          <w:lang w:eastAsia="zh-CN"/>
        </w:rPr>
        <w:t>台州市2023-4区块海域使用论证报告书编制项目</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112"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04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9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72"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3112" w:type="dxa"/>
            <w:vAlign w:val="center"/>
          </w:tcPr>
          <w:p>
            <w:pPr>
              <w:tabs>
                <w:tab w:val="left" w:pos="8280"/>
              </w:tabs>
              <w:autoSpaceDE w:val="0"/>
              <w:autoSpaceDN w:val="0"/>
              <w:adjustRightInd w:val="0"/>
              <w:rPr>
                <w:rFonts w:hint="eastAsia" w:ascii="宋体" w:hAnsi="宋体" w:eastAsia="宋体" w:cs="宋体"/>
                <w:b/>
                <w:szCs w:val="21"/>
                <w:lang w:eastAsia="zh-CN"/>
              </w:rPr>
            </w:pPr>
            <w:r>
              <w:rPr>
                <w:rFonts w:hint="eastAsia" w:ascii="宋体" w:hAnsi="宋体" w:cs="宋体"/>
                <w:b/>
                <w:szCs w:val="21"/>
                <w:lang w:eastAsia="zh-CN"/>
              </w:rPr>
              <w:t>台州市2023-4区块海域使用论证报告书编制项目</w:t>
            </w:r>
          </w:p>
        </w:tc>
        <w:tc>
          <w:tcPr>
            <w:tcW w:w="1040" w:type="dxa"/>
            <w:vAlign w:val="center"/>
          </w:tcPr>
          <w:p>
            <w:pPr>
              <w:tabs>
                <w:tab w:val="left" w:pos="8280"/>
              </w:tabs>
              <w:autoSpaceDE w:val="0"/>
              <w:autoSpaceDN w:val="0"/>
              <w:adjustRightInd w:val="0"/>
              <w:jc w:val="center"/>
              <w:rPr>
                <w:rFonts w:ascii="宋体" w:hAnsi="宋体" w:cs="宋体"/>
                <w:bCs/>
                <w:color w:val="auto"/>
                <w:szCs w:val="21"/>
              </w:rPr>
            </w:pPr>
            <w:r>
              <w:rPr>
                <w:rFonts w:hint="eastAsia" w:ascii="宋体" w:hAnsi="宋体" w:cs="宋体"/>
                <w:bCs/>
                <w:color w:val="auto"/>
                <w:szCs w:val="21"/>
              </w:rPr>
              <w:t>1</w:t>
            </w:r>
          </w:p>
        </w:tc>
        <w:tc>
          <w:tcPr>
            <w:tcW w:w="799" w:type="dxa"/>
            <w:vAlign w:val="center"/>
          </w:tcPr>
          <w:p>
            <w:pPr>
              <w:tabs>
                <w:tab w:val="left" w:pos="8280"/>
              </w:tabs>
              <w:autoSpaceDE w:val="0"/>
              <w:autoSpaceDN w:val="0"/>
              <w:adjustRightInd w:val="0"/>
              <w:jc w:val="center"/>
              <w:rPr>
                <w:rFonts w:ascii="宋体" w:hAnsi="宋体" w:cs="宋体"/>
                <w:bCs/>
                <w:color w:val="auto"/>
                <w:szCs w:val="21"/>
              </w:rPr>
            </w:pPr>
            <w:r>
              <w:rPr>
                <w:rFonts w:hint="eastAsia" w:ascii="宋体" w:hAnsi="宋体" w:cs="宋体"/>
                <w:bCs/>
                <w:color w:val="auto"/>
                <w:szCs w:val="21"/>
              </w:rPr>
              <w:t>项</w:t>
            </w:r>
          </w:p>
        </w:tc>
        <w:tc>
          <w:tcPr>
            <w:tcW w:w="1190" w:type="dxa"/>
            <w:vAlign w:val="center"/>
          </w:tcPr>
          <w:p>
            <w:pPr>
              <w:tabs>
                <w:tab w:val="left" w:pos="8280"/>
              </w:tabs>
              <w:autoSpaceDE w:val="0"/>
              <w:autoSpaceDN w:val="0"/>
              <w:adjustRightInd w:val="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11</w:t>
            </w:r>
          </w:p>
        </w:tc>
        <w:tc>
          <w:tcPr>
            <w:tcW w:w="1372" w:type="dxa"/>
            <w:vAlign w:val="center"/>
          </w:tcPr>
          <w:p>
            <w:pPr>
              <w:tabs>
                <w:tab w:val="left" w:pos="8280"/>
              </w:tabs>
              <w:autoSpaceDE w:val="0"/>
              <w:autoSpaceDN w:val="0"/>
              <w:adjustRightInd w:val="0"/>
              <w:jc w:val="center"/>
              <w:rPr>
                <w:rStyle w:val="67"/>
                <w:rFonts w:hint="default" w:ascii="宋体" w:hAnsi="宋体" w:eastAsia="宋体"/>
                <w:color w:val="auto"/>
                <w:szCs w:val="21"/>
                <w:lang w:val="en-US" w:eastAsia="zh-CN"/>
              </w:rPr>
            </w:pPr>
            <w:r>
              <w:rPr>
                <w:rStyle w:val="67"/>
                <w:rFonts w:hint="eastAsia" w:ascii="宋体" w:hAnsi="宋体"/>
                <w:color w:val="auto"/>
                <w:szCs w:val="21"/>
                <w:lang w:val="en-US" w:eastAsia="zh-CN"/>
              </w:rPr>
              <w:t>11</w:t>
            </w:r>
          </w:p>
        </w:tc>
      </w:tr>
    </w:tbl>
    <w:p>
      <w:pPr>
        <w:pStyle w:val="5"/>
        <w:tabs>
          <w:tab w:val="left" w:pos="9660"/>
          <w:tab w:val="clear" w:pos="8280"/>
        </w:tabs>
        <w:ind w:right="23" w:firstLine="482" w:firstLineChars="200"/>
        <w:jc w:val="left"/>
        <w:rPr>
          <w:rFonts w:cs="宋体"/>
          <w:bCs/>
          <w:sz w:val="24"/>
          <w:szCs w:val="24"/>
        </w:rPr>
      </w:pPr>
      <w:bookmarkStart w:id="11" w:name="_Toc28359080"/>
      <w:bookmarkStart w:id="12" w:name="_Toc35393791"/>
      <w:bookmarkStart w:id="13" w:name="_Toc35393622"/>
      <w:bookmarkStart w:id="14" w:name="_Toc28359003"/>
      <w:r>
        <w:rPr>
          <w:rFonts w:hint="eastAsia" w:cs="宋体"/>
          <w:bCs/>
          <w:sz w:val="24"/>
          <w:szCs w:val="24"/>
        </w:rPr>
        <w:t>二、投标人的资格要求</w:t>
      </w:r>
      <w:bookmarkEnd w:id="11"/>
      <w:bookmarkEnd w:id="12"/>
      <w:bookmarkEnd w:id="13"/>
      <w:bookmarkEnd w:id="14"/>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bookmarkStart w:id="15" w:name="_Toc35393623"/>
      <w:bookmarkStart w:id="16" w:name="_Toc28359004"/>
      <w:bookmarkStart w:id="17" w:name="_Toc35393792"/>
      <w:bookmarkStart w:id="18" w:name="_Toc28359081"/>
      <w:r>
        <w:rPr>
          <w:rFonts w:hint="eastAsia" w:ascii="宋体" w:hAnsi="宋体" w:cs="宋体"/>
          <w:sz w:val="24"/>
        </w:rPr>
        <w:t>（二）本项目的特定资格要求：</w:t>
      </w:r>
      <w:r>
        <w:rPr>
          <w:rFonts w:hint="eastAsia" w:ascii="宋体" w:hAnsi="宋体"/>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（三）本项目</w:t>
      </w:r>
      <w:r>
        <w:rPr>
          <w:rFonts w:hint="eastAsia" w:ascii="宋体" w:hAnsi="宋体" w:cs="宋体"/>
          <w:sz w:val="24"/>
          <w:lang w:val="en-US" w:eastAsia="zh-CN"/>
        </w:rPr>
        <w:t>不</w:t>
      </w:r>
      <w:r>
        <w:rPr>
          <w:rFonts w:hint="eastAsia" w:ascii="宋体" w:hAnsi="宋体" w:cs="宋体"/>
          <w:sz w:val="24"/>
        </w:rPr>
        <w:t>接受联合体投标。</w:t>
      </w:r>
    </w:p>
    <w:p>
      <w:pPr>
        <w:spacing w:line="360" w:lineRule="auto"/>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sz w:val="24"/>
        </w:rPr>
      </w:pPr>
      <w:r>
        <w:rPr>
          <w:rFonts w:hint="eastAsia" w:ascii="宋体" w:hAnsi="宋体" w:cs="宋体"/>
          <w:sz w:val="24"/>
        </w:rPr>
        <w:t>（</w:t>
      </w:r>
      <w:r>
        <w:rPr>
          <w:rFonts w:hint="eastAsia" w:ascii="宋体" w:hAnsi="宋体" w:cs="宋体"/>
          <w:sz w:val="24"/>
          <w:lang w:val="en-US" w:eastAsia="zh-CN"/>
        </w:rPr>
        <w:t>五</w:t>
      </w:r>
      <w:r>
        <w:rPr>
          <w:rFonts w:hint="eastAsia" w:ascii="宋体" w:hAnsi="宋体" w:cs="宋体"/>
          <w:sz w:val="24"/>
        </w:rPr>
        <w:t>）</w:t>
      </w:r>
      <w:r>
        <w:rPr>
          <w:rFonts w:hint="eastAsia" w:ascii="宋体" w:hAnsi="宋体"/>
          <w:sz w:val="24"/>
        </w:rPr>
        <w:t>公益一类事业单位，既不属于政府购买服务的购买主体，也不属于承接主体，不得参与承接政府购买服务。</w:t>
      </w:r>
    </w:p>
    <w:p>
      <w:pPr>
        <w:spacing w:line="360" w:lineRule="auto"/>
        <w:ind w:firstLine="480" w:firstLineChars="200"/>
        <w:jc w:val="left"/>
        <w:rPr>
          <w:rFonts w:ascii="宋体" w:hAnsi="宋体" w:cs="宋体"/>
          <w:sz w:val="24"/>
        </w:rPr>
      </w:pPr>
      <w:r>
        <w:rPr>
          <w:rFonts w:hint="eastAsia" w:ascii="宋体" w:hAnsi="宋体"/>
          <w:sz w:val="24"/>
        </w:rPr>
        <w:t>（</w:t>
      </w:r>
      <w:r>
        <w:rPr>
          <w:rFonts w:hint="eastAsia" w:ascii="宋体" w:hAnsi="宋体"/>
          <w:sz w:val="24"/>
          <w:lang w:val="en-US" w:eastAsia="zh-CN"/>
        </w:rPr>
        <w:t>六</w:t>
      </w:r>
      <w:r>
        <w:rPr>
          <w:rFonts w:hint="eastAsia" w:ascii="宋体" w:hAnsi="宋体"/>
          <w:sz w:val="24"/>
        </w:rPr>
        <w:t>）</w:t>
      </w:r>
      <w:r>
        <w:rPr>
          <w:rFonts w:hint="eastAsia" w:ascii="宋体" w:hAnsi="宋体" w:cs="宋体"/>
          <w:sz w:val="24"/>
        </w:rPr>
        <w:t>法律、行政法规规定的其他条件：单位负责人为同一人或者存在直接控股、管理关系的不同供应商，不得同时参加同一项目投标，不得再参与本项目投标。</w:t>
      </w:r>
    </w:p>
    <w:p>
      <w:pPr>
        <w:pStyle w:val="5"/>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（一）时间：</w:t>
      </w:r>
      <w:r>
        <w:rPr>
          <w:rFonts w:hint="eastAsia" w:ascii="宋体" w:hAnsi="宋体" w:cs="宋体"/>
          <w:sz w:val="24"/>
          <w:lang w:val="en-US" w:eastAsia="zh-CN"/>
        </w:rPr>
        <w:t>项目发布之</w:t>
      </w:r>
      <w:r>
        <w:rPr>
          <w:rFonts w:hint="eastAsia" w:ascii="宋体" w:hAnsi="宋体" w:cs="宋体"/>
          <w:sz w:val="24"/>
          <w:highlight w:val="none"/>
          <w:lang w:val="en-US" w:eastAsia="zh-CN"/>
        </w:rPr>
        <w:t>日起</w:t>
      </w:r>
      <w:r>
        <w:rPr>
          <w:rFonts w:hint="eastAsia" w:ascii="宋体" w:hAnsi="宋体" w:cs="宋体"/>
          <w:sz w:val="24"/>
          <w:highlight w:val="none"/>
        </w:rPr>
        <w:t>至</w:t>
      </w:r>
      <w:r>
        <w:rPr>
          <w:rFonts w:hint="eastAsia" w:ascii="宋体" w:hAnsi="宋体" w:cs="宋体"/>
          <w:sz w:val="24"/>
          <w:highlight w:val="none"/>
          <w:u w:val="single"/>
          <w:lang w:val="en-US" w:eastAsia="zh-CN"/>
        </w:rPr>
        <w:t>开标截止时间</w:t>
      </w:r>
    </w:p>
    <w:p>
      <w:pPr>
        <w:tabs>
          <w:tab w:val="left" w:pos="180"/>
          <w:tab w:val="left" w:pos="360"/>
          <w:tab w:val="left" w:pos="540"/>
          <w:tab w:val="left" w:pos="8280"/>
        </w:tabs>
        <w:autoSpaceDE w:val="0"/>
        <w:autoSpaceDN w:val="0"/>
        <w:adjustRightInd w:val="0"/>
        <w:spacing w:line="360" w:lineRule="auto"/>
        <w:ind w:left="479" w:leftChars="228" w:firstLine="0" w:firstLineChars="0"/>
        <w:jc w:val="left"/>
        <w:rPr>
          <w:rFonts w:hint="eastAsia" w:ascii="宋体" w:hAnsi="宋体" w:cs="宋体"/>
          <w:b/>
          <w:kern w:val="0"/>
          <w:sz w:val="24"/>
        </w:rPr>
      </w:pPr>
      <w:r>
        <w:rPr>
          <w:rFonts w:hint="eastAsia" w:ascii="宋体" w:hAnsi="宋体" w:cs="宋体"/>
          <w:sz w:val="24"/>
        </w:rPr>
        <w:t>（二）方式：</w:t>
      </w:r>
      <w:r>
        <w:rPr>
          <w:rFonts w:hint="eastAsia" w:ascii="宋体" w:hAnsi="宋体" w:cs="宋体"/>
          <w:b/>
          <w:kern w:val="0"/>
          <w:sz w:val="24"/>
        </w:rPr>
        <w:t>网上下载-台州湾新区小额工程电子交易平</w:t>
      </w:r>
      <w:r>
        <w:rPr>
          <w:rFonts w:hint="eastAsia" w:ascii="宋体" w:hAnsi="宋体" w:cs="宋体"/>
          <w:b/>
          <w:kern w:val="0"/>
          <w:sz w:val="24"/>
          <w:lang w:val="en-US" w:eastAsia="zh-CN"/>
        </w:rPr>
        <w:t>台</w:t>
      </w:r>
      <w:r>
        <w:rPr>
          <w:rFonts w:hint="eastAsia" w:ascii="宋体" w:hAnsi="宋体" w:cs="宋体"/>
          <w:b/>
          <w:kern w:val="0"/>
          <w:sz w:val="24"/>
        </w:rPr>
        <w:t>（</w:t>
      </w:r>
      <w:r>
        <w:rPr>
          <w:rFonts w:ascii="宋体" w:hAnsi="宋体" w:cs="宋体"/>
          <w:b/>
          <w:kern w:val="0"/>
          <w:sz w:val="24"/>
        </w:rPr>
        <w:t>http://www.tzwztb.com/</w:t>
      </w:r>
      <w:r>
        <w:rPr>
          <w:rFonts w:hint="eastAsia" w:ascii="宋体" w:hAnsi="宋体" w:cs="宋体"/>
          <w:b/>
          <w:kern w:val="0"/>
          <w:sz w:val="24"/>
        </w:rPr>
        <w:t>)</w:t>
      </w:r>
    </w:p>
    <w:p>
      <w:pPr>
        <w:pStyle w:val="5"/>
        <w:ind w:right="0" w:firstLine="482" w:firstLineChars="200"/>
        <w:rPr>
          <w:rFonts w:cs="宋体"/>
          <w:bCs/>
          <w:sz w:val="24"/>
          <w:szCs w:val="24"/>
        </w:rPr>
      </w:pPr>
      <w:bookmarkStart w:id="19" w:name="_Toc35393793"/>
      <w:bookmarkStart w:id="20" w:name="_Toc35393624"/>
      <w:bookmarkStart w:id="21" w:name="_Toc28359005"/>
      <w:bookmarkStart w:id="22" w:name="_Toc28359082"/>
      <w:r>
        <w:rPr>
          <w:rFonts w:hint="eastAsia" w:cs="宋体"/>
          <w:bCs/>
          <w:sz w:val="24"/>
          <w:szCs w:val="24"/>
        </w:rPr>
        <w:t>四、提交投标文件</w:t>
      </w:r>
      <w:bookmarkEnd w:id="19"/>
      <w:bookmarkEnd w:id="20"/>
      <w:bookmarkEnd w:id="21"/>
      <w:bookmarkEnd w:id="22"/>
    </w:p>
    <w:p>
      <w:pPr>
        <w:spacing w:line="360" w:lineRule="auto"/>
        <w:ind w:firstLine="480" w:firstLineChars="200"/>
        <w:jc w:val="left"/>
        <w:rPr>
          <w:rFonts w:ascii="宋体" w:hAnsi="宋体" w:cs="宋体"/>
          <w:sz w:val="24"/>
        </w:rPr>
      </w:pPr>
      <w:bookmarkStart w:id="23" w:name="_Toc28359007"/>
      <w:bookmarkStart w:id="24" w:name="_Toc35393794"/>
      <w:bookmarkStart w:id="25" w:name="_Toc35393625"/>
      <w:bookmarkStart w:id="26" w:name="_Toc2835908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2023年</w:t>
      </w:r>
      <w:r>
        <w:rPr>
          <w:rFonts w:hint="eastAsia" w:ascii="宋体" w:hAnsi="宋体" w:cs="宋体"/>
          <w:sz w:val="24"/>
          <w:highlight w:val="none"/>
          <w:u w:val="single"/>
        </w:rPr>
        <w:t>0</w:t>
      </w:r>
      <w:r>
        <w:rPr>
          <w:rFonts w:hint="eastAsia" w:ascii="宋体" w:hAnsi="宋体" w:cs="宋体"/>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31</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15</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23"/>
    <w:bookmarkEnd w:id="24"/>
    <w:bookmarkEnd w:id="25"/>
    <w:bookmarkEnd w:id="26"/>
    <w:p>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（一）公告网址：台州湾新区小额工程电子交易平台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hint="eastAsia" w:ascii="宋体" w:hAnsi="宋体" w:cs="宋体"/>
          <w:sz w:val="24"/>
          <w:szCs w:val="20"/>
        </w:rPr>
      </w:pPr>
      <w:r>
        <w:rPr>
          <w:rFonts w:hint="eastAsia" w:ascii="宋体" w:hAnsi="宋体" w:eastAsia="宋体" w:cs="宋体"/>
          <w:b/>
          <w:bCs/>
          <w:kern w:val="2"/>
          <w:sz w:val="24"/>
          <w:szCs w:val="24"/>
          <w:lang w:val="en-US" w:eastAsia="zh-CN" w:bidi="ar-SA"/>
        </w:rPr>
        <w:t>七、</w:t>
      </w:r>
      <w:r>
        <w:rPr>
          <w:rFonts w:hint="eastAsia" w:ascii="宋体" w:hAnsi="宋体" w:cs="宋体"/>
          <w:b/>
          <w:bCs/>
          <w:sz w:val="24"/>
        </w:rPr>
        <w:t>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 xml:space="preserve">2200 </w:t>
      </w:r>
      <w:r>
        <w:rPr>
          <w:rFonts w:hint="eastAsia" w:ascii="宋体" w:hAnsi="宋体" w:cs="宋体"/>
          <w:bCs/>
          <w:kern w:val="0"/>
          <w:sz w:val="24"/>
        </w:rPr>
        <w:t>元。</w:t>
      </w:r>
    </w:p>
    <w:p>
      <w:pPr>
        <w:pStyle w:val="24"/>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2.投标保证金缴纳方式：银行转账（不接受现金）、银行保函、保险机构保证保险保单、融资担保公司保函。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（1）银行转账（不接受现金）</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kern w:val="0"/>
          <w:sz w:val="24"/>
          <w:u w:val="single"/>
        </w:rPr>
      </w:pPr>
      <w:r>
        <w:rPr>
          <w:rFonts w:hint="eastAsia" w:ascii="宋体" w:hAnsi="宋体" w:cs="宋体"/>
          <w:bCs/>
          <w:kern w:val="0"/>
          <w:sz w:val="24"/>
        </w:rPr>
        <w:t>银行转账的投标保证金需由投标人基本账户转入以下指定账户，请在汇款时务必注明所投标标段的名称(根据招标文件)并上传缴款凭证。否则，因款项用途不明导致投标无效等后果由投标人自行承担。</w:t>
      </w:r>
      <w:r>
        <w:rPr>
          <w:rFonts w:hint="eastAsia" w:ascii="宋体" w:hAnsi="宋体" w:cs="宋体"/>
          <w:b/>
          <w:kern w:val="0"/>
          <w:sz w:val="24"/>
          <w:u w:val="single"/>
        </w:rPr>
        <w:t>缴款凭证（加盖公章）的扫描件在投标截止时间前随电子投标文件一起上传交易系统进行递交。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①账户名称：台州博育信息技术有限公司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开户行: 台州银行市府大道支行</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账号: 550511959200015</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cs="宋体"/>
          <w:bCs/>
          <w:kern w:val="0"/>
          <w:sz w:val="24"/>
          <w:u w:val="single"/>
          <w:lang w:eastAsia="zh-CN"/>
        </w:rPr>
        <w:t>台州市自然资源和规划局台州湾新区（高新区）分局</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rPr>
        <w:t>投标保函采用纸质保函的，纸质保函原件及相关佐证资料(包括但不限于基本账户证明材料复印件 (加盖公章) 、保费支付的银行回单及授权委托书等 ) 需要法人或项目经</w:t>
      </w:r>
      <w:r>
        <w:rPr>
          <w:rFonts w:hint="eastAsia" w:ascii="宋体" w:hAnsi="宋体" w:cs="宋体"/>
          <w:bCs/>
          <w:kern w:val="0"/>
          <w:sz w:val="24"/>
          <w:highlight w:val="none"/>
        </w:rPr>
        <w:t>理到现场提交。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提交地点：台州湾新区海虹街道一楼大厅。</w:t>
      </w:r>
    </w:p>
    <w:p>
      <w:pPr>
        <w:pStyle w:val="30"/>
        <w:ind w:firstLine="480" w:firstLineChars="200"/>
        <w:rPr>
          <w:rFonts w:hint="default" w:ascii="宋体" w:hAnsi="宋体" w:eastAsia="宋体" w:cs="宋体"/>
          <w:bCs/>
          <w:kern w:val="0"/>
          <w:sz w:val="24"/>
          <w:highlight w:val="none"/>
          <w:u w:val="singl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2023年</w:t>
      </w:r>
      <w:r>
        <w:rPr>
          <w:rFonts w:hint="eastAsia" w:ascii="宋体" w:hAnsi="宋体" w:cs="宋体"/>
          <w:bCs/>
          <w:kern w:val="0"/>
          <w:sz w:val="24"/>
          <w:highlight w:val="none"/>
          <w:u w:val="single"/>
          <w:lang w:val="en-US" w:eastAsia="zh-CN"/>
        </w:rPr>
        <w:t>7</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31</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14</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3</w:t>
      </w:r>
      <w:r>
        <w:rPr>
          <w:rFonts w:hint="eastAsia" w:ascii="宋体" w:hAnsi="宋体" w:cs="宋体"/>
          <w:bCs/>
          <w:kern w:val="0"/>
          <w:sz w:val="24"/>
          <w:highlight w:val="none"/>
          <w:u w:val="single"/>
        </w:rPr>
        <w:t>0-</w:t>
      </w:r>
      <w:r>
        <w:rPr>
          <w:rFonts w:hint="eastAsia" w:ascii="宋体" w:hAnsi="宋体" w:cs="宋体"/>
          <w:bCs/>
          <w:kern w:val="0"/>
          <w:sz w:val="24"/>
          <w:highlight w:val="none"/>
          <w:u w:val="single"/>
          <w:lang w:val="en-US" w:eastAsia="zh-CN"/>
        </w:rPr>
        <w:t>15</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val="en-US" w:eastAsia="zh-CN"/>
        </w:rPr>
      </w:pPr>
      <w:r>
        <w:rPr>
          <w:rFonts w:hint="eastAsia" w:ascii="宋体" w:hAnsi="宋体" w:cs="宋体"/>
          <w:bCs/>
          <w:kern w:val="0"/>
          <w:sz w:val="24"/>
          <w:highlight w:val="none"/>
          <w:lang w:val="en-US" w:eastAsia="zh-CN"/>
        </w:rPr>
        <w:t>接收人：</w:t>
      </w:r>
      <w:r>
        <w:rPr>
          <w:rFonts w:hint="eastAsia" w:ascii="宋体" w:hAnsi="宋体" w:cs="宋体"/>
          <w:bCs/>
          <w:kern w:val="0"/>
          <w:sz w:val="24"/>
          <w:highlight w:val="none"/>
          <w:u w:val="single"/>
          <w:lang w:val="en-US" w:eastAsia="zh-CN"/>
        </w:rPr>
        <w:t xml:space="preserve"> 台州市建设咨询有限公司（代理机构）</w:t>
      </w:r>
    </w:p>
    <w:p>
      <w:pPr>
        <w:pStyle w:val="30"/>
        <w:ind w:firstLine="480" w:firstLineChars="200"/>
        <w:rPr>
          <w:rFonts w:hint="default"/>
          <w:highlight w:val="none"/>
          <w:u w:val="single"/>
          <w:lang w:val="en-US" w:eastAsia="zh-CN"/>
        </w:rPr>
      </w:pPr>
      <w:r>
        <w:rPr>
          <w:rFonts w:hint="eastAsia" w:ascii="宋体" w:hAnsi="宋体" w:cs="宋体"/>
          <w:bCs/>
          <w:kern w:val="0"/>
          <w:sz w:val="24"/>
          <w:highlight w:val="none"/>
          <w:u w:val="none"/>
          <w:lang w:val="en-US" w:eastAsia="zh-CN"/>
        </w:rPr>
        <w:t>接收人联系方式：</w:t>
      </w:r>
      <w:r>
        <w:rPr>
          <w:rFonts w:hint="eastAsia" w:ascii="宋体" w:hAnsi="宋体" w:cs="宋体"/>
          <w:bCs/>
          <w:kern w:val="0"/>
          <w:sz w:val="24"/>
          <w:highlight w:val="none"/>
          <w:u w:val="single"/>
          <w:lang w:val="en-US" w:eastAsia="zh-CN"/>
        </w:rPr>
        <w:t>0576-88517783 ；</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w:t>
      </w:r>
      <w:r>
        <w:rPr>
          <w:rFonts w:hint="eastAsia" w:ascii="宋体" w:hAnsi="宋体" w:cs="宋体"/>
          <w:b/>
          <w:kern w:val="0"/>
          <w:sz w:val="24"/>
          <w:highlight w:val="none"/>
          <w:lang w:val="en-US" w:eastAsia="zh-CN"/>
        </w:rPr>
        <w:t>本项目不接受以联合体形式递交保证金</w:t>
      </w:r>
      <w:r>
        <w:rPr>
          <w:rFonts w:hint="eastAsia" w:ascii="宋体" w:hAnsi="宋体" w:cs="宋体"/>
          <w:b/>
          <w:kern w:val="0"/>
          <w:sz w:val="24"/>
          <w:highlight w:val="none"/>
        </w:rPr>
        <w:t>；</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③若有疑问，请咨询技术服务热线：0576-88865501</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default" w:ascii="宋体" w:hAnsi="宋体" w:eastAsia="宋体" w:cs="宋体"/>
          <w:b/>
          <w:bCs/>
          <w:kern w:val="2"/>
          <w:sz w:val="24"/>
          <w:szCs w:val="24"/>
          <w:highlight w:val="none"/>
          <w:lang w:val="en-US" w:eastAsia="zh-CN" w:bidi="ar-SA"/>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3</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7</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lang w:val="en-US" w:eastAsia="zh-CN"/>
        </w:rPr>
        <w:t>28</w:t>
      </w:r>
      <w:r>
        <w:rPr>
          <w:rFonts w:hint="eastAsia" w:ascii="宋体" w:hAnsi="宋体" w:cs="宋体"/>
          <w:b/>
          <w:bCs/>
          <w:color w:val="000000"/>
          <w:kern w:val="0"/>
          <w:sz w:val="24"/>
          <w:highlight w:val="none"/>
        </w:rPr>
        <w:t>下午16点前</w:t>
      </w:r>
    </w:p>
    <w:p>
      <w:pPr>
        <w:pStyle w:val="5"/>
        <w:ind w:right="0" w:firstLine="482" w:firstLineChars="200"/>
        <w:rPr>
          <w:rFonts w:cs="宋体"/>
          <w:bCs/>
          <w:sz w:val="24"/>
          <w:szCs w:val="24"/>
        </w:rPr>
      </w:pPr>
      <w:bookmarkStart w:id="29" w:name="_Toc35393796"/>
      <w:bookmarkStart w:id="30" w:name="_Toc28359085"/>
      <w:bookmarkStart w:id="31" w:name="_Toc28359008"/>
      <w:bookmarkStart w:id="32" w:name="_Toc35393627"/>
      <w:r>
        <w:rPr>
          <w:rFonts w:hint="eastAsia" w:cs="宋体"/>
          <w:bCs/>
          <w:sz w:val="24"/>
          <w:szCs w:val="24"/>
          <w:lang w:val="en-US" w:eastAsia="zh-CN"/>
        </w:rPr>
        <w:t>八</w:t>
      </w:r>
      <w:r>
        <w:rPr>
          <w:rFonts w:hint="eastAsia" w:cs="宋体"/>
          <w:bCs/>
          <w:sz w:val="24"/>
          <w:szCs w:val="24"/>
        </w:rPr>
        <w:t>、</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cs="宋体"/>
          <w:sz w:val="24"/>
          <w:u w:val="single"/>
          <w:lang w:eastAsia="zh-CN"/>
        </w:rPr>
        <w:t>台州市自然资源和规划局台州湾新区（高新区）分局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bookmarkStart w:id="33" w:name="_Toc28359009"/>
      <w:bookmarkStart w:id="34" w:name="_Toc28359086"/>
      <w:r>
        <w:rPr>
          <w:rFonts w:hint="eastAsia" w:ascii="宋体" w:hAnsi="宋体" w:cs="宋体"/>
          <w:sz w:val="24"/>
        </w:rPr>
        <w:t xml:space="preserve"> </w:t>
      </w:r>
      <w:r>
        <w:rPr>
          <w:rFonts w:hint="eastAsia" w:ascii="宋体" w:hAnsi="宋体" w:cs="宋体"/>
          <w:sz w:val="24"/>
          <w:u w:val="single"/>
        </w:rPr>
        <w:t>蒋先生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0576-88909633 </w:t>
      </w:r>
    </w:p>
    <w:bookmarkEnd w:id="33"/>
    <w:bookmarkEnd w:id="34"/>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bookmarkStart w:id="35" w:name="_Toc28359010"/>
      <w:bookmarkStart w:id="36" w:name="_Toc28359087"/>
      <w:r>
        <w:rPr>
          <w:rFonts w:hint="eastAsia" w:ascii="宋体" w:hAnsi="宋体" w:cs="宋体"/>
          <w:sz w:val="24"/>
        </w:rPr>
        <w:t>名 称：</w:t>
      </w:r>
      <w:r>
        <w:rPr>
          <w:rFonts w:hint="eastAsia" w:ascii="宋体" w:hAnsi="宋体" w:cs="宋体"/>
          <w:sz w:val="24"/>
          <w:u w:val="single"/>
        </w:rPr>
        <w:t>台州市建设咨询有限公司</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浙江省台州市市府大道507号台州国际商务广场1幢（北门）十一楼</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葛俊</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0576-88517783</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徐瑜（受理注册、中标结果相关质疑及答复）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0576-88517786</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名 称：</w:t>
      </w:r>
      <w:r>
        <w:rPr>
          <w:rFonts w:hint="eastAsia" w:asciiTheme="minorEastAsia" w:hAnsiTheme="minorEastAsia" w:eastAsiaTheme="minorEastAsia" w:cstheme="minorEastAsia"/>
          <w:sz w:val="24"/>
          <w:u w:val="single"/>
          <w:lang w:val="en-US" w:eastAsia="zh-CN"/>
        </w:rPr>
        <w:t>台州湾新区司法审计局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联系人</w:t>
      </w:r>
      <w:r>
        <w:rPr>
          <w:rFonts w:hint="eastAsia" w:ascii="宋体" w:hAnsi="宋体" w:cs="宋体"/>
          <w:sz w:val="24"/>
          <w:lang w:eastAsia="zh-CN"/>
        </w:rPr>
        <w:t>：</w:t>
      </w:r>
      <w:r>
        <w:rPr>
          <w:rFonts w:hint="eastAsia" w:ascii="宋体" w:hAnsi="宋体" w:cs="宋体"/>
          <w:sz w:val="24"/>
          <w:u w:val="single"/>
          <w:lang w:val="en-US" w:eastAsia="zh-CN"/>
        </w:rPr>
        <w:t>徐先生</w:t>
      </w:r>
    </w:p>
    <w:p>
      <w:pPr>
        <w:spacing w:line="360" w:lineRule="auto"/>
        <w:ind w:firstLine="480" w:firstLineChars="200"/>
        <w:rPr>
          <w:rFonts w:hint="default"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台州市建设咨询有限公司</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2023年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kern w:val="0"/>
          <w:sz w:val="24"/>
        </w:rPr>
        <w:t>月</w:t>
      </w: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firstLine="480"/>
        <w:rPr>
          <w:rFonts w:asciiTheme="minorEastAsia" w:hAnsiTheme="minorEastAsia" w:eastAsiaTheme="minorEastAsia" w:cstheme="minorEastAsia"/>
          <w:kern w:val="0"/>
        </w:rPr>
      </w:pPr>
    </w:p>
    <w:p>
      <w:pPr>
        <w:pStyle w:val="31"/>
        <w:ind w:left="0" w:leftChars="0" w:firstLine="0" w:firstLineChars="0"/>
        <w:rPr>
          <w:rFonts w:asciiTheme="minorEastAsia" w:hAnsiTheme="minorEastAsia" w:eastAsiaTheme="minorEastAsia" w:cstheme="minorEastAsia"/>
          <w:kern w:val="0"/>
        </w:rPr>
      </w:pPr>
    </w:p>
    <w:p>
      <w:pPr>
        <w:pStyle w:val="31"/>
        <w:ind w:left="0" w:leftChars="0" w:firstLine="0" w:firstLineChars="0"/>
        <w:rPr>
          <w:rFonts w:asciiTheme="minorEastAsia" w:hAnsiTheme="minorEastAsia" w:eastAsiaTheme="minorEastAsia" w:cstheme="minorEastAsia"/>
          <w:kern w:val="0"/>
        </w:rPr>
      </w:pPr>
    </w:p>
    <w:p>
      <w:pPr>
        <w:pStyle w:val="31"/>
        <w:ind w:left="0" w:leftChars="0" w:firstLine="0" w:firstLineChars="0"/>
        <w:rPr>
          <w:rFonts w:asciiTheme="minorEastAsia" w:hAnsiTheme="minorEastAsia" w:eastAsiaTheme="minorEastAsia" w:cstheme="minorEastAsia"/>
          <w:kern w:val="0"/>
        </w:rPr>
      </w:pPr>
    </w:p>
    <w:p>
      <w:pPr>
        <w:pStyle w:val="31"/>
        <w:ind w:left="0" w:leftChars="0" w:firstLine="0" w:firstLineChars="0"/>
        <w:rPr>
          <w:rFonts w:asciiTheme="minorEastAsia" w:hAnsiTheme="minorEastAsia" w:eastAsiaTheme="minorEastAsia" w:cstheme="minorEastAsia"/>
          <w:kern w:val="0"/>
        </w:rPr>
      </w:pPr>
    </w:p>
    <w:p>
      <w:pPr>
        <w:pStyle w:val="31"/>
        <w:ind w:left="0" w:leftChars="0" w:firstLine="0" w:firstLineChars="0"/>
        <w:rPr>
          <w:rFonts w:asciiTheme="minorEastAsia" w:hAnsiTheme="minorEastAsia" w:eastAsiaTheme="minorEastAsia" w:cstheme="minorEastAsia"/>
          <w:kern w:val="0"/>
        </w:rPr>
      </w:pPr>
    </w:p>
    <w:p>
      <w:pPr>
        <w:pStyle w:val="31"/>
        <w:ind w:left="0" w:leftChars="0" w:firstLine="0" w:firstLineChars="0"/>
        <w:rPr>
          <w:rFonts w:asciiTheme="minorEastAsia" w:hAnsiTheme="minorEastAsia" w:eastAsiaTheme="minorEastAsia" w:cstheme="minorEastAsia"/>
          <w:kern w:val="0"/>
        </w:rPr>
      </w:pPr>
    </w:p>
    <w:bookmarkEnd w:id="35"/>
    <w:bookmarkEnd w:id="36"/>
    <w:p>
      <w:pPr>
        <w:numPr>
          <w:ilvl w:val="0"/>
          <w:numId w:val="6"/>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default" w:ascii="宋体" w:hAnsi="宋体" w:eastAsia="宋体" w:cs="宋体"/>
                <w:lang w:val="en-US" w:eastAsia="zh-CN"/>
              </w:rPr>
            </w:pPr>
            <w:r>
              <w:rPr>
                <w:rFonts w:hint="eastAsia" w:ascii="宋体" w:hAnsi="宋体" w:cs="宋体"/>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highlight w:val="none"/>
                <w:lang w:eastAsia="zh-CN"/>
              </w:rPr>
              <w:t>是。允许将</w:t>
            </w:r>
            <w:r>
              <w:rPr>
                <w:rFonts w:hint="eastAsia"/>
                <w:highlight w:val="none"/>
              </w:rPr>
              <w:t>海籍调查和宗海图绘制工作内容分包给具有</w:t>
            </w:r>
            <w:r>
              <w:rPr>
                <w:rFonts w:hint="eastAsia"/>
                <w:highlight w:val="none"/>
                <w:lang w:eastAsia="zh-CN"/>
              </w:rPr>
              <w:t>海洋</w:t>
            </w:r>
            <w:r>
              <w:rPr>
                <w:rFonts w:hint="eastAsia"/>
                <w:highlight w:val="none"/>
              </w:rPr>
              <w:t>测绘资质的单位</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hint="eastAsia" w:ascii="宋体" w:hAnsi="宋体" w:cs="宋体"/>
              </w:rPr>
            </w:pPr>
            <w:r>
              <w:rPr>
                <w:rFonts w:hint="eastAsia" w:ascii="宋体" w:hAnsi="宋体" w:cs="宋体"/>
              </w:rPr>
              <w:t>2、电子投标文件上传步骤：</w:t>
            </w:r>
          </w:p>
          <w:p>
            <w:pPr>
              <w:spacing w:line="300" w:lineRule="auto"/>
              <w:ind w:firstLine="420" w:firstLineChars="200"/>
              <w:rPr>
                <w:rFonts w:hint="eastAsia"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hint="eastAsia"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w:t>
            </w:r>
            <w:r>
              <w:rPr>
                <w:rFonts w:hint="eastAsia" w:ascii="宋体" w:hAnsi="宋体" w:cs="宋体"/>
                <w:lang w:val="en-US" w:eastAsia="zh-CN"/>
              </w:rPr>
              <w:t>平台官网</w:t>
            </w:r>
            <w:r>
              <w:rPr>
                <w:rFonts w:hint="eastAsia" w:ascii="宋体" w:hAnsi="宋体" w:cs="宋体"/>
              </w:rPr>
              <w:t>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w:t>
            </w:r>
            <w:r>
              <w:rPr>
                <w:rFonts w:hint="eastAsia" w:ascii="宋体" w:hAnsi="宋体" w:cs="宋体"/>
                <w:lang w:val="en-US" w:eastAsia="zh-CN"/>
              </w:rPr>
              <w:t>以书面形式向采购人、采购代理机构递交质疑函</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本项目投标应以人民币报价；</w:t>
            </w:r>
          </w:p>
          <w:p>
            <w:pPr>
              <w:spacing w:line="300" w:lineRule="auto"/>
              <w:rPr>
                <w:rFonts w:ascii="宋体" w:hAnsi="宋体" w:cs="宋体"/>
              </w:rPr>
            </w:pPr>
            <w:r>
              <w:rPr>
                <w:rFonts w:hint="eastAsia" w:ascii="宋体" w:hAnsi="宋体" w:cs="宋体"/>
              </w:rPr>
              <w:t>不论投标结果如何，投标人均应自行承担所有与投标有关的全部费用。</w:t>
            </w:r>
            <w:r>
              <w:rPr>
                <w:rFonts w:hint="eastAsia" w:ascii="宋体" w:hAnsi="宋体" w:cs="宋体"/>
                <w:szCs w:val="21"/>
              </w:rPr>
              <w:t>本项目招标代理服务费</w:t>
            </w:r>
            <w:r>
              <w:rPr>
                <w:rFonts w:hint="eastAsia" w:ascii="宋体" w:hAnsi="宋体" w:cs="宋体"/>
                <w:szCs w:val="21"/>
                <w:lang w:val="en-US" w:eastAsia="zh-CN"/>
              </w:rPr>
              <w:t>6000</w:t>
            </w:r>
            <w:r>
              <w:rPr>
                <w:rFonts w:hint="eastAsia" w:ascii="宋体" w:hAnsi="宋体" w:cs="宋体"/>
                <w:szCs w:val="21"/>
              </w:rPr>
              <w:t>元，由中标单位支付，请各投标人报价时综合考虑。</w:t>
            </w:r>
          </w:p>
        </w:tc>
      </w:tr>
    </w:tbl>
    <w:p>
      <w:pPr>
        <w:pStyle w:val="13"/>
        <w:snapToGrid w:val="0"/>
        <w:spacing w:line="360" w:lineRule="auto"/>
        <w:rPr>
          <w:rFonts w:hint="eastAsia" w:asciiTheme="minorEastAsia" w:hAnsiTheme="minorEastAsia" w:eastAsiaTheme="minorEastAsia"/>
          <w:b/>
          <w:sz w:val="24"/>
        </w:rPr>
      </w:pP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4"/>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snapToGrid w:val="0"/>
        <w:spacing w:line="360" w:lineRule="auto"/>
        <w:ind w:firstLine="480" w:firstLineChars="200"/>
        <w:rPr>
          <w:sz w:val="24"/>
          <w:highlight w:val="none"/>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w:t>
      </w:r>
      <w:r>
        <w:rPr>
          <w:rFonts w:hint="eastAsia"/>
          <w:sz w:val="24"/>
          <w:highlight w:val="none"/>
        </w:rPr>
        <w:t>份共同投标。</w:t>
      </w:r>
    </w:p>
    <w:p>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p>
    <w:p>
      <w:pPr>
        <w:snapToGrid w:val="0"/>
        <w:spacing w:line="360" w:lineRule="auto"/>
        <w:ind w:firstLine="480" w:firstLineChars="200"/>
        <w:rPr>
          <w:rFonts w:hint="default" w:cs="Times New Roman" w:asciiTheme="minorEastAsia" w:hAnsiTheme="minorEastAsia" w:eastAsiaTheme="minorEastAsia"/>
          <w:sz w:val="24"/>
          <w:highlight w:val="none"/>
          <w:lang w:val="en-US" w:eastAsia="zh-CN"/>
        </w:rPr>
      </w:pPr>
      <w:r>
        <w:rPr>
          <w:rFonts w:hint="eastAsia" w:cs="Times New Roman" w:asciiTheme="minorEastAsia" w:hAnsiTheme="minorEastAsia" w:eastAsiaTheme="minorEastAsia"/>
          <w:sz w:val="24"/>
          <w:highlight w:val="none"/>
          <w:lang w:val="en-US" w:eastAsia="zh-CN"/>
        </w:rPr>
        <w:t>本项目不接受联合体投标。</w:t>
      </w:r>
    </w:p>
    <w:p>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ascii="宋体" w:hAnsi="宋体" w:cs="宋体" w:eastAsiaTheme="minorEastAsia"/>
          <w:kern w:val="0"/>
          <w:sz w:val="24"/>
          <w:highlight w:val="none"/>
        </w:rPr>
        <w:t>台州市建设咨询有限公司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p>
    <w:p>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pPr>
        <w:snapToGrid w:val="0"/>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sz w:val="24"/>
        </w:rPr>
      </w:pPr>
      <w:r>
        <w:rPr>
          <w:rFonts w:hint="eastAsia" w:hAnsi="宋体"/>
          <w:b/>
          <w:sz w:val="24"/>
        </w:rPr>
        <w:t>（七）特别说明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34"/>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4"/>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日前在浙江省政府采购网上以更正公告的形式通知各潜在的投标人；不足</w:t>
      </w:r>
      <w:r>
        <w:rPr>
          <w:rFonts w:hint="eastAsia" w:asciiTheme="minorEastAsia" w:hAnsiTheme="minorEastAsia" w:eastAsiaTheme="minorEastAsia" w:cstheme="minorBidi"/>
          <w:sz w:val="24"/>
          <w:lang w:val="en-US" w:eastAsia="zh-CN"/>
        </w:rPr>
        <w:t>3</w:t>
      </w:r>
      <w:r>
        <w:rPr>
          <w:rFonts w:hint="eastAsia" w:asciiTheme="minorEastAsia" w:hAnsiTheme="minorEastAsia" w:eastAsiaTheme="minorEastAsia" w:cstheme="minorBidi"/>
          <w:sz w:val="24"/>
        </w:rPr>
        <w:t>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w:t>
      </w:r>
      <w:r>
        <w:rPr>
          <w:rFonts w:hint="eastAsia" w:asciiTheme="minorEastAsia" w:hAnsiTheme="minorEastAsia" w:eastAsiaTheme="minorEastAsia"/>
          <w:kern w:val="0"/>
          <w:sz w:val="24"/>
          <w:lang w:val="en-US" w:eastAsia="zh-CN"/>
        </w:rPr>
        <w:t>资格标、</w:t>
      </w:r>
      <w:r>
        <w:rPr>
          <w:rFonts w:hint="eastAsia" w:asciiTheme="minorEastAsia" w:hAnsiTheme="minorEastAsia" w:eastAsiaTheme="minorEastAsia"/>
          <w:kern w:val="0"/>
          <w:sz w:val="24"/>
        </w:rPr>
        <w:t>技术</w:t>
      </w:r>
      <w:r>
        <w:rPr>
          <w:rFonts w:hint="eastAsia" w:asciiTheme="minorEastAsia" w:hAnsiTheme="minorEastAsia" w:eastAsiaTheme="minorEastAsia"/>
          <w:kern w:val="0"/>
          <w:sz w:val="24"/>
          <w:lang w:val="en-US" w:eastAsia="zh-CN"/>
        </w:rPr>
        <w:t>标</w:t>
      </w:r>
      <w:r>
        <w:rPr>
          <w:rFonts w:hint="eastAsia" w:asciiTheme="minorEastAsia" w:hAnsiTheme="minorEastAsia" w:eastAsiaTheme="minorEastAsia"/>
          <w:kern w:val="0"/>
          <w:sz w:val="24"/>
        </w:rPr>
        <w:t>和</w:t>
      </w:r>
      <w:r>
        <w:rPr>
          <w:rFonts w:hint="eastAsia" w:asciiTheme="minorEastAsia" w:hAnsiTheme="minorEastAsia" w:eastAsiaTheme="minorEastAsia"/>
          <w:kern w:val="0"/>
          <w:sz w:val="24"/>
          <w:lang w:val="en-US" w:eastAsia="zh-CN"/>
        </w:rPr>
        <w:t>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w:t>
      </w:r>
      <w:r>
        <w:rPr>
          <w:rFonts w:hint="eastAsia" w:asciiTheme="minorEastAsia" w:hAnsiTheme="minorEastAsia" w:eastAsiaTheme="minorEastAsia"/>
          <w:b/>
          <w:sz w:val="24"/>
          <w:lang w:eastAsia="zh-CN"/>
        </w:rPr>
        <w:t>资格标</w:t>
      </w:r>
      <w:r>
        <w:rPr>
          <w:rFonts w:hint="eastAsia" w:ascii="宋体" w:hAnsi="宋体"/>
          <w:b/>
          <w:sz w:val="24"/>
        </w:rPr>
        <w:t>组成</w:t>
      </w:r>
    </w:p>
    <w:p>
      <w:pPr>
        <w:snapToGrid w:val="0"/>
        <w:spacing w:line="360" w:lineRule="auto"/>
        <w:ind w:firstLine="480" w:firstLineChars="200"/>
        <w:rPr>
          <w:rFonts w:hint="eastAsia"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hint="eastAsia"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hint="eastAsia"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）具有依法缴纳税收和社会保障资金证明的承诺函（附件3）；</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）具有良好的商业信誉和健全的财务会计制度的承诺函（附件4）；</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）具有履行合同所必须的设备和专业技术能力的承诺函（附件5）；</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lang w:val="en-US" w:eastAsia="zh-CN"/>
        </w:rPr>
        <w:t>技术标</w:t>
      </w:r>
      <w:r>
        <w:rPr>
          <w:rFonts w:hint="eastAsia" w:ascii="宋体" w:hAnsi="宋体"/>
          <w:b/>
          <w:sz w:val="24"/>
        </w:rPr>
        <w:t>组成</w:t>
      </w:r>
    </w:p>
    <w:p>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（2）技术方案（包括</w:t>
      </w:r>
      <w:r>
        <w:rPr>
          <w:rFonts w:hint="eastAsia" w:ascii="Calibri" w:hAnsi="Calibri" w:cs="Calibri"/>
          <w:sz w:val="24"/>
        </w:rPr>
        <w:t>项目需求的理解与分析、项目实施方案、重难点分析、保障措施、进度安排等</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7"/>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w:t>
      </w:r>
      <w:r>
        <w:rPr>
          <w:rFonts w:hint="eastAsia" w:asciiTheme="minorEastAsia" w:hAnsiTheme="minorEastAsia" w:eastAsiaTheme="minorEastAsia"/>
          <w:b/>
          <w:kern w:val="0"/>
          <w:sz w:val="24"/>
          <w:lang w:val="en-US" w:eastAsia="zh-CN"/>
        </w:rPr>
        <w:t>商务标</w:t>
      </w:r>
      <w:r>
        <w:rPr>
          <w:rFonts w:hint="eastAsia" w:asciiTheme="minorEastAsia" w:hAnsiTheme="minorEastAsia" w:eastAsiaTheme="minorEastAsia"/>
          <w:b/>
          <w:kern w:val="0"/>
          <w:sz w:val="24"/>
        </w:rPr>
        <w:t>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（1）开标一览表（附件12）；</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ascii="宋体" w:hAnsi="宋体" w:eastAsia="宋体" w:cs="Times New Roman"/>
          <w:bCs/>
          <w:spacing w:val="-4"/>
          <w:kern w:val="2"/>
          <w:sz w:val="24"/>
          <w:szCs w:val="24"/>
          <w:highlight w:val="none"/>
          <w:lang w:val="en-US" w:eastAsia="zh-CN" w:bidi="ar"/>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7"/>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7"/>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1.投标文件需由法定代表人或经其正式授权的代表签字或盖章。授权代表须出具书面授权证明，其《法定代表人授权书》应附在投标文件中。</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3"/>
        <w:snapToGrid w:val="0"/>
        <w:spacing w:before="0" w:beforeLines="0" w:after="0" w:afterLines="0" w:line="360" w:lineRule="auto"/>
        <w:ind w:firstLine="413" w:firstLineChars="196"/>
        <w:rPr>
          <w:rFonts w:hAnsi="宋体"/>
          <w:b/>
          <w:bCs/>
        </w:rPr>
      </w:pPr>
      <w:r>
        <w:rPr>
          <w:rFonts w:hAnsi="宋体"/>
          <w:b/>
          <w:bCs/>
        </w:rPr>
        <w:t>（一）开标</w:t>
      </w:r>
    </w:p>
    <w:p>
      <w:pPr>
        <w:pStyle w:val="21"/>
        <w:widowControl w:val="0"/>
        <w:snapToGrid w:val="0"/>
        <w:spacing w:before="120" w:beforeLines="50" w:beforeAutospacing="0" w:after="0" w:afterAutospacing="0" w:line="360" w:lineRule="auto"/>
        <w:ind w:firstLine="480" w:firstLineChars="200"/>
        <w:jc w:val="both"/>
        <w:rPr>
          <w:bCs/>
        </w:rPr>
      </w:pPr>
      <w:r>
        <w:rPr>
          <w:szCs w:val="21"/>
        </w:rPr>
        <w:t>投标人代表一律不参加现场开标，通过在线直播参与监督开标过程。直播网络地址：</w:t>
      </w:r>
      <w:r>
        <w:rPr>
          <w:rFonts w:hint="default"/>
        </w:rPr>
        <w:fldChar w:fldCharType="begin"/>
      </w:r>
      <w:r>
        <w:rPr>
          <w:rFonts w:hint="default"/>
        </w:rPr>
        <w:instrText xml:space="preserve"> </w:instrText>
      </w:r>
      <w:r>
        <w:instrText xml:space="preserve">HYPERLINK "http://www.tzwztb.com/live/"</w:instrText>
      </w:r>
      <w:r>
        <w:rPr>
          <w:rFonts w:hint="default"/>
        </w:rPr>
        <w:instrText xml:space="preserve"> </w:instrText>
      </w:r>
      <w:r>
        <w:rPr>
          <w:rFonts w:hint="default"/>
        </w:rPr>
        <w:fldChar w:fldCharType="separate"/>
      </w:r>
      <w:r>
        <w:rPr>
          <w:rStyle w:val="28"/>
        </w:rPr>
        <w:t>http://www.tzwztb.com/live/</w:t>
      </w:r>
      <w:r>
        <w:rPr>
          <w:rFonts w:hint="default"/>
        </w:rPr>
        <w:fldChar w:fldCharType="end"/>
      </w:r>
      <w:r>
        <w:rPr>
          <w:rFonts w:hint="default"/>
        </w:rPr>
        <w:t xml:space="preserve"> </w:t>
      </w:r>
      <w:r>
        <w:t>。</w:t>
      </w:r>
    </w:p>
    <w:p>
      <w:pPr>
        <w:pStyle w:val="13"/>
        <w:snapToGrid w:val="0"/>
        <w:spacing w:before="120" w:after="120" w:line="360" w:lineRule="auto"/>
        <w:ind w:firstLine="482" w:firstLineChars="200"/>
        <w:rPr>
          <w:rFonts w:ascii="宋体" w:hAnsi="宋体" w:eastAsia="宋体" w:cs="宋体"/>
          <w:b/>
          <w:bCs/>
          <w:kern w:val="2"/>
          <w:sz w:val="24"/>
          <w:szCs w:val="24"/>
          <w:lang w:val="en-US" w:eastAsia="zh-CN" w:bidi="ar-SA"/>
        </w:rPr>
      </w:pPr>
      <w:r>
        <w:rPr>
          <w:rFonts w:ascii="宋体" w:hAnsi="宋体" w:eastAsia="宋体" w:cs="宋体"/>
          <w:b/>
          <w:bCs/>
          <w:kern w:val="2"/>
          <w:sz w:val="24"/>
          <w:szCs w:val="24"/>
          <w:lang w:val="en-US" w:eastAsia="zh-CN" w:bidi="ar-SA"/>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3、采购人依法对资格文件进行审查，评标委员会对技术文件进行评审。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lang w:val="en-US" w:eastAsia="zh-CN"/>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lang w:val="en-US" w:eastAsia="zh-CN"/>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sz w:val="24"/>
        </w:rPr>
      </w:pPr>
      <w:r>
        <w:rPr>
          <w:rFonts w:hint="eastAsia" w:ascii="宋体" w:hAnsi="宋体"/>
          <w:b/>
          <w:sz w:val="24"/>
        </w:rPr>
        <w:t>重要事项说明：</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（1）开标项目的时间均以国家授时中心发布的时间为准。</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（2）若投标人已申请多把CA锁，请注意使用差别。因ca锁使用错误引发的问题，由投标人自己负责。</w:t>
      </w:r>
    </w:p>
    <w:p>
      <w:pPr>
        <w:snapToGrid w:val="0"/>
        <w:spacing w:line="360" w:lineRule="auto"/>
        <w:ind w:firstLine="480" w:firstLineChars="200"/>
        <w:rPr>
          <w:rFonts w:hAnsi="宋体"/>
          <w:b w:val="0"/>
          <w:bCs/>
        </w:rPr>
      </w:pPr>
      <w:r>
        <w:rPr>
          <w:rFonts w:hint="eastAsia" w:ascii="宋体" w:hAnsi="宋体" w:cs="宋体"/>
          <w:sz w:val="24"/>
          <w:lang w:val="en-US" w:eastAsia="zh-CN"/>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hint="eastAsia"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hint="eastAsia"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hint="eastAsia"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hint="eastAsia"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hint="eastAsia"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hint="eastAsia"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hint="eastAsia" w:ascii="宋体" w:hAnsi="宋体"/>
          <w:sz w:val="24"/>
        </w:rPr>
      </w:pPr>
      <w:r>
        <w:rPr>
          <w:rFonts w:hint="eastAsia" w:ascii="宋体" w:hAnsi="宋体"/>
          <w:sz w:val="24"/>
        </w:rPr>
        <w:t>5、其他无法保证电子交易的公平、公正和安全的情况。</w:t>
      </w:r>
    </w:p>
    <w:p>
      <w:pPr>
        <w:pStyle w:val="7"/>
        <w:spacing w:line="360" w:lineRule="auto"/>
        <w:ind w:firstLine="480" w:firstLineChars="200"/>
        <w:rPr>
          <w:rFonts w:hint="eastAsia"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7"/>
        <w:spacing w:line="360" w:lineRule="auto"/>
        <w:ind w:firstLine="723" w:firstLineChars="300"/>
        <w:rPr>
          <w:b/>
          <w:bCs/>
          <w:sz w:val="24"/>
          <w:szCs w:val="22"/>
        </w:rPr>
      </w:pPr>
      <w:r>
        <w:rPr>
          <w:rFonts w:hint="eastAsia"/>
          <w:b/>
          <w:bCs/>
          <w:sz w:val="24"/>
          <w:szCs w:val="22"/>
        </w:rPr>
        <w:t>（</w:t>
      </w:r>
      <w:r>
        <w:rPr>
          <w:rFonts w:hint="eastAsia"/>
          <w:b/>
          <w:bCs/>
          <w:sz w:val="24"/>
          <w:szCs w:val="22"/>
          <w:lang w:val="en-US" w:eastAsia="zh-CN"/>
        </w:rPr>
        <w:t>四</w:t>
      </w:r>
      <w:r>
        <w:rPr>
          <w:rFonts w:hint="eastAsia"/>
          <w:b/>
          <w:bCs/>
          <w:sz w:val="24"/>
          <w:szCs w:val="22"/>
        </w:rPr>
        <w:t>）开标异议</w:t>
      </w:r>
    </w:p>
    <w:p>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7"/>
        <w:spacing w:line="360" w:lineRule="auto"/>
        <w:ind w:firstLine="723" w:firstLineChars="300"/>
        <w:rPr>
          <w:sz w:val="24"/>
          <w:szCs w:val="22"/>
        </w:rPr>
      </w:pPr>
      <w:r>
        <w:rPr>
          <w:rFonts w:hint="eastAsia"/>
          <w:b/>
          <w:bCs/>
          <w:sz w:val="24"/>
          <w:szCs w:val="22"/>
        </w:rPr>
        <w:t>（</w:t>
      </w:r>
      <w:r>
        <w:rPr>
          <w:rFonts w:hint="eastAsia"/>
          <w:b/>
          <w:bCs/>
          <w:sz w:val="24"/>
          <w:szCs w:val="22"/>
          <w:lang w:val="en-US" w:eastAsia="zh-CN"/>
        </w:rPr>
        <w:t>五</w:t>
      </w:r>
      <w:r>
        <w:rPr>
          <w:rFonts w:hint="eastAsia"/>
          <w:b/>
          <w:bCs/>
          <w:sz w:val="24"/>
          <w:szCs w:val="22"/>
        </w:rPr>
        <w:t>）</w:t>
      </w:r>
      <w:r>
        <w:rPr>
          <w:rFonts w:hint="eastAsia"/>
          <w:sz w:val="24"/>
          <w:szCs w:val="22"/>
        </w:rPr>
        <w:t>投标人不足三家，不得开标。</w:t>
      </w:r>
    </w:p>
    <w:p>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六、定标</w:t>
      </w:r>
    </w:p>
    <w:p>
      <w:pPr>
        <w:spacing w:line="360" w:lineRule="auto"/>
        <w:ind w:firstLine="482" w:firstLineChars="200"/>
        <w:rPr>
          <w:rFonts w:hint="eastAsia" w:ascii="宋体" w:hAnsi="宋体" w:eastAsia="宋体"/>
          <w:b/>
          <w:bCs/>
          <w:color w:val="auto"/>
          <w:kern w:val="0"/>
          <w:sz w:val="24"/>
          <w:lang w:val="en-US" w:eastAsia="zh-CN"/>
        </w:rPr>
      </w:pPr>
      <w:r>
        <w:rPr>
          <w:rFonts w:hint="eastAsia" w:asciiTheme="minorEastAsia" w:hAnsiTheme="minorEastAsia" w:eastAsiaTheme="minorEastAsia"/>
          <w:b/>
          <w:bCs/>
          <w:color w:val="auto"/>
          <w:sz w:val="24"/>
        </w:rPr>
        <w:t>（</w:t>
      </w:r>
      <w:r>
        <w:rPr>
          <w:rFonts w:hint="eastAsia" w:asciiTheme="minorEastAsia" w:hAnsiTheme="minorEastAsia" w:eastAsiaTheme="minorEastAsia"/>
          <w:b/>
          <w:bCs/>
          <w:color w:val="auto"/>
          <w:sz w:val="24"/>
          <w:lang w:val="en-US" w:eastAsia="zh-CN"/>
        </w:rPr>
        <w:t>一</w:t>
      </w:r>
      <w:r>
        <w:rPr>
          <w:rFonts w:hint="eastAsia" w:asciiTheme="minorEastAsia" w:hAnsiTheme="minorEastAsia" w:eastAsiaTheme="minorEastAsia"/>
          <w:b/>
          <w:bCs/>
          <w:color w:val="auto"/>
          <w:sz w:val="24"/>
        </w:rPr>
        <w:t>）</w:t>
      </w:r>
      <w:r>
        <w:rPr>
          <w:rFonts w:hint="eastAsia" w:ascii="宋体" w:hAnsi="宋体"/>
          <w:b/>
          <w:bCs/>
          <w:color w:val="auto"/>
          <w:kern w:val="0"/>
          <w:sz w:val="24"/>
        </w:rPr>
        <w:t>发布</w:t>
      </w:r>
      <w:r>
        <w:rPr>
          <w:b/>
          <w:bCs/>
          <w:color w:val="auto"/>
          <w:sz w:val="24"/>
        </w:rPr>
        <w:t>中标</w:t>
      </w:r>
      <w:r>
        <w:rPr>
          <w:rFonts w:hint="eastAsia" w:ascii="宋体" w:hAnsi="宋体"/>
          <w:b/>
          <w:bCs/>
          <w:color w:val="auto"/>
          <w:kern w:val="0"/>
          <w:sz w:val="24"/>
        </w:rPr>
        <w:t>结果公</w:t>
      </w:r>
      <w:r>
        <w:rPr>
          <w:rFonts w:hint="eastAsia" w:ascii="宋体" w:hAnsi="宋体"/>
          <w:b/>
          <w:bCs/>
          <w:color w:val="auto"/>
          <w:kern w:val="0"/>
          <w:sz w:val="24"/>
          <w:lang w:val="en-US" w:eastAsia="zh-CN"/>
        </w:rPr>
        <w:t>示</w:t>
      </w:r>
    </w:p>
    <w:p>
      <w:pPr>
        <w:spacing w:line="360" w:lineRule="auto"/>
        <w:ind w:firstLine="480" w:firstLineChars="200"/>
        <w:rPr>
          <w:rFonts w:hint="eastAsia" w:ascii="宋体" w:hAnsi="宋体" w:cs="Times New Roman"/>
          <w:color w:val="auto"/>
          <w:kern w:val="0"/>
          <w:sz w:val="24"/>
        </w:rPr>
      </w:pPr>
      <w:r>
        <w:rPr>
          <w:rFonts w:hint="eastAsia" w:ascii="宋体" w:hAnsi="宋体" w:cs="Times New Roman"/>
          <w:color w:val="auto"/>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eastAsia" w:ascii="宋体" w:hAnsi="宋体"/>
          <w:color w:val="auto"/>
          <w:kern w:val="0"/>
          <w:sz w:val="24"/>
        </w:rPr>
      </w:pPr>
      <w:r>
        <w:rPr>
          <w:rFonts w:hint="eastAsia" w:ascii="宋体" w:hAnsi="宋体"/>
          <w:color w:val="auto"/>
          <w:kern w:val="0"/>
          <w:sz w:val="24"/>
        </w:rPr>
        <w:t>采购组织机构自中标</w:t>
      </w:r>
      <w:r>
        <w:rPr>
          <w:rFonts w:hint="eastAsia"/>
          <w:color w:val="auto"/>
          <w:kern w:val="0"/>
          <w:sz w:val="24"/>
          <w:lang w:val="en-US" w:eastAsia="zh-CN"/>
        </w:rPr>
        <w:t>候选</w:t>
      </w:r>
      <w:r>
        <w:rPr>
          <w:rFonts w:hint="eastAsia" w:ascii="宋体" w:hAnsi="宋体"/>
          <w:color w:val="auto"/>
          <w:kern w:val="0"/>
          <w:sz w:val="24"/>
        </w:rPr>
        <w:t>人</w:t>
      </w:r>
      <w:r>
        <w:rPr>
          <w:rFonts w:ascii="宋体" w:hAnsi="宋体"/>
          <w:color w:val="auto"/>
          <w:kern w:val="0"/>
          <w:sz w:val="24"/>
        </w:rPr>
        <w:t>确定</w:t>
      </w:r>
      <w:r>
        <w:rPr>
          <w:rFonts w:hint="eastAsia" w:ascii="宋体" w:hAnsi="宋体"/>
          <w:color w:val="auto"/>
          <w:kern w:val="0"/>
          <w:sz w:val="24"/>
        </w:rPr>
        <w:t>之日起</w:t>
      </w:r>
      <w:r>
        <w:rPr>
          <w:rFonts w:hint="eastAsia"/>
          <w:color w:val="auto"/>
          <w:kern w:val="0"/>
          <w:sz w:val="24"/>
          <w:lang w:val="en-US" w:eastAsia="zh-CN"/>
        </w:rPr>
        <w:t>3</w:t>
      </w:r>
      <w:r>
        <w:rPr>
          <w:rFonts w:ascii="宋体" w:hAnsi="宋体"/>
          <w:color w:val="auto"/>
          <w:kern w:val="0"/>
          <w:sz w:val="24"/>
        </w:rPr>
        <w:t>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w:t>
      </w:r>
      <w:r>
        <w:rPr>
          <w:rFonts w:hint="eastAsia" w:ascii="宋体" w:hAnsi="宋体" w:cs="宋体"/>
          <w:color w:val="auto"/>
          <w:sz w:val="24"/>
        </w:rPr>
        <w:t>台州湾新区小额工程电子交易平台</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w:t>
      </w:r>
      <w:r>
        <w:rPr>
          <w:rFonts w:hint="eastAsia"/>
          <w:color w:val="auto"/>
          <w:sz w:val="24"/>
          <w:lang w:val="en-US" w:eastAsia="zh-CN"/>
        </w:rPr>
        <w:t>示</w:t>
      </w:r>
      <w:r>
        <w:rPr>
          <w:color w:val="auto"/>
          <w:sz w:val="24"/>
        </w:rPr>
        <w:t>期为</w:t>
      </w:r>
      <w:r>
        <w:rPr>
          <w:rFonts w:hint="eastAsia"/>
          <w:color w:val="auto"/>
          <w:sz w:val="24"/>
          <w:lang w:val="en-US" w:eastAsia="zh-CN"/>
        </w:rPr>
        <w:t>3</w:t>
      </w:r>
      <w:r>
        <w:rPr>
          <w:color w:val="auto"/>
          <w:sz w:val="24"/>
        </w:rPr>
        <w:t>日</w:t>
      </w:r>
      <w:r>
        <w:rPr>
          <w:rFonts w:hint="eastAsia" w:ascii="宋体" w:hAnsi="宋体"/>
          <w:color w:val="auto"/>
          <w:kern w:val="0"/>
          <w:sz w:val="24"/>
        </w:rPr>
        <w:t>。</w:t>
      </w:r>
    </w:p>
    <w:p>
      <w:pPr>
        <w:pStyle w:val="21"/>
        <w:spacing w:before="0" w:beforeAutospacing="0" w:after="0" w:afterAutospacing="0" w:line="360" w:lineRule="auto"/>
        <w:ind w:firstLine="482" w:firstLineChars="200"/>
        <w:jc w:val="both"/>
        <w:rPr>
          <w:rFonts w:hint="default"/>
          <w:b/>
          <w:bCs/>
          <w:color w:val="auto"/>
        </w:rPr>
      </w:pPr>
      <w:r>
        <w:rPr>
          <w:rFonts w:asciiTheme="minorEastAsia" w:hAnsiTheme="minorEastAsia" w:eastAsiaTheme="minorEastAsia"/>
          <w:b/>
          <w:bCs/>
          <w:color w:val="auto"/>
        </w:rPr>
        <w:t>（</w:t>
      </w:r>
      <w:r>
        <w:rPr>
          <w:rFonts w:hint="eastAsia" w:asciiTheme="minorEastAsia" w:hAnsiTheme="minorEastAsia" w:eastAsiaTheme="minorEastAsia"/>
          <w:b/>
          <w:bCs/>
          <w:color w:val="auto"/>
          <w:lang w:val="en-US" w:eastAsia="zh-CN"/>
        </w:rPr>
        <w:t>二</w:t>
      </w:r>
      <w:r>
        <w:rPr>
          <w:rFonts w:asciiTheme="minorEastAsia" w:hAnsiTheme="minorEastAsia" w:eastAsiaTheme="minorEastAsia"/>
          <w:b/>
          <w:bCs/>
          <w:color w:val="auto"/>
        </w:rPr>
        <w:t>）</w:t>
      </w:r>
      <w:r>
        <w:rPr>
          <w:b/>
          <w:bCs/>
          <w:color w:val="auto"/>
        </w:rPr>
        <w:t>确定中标人</w:t>
      </w:r>
    </w:p>
    <w:p>
      <w:pPr>
        <w:spacing w:line="360" w:lineRule="auto"/>
        <w:ind w:firstLine="480" w:firstLineChars="200"/>
        <w:rPr>
          <w:rFonts w:ascii="宋体" w:hAnsi="宋体"/>
          <w:color w:val="auto"/>
          <w:kern w:val="0"/>
          <w:sz w:val="24"/>
        </w:rPr>
      </w:pPr>
      <w:r>
        <w:rPr>
          <w:rFonts w:hint="eastAsia" w:ascii="宋体" w:hAnsi="宋体" w:cs="Times New Roman"/>
          <w:color w:val="auto"/>
          <w:kern w:val="0"/>
          <w:sz w:val="24"/>
        </w:rPr>
        <w:t>本项目确定一名中标人，</w:t>
      </w:r>
      <w:r>
        <w:rPr>
          <w:rFonts w:hint="eastAsia" w:ascii="宋体" w:hAnsi="宋体" w:cs="Times New Roman"/>
          <w:color w:val="auto"/>
          <w:kern w:val="0"/>
          <w:sz w:val="24"/>
          <w:lang w:val="en-US" w:eastAsia="zh-CN"/>
        </w:rPr>
        <w:t>公示期满后，采购</w:t>
      </w:r>
      <w:r>
        <w:rPr>
          <w:rFonts w:hint="eastAsia" w:ascii="宋体" w:hAnsi="宋体" w:cs="Times New Roman"/>
          <w:color w:val="auto"/>
          <w:kern w:val="0"/>
          <w:sz w:val="24"/>
        </w:rPr>
        <w:t>人应确定本项目第一中标候选人为本项目中标人。</w:t>
      </w:r>
    </w:p>
    <w:p>
      <w:pPr>
        <w:pStyle w:val="9"/>
        <w:numPr>
          <w:ilvl w:val="0"/>
          <w:numId w:val="8"/>
        </w:numPr>
        <w:spacing w:line="360" w:lineRule="auto"/>
        <w:ind w:firstLine="482" w:firstLineChars="200"/>
        <w:jc w:val="both"/>
        <w:rPr>
          <w:b/>
          <w:bCs/>
          <w:color w:val="auto"/>
          <w:sz w:val="24"/>
        </w:rPr>
      </w:pPr>
      <w:r>
        <w:rPr>
          <w:rFonts w:hint="eastAsia"/>
          <w:b/>
          <w:bCs/>
          <w:color w:val="auto"/>
          <w:sz w:val="24"/>
        </w:rPr>
        <w:t>发放中标通知书</w:t>
      </w:r>
    </w:p>
    <w:p>
      <w:pPr>
        <w:pStyle w:val="10"/>
        <w:tabs>
          <w:tab w:val="left" w:pos="574"/>
        </w:tabs>
        <w:spacing w:after="0" w:line="400" w:lineRule="exact"/>
        <w:ind w:firstLine="480" w:firstLineChars="200"/>
        <w:rPr>
          <w:color w:val="auto"/>
        </w:rPr>
      </w:pPr>
      <w:r>
        <w:rPr>
          <w:rFonts w:hint="eastAsia"/>
          <w:color w:val="auto"/>
          <w:szCs w:val="32"/>
          <w:lang w:val="en-US" w:eastAsia="zh-CN"/>
        </w:rPr>
        <w:t>采购</w:t>
      </w:r>
      <w:r>
        <w:rPr>
          <w:rFonts w:hint="eastAsia"/>
          <w:color w:val="auto"/>
          <w:szCs w:val="32"/>
        </w:rPr>
        <w:t>人应当确定第一中标候选人为中标人。如涉及第二中标候选人和其他投标人资格无效的，评标结果不作调整。</w:t>
      </w:r>
    </w:p>
    <w:p>
      <w:pPr>
        <w:pStyle w:val="10"/>
        <w:tabs>
          <w:tab w:val="left" w:pos="574"/>
        </w:tabs>
        <w:spacing w:after="0" w:line="400" w:lineRule="exact"/>
        <w:ind w:firstLine="480" w:firstLineChars="200"/>
        <w:rPr>
          <w:rFonts w:hint="eastAsia"/>
          <w:color w:val="auto"/>
        </w:rPr>
      </w:pPr>
      <w:r>
        <w:rPr>
          <w:rFonts w:hint="eastAsia"/>
          <w:color w:val="auto"/>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10"/>
        <w:tabs>
          <w:tab w:val="left" w:pos="574"/>
        </w:tabs>
        <w:spacing w:after="0" w:line="400" w:lineRule="exact"/>
        <w:ind w:firstLine="480" w:firstLineChars="200"/>
        <w:rPr>
          <w:rFonts w:hint="eastAsia"/>
          <w:color w:val="auto"/>
        </w:rPr>
      </w:pPr>
      <w:r>
        <w:rPr>
          <w:rFonts w:hint="eastAsia"/>
          <w:color w:val="auto"/>
          <w:szCs w:val="32"/>
        </w:rPr>
        <w:t>中标人确定后，</w:t>
      </w:r>
      <w:r>
        <w:rPr>
          <w:rFonts w:hint="eastAsia"/>
          <w:color w:val="auto"/>
          <w:szCs w:val="32"/>
          <w:lang w:val="en-US" w:eastAsia="zh-CN"/>
        </w:rPr>
        <w:t>采购人</w:t>
      </w:r>
      <w:r>
        <w:rPr>
          <w:rFonts w:hint="eastAsia"/>
          <w:color w:val="auto"/>
          <w:szCs w:val="32"/>
        </w:rPr>
        <w:t>应当向中标人发出《中标通知书》。</w:t>
      </w:r>
    </w:p>
    <w:p>
      <w:pPr>
        <w:pStyle w:val="10"/>
        <w:tabs>
          <w:tab w:val="left" w:pos="574"/>
        </w:tabs>
        <w:spacing w:after="0" w:line="400" w:lineRule="exact"/>
        <w:ind w:firstLine="480" w:firstLineChars="200"/>
        <w:rPr>
          <w:rFonts w:hint="eastAsia"/>
          <w:color w:val="auto"/>
          <w:szCs w:val="32"/>
        </w:rPr>
      </w:pPr>
      <w:r>
        <w:rPr>
          <w:rFonts w:hint="eastAsia"/>
          <w:color w:val="auto"/>
          <w:szCs w:val="32"/>
          <w:lang w:val="en-US" w:eastAsia="zh-CN"/>
        </w:rPr>
        <w:t>采购</w:t>
      </w:r>
      <w:r>
        <w:rPr>
          <w:rFonts w:hint="eastAsia"/>
          <w:color w:val="auto"/>
          <w:szCs w:val="32"/>
        </w:rPr>
        <w:t>人在发出《中标通知书》的同时，应当将中标结果在交易场所（发布招标公告的媒体上）通知所有未中标的投标人。</w:t>
      </w:r>
    </w:p>
    <w:p>
      <w:pPr>
        <w:pStyle w:val="10"/>
        <w:tabs>
          <w:tab w:val="left" w:pos="574"/>
        </w:tabs>
        <w:spacing w:after="0" w:line="400" w:lineRule="exact"/>
        <w:ind w:firstLine="480" w:firstLineChars="200"/>
        <w:rPr>
          <w:rFonts w:hint="eastAsia"/>
          <w:color w:val="auto"/>
          <w:szCs w:val="32"/>
        </w:rPr>
      </w:pPr>
      <w:r>
        <w:rPr>
          <w:rFonts w:hint="eastAsia"/>
          <w:color w:val="auto"/>
          <w:szCs w:val="32"/>
        </w:rPr>
        <w:t>《中标通知书》对</w:t>
      </w:r>
      <w:r>
        <w:rPr>
          <w:rFonts w:hint="eastAsia"/>
          <w:color w:val="auto"/>
          <w:szCs w:val="32"/>
          <w:lang w:val="en-US" w:eastAsia="zh-CN"/>
        </w:rPr>
        <w:t>采购</w:t>
      </w:r>
      <w:r>
        <w:rPr>
          <w:rFonts w:hint="eastAsia"/>
          <w:color w:val="auto"/>
          <w:szCs w:val="32"/>
        </w:rPr>
        <w:t>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w:t>
      </w:r>
      <w:r>
        <w:rPr>
          <w:rFonts w:hint="eastAsia" w:ascii="宋体" w:hAnsi="宋体"/>
          <w:sz w:val="24"/>
          <w:lang w:val="en-US" w:eastAsia="zh-CN"/>
        </w:rPr>
        <w:t>书面形式</w:t>
      </w:r>
      <w:r>
        <w:rPr>
          <w:rFonts w:hint="eastAsia" w:ascii="宋体" w:hAnsi="宋体"/>
          <w:sz w:val="24"/>
        </w:rPr>
        <w:t>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062"/>
        <w:gridCol w:w="1254"/>
        <w:gridCol w:w="1102"/>
        <w:gridCol w:w="1037"/>
        <w:gridCol w:w="120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59" w:type="dxa"/>
            <w:noWrap w:val="0"/>
            <w:vAlign w:val="center"/>
          </w:tcPr>
          <w:p>
            <w:pPr>
              <w:tabs>
                <w:tab w:val="left" w:pos="8280"/>
              </w:tabs>
              <w:autoSpaceDE w:val="0"/>
              <w:autoSpaceDN w:val="0"/>
              <w:adjustRightInd w:val="0"/>
              <w:spacing w:line="360" w:lineRule="auto"/>
              <w:ind w:right="25"/>
              <w:jc w:val="center"/>
              <w:rPr>
                <w:b/>
                <w:sz w:val="21"/>
                <w:szCs w:val="21"/>
              </w:rPr>
            </w:pPr>
            <w:r>
              <w:rPr>
                <w:rFonts w:hint="eastAsia"/>
                <w:b/>
                <w:sz w:val="21"/>
                <w:szCs w:val="21"/>
              </w:rPr>
              <w:t>标段号</w:t>
            </w:r>
          </w:p>
        </w:tc>
        <w:tc>
          <w:tcPr>
            <w:tcW w:w="2062" w:type="dxa"/>
            <w:noWrap w:val="0"/>
            <w:vAlign w:val="center"/>
          </w:tcPr>
          <w:p>
            <w:pPr>
              <w:tabs>
                <w:tab w:val="left" w:pos="8280"/>
              </w:tabs>
              <w:autoSpaceDE w:val="0"/>
              <w:autoSpaceDN w:val="0"/>
              <w:adjustRightInd w:val="0"/>
              <w:spacing w:line="360" w:lineRule="auto"/>
              <w:ind w:right="25" w:firstLine="105" w:firstLineChars="50"/>
              <w:jc w:val="center"/>
              <w:rPr>
                <w:b/>
                <w:sz w:val="21"/>
                <w:szCs w:val="21"/>
              </w:rPr>
            </w:pPr>
            <w:r>
              <w:rPr>
                <w:rFonts w:hint="eastAsia"/>
                <w:b/>
                <w:sz w:val="21"/>
                <w:szCs w:val="21"/>
              </w:rPr>
              <w:t>项目名称</w:t>
            </w:r>
          </w:p>
        </w:tc>
        <w:tc>
          <w:tcPr>
            <w:tcW w:w="1254" w:type="dxa"/>
            <w:noWrap w:val="0"/>
            <w:vAlign w:val="center"/>
          </w:tcPr>
          <w:p>
            <w:pPr>
              <w:tabs>
                <w:tab w:val="left" w:pos="8280"/>
              </w:tabs>
              <w:autoSpaceDE w:val="0"/>
              <w:autoSpaceDN w:val="0"/>
              <w:adjustRightInd w:val="0"/>
              <w:spacing w:line="360" w:lineRule="auto"/>
              <w:ind w:right="25"/>
              <w:rPr>
                <w:rFonts w:hint="eastAsia"/>
                <w:b/>
                <w:sz w:val="21"/>
                <w:szCs w:val="21"/>
              </w:rPr>
            </w:pPr>
            <w:r>
              <w:rPr>
                <w:rFonts w:hint="eastAsia"/>
                <w:b/>
                <w:sz w:val="21"/>
                <w:szCs w:val="21"/>
              </w:rPr>
              <w:t>规格</w:t>
            </w:r>
          </w:p>
          <w:p>
            <w:pPr>
              <w:tabs>
                <w:tab w:val="left" w:pos="8280"/>
              </w:tabs>
              <w:autoSpaceDE w:val="0"/>
              <w:autoSpaceDN w:val="0"/>
              <w:adjustRightInd w:val="0"/>
              <w:spacing w:line="360" w:lineRule="auto"/>
              <w:ind w:right="25"/>
              <w:rPr>
                <w:b/>
                <w:sz w:val="21"/>
                <w:szCs w:val="21"/>
              </w:rPr>
            </w:pPr>
            <w:r>
              <w:rPr>
                <w:rFonts w:hint="eastAsia"/>
                <w:b/>
                <w:sz w:val="21"/>
                <w:szCs w:val="21"/>
              </w:rPr>
              <w:t>型 号</w:t>
            </w:r>
          </w:p>
        </w:tc>
        <w:tc>
          <w:tcPr>
            <w:tcW w:w="1102" w:type="dxa"/>
            <w:noWrap w:val="0"/>
            <w:vAlign w:val="center"/>
          </w:tcPr>
          <w:p>
            <w:pPr>
              <w:tabs>
                <w:tab w:val="left" w:pos="8280"/>
              </w:tabs>
              <w:autoSpaceDE w:val="0"/>
              <w:autoSpaceDN w:val="0"/>
              <w:adjustRightInd w:val="0"/>
              <w:spacing w:line="360" w:lineRule="auto"/>
              <w:ind w:right="25"/>
              <w:jc w:val="center"/>
              <w:rPr>
                <w:b/>
                <w:sz w:val="21"/>
                <w:szCs w:val="21"/>
              </w:rPr>
            </w:pPr>
            <w:r>
              <w:rPr>
                <w:rFonts w:hint="eastAsia"/>
                <w:b/>
                <w:sz w:val="21"/>
                <w:szCs w:val="21"/>
              </w:rPr>
              <w:t>数量</w:t>
            </w:r>
          </w:p>
        </w:tc>
        <w:tc>
          <w:tcPr>
            <w:tcW w:w="1037" w:type="dxa"/>
            <w:noWrap w:val="0"/>
            <w:vAlign w:val="center"/>
          </w:tcPr>
          <w:p>
            <w:pPr>
              <w:tabs>
                <w:tab w:val="left" w:pos="8280"/>
              </w:tabs>
              <w:autoSpaceDE w:val="0"/>
              <w:autoSpaceDN w:val="0"/>
              <w:adjustRightInd w:val="0"/>
              <w:spacing w:line="360" w:lineRule="auto"/>
              <w:ind w:right="25"/>
              <w:jc w:val="center"/>
              <w:rPr>
                <w:b/>
                <w:sz w:val="21"/>
                <w:szCs w:val="21"/>
              </w:rPr>
            </w:pPr>
            <w:r>
              <w:rPr>
                <w:rFonts w:hint="eastAsia"/>
                <w:b/>
                <w:sz w:val="21"/>
                <w:szCs w:val="21"/>
              </w:rPr>
              <w:t>单位</w:t>
            </w:r>
          </w:p>
        </w:tc>
        <w:tc>
          <w:tcPr>
            <w:tcW w:w="1209" w:type="dxa"/>
            <w:noWrap w:val="0"/>
            <w:vAlign w:val="center"/>
          </w:tcPr>
          <w:p>
            <w:pPr>
              <w:tabs>
                <w:tab w:val="left" w:pos="8280"/>
              </w:tabs>
              <w:autoSpaceDE w:val="0"/>
              <w:autoSpaceDN w:val="0"/>
              <w:adjustRightInd w:val="0"/>
              <w:spacing w:line="360" w:lineRule="auto"/>
              <w:ind w:right="25"/>
              <w:jc w:val="center"/>
              <w:rPr>
                <w:b/>
                <w:sz w:val="21"/>
                <w:szCs w:val="21"/>
              </w:rPr>
            </w:pPr>
            <w:r>
              <w:rPr>
                <w:rFonts w:hint="eastAsia"/>
                <w:b/>
                <w:sz w:val="21"/>
                <w:szCs w:val="21"/>
              </w:rPr>
              <w:t>预算</w:t>
            </w:r>
          </w:p>
          <w:p>
            <w:pPr>
              <w:tabs>
                <w:tab w:val="left" w:pos="8280"/>
              </w:tabs>
              <w:autoSpaceDE w:val="0"/>
              <w:autoSpaceDN w:val="0"/>
              <w:adjustRightInd w:val="0"/>
              <w:spacing w:line="360" w:lineRule="auto"/>
              <w:ind w:right="25"/>
              <w:jc w:val="center"/>
              <w:rPr>
                <w:b/>
                <w:sz w:val="21"/>
                <w:szCs w:val="21"/>
              </w:rPr>
            </w:pPr>
            <w:r>
              <w:rPr>
                <w:rFonts w:hint="eastAsia"/>
                <w:b/>
                <w:sz w:val="21"/>
                <w:szCs w:val="21"/>
              </w:rPr>
              <w:t>（元）</w:t>
            </w:r>
          </w:p>
        </w:tc>
        <w:tc>
          <w:tcPr>
            <w:tcW w:w="997" w:type="dxa"/>
            <w:noWrap w:val="0"/>
            <w:vAlign w:val="center"/>
          </w:tcPr>
          <w:p>
            <w:pPr>
              <w:tabs>
                <w:tab w:val="left" w:pos="8280"/>
              </w:tabs>
              <w:autoSpaceDE w:val="0"/>
              <w:autoSpaceDN w:val="0"/>
              <w:adjustRightInd w:val="0"/>
              <w:spacing w:line="360" w:lineRule="auto"/>
              <w:ind w:right="25"/>
              <w:jc w:val="center"/>
              <w:rPr>
                <w:b/>
                <w:sz w:val="21"/>
                <w:szCs w:val="21"/>
              </w:rPr>
            </w:pPr>
            <w:r>
              <w:rPr>
                <w:rFonts w:hint="eastAsia"/>
                <w:b/>
                <w:sz w:val="21"/>
                <w:szCs w:val="21"/>
              </w:rPr>
              <w:t>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59" w:type="dxa"/>
            <w:noWrap w:val="0"/>
            <w:vAlign w:val="center"/>
          </w:tcPr>
          <w:p>
            <w:pPr>
              <w:tabs>
                <w:tab w:val="left" w:pos="8280"/>
              </w:tabs>
              <w:autoSpaceDE w:val="0"/>
              <w:autoSpaceDN w:val="0"/>
              <w:adjustRightInd w:val="0"/>
              <w:spacing w:line="360" w:lineRule="auto"/>
              <w:ind w:right="25"/>
              <w:jc w:val="center"/>
              <w:rPr>
                <w:sz w:val="22"/>
                <w:szCs w:val="22"/>
              </w:rPr>
            </w:pPr>
            <w:r>
              <w:rPr>
                <w:rFonts w:hint="eastAsia"/>
                <w:sz w:val="22"/>
                <w:szCs w:val="22"/>
              </w:rPr>
              <w:t>1</w:t>
            </w:r>
          </w:p>
        </w:tc>
        <w:tc>
          <w:tcPr>
            <w:tcW w:w="2062" w:type="dxa"/>
            <w:noWrap w:val="0"/>
            <w:vAlign w:val="center"/>
          </w:tcPr>
          <w:p>
            <w:pPr>
              <w:jc w:val="center"/>
              <w:rPr>
                <w:rFonts w:hint="eastAsia"/>
                <w:sz w:val="22"/>
                <w:szCs w:val="22"/>
              </w:rPr>
            </w:pPr>
            <w:r>
              <w:rPr>
                <w:rFonts w:hint="eastAsia"/>
                <w:sz w:val="22"/>
                <w:szCs w:val="22"/>
              </w:rPr>
              <w:t>台州市</w:t>
            </w:r>
            <w:r>
              <w:rPr>
                <w:rFonts w:hint="eastAsia"/>
                <w:sz w:val="22"/>
                <w:szCs w:val="22"/>
                <w:lang w:eastAsia="zh-CN"/>
              </w:rPr>
              <w:t>2023-</w:t>
            </w:r>
            <w:r>
              <w:rPr>
                <w:rFonts w:hint="eastAsia"/>
                <w:sz w:val="22"/>
                <w:szCs w:val="22"/>
                <w:lang w:val="en-US" w:eastAsia="zh-CN"/>
              </w:rPr>
              <w:t>4</w:t>
            </w:r>
            <w:r>
              <w:rPr>
                <w:rFonts w:hint="eastAsia"/>
                <w:sz w:val="22"/>
                <w:szCs w:val="22"/>
                <w:lang w:eastAsia="zh-CN"/>
              </w:rPr>
              <w:t>区块</w:t>
            </w:r>
            <w:r>
              <w:rPr>
                <w:rFonts w:hint="eastAsia"/>
                <w:sz w:val="22"/>
                <w:szCs w:val="22"/>
              </w:rPr>
              <w:t>海域使用论证报告书编制项目</w:t>
            </w:r>
          </w:p>
        </w:tc>
        <w:tc>
          <w:tcPr>
            <w:tcW w:w="1254" w:type="dxa"/>
            <w:noWrap w:val="0"/>
            <w:vAlign w:val="center"/>
          </w:tcPr>
          <w:p>
            <w:pPr>
              <w:jc w:val="center"/>
              <w:rPr>
                <w:sz w:val="22"/>
                <w:szCs w:val="22"/>
              </w:rPr>
            </w:pPr>
            <w:r>
              <w:rPr>
                <w:rFonts w:hint="eastAsia"/>
                <w:sz w:val="22"/>
                <w:szCs w:val="22"/>
              </w:rPr>
              <w:t>详见具体技术需求</w:t>
            </w:r>
          </w:p>
        </w:tc>
        <w:tc>
          <w:tcPr>
            <w:tcW w:w="1102" w:type="dxa"/>
            <w:noWrap w:val="0"/>
            <w:vAlign w:val="center"/>
          </w:tcPr>
          <w:p>
            <w:pPr>
              <w:jc w:val="center"/>
              <w:rPr>
                <w:sz w:val="22"/>
                <w:szCs w:val="22"/>
              </w:rPr>
            </w:pPr>
            <w:r>
              <w:rPr>
                <w:rFonts w:hint="eastAsia"/>
                <w:sz w:val="22"/>
                <w:szCs w:val="22"/>
              </w:rPr>
              <w:t>1</w:t>
            </w:r>
          </w:p>
        </w:tc>
        <w:tc>
          <w:tcPr>
            <w:tcW w:w="1037" w:type="dxa"/>
            <w:noWrap w:val="0"/>
            <w:vAlign w:val="center"/>
          </w:tcPr>
          <w:p>
            <w:pPr>
              <w:jc w:val="center"/>
              <w:rPr>
                <w:rFonts w:hint="eastAsia" w:eastAsia="宋体"/>
                <w:sz w:val="22"/>
                <w:szCs w:val="22"/>
                <w:lang w:eastAsia="zh-CN"/>
              </w:rPr>
            </w:pPr>
            <w:r>
              <w:rPr>
                <w:rFonts w:hint="eastAsia"/>
                <w:sz w:val="22"/>
                <w:szCs w:val="22"/>
                <w:lang w:eastAsia="zh-CN"/>
              </w:rPr>
              <w:t>项</w:t>
            </w:r>
          </w:p>
        </w:tc>
        <w:tc>
          <w:tcPr>
            <w:tcW w:w="1209" w:type="dxa"/>
            <w:noWrap w:val="0"/>
            <w:vAlign w:val="center"/>
          </w:tcPr>
          <w:p>
            <w:pPr>
              <w:jc w:val="center"/>
              <w:rPr>
                <w:rFonts w:hint="default" w:eastAsia="宋体"/>
                <w:sz w:val="22"/>
                <w:szCs w:val="22"/>
                <w:lang w:val="en-US" w:eastAsia="zh-CN"/>
              </w:rPr>
            </w:pPr>
            <w:r>
              <w:rPr>
                <w:rFonts w:hint="eastAsia"/>
                <w:sz w:val="22"/>
                <w:szCs w:val="22"/>
                <w:lang w:val="en-US" w:eastAsia="zh-CN"/>
              </w:rPr>
              <w:t>110000</w:t>
            </w:r>
          </w:p>
        </w:tc>
        <w:tc>
          <w:tcPr>
            <w:tcW w:w="997" w:type="dxa"/>
            <w:noWrap w:val="0"/>
            <w:vAlign w:val="center"/>
          </w:tcPr>
          <w:p>
            <w:pPr>
              <w:pStyle w:val="13"/>
              <w:spacing w:before="120" w:after="120"/>
              <w:rPr>
                <w:rFonts w:hAnsi="宋体" w:cs="宋体"/>
                <w:bCs/>
                <w:sz w:val="22"/>
                <w:szCs w:val="22"/>
              </w:rPr>
            </w:pPr>
            <w:r>
              <w:rPr>
                <w:sz w:val="22"/>
                <w:szCs w:val="22"/>
              </w:rPr>
              <w:t>采购人指定地点</w:t>
            </w:r>
          </w:p>
        </w:tc>
      </w:tr>
    </w:tbl>
    <w:p>
      <w:pPr>
        <w:rPr>
          <w:sz w:val="24"/>
        </w:rPr>
      </w:pPr>
    </w:p>
    <w:p>
      <w:pPr>
        <w:tabs>
          <w:tab w:val="left" w:pos="8280"/>
        </w:tabs>
        <w:autoSpaceDE w:val="0"/>
        <w:autoSpaceDN w:val="0"/>
        <w:adjustRightInd w:val="0"/>
        <w:spacing w:line="360" w:lineRule="auto"/>
        <w:ind w:right="25"/>
        <w:rPr>
          <w:rFonts w:hint="eastAsia" w:ascii="Times New Roman" w:hAnsi="Times New Roman" w:eastAsia="宋体" w:cs="Times New Roman"/>
          <w:b/>
          <w:sz w:val="24"/>
        </w:rPr>
      </w:pPr>
      <w:r>
        <w:rPr>
          <w:rFonts w:hint="eastAsia" w:ascii="Times New Roman" w:hAnsi="Times New Roman" w:eastAsia="宋体" w:cs="Times New Roman"/>
          <w:b/>
          <w:sz w:val="24"/>
          <w:lang w:val="en-US" w:eastAsia="zh-CN"/>
        </w:rPr>
        <w:t>二、</w:t>
      </w:r>
      <w:r>
        <w:rPr>
          <w:rFonts w:hint="eastAsia" w:ascii="Times New Roman" w:hAnsi="Times New Roman" w:eastAsia="宋体" w:cs="Times New Roman"/>
          <w:b/>
          <w:sz w:val="24"/>
        </w:rPr>
        <w:t>项目背景</w:t>
      </w:r>
    </w:p>
    <w:p>
      <w:pPr>
        <w:spacing w:line="360" w:lineRule="auto"/>
        <w:ind w:firstLine="480" w:firstLineChars="200"/>
        <w:rPr>
          <w:rFonts w:hint="eastAsia" w:ascii="宋体" w:hAnsi="宋体" w:eastAsia="宋体" w:cs="宋体"/>
          <w:sz w:val="24"/>
          <w:lang w:val="en-US" w:eastAsia="zh-CN"/>
        </w:rPr>
      </w:pPr>
      <w:bookmarkStart w:id="39" w:name="_Toc37599085"/>
      <w:r>
        <w:rPr>
          <w:rFonts w:hint="eastAsia" w:ascii="宋体" w:hAnsi="宋体" w:eastAsia="宋体" w:cs="宋体"/>
          <w:sz w:val="24"/>
          <w:lang w:val="en-US" w:eastAsia="zh-CN"/>
        </w:rPr>
        <w:t>台州湾新区开发建设需要，拟开展台州市2023-4区块海域使用论证报告编制工作。</w:t>
      </w:r>
    </w:p>
    <w:p>
      <w:pPr>
        <w:tabs>
          <w:tab w:val="left" w:pos="8280"/>
        </w:tabs>
        <w:autoSpaceDE w:val="0"/>
        <w:autoSpaceDN w:val="0"/>
        <w:adjustRightInd w:val="0"/>
        <w:spacing w:line="360" w:lineRule="auto"/>
        <w:ind w:right="25"/>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三、项目需求</w:t>
      </w:r>
    </w:p>
    <w:p>
      <w:pPr>
        <w:spacing w:line="360" w:lineRule="auto"/>
        <w:ind w:firstLine="480" w:firstLineChars="200"/>
        <w:rPr>
          <w:rFonts w:hint="eastAsia"/>
        </w:rPr>
      </w:pPr>
      <w:r>
        <w:rPr>
          <w:rFonts w:hint="eastAsia" w:ascii="宋体" w:hAnsi="宋体" w:eastAsia="宋体" w:cs="宋体"/>
          <w:sz w:val="24"/>
        </w:rPr>
        <w:t>本次工作内容具体为台州市2023-4区块海域使用论证报告</w:t>
      </w:r>
      <w:r>
        <w:rPr>
          <w:rFonts w:hint="eastAsia" w:ascii="宋体" w:hAnsi="宋体" w:eastAsia="宋体" w:cs="宋体"/>
          <w:sz w:val="24"/>
          <w:lang w:eastAsia="zh-CN"/>
        </w:rPr>
        <w:t>书</w:t>
      </w:r>
      <w:r>
        <w:rPr>
          <w:rFonts w:hint="eastAsia" w:ascii="宋体" w:hAnsi="宋体" w:eastAsia="宋体" w:cs="宋体"/>
          <w:sz w:val="24"/>
        </w:rPr>
        <w:t>编制，海域使用论证应包含用海项目宗海图、海籍调查表。在详细了解和勘察项目所在区域海洋资源生态及其开发利用现状的基础上，科学客观地分析评价项目建设和用海的必要性，项目用海选址、方式、面积、期限的合理性，项目用海与海洋功能区划和相关规划的一致性，项目用海的不利影响，项目用海对利益相关者的利害关系，提出项目用海的对策和建议，并做出论证结论。</w:t>
      </w:r>
    </w:p>
    <w:bookmarkEnd w:id="39"/>
    <w:p>
      <w:pPr>
        <w:pStyle w:val="77"/>
        <w:rPr>
          <w:rFonts w:hint="eastAsia"/>
        </w:rPr>
      </w:pPr>
    </w:p>
    <w:p>
      <w:pPr>
        <w:autoSpaceDE w:val="0"/>
        <w:autoSpaceDN w:val="0"/>
        <w:adjustRightInd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、工作范围：</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台州市2023-4区块海域使用论证报告书编制，台州湾新区拟出让台州市2023-4区块，位于台州湾大道以西、青龙浦路北侧，</w:t>
      </w:r>
      <w:r>
        <w:rPr>
          <w:rFonts w:hint="eastAsia" w:ascii="宋体" w:hAnsi="宋体" w:cs="宋体"/>
          <w:sz w:val="24"/>
          <w:lang w:eastAsia="zh-CN"/>
        </w:rPr>
        <w:t>属于历史围填海，</w:t>
      </w:r>
      <w:r>
        <w:rPr>
          <w:rFonts w:hint="eastAsia" w:ascii="宋体" w:hAnsi="宋体" w:eastAsia="宋体" w:cs="宋体"/>
          <w:sz w:val="24"/>
        </w:rPr>
        <w:t>面积约468亩</w:t>
      </w:r>
      <w:r>
        <w:rPr>
          <w:rFonts w:hint="eastAsia" w:ascii="宋体" w:hAnsi="宋体" w:cs="宋体"/>
          <w:sz w:val="24"/>
          <w:lang w:val="en-US" w:eastAsia="zh-CN"/>
        </w:rPr>
        <w:t>,用海类型为工业用海，用海方式为建设填海造地</w:t>
      </w:r>
      <w:r>
        <w:rPr>
          <w:rFonts w:hint="eastAsia" w:ascii="宋体" w:hAnsi="宋体" w:eastAsia="宋体" w:cs="宋体"/>
          <w:sz w:val="24"/>
          <w:lang w:eastAsia="zh-CN"/>
        </w:rPr>
        <w:t>。</w:t>
      </w:r>
    </w:p>
    <w:p>
      <w:pPr>
        <w:rPr>
          <w:rFonts w:hint="eastAsia" w:ascii="宋体" w:hAnsi="宋体" w:eastAsia="宋体" w:cs="宋体"/>
          <w:b/>
          <w:kern w:val="0"/>
          <w:sz w:val="24"/>
          <w:lang w:val="en-US" w:eastAsia="zh-CN" w:bidi="ar"/>
        </w:rPr>
      </w:pPr>
      <w:r>
        <w:rPr>
          <w:rFonts w:hint="eastAsia" w:ascii="宋体" w:hAnsi="宋体" w:cs="宋体"/>
          <w:b/>
          <w:kern w:val="0"/>
          <w:sz w:val="24"/>
          <w:lang w:val="en-US" w:eastAsia="zh-CN" w:bidi="ar"/>
        </w:rPr>
        <w:t>五</w:t>
      </w:r>
      <w:r>
        <w:rPr>
          <w:rFonts w:hint="eastAsia" w:ascii="宋体" w:hAnsi="宋体" w:cs="宋体"/>
          <w:b/>
          <w:kern w:val="0"/>
          <w:sz w:val="24"/>
          <w:lang w:bidi="ar"/>
        </w:rPr>
        <w:t>、质量</w:t>
      </w:r>
      <w:r>
        <w:rPr>
          <w:rFonts w:hint="eastAsia" w:ascii="宋体" w:hAnsi="宋体" w:cs="宋体"/>
          <w:b/>
          <w:kern w:val="0"/>
          <w:sz w:val="24"/>
          <w:lang w:val="en-US" w:eastAsia="zh-CN" w:bidi="ar"/>
        </w:rPr>
        <w:t>要求</w:t>
      </w:r>
    </w:p>
    <w:p>
      <w:pPr>
        <w:spacing w:line="360" w:lineRule="auto"/>
        <w:ind w:firstLine="480" w:firstLineChars="200"/>
        <w:rPr>
          <w:rFonts w:hint="eastAsia" w:ascii="宋体" w:hAnsi="宋体" w:eastAsia="宋体" w:cs="宋体"/>
          <w:sz w:val="24"/>
        </w:rPr>
      </w:pPr>
      <w:bookmarkStart w:id="40" w:name="_Toc525049748"/>
      <w:r>
        <w:rPr>
          <w:rFonts w:hint="eastAsia" w:ascii="宋体" w:hAnsi="宋体" w:eastAsia="宋体" w:cs="宋体"/>
          <w:sz w:val="24"/>
        </w:rPr>
        <w:t>投标人提交的成果应符合中华人民共和国国家标准及行业颁布的现行规程、标准、规范和招标人关于本项目相关文件的有关规定，编制深度应达到各阶段要求，通过专家评审为依据并提交报批稿。协助招标人向自然资源主管部门办理申请项目用海材料。</w:t>
      </w:r>
    </w:p>
    <w:p>
      <w:pPr>
        <w:spacing w:line="360" w:lineRule="auto"/>
        <w:rPr>
          <w:rFonts w:hint="default" w:ascii="宋体" w:hAnsi="宋体" w:eastAsia="宋体" w:cs="宋体"/>
          <w:b/>
          <w:kern w:val="0"/>
          <w:sz w:val="24"/>
          <w:lang w:val="en-US" w:eastAsia="zh-CN"/>
        </w:rPr>
      </w:pPr>
      <w:r>
        <w:rPr>
          <w:rFonts w:hint="eastAsia" w:ascii="宋体" w:hAnsi="宋体" w:cs="宋体"/>
          <w:b/>
          <w:kern w:val="0"/>
          <w:sz w:val="24"/>
          <w:lang w:val="en-US" w:eastAsia="zh-CN" w:bidi="ar"/>
        </w:rPr>
        <w:t>六</w:t>
      </w:r>
      <w:r>
        <w:rPr>
          <w:rFonts w:hint="eastAsia" w:ascii="宋体" w:hAnsi="宋体" w:cs="宋体"/>
          <w:b/>
          <w:kern w:val="0"/>
          <w:sz w:val="24"/>
          <w:lang w:bidi="ar"/>
        </w:rPr>
        <w:t>、</w:t>
      </w:r>
      <w:bookmarkEnd w:id="40"/>
      <w:r>
        <w:rPr>
          <w:rFonts w:hint="eastAsia" w:ascii="宋体" w:hAnsi="宋体" w:cs="宋体"/>
          <w:b/>
          <w:kern w:val="0"/>
          <w:sz w:val="24"/>
          <w:lang w:val="en-US" w:eastAsia="zh-CN" w:bidi="ar"/>
        </w:rPr>
        <w:t>工期要求</w:t>
      </w:r>
    </w:p>
    <w:p>
      <w:pPr>
        <w:spacing w:line="360" w:lineRule="auto"/>
        <w:ind w:firstLine="480" w:firstLineChars="200"/>
        <w:rPr>
          <w:rFonts w:hint="eastAsia" w:ascii="宋体" w:hAnsi="宋体" w:eastAsia="宋体" w:cs="宋体"/>
          <w:sz w:val="24"/>
        </w:rPr>
      </w:pPr>
      <w:bookmarkStart w:id="41" w:name="_Toc525049753"/>
      <w:r>
        <w:rPr>
          <w:rFonts w:hint="eastAsia" w:ascii="宋体" w:hAnsi="宋体" w:eastAsia="宋体" w:cs="宋体"/>
          <w:sz w:val="24"/>
        </w:rPr>
        <w:t>合同签订后</w:t>
      </w:r>
      <w:r>
        <w:rPr>
          <w:rFonts w:hint="eastAsia" w:ascii="宋体" w:hAnsi="宋体" w:eastAsia="宋体" w:cs="宋体"/>
          <w:sz w:val="24"/>
          <w:lang w:val="en-US" w:eastAsia="zh-CN"/>
        </w:rPr>
        <w:t>2</w:t>
      </w:r>
      <w:r>
        <w:rPr>
          <w:rFonts w:hint="eastAsia" w:ascii="宋体" w:hAnsi="宋体" w:eastAsia="宋体" w:cs="宋体"/>
          <w:sz w:val="24"/>
        </w:rPr>
        <w:t>个</w:t>
      </w:r>
      <w:r>
        <w:rPr>
          <w:rFonts w:hint="eastAsia" w:ascii="宋体" w:hAnsi="宋体" w:eastAsia="宋体" w:cs="宋体"/>
          <w:sz w:val="24"/>
          <w:lang w:val="en-US" w:eastAsia="zh-CN"/>
        </w:rPr>
        <w:t>月</w:t>
      </w:r>
      <w:r>
        <w:rPr>
          <w:rFonts w:hint="eastAsia" w:ascii="宋体" w:hAnsi="宋体" w:eastAsia="宋体" w:cs="宋体"/>
          <w:sz w:val="24"/>
        </w:rPr>
        <w:t>。</w:t>
      </w:r>
    </w:p>
    <w:p>
      <w:pPr>
        <w:pStyle w:val="11"/>
        <w:numPr>
          <w:ilvl w:val="0"/>
          <w:numId w:val="0"/>
        </w:numPr>
        <w:spacing w:line="360" w:lineRule="auto"/>
        <w:ind w:leftChars="0"/>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七、项目成果要求</w:t>
      </w:r>
    </w:p>
    <w:p>
      <w:pPr>
        <w:pStyle w:val="11"/>
        <w:numPr>
          <w:ilvl w:val="0"/>
          <w:numId w:val="0"/>
        </w:numPr>
        <w:spacing w:line="360" w:lineRule="auto"/>
        <w:ind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投标人接收招标人提供的海域使用论证前置相关资料后10天内提交公示稿，30天内提交海域论证报告书等相关资料（初稿）15 份，用海域论证报告书评审通过后10天内提交海域论证报告书、海籍调查表、宗海图等相关资料（报批稿）5份。</w:t>
      </w:r>
    </w:p>
    <w:p>
      <w:pPr>
        <w:rPr>
          <w:rFonts w:hint="eastAsia" w:ascii="宋体" w:hAnsi="宋体" w:cs="宋体"/>
          <w:b/>
          <w:kern w:val="0"/>
          <w:sz w:val="24"/>
        </w:rPr>
      </w:pPr>
      <w:r>
        <w:rPr>
          <w:rFonts w:hint="eastAsia" w:ascii="宋体" w:hAnsi="宋体" w:cs="宋体"/>
          <w:b/>
          <w:kern w:val="0"/>
          <w:sz w:val="24"/>
          <w:lang w:val="en-US" w:eastAsia="zh-CN" w:bidi="ar"/>
        </w:rPr>
        <w:t>八、</w:t>
      </w:r>
      <w:r>
        <w:rPr>
          <w:rFonts w:hint="eastAsia" w:ascii="宋体" w:hAnsi="宋体" w:cs="宋体"/>
          <w:b/>
          <w:kern w:val="0"/>
          <w:sz w:val="24"/>
          <w:lang w:bidi="ar"/>
        </w:rPr>
        <w:t>付款方式</w:t>
      </w:r>
      <w:bookmarkEnd w:id="41"/>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本合同采用分期支付的方式，具体方式如下：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（1）双方合同签订后支付合同价的</w:t>
      </w:r>
      <w:r>
        <w:rPr>
          <w:rFonts w:hint="eastAsia" w:ascii="宋体" w:hAnsi="宋体" w:cs="宋体"/>
          <w:sz w:val="24"/>
          <w:lang w:val="en-US" w:eastAsia="zh-CN"/>
        </w:rPr>
        <w:t>4</w:t>
      </w:r>
      <w:r>
        <w:rPr>
          <w:rFonts w:hint="eastAsia" w:ascii="宋体" w:hAnsi="宋体" w:eastAsia="宋体" w:cs="宋体"/>
          <w:sz w:val="24"/>
        </w:rPr>
        <w:t xml:space="preserve">0%；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（2）提交项目报告书（报批稿）支付合同价的</w:t>
      </w:r>
      <w:r>
        <w:rPr>
          <w:rFonts w:hint="eastAsia" w:ascii="宋体" w:hAnsi="宋体" w:cs="宋体"/>
          <w:sz w:val="24"/>
          <w:lang w:val="en-US" w:eastAsia="zh-CN"/>
        </w:rPr>
        <w:t>5</w:t>
      </w:r>
      <w:r>
        <w:rPr>
          <w:rFonts w:hint="eastAsia" w:ascii="宋体" w:hAnsi="宋体" w:eastAsia="宋体" w:cs="宋体"/>
          <w:sz w:val="24"/>
        </w:rPr>
        <w:t>0%；</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（3）取得项目批复支付合同价的10%。</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招标人</w:t>
      </w:r>
      <w:r>
        <w:rPr>
          <w:rFonts w:hint="eastAsia" w:ascii="宋体" w:hAnsi="宋体" w:eastAsia="宋体" w:cs="宋体"/>
          <w:sz w:val="24"/>
        </w:rPr>
        <w:t>收到</w:t>
      </w:r>
      <w:r>
        <w:rPr>
          <w:rFonts w:hint="eastAsia" w:ascii="宋体" w:hAnsi="宋体" w:eastAsia="宋体" w:cs="宋体"/>
          <w:sz w:val="24"/>
          <w:lang w:val="en-US" w:eastAsia="zh-CN"/>
        </w:rPr>
        <w:t>中标人</w:t>
      </w:r>
      <w:r>
        <w:rPr>
          <w:rFonts w:hint="eastAsia" w:ascii="宋体" w:hAnsi="宋体" w:eastAsia="宋体" w:cs="宋体"/>
          <w:sz w:val="24"/>
        </w:rPr>
        <w:t>开具的正式发票后支付每期合同款。</w:t>
      </w:r>
    </w:p>
    <w:p>
      <w:pPr>
        <w:snapToGrid w:val="0"/>
        <w:spacing w:line="360" w:lineRule="auto"/>
        <w:ind w:firstLine="354" w:firstLineChars="169"/>
        <w:jc w:val="left"/>
      </w:pPr>
    </w:p>
    <w:p>
      <w:pPr>
        <w:pStyle w:val="31"/>
        <w:ind w:firstLine="480"/>
      </w:pPr>
    </w:p>
    <w:p>
      <w:pPr>
        <w:pStyle w:val="31"/>
        <w:ind w:firstLine="480"/>
      </w:pPr>
    </w:p>
    <w:p>
      <w:pPr>
        <w:pStyle w:val="31"/>
        <w:ind w:firstLine="480"/>
      </w:pPr>
    </w:p>
    <w:p>
      <w:pPr>
        <w:pStyle w:val="31"/>
        <w:ind w:firstLine="48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left="0" w:leftChars="0" w:firstLine="0" w:firstLineChars="0"/>
      </w:pPr>
    </w:p>
    <w:p>
      <w:pPr>
        <w:pStyle w:val="31"/>
        <w:ind w:firstLine="480"/>
      </w:pPr>
    </w:p>
    <w:p>
      <w:pPr>
        <w:pStyle w:val="31"/>
        <w:ind w:firstLine="480"/>
      </w:pPr>
    </w:p>
    <w:p>
      <w:pPr>
        <w:pStyle w:val="31"/>
        <w:ind w:firstLine="480"/>
      </w:pPr>
    </w:p>
    <w:p>
      <w:pPr>
        <w:numPr>
          <w:ilvl w:val="0"/>
          <w:numId w:val="6"/>
        </w:numPr>
        <w:spacing w:line="360" w:lineRule="auto"/>
        <w:jc w:val="center"/>
        <w:rPr>
          <w:rFonts w:asciiTheme="minorEastAsia" w:hAnsiTheme="minorEastAsia" w:eastAsiaTheme="minorEastAsia"/>
          <w:b/>
          <w:sz w:val="36"/>
          <w:szCs w:val="36"/>
        </w:rPr>
      </w:pPr>
      <w:bookmarkStart w:id="42" w:name="_Toc31173_WPSOffice_Level1"/>
      <w:r>
        <w:rPr>
          <w:rFonts w:hint="eastAsia" w:asciiTheme="minorEastAsia" w:hAnsiTheme="minorEastAsia" w:eastAsiaTheme="minorEastAsia"/>
          <w:b/>
          <w:sz w:val="36"/>
          <w:szCs w:val="36"/>
        </w:rPr>
        <w:t>评标</w:t>
      </w:r>
      <w:bookmarkEnd w:id="42"/>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w:t>
      </w:r>
      <w:r>
        <w:rPr>
          <w:rFonts w:hint="eastAsia" w:asciiTheme="minorEastAsia" w:hAnsiTheme="minorEastAsia" w:eastAsiaTheme="minorEastAsia"/>
          <w:kern w:val="0"/>
          <w:sz w:val="24"/>
          <w:lang w:eastAsia="zh-CN"/>
        </w:rPr>
        <w:t>资格标</w:t>
      </w:r>
      <w:r>
        <w:rPr>
          <w:rFonts w:hint="eastAsia" w:asciiTheme="minorEastAsia" w:hAnsiTheme="minorEastAsia" w:eastAsiaTheme="minorEastAsia"/>
          <w:kern w:val="0"/>
          <w:sz w:val="24"/>
        </w:rPr>
        <w:t>或技术</w:t>
      </w:r>
      <w:r>
        <w:rPr>
          <w:rFonts w:hint="eastAsia" w:asciiTheme="minorEastAsia" w:hAnsiTheme="minorEastAsia" w:eastAsiaTheme="minorEastAsia"/>
          <w:kern w:val="0"/>
          <w:sz w:val="24"/>
          <w:lang w:val="en-US" w:eastAsia="zh-CN"/>
        </w:rPr>
        <w:t>标</w:t>
      </w:r>
      <w:r>
        <w:rPr>
          <w:rFonts w:hint="eastAsia" w:asciiTheme="minorEastAsia" w:hAnsiTheme="minorEastAsia" w:eastAsiaTheme="minorEastAsia"/>
          <w:kern w:val="0"/>
          <w:sz w:val="24"/>
        </w:rPr>
        <w:t>中出现投标报价的，或者报价文件中报价的服务跟商务与技术文件中的投标服务出现重大偏差的；</w:t>
      </w:r>
    </w:p>
    <w:p>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2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7"/>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7"/>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（十一）投标文件有效期不足的；</w:t>
      </w:r>
    </w:p>
    <w:p>
      <w:pPr>
        <w:pStyle w:val="7"/>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（十二）逾期或未按要求提交投标文件的；</w:t>
      </w:r>
    </w:p>
    <w:p>
      <w:pPr>
        <w:pStyle w:val="7"/>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（十三）两家或两家以上投标单位上传投标文件的ip地址（或工程清单锁地址）相同，视为串标行为，取消评标资格。</w:t>
      </w:r>
    </w:p>
    <w:p>
      <w:pPr>
        <w:pStyle w:val="7"/>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lang w:val="en-US" w:eastAsia="zh-CN"/>
        </w:rPr>
        <w:t>十四</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rPr>
        <w:t>被拒绝的投标文件为无效。</w:t>
      </w:r>
    </w:p>
    <w:p>
      <w:pPr>
        <w:pStyle w:val="7"/>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）其他不符合法律法规相关规定的。</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六、</w:t>
      </w:r>
      <w:r>
        <w:rPr>
          <w:rFonts w:hint="eastAsia" w:ascii="宋体" w:hAnsi="宋体" w:cs="宋体"/>
          <w:b/>
          <w:kern w:val="0"/>
          <w:sz w:val="24"/>
        </w:rPr>
        <w:t>投标人有下列情形之一的，投标保证金将不予退还</w:t>
      </w:r>
    </w:p>
    <w:p>
      <w:pPr>
        <w:snapToGrid w:val="0"/>
        <w:spacing w:line="400" w:lineRule="exact"/>
        <w:ind w:firstLine="470" w:firstLineChars="196"/>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一</w:t>
      </w:r>
      <w:r>
        <w:rPr>
          <w:rFonts w:hint="eastAsia" w:ascii="宋体" w:hAnsi="宋体"/>
          <w:color w:val="auto"/>
          <w:sz w:val="24"/>
        </w:rPr>
        <w:t>）投标人在投标有效期内撤回投标文件的；</w:t>
      </w:r>
    </w:p>
    <w:p>
      <w:pPr>
        <w:snapToGrid w:val="0"/>
        <w:spacing w:line="400" w:lineRule="exact"/>
        <w:ind w:firstLine="470" w:firstLineChars="196"/>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二</w:t>
      </w:r>
      <w:r>
        <w:rPr>
          <w:rFonts w:hint="eastAsia" w:ascii="宋体" w:hAnsi="宋体"/>
          <w:color w:val="auto"/>
          <w:sz w:val="24"/>
        </w:rPr>
        <w:t>）未按规定提交履约保证金的；</w:t>
      </w:r>
    </w:p>
    <w:p>
      <w:pPr>
        <w:snapToGrid w:val="0"/>
        <w:spacing w:line="400" w:lineRule="exact"/>
        <w:ind w:firstLine="470" w:firstLineChars="196"/>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三</w:t>
      </w:r>
      <w:r>
        <w:rPr>
          <w:rFonts w:hint="eastAsia" w:ascii="宋体" w:hAnsi="宋体"/>
          <w:color w:val="auto"/>
          <w:sz w:val="24"/>
        </w:rPr>
        <w:t>）投标人在投标过程中弄虚作假，提供虚假材料的；</w:t>
      </w:r>
    </w:p>
    <w:p>
      <w:pPr>
        <w:snapToGrid w:val="0"/>
        <w:spacing w:line="400" w:lineRule="exact"/>
        <w:ind w:firstLine="470" w:firstLineChars="196"/>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四</w:t>
      </w:r>
      <w:r>
        <w:rPr>
          <w:rFonts w:hint="eastAsia" w:ascii="宋体" w:hAnsi="宋体"/>
          <w:color w:val="auto"/>
          <w:sz w:val="24"/>
        </w:rPr>
        <w:t>）中标人无正当理由不与采购单位签订合同的；</w:t>
      </w:r>
    </w:p>
    <w:p>
      <w:pPr>
        <w:snapToGrid w:val="0"/>
        <w:spacing w:line="400" w:lineRule="exact"/>
        <w:ind w:firstLine="470" w:firstLineChars="196"/>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五</w:t>
      </w:r>
      <w:r>
        <w:rPr>
          <w:rFonts w:hint="eastAsia" w:ascii="宋体" w:hAnsi="宋体"/>
          <w:color w:val="auto"/>
          <w:sz w:val="24"/>
        </w:rPr>
        <w:t>）</w:t>
      </w:r>
      <w:r>
        <w:rPr>
          <w:rFonts w:hint="eastAsia" w:ascii="宋体" w:hAnsi="宋体"/>
          <w:bCs/>
          <w:color w:val="auto"/>
          <w:sz w:val="24"/>
        </w:rPr>
        <w:t>将中标项目转让给他人或者在投标文件中未说明且未经招标人同意，将中标项目分包给他人的；</w:t>
      </w:r>
    </w:p>
    <w:p>
      <w:pPr>
        <w:snapToGrid w:val="0"/>
        <w:spacing w:line="40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六</w:t>
      </w:r>
      <w:r>
        <w:rPr>
          <w:rFonts w:hint="eastAsia" w:ascii="宋体" w:hAnsi="宋体"/>
          <w:color w:val="auto"/>
          <w:sz w:val="24"/>
        </w:rPr>
        <w:t>）拒绝履行合同义务的；</w:t>
      </w:r>
    </w:p>
    <w:p>
      <w:pPr>
        <w:pStyle w:val="13"/>
        <w:snapToGrid w:val="0"/>
        <w:spacing w:line="360" w:lineRule="auto"/>
        <w:ind w:firstLine="482" w:firstLineChars="200"/>
        <w:rPr>
          <w:rFonts w:hAnsi="宋体" w:cs="宋体"/>
          <w:b/>
          <w:sz w:val="24"/>
        </w:rPr>
      </w:pPr>
      <w:r>
        <w:rPr>
          <w:rFonts w:hint="eastAsia" w:hAnsi="宋体" w:cs="宋体"/>
          <w:b/>
          <w:sz w:val="24"/>
          <w:lang w:val="en-US" w:eastAsia="zh-CN"/>
        </w:rPr>
        <w:t>七</w:t>
      </w:r>
      <w:r>
        <w:rPr>
          <w:rFonts w:hint="eastAsia" w:hAnsi="宋体" w:cs="宋体"/>
          <w:b/>
          <w:sz w:val="24"/>
        </w:rPr>
        <w:t>、评标过程的监控</w:t>
      </w:r>
    </w:p>
    <w:p>
      <w:pPr>
        <w:pStyle w:val="21"/>
        <w:spacing w:before="0" w:beforeAutospacing="0" w:after="0" w:afterAutospacing="0" w:line="360" w:lineRule="auto"/>
        <w:ind w:firstLine="480" w:firstLineChars="200"/>
        <w:jc w:val="both"/>
      </w:pPr>
      <w:r>
        <w:t>本项目评标过程实行全程录音、录像监控，投标人在评标过程中所进行的试图影响评标结果的不公正活动，可能导致其投标被拒绝。</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lang w:val="en-US" w:eastAsia="zh-CN"/>
        </w:rPr>
        <w:t>八</w:t>
      </w:r>
      <w:r>
        <w:rPr>
          <w:rFonts w:hint="eastAsia" w:asciiTheme="minorEastAsia" w:hAnsiTheme="minorEastAsia" w:eastAsiaTheme="minorEastAsia"/>
          <w:b/>
          <w:bCs/>
          <w:sz w:val="24"/>
        </w:rPr>
        <w:t>、</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9"/>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sz w:val="24"/>
        </w:rPr>
        <w:t>询问</w:t>
      </w:r>
      <w:r>
        <w:rPr>
          <w:rFonts w:asciiTheme="minorEastAsia" w:hAnsiTheme="minorEastAsia" w:eastAsiaTheme="minorEastAsia"/>
          <w:sz w:val="24"/>
        </w:rPr>
        <w:t>，</w:t>
      </w:r>
      <w:r>
        <w:rPr>
          <w:rFonts w:hint="eastAsia"/>
          <w:sz w:val="24"/>
        </w:rPr>
        <w:t>在</w:t>
      </w:r>
      <w:r>
        <w:rPr>
          <w:rFonts w:hint="eastAsia" w:ascii="宋体" w:hAnsi="宋体" w:cs="宋体"/>
          <w:sz w:val="24"/>
        </w:rPr>
        <w:t>台州湾新区小额工程电子交易平台</w:t>
      </w:r>
      <w:r>
        <w:rPr>
          <w:rFonts w:hint="eastAsia"/>
          <w:sz w:val="24"/>
        </w:rPr>
        <w:t>公布</w:t>
      </w:r>
      <w:r>
        <w:rPr>
          <w:rFonts w:asciiTheme="minorEastAsia" w:hAnsiTheme="minorEastAsia" w:eastAsiaTheme="minorEastAsia"/>
          <w:sz w:val="24"/>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53"/>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53"/>
              <w:spacing w:line="300" w:lineRule="auto"/>
              <w:ind w:left="15" w:leftChars="7" w:right="-17" w:rightChars="-8" w:firstLine="403" w:firstLineChars="192"/>
              <w:rPr>
                <w:szCs w:val="21"/>
              </w:rPr>
            </w:pPr>
            <w:r>
              <w:rPr>
                <w:rFonts w:hint="eastAsia"/>
                <w:szCs w:val="21"/>
              </w:rPr>
              <w:t>提供具有依法缴纳税收和社会保障资金证明的承诺函。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53"/>
              <w:spacing w:before="117" w:line="300" w:lineRule="auto"/>
              <w:ind w:left="15" w:leftChars="7" w:right="-17" w:rightChars="-8" w:firstLine="403" w:firstLineChars="192"/>
              <w:rPr>
                <w:szCs w:val="21"/>
              </w:rPr>
            </w:pPr>
            <w:r>
              <w:rPr>
                <w:rFonts w:hint="eastAsia"/>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53"/>
              <w:spacing w:before="1" w:line="300" w:lineRule="auto"/>
              <w:ind w:left="15" w:leftChars="7" w:right="-17" w:rightChars="-8" w:firstLine="403" w:firstLineChars="192"/>
              <w:rPr>
                <w:szCs w:val="21"/>
              </w:rPr>
            </w:pPr>
            <w:r>
              <w:rPr>
                <w:rFonts w:hint="eastAsia"/>
                <w:szCs w:val="21"/>
              </w:rPr>
              <w:t>提供具有履行合同所必须的设备和专业技术能力的承诺函。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ascii="宋体" w:hAnsi="宋体" w:cs="宋体"/>
              </w:rPr>
              <w:t>1.截止时点：开标后评标前。</w:t>
            </w:r>
          </w:p>
          <w:p>
            <w:pPr>
              <w:spacing w:line="300" w:lineRule="auto"/>
              <w:ind w:left="15" w:leftChars="7" w:right="-17" w:rightChars="-8" w:firstLine="403" w:firstLineChars="192"/>
              <w:rPr>
                <w:rFonts w:ascii="宋体" w:hAnsi="宋体" w:cs="宋体"/>
                <w:szCs w:val="21"/>
              </w:rPr>
            </w:pPr>
            <w:r>
              <w:rPr>
                <w:rFonts w:hint="eastAsia" w:ascii="宋体" w:hAnsi="宋体" w:cs="宋体"/>
                <w:lang w:val="en-US" w:eastAsia="zh-CN"/>
              </w:rPr>
              <w:t>2</w:t>
            </w:r>
            <w:r>
              <w:rPr>
                <w:rFonts w:hint="eastAsia" w:ascii="宋体" w:hAnsi="宋体" w:cs="宋体"/>
              </w:rPr>
              <w:t>.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53"/>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53"/>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3"/>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本项目</w:t>
            </w:r>
            <w:r>
              <w:rPr>
                <w:rFonts w:hint="eastAsia"/>
                <w:szCs w:val="21"/>
                <w:lang w:val="en-US" w:eastAsia="zh-CN"/>
              </w:rPr>
              <w:t>不</w:t>
            </w:r>
            <w:r>
              <w:rPr>
                <w:rFonts w:hint="eastAsia"/>
                <w:szCs w:val="21"/>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pPr>
              <w:pStyle w:val="53"/>
              <w:spacing w:before="48" w:line="300" w:lineRule="auto"/>
              <w:ind w:left="15" w:leftChars="7" w:right="-17" w:rightChars="-8" w:firstLine="403" w:firstLineChars="192"/>
              <w:rPr>
                <w:szCs w:val="21"/>
              </w:rPr>
            </w:pPr>
            <w:r>
              <w:rPr>
                <w:rFonts w:hint="eastAsia"/>
                <w:szCs w:val="21"/>
              </w:rPr>
              <w:t>无</w:t>
            </w:r>
          </w:p>
        </w:tc>
      </w:tr>
    </w:tbl>
    <w:p>
      <w:pPr>
        <w:pStyle w:val="9"/>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在台州湾新区小额工程电子交易平台公布无效投标的投标人名单、投标无效的原因</w:t>
      </w:r>
      <w:r>
        <w:rPr>
          <w:rFonts w:hint="eastAsia" w:asciiTheme="minorEastAsia" w:hAnsiTheme="minorEastAsia" w:eastAsiaTheme="minorEastAsia"/>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3"/>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pPr>
            <w:r>
              <w:rPr>
                <w:rFonts w:hint="eastAsia"/>
              </w:rPr>
              <w:t>投标文件未含有采购人不可接受的附加条件。</w:t>
            </w:r>
          </w:p>
        </w:tc>
      </w:tr>
    </w:tbl>
    <w:p>
      <w:pPr>
        <w:pStyle w:val="21"/>
        <w:spacing w:before="0" w:beforeAutospacing="0" w:after="0" w:afterAutospacing="0" w:line="360" w:lineRule="auto"/>
        <w:jc w:val="both"/>
        <w:rPr>
          <w:rFonts w:hint="default" w:asciiTheme="minorEastAsia" w:hAnsiTheme="minorEastAsia" w:eastAsiaTheme="minorEastAsia"/>
          <w:b/>
          <w:bCs/>
        </w:rPr>
      </w:pPr>
    </w:p>
    <w:p>
      <w:pPr>
        <w:pStyle w:val="21"/>
        <w:spacing w:before="0" w:beforeAutospacing="0" w:after="0" w:afterAutospacing="0" w:line="360" w:lineRule="auto"/>
        <w:ind w:firstLine="482" w:firstLineChars="200"/>
        <w:jc w:val="both"/>
        <w:rPr>
          <w:rFonts w:asciiTheme="minorEastAsia" w:hAnsiTheme="minorEastAsia" w:eastAsiaTheme="minorEastAsia"/>
          <w:b/>
          <w:bCs/>
        </w:rPr>
      </w:pPr>
    </w:p>
    <w:p>
      <w:pPr>
        <w:pStyle w:val="21"/>
        <w:spacing w:before="0" w:beforeAutospacing="0" w:after="0" w:afterAutospacing="0" w:line="360" w:lineRule="auto"/>
        <w:jc w:val="both"/>
        <w:rPr>
          <w:rFonts w:asciiTheme="minorEastAsia" w:hAnsiTheme="minorEastAsia" w:eastAsiaTheme="minorEastAsia"/>
          <w:b/>
          <w:bCs/>
        </w:rPr>
      </w:pPr>
    </w:p>
    <w:p>
      <w:pPr>
        <w:pStyle w:val="21"/>
        <w:spacing w:before="0" w:beforeAutospacing="0" w:after="0" w:afterAutospacing="0" w:line="360" w:lineRule="auto"/>
        <w:jc w:val="both"/>
        <w:rPr>
          <w:rFonts w:asciiTheme="minorEastAsia" w:hAnsiTheme="minorEastAsia" w:eastAsiaTheme="minorEastAsia"/>
          <w:b/>
          <w:bCs/>
        </w:rPr>
      </w:pPr>
    </w:p>
    <w:p>
      <w:pPr>
        <w:pStyle w:val="21"/>
        <w:spacing w:before="0" w:beforeAutospacing="0" w:after="0" w:afterAutospacing="0" w:line="360" w:lineRule="auto"/>
        <w:jc w:val="both"/>
        <w:rPr>
          <w:rFonts w:asciiTheme="minorEastAsia" w:hAnsiTheme="minorEastAsia" w:eastAsiaTheme="minorEastAsia"/>
          <w:b/>
          <w:bCs/>
        </w:rPr>
      </w:pPr>
    </w:p>
    <w:p>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技术</w:t>
      </w:r>
      <w:r>
        <w:rPr>
          <w:rFonts w:hint="eastAsia" w:ascii="Arial" w:hAnsi="Arial" w:cs="Arial" w:eastAsiaTheme="minorEastAsia"/>
          <w:b/>
          <w:bCs/>
          <w:lang w:val="en-US" w:eastAsia="zh-CN"/>
        </w:rPr>
        <w:t>标</w:t>
      </w:r>
      <w:r>
        <w:rPr>
          <w:rFonts w:ascii="Arial" w:hAnsi="Arial" w:cs="Arial" w:eastAsiaTheme="minorEastAsia"/>
          <w:b/>
          <w:bCs/>
        </w:rPr>
        <w:t>及</w:t>
      </w:r>
      <w:r>
        <w:rPr>
          <w:rFonts w:hint="eastAsia" w:ascii="Arial" w:hAnsi="Arial" w:cs="Arial" w:eastAsiaTheme="minorEastAsia"/>
          <w:b/>
          <w:bCs/>
          <w:lang w:val="en-US" w:eastAsia="zh-CN"/>
        </w:rPr>
        <w:t>商务标</w:t>
      </w:r>
      <w:r>
        <w:rPr>
          <w:rFonts w:ascii="Arial" w:hAnsi="Arial" w:cs="Arial" w:eastAsiaTheme="minorEastAsia"/>
          <w:b/>
          <w:bCs/>
        </w:rPr>
        <w:t>评审</w:t>
      </w:r>
    </w:p>
    <w:p>
      <w:pPr>
        <w:numPr>
          <w:ilvl w:val="0"/>
          <w:numId w:val="0"/>
        </w:numPr>
        <w:autoSpaceDE w:val="0"/>
        <w:autoSpaceDN w:val="0"/>
        <w:adjustRightInd w:val="0"/>
        <w:spacing w:line="360" w:lineRule="auto"/>
        <w:ind w:right="85" w:rightChars="0"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pPr>
        <w:numPr>
          <w:ilvl w:val="0"/>
          <w:numId w:val="0"/>
        </w:numPr>
        <w:autoSpaceDE w:val="0"/>
        <w:autoSpaceDN w:val="0"/>
        <w:adjustRightInd w:val="0"/>
        <w:spacing w:line="360" w:lineRule="auto"/>
        <w:ind w:right="85" w:rightChars="0" w:firstLine="241" w:firstLineChars="100"/>
        <w:rPr>
          <w:rFonts w:ascii="宋体"/>
          <w:b/>
          <w:bCs/>
          <w:sz w:val="24"/>
        </w:rPr>
      </w:pPr>
      <w:r>
        <w:rPr>
          <w:rFonts w:hint="eastAsia" w:ascii="宋体"/>
          <w:b/>
          <w:bCs/>
          <w:sz w:val="24"/>
          <w:lang w:val="en-US" w:eastAsia="zh-CN"/>
        </w:rPr>
        <w:t>1、</w:t>
      </w:r>
      <w:r>
        <w:rPr>
          <w:rFonts w:hint="eastAsia" w:ascii="宋体"/>
          <w:b/>
          <w:bCs/>
          <w:sz w:val="24"/>
        </w:rPr>
        <w:t>评分标准</w:t>
      </w:r>
    </w:p>
    <w:tbl>
      <w:tblPr>
        <w:tblStyle w:val="25"/>
        <w:tblpPr w:leftFromText="180" w:rightFromText="180" w:vertAnchor="text" w:horzAnchor="page" w:tblpX="1211" w:tblpY="466"/>
        <w:tblOverlap w:val="never"/>
        <w:tblW w:w="96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7742"/>
        <w:gridCol w:w="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top w:val="single" w:color="auto" w:sz="12" w:space="0"/>
              <w:bottom w:val="single" w:color="auto" w:sz="4" w:space="0"/>
            </w:tcBorders>
            <w:shd w:val="pct20" w:color="auto" w:fill="auto"/>
            <w:vAlign w:val="center"/>
          </w:tcPr>
          <w:p>
            <w:pPr>
              <w:widowControl/>
              <w:spacing w:line="360" w:lineRule="auto"/>
              <w:jc w:val="left"/>
              <w:rPr>
                <w:rFonts w:ascii="Arial" w:hAnsi="Arial" w:cs="Arial"/>
                <w:b/>
                <w:bCs/>
                <w:color w:val="auto"/>
                <w:szCs w:val="21"/>
              </w:rPr>
            </w:pPr>
            <w:r>
              <w:rPr>
                <w:rFonts w:hint="eastAsia"/>
                <w:b/>
                <w:color w:val="auto"/>
                <w:szCs w:val="21"/>
              </w:rPr>
              <w:t>评分项目</w:t>
            </w:r>
          </w:p>
        </w:tc>
        <w:tc>
          <w:tcPr>
            <w:tcW w:w="7742" w:type="dxa"/>
            <w:tcBorders>
              <w:top w:val="single" w:color="auto" w:sz="12" w:space="0"/>
              <w:bottom w:val="single" w:color="auto" w:sz="4" w:space="0"/>
            </w:tcBorders>
            <w:shd w:val="pct20" w:color="auto" w:fill="auto"/>
            <w:vAlign w:val="center"/>
          </w:tcPr>
          <w:p>
            <w:pPr>
              <w:widowControl/>
              <w:spacing w:line="360" w:lineRule="auto"/>
              <w:jc w:val="center"/>
              <w:rPr>
                <w:rFonts w:ascii="宋体"/>
                <w:color w:val="auto"/>
                <w:szCs w:val="21"/>
              </w:rPr>
            </w:pPr>
            <w:r>
              <w:rPr>
                <w:rFonts w:hint="eastAsia"/>
                <w:b/>
                <w:color w:val="auto"/>
                <w:szCs w:val="21"/>
              </w:rPr>
              <w:t>评分细则</w:t>
            </w:r>
          </w:p>
        </w:tc>
        <w:tc>
          <w:tcPr>
            <w:tcW w:w="667" w:type="dxa"/>
            <w:tcBorders>
              <w:top w:val="single" w:color="auto" w:sz="12" w:space="0"/>
              <w:bottom w:val="single" w:color="auto" w:sz="4" w:space="0"/>
            </w:tcBorders>
            <w:shd w:val="pct20" w:color="auto" w:fill="auto"/>
            <w:vAlign w:val="center"/>
          </w:tcPr>
          <w:p>
            <w:pPr>
              <w:widowControl/>
              <w:spacing w:line="360" w:lineRule="auto"/>
              <w:jc w:val="center"/>
              <w:rPr>
                <w:rFonts w:ascii="Arial" w:hAnsi="Arial" w:cs="Arial"/>
                <w:bCs/>
                <w:color w:val="auto"/>
                <w:szCs w:val="21"/>
              </w:rPr>
            </w:pPr>
            <w:r>
              <w:rPr>
                <w:rFonts w:hint="eastAsia" w:ascii="Arial" w:hAnsi="Arial" w:cs="Arial"/>
                <w:bCs/>
                <w:color w:val="auto"/>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7" w:hRule="atLeast"/>
        </w:trPr>
        <w:tc>
          <w:tcPr>
            <w:tcW w:w="1237" w:type="dxa"/>
            <w:vMerge w:val="restart"/>
            <w:vAlign w:val="center"/>
          </w:tcPr>
          <w:p>
            <w:pPr>
              <w:spacing w:line="360" w:lineRule="auto"/>
              <w:textAlignment w:val="baseline"/>
              <w:rPr>
                <w:color w:val="auto"/>
                <w:szCs w:val="21"/>
              </w:rPr>
            </w:pPr>
            <w:r>
              <w:rPr>
                <w:rFonts w:hint="eastAsia"/>
                <w:color w:val="auto"/>
                <w:szCs w:val="21"/>
              </w:rPr>
              <w:t>技术性能</w:t>
            </w:r>
          </w:p>
          <w:p>
            <w:pPr>
              <w:spacing w:line="360" w:lineRule="auto"/>
              <w:textAlignment w:val="baseline"/>
              <w:rPr>
                <w:color w:val="auto"/>
                <w:szCs w:val="21"/>
              </w:rPr>
            </w:pPr>
            <w:r>
              <w:rPr>
                <w:rFonts w:hint="eastAsia"/>
                <w:color w:val="auto"/>
                <w:szCs w:val="21"/>
                <w:lang w:val="en-US" w:eastAsia="zh-CN"/>
              </w:rPr>
              <w:t>70</w:t>
            </w:r>
            <w:r>
              <w:rPr>
                <w:rFonts w:hint="eastAsia"/>
                <w:color w:val="auto"/>
                <w:szCs w:val="21"/>
              </w:rPr>
              <w:t>分</w:t>
            </w:r>
          </w:p>
        </w:tc>
        <w:tc>
          <w:tcPr>
            <w:tcW w:w="7742" w:type="dxa"/>
            <w:tcBorders>
              <w:top w:val="single" w:color="auto" w:sz="4" w:space="0"/>
            </w:tcBorders>
            <w:vAlign w:val="center"/>
          </w:tcPr>
          <w:p>
            <w:pPr>
              <w:pStyle w:val="34"/>
              <w:numPr>
                <w:ilvl w:val="0"/>
                <w:numId w:val="0"/>
              </w:numPr>
              <w:spacing w:line="360" w:lineRule="auto"/>
              <w:ind w:leftChars="0"/>
              <w:textAlignment w:val="baseline"/>
              <w:rPr>
                <w:rFonts w:ascii="Times New Roman" w:hAnsi="Times New Roman"/>
                <w:color w:val="auto"/>
                <w:szCs w:val="21"/>
              </w:rPr>
            </w:pPr>
            <w:r>
              <w:rPr>
                <w:rFonts w:hint="eastAsia" w:ascii="宋体" w:hAnsi="宋体" w:eastAsia="宋体" w:cs="宋体"/>
                <w:color w:val="auto"/>
                <w:sz w:val="22"/>
                <w:szCs w:val="22"/>
                <w:lang w:bidi="ar"/>
              </w:rPr>
              <w:t>根据</w:t>
            </w:r>
            <w:r>
              <w:rPr>
                <w:rFonts w:hint="eastAsia" w:ascii="宋体" w:hAnsi="宋体" w:eastAsia="宋体" w:cs="宋体"/>
                <w:color w:val="auto"/>
                <w:sz w:val="22"/>
                <w:szCs w:val="22"/>
                <w:lang w:eastAsia="zh-CN" w:bidi="ar"/>
              </w:rPr>
              <w:t>投标人</w:t>
            </w:r>
            <w:r>
              <w:rPr>
                <w:rFonts w:hint="eastAsia" w:ascii="宋体" w:hAnsi="宋体" w:eastAsia="宋体" w:cs="宋体"/>
                <w:color w:val="auto"/>
                <w:sz w:val="22"/>
                <w:szCs w:val="22"/>
                <w:lang w:bidi="ar"/>
              </w:rPr>
              <w:t>提供对本项目的前期理解、调查情况是否符合本项目的实际情况</w:t>
            </w:r>
            <w:r>
              <w:rPr>
                <w:rFonts w:hint="eastAsia" w:ascii="宋体" w:hAnsi="宋体" w:cs="宋体"/>
                <w:color w:val="auto"/>
                <w:sz w:val="22"/>
                <w:szCs w:val="22"/>
                <w:lang w:val="en-US" w:eastAsia="zh-CN" w:bidi="ar"/>
              </w:rPr>
              <w:t>进行评分</w:t>
            </w:r>
            <w:r>
              <w:rPr>
                <w:rFonts w:hint="eastAsia" w:ascii="Times New Roman" w:hAnsi="Times New Roman"/>
                <w:color w:val="auto"/>
                <w:szCs w:val="21"/>
              </w:rPr>
              <w:t>：</w:t>
            </w:r>
            <w:r>
              <w:rPr>
                <w:rFonts w:ascii="Times New Roman" w:hAnsi="Times New Roman"/>
                <w:color w:val="auto"/>
                <w:szCs w:val="21"/>
              </w:rPr>
              <w:t xml:space="preserve"> </w:t>
            </w:r>
          </w:p>
          <w:p>
            <w:pPr>
              <w:spacing w:line="360" w:lineRule="auto"/>
              <w:textAlignment w:val="baseline"/>
              <w:rPr>
                <w:color w:val="auto"/>
                <w:szCs w:val="21"/>
              </w:rPr>
            </w:pPr>
            <w:r>
              <w:rPr>
                <w:rFonts w:hint="eastAsia"/>
                <w:color w:val="auto"/>
                <w:szCs w:val="21"/>
              </w:rPr>
              <w:t>方案针对性</w:t>
            </w:r>
            <w:r>
              <w:rPr>
                <w:rFonts w:hint="eastAsia"/>
                <w:color w:val="auto"/>
                <w:szCs w:val="21"/>
                <w:lang w:val="en-US" w:eastAsia="zh-CN"/>
              </w:rPr>
              <w:t>完整清晰</w:t>
            </w:r>
            <w:r>
              <w:rPr>
                <w:rFonts w:hint="eastAsia"/>
                <w:color w:val="auto"/>
                <w:szCs w:val="21"/>
              </w:rPr>
              <w:t>、分析全面科学、合理性和可行性操作</w:t>
            </w:r>
            <w:r>
              <w:rPr>
                <w:rFonts w:hint="eastAsia"/>
                <w:color w:val="auto"/>
                <w:szCs w:val="21"/>
                <w:lang w:val="en-US" w:eastAsia="zh-CN"/>
              </w:rPr>
              <w:t>性强</w:t>
            </w:r>
            <w:r>
              <w:rPr>
                <w:rFonts w:hint="eastAsia"/>
                <w:color w:val="auto"/>
                <w:szCs w:val="21"/>
              </w:rPr>
              <w:t>的得</w:t>
            </w:r>
            <w:r>
              <w:rPr>
                <w:rFonts w:hint="eastAsia"/>
                <w:color w:val="auto"/>
                <w:szCs w:val="21"/>
                <w:lang w:val="en-US" w:eastAsia="zh-CN"/>
              </w:rPr>
              <w:t>7</w:t>
            </w:r>
            <w:r>
              <w:rPr>
                <w:rFonts w:hint="eastAsia"/>
                <w:color w:val="auto"/>
                <w:szCs w:val="21"/>
              </w:rPr>
              <w:t>分；</w:t>
            </w:r>
          </w:p>
          <w:p>
            <w:pPr>
              <w:spacing w:line="360" w:lineRule="auto"/>
              <w:textAlignment w:val="baseline"/>
              <w:rPr>
                <w:color w:val="auto"/>
                <w:szCs w:val="21"/>
              </w:rPr>
            </w:pPr>
            <w:r>
              <w:rPr>
                <w:rFonts w:hint="eastAsia"/>
                <w:color w:val="auto"/>
                <w:szCs w:val="21"/>
              </w:rPr>
              <w:t>方案针对性</w:t>
            </w:r>
            <w:r>
              <w:rPr>
                <w:rFonts w:hint="eastAsia"/>
                <w:color w:val="auto"/>
                <w:szCs w:val="21"/>
                <w:lang w:val="en-US" w:eastAsia="zh-CN"/>
              </w:rPr>
              <w:t>较完整清晰</w:t>
            </w:r>
            <w:r>
              <w:rPr>
                <w:rFonts w:hint="eastAsia"/>
                <w:color w:val="auto"/>
                <w:szCs w:val="21"/>
              </w:rPr>
              <w:t>、分析</w:t>
            </w:r>
            <w:r>
              <w:rPr>
                <w:rFonts w:hint="eastAsia"/>
                <w:color w:val="auto"/>
                <w:szCs w:val="21"/>
                <w:lang w:val="en-US" w:eastAsia="zh-CN"/>
              </w:rPr>
              <w:t>较</w:t>
            </w:r>
            <w:r>
              <w:rPr>
                <w:rFonts w:hint="eastAsia"/>
                <w:color w:val="auto"/>
                <w:szCs w:val="21"/>
              </w:rPr>
              <w:t>全面科学、合理性和可行性操作</w:t>
            </w:r>
            <w:r>
              <w:rPr>
                <w:rFonts w:hint="eastAsia"/>
                <w:color w:val="auto"/>
                <w:szCs w:val="21"/>
                <w:lang w:val="en-US" w:eastAsia="zh-CN"/>
              </w:rPr>
              <w:t>性较强</w:t>
            </w:r>
            <w:r>
              <w:rPr>
                <w:rFonts w:hint="eastAsia"/>
                <w:color w:val="auto"/>
                <w:szCs w:val="21"/>
              </w:rPr>
              <w:t>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color w:val="auto"/>
                <w:szCs w:val="21"/>
              </w:rPr>
              <w:t>方案针对性</w:t>
            </w:r>
            <w:r>
              <w:rPr>
                <w:rFonts w:hint="eastAsia"/>
                <w:color w:val="auto"/>
                <w:szCs w:val="21"/>
                <w:lang w:val="en-US" w:eastAsia="zh-CN"/>
              </w:rPr>
              <w:t>欠完整清晰</w:t>
            </w:r>
            <w:r>
              <w:rPr>
                <w:rFonts w:hint="eastAsia"/>
                <w:color w:val="auto"/>
                <w:szCs w:val="21"/>
              </w:rPr>
              <w:t>、分析</w:t>
            </w:r>
            <w:r>
              <w:rPr>
                <w:rFonts w:hint="eastAsia"/>
                <w:color w:val="auto"/>
                <w:szCs w:val="21"/>
                <w:lang w:val="en-US" w:eastAsia="zh-CN"/>
              </w:rPr>
              <w:t>欠</w:t>
            </w:r>
            <w:r>
              <w:rPr>
                <w:rFonts w:hint="eastAsia"/>
                <w:color w:val="auto"/>
                <w:szCs w:val="21"/>
              </w:rPr>
              <w:t>全面科学、合理性和可行性操作</w:t>
            </w:r>
            <w:r>
              <w:rPr>
                <w:rFonts w:hint="eastAsia"/>
                <w:color w:val="auto"/>
                <w:szCs w:val="21"/>
                <w:lang w:val="en-US" w:eastAsia="zh-CN"/>
              </w:rPr>
              <w:t>性欠强</w:t>
            </w:r>
            <w:r>
              <w:rPr>
                <w:rFonts w:hint="eastAsia"/>
                <w:color w:val="auto"/>
                <w:szCs w:val="21"/>
              </w:rPr>
              <w:t>的得</w:t>
            </w:r>
            <w:r>
              <w:rPr>
                <w:rFonts w:hint="eastAsia"/>
                <w:color w:val="auto"/>
                <w:szCs w:val="21"/>
                <w:lang w:val="en-US" w:eastAsia="zh-CN"/>
              </w:rPr>
              <w:t>5</w:t>
            </w:r>
            <w:r>
              <w:rPr>
                <w:rFonts w:hint="eastAsia"/>
                <w:color w:val="auto"/>
                <w:szCs w:val="21"/>
              </w:rPr>
              <w:t>分；</w:t>
            </w:r>
          </w:p>
          <w:p>
            <w:pPr>
              <w:pStyle w:val="20"/>
              <w:spacing w:line="360" w:lineRule="auto"/>
              <w:ind w:left="0" w:leftChars="0"/>
              <w:textAlignment w:val="baseline"/>
              <w:rPr>
                <w:color w:val="auto"/>
                <w:szCs w:val="21"/>
              </w:rPr>
            </w:pPr>
            <w:r>
              <w:rPr>
                <w:rFonts w:hint="eastAsia"/>
                <w:color w:val="auto"/>
                <w:szCs w:val="21"/>
              </w:rPr>
              <w:t>缺项或不提供得0分。</w:t>
            </w:r>
          </w:p>
        </w:tc>
        <w:tc>
          <w:tcPr>
            <w:tcW w:w="667" w:type="dxa"/>
            <w:tcBorders>
              <w:top w:val="single" w:color="auto" w:sz="4" w:space="0"/>
            </w:tcBorders>
            <w:vAlign w:val="center"/>
          </w:tcPr>
          <w:p>
            <w:pPr>
              <w:spacing w:line="360" w:lineRule="auto"/>
              <w:jc w:val="center"/>
              <w:rPr>
                <w:rFonts w:hint="eastAsia" w:ascii="宋体" w:eastAsia="宋体"/>
                <w:color w:val="auto"/>
                <w:szCs w:val="21"/>
                <w:lang w:eastAsia="zh-CN"/>
              </w:rPr>
            </w:pPr>
            <w:r>
              <w:rPr>
                <w:rFonts w:hint="eastAsia"/>
                <w:color w:val="auto"/>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3" w:hRule="atLeast"/>
        </w:trPr>
        <w:tc>
          <w:tcPr>
            <w:tcW w:w="1237" w:type="dxa"/>
            <w:vMerge w:val="continue"/>
            <w:vAlign w:val="center"/>
          </w:tcPr>
          <w:p>
            <w:pPr>
              <w:spacing w:line="360" w:lineRule="auto"/>
              <w:textAlignment w:val="baseline"/>
              <w:rPr>
                <w:color w:val="auto"/>
                <w:szCs w:val="21"/>
              </w:rPr>
            </w:pPr>
          </w:p>
        </w:tc>
        <w:tc>
          <w:tcPr>
            <w:tcW w:w="7742" w:type="dxa"/>
            <w:tcBorders>
              <w:top w:val="single" w:color="auto" w:sz="4" w:space="0"/>
              <w:bottom w:val="single" w:color="auto" w:sz="4" w:space="0"/>
            </w:tcBorders>
            <w:vAlign w:val="center"/>
          </w:tcPr>
          <w:p>
            <w:pPr>
              <w:pStyle w:val="34"/>
              <w:numPr>
                <w:ilvl w:val="0"/>
                <w:numId w:val="0"/>
              </w:numPr>
              <w:spacing w:line="360" w:lineRule="auto"/>
              <w:ind w:left="-19" w:leftChars="0"/>
              <w:textAlignment w:val="baseline"/>
              <w:rPr>
                <w:rFonts w:ascii="Times New Roman" w:hAnsi="Times New Roman"/>
                <w:color w:val="auto"/>
                <w:szCs w:val="21"/>
              </w:rPr>
            </w:pPr>
            <w:r>
              <w:rPr>
                <w:rFonts w:hint="eastAsia" w:ascii="宋体" w:hAnsi="宋体" w:eastAsia="宋体" w:cs="宋体"/>
                <w:color w:val="auto"/>
                <w:sz w:val="22"/>
                <w:szCs w:val="22"/>
                <w:lang w:bidi="ar"/>
              </w:rPr>
              <w:t>根据</w:t>
            </w:r>
            <w:r>
              <w:rPr>
                <w:rFonts w:hint="eastAsia" w:ascii="宋体" w:hAnsi="宋体" w:eastAsia="宋体" w:cs="宋体"/>
                <w:color w:val="auto"/>
                <w:sz w:val="22"/>
                <w:szCs w:val="22"/>
                <w:lang w:eastAsia="zh-CN" w:bidi="ar"/>
              </w:rPr>
              <w:t>投标人</w:t>
            </w:r>
            <w:r>
              <w:rPr>
                <w:rFonts w:hint="eastAsia" w:ascii="宋体" w:hAnsi="宋体" w:eastAsia="宋体" w:cs="宋体"/>
                <w:color w:val="auto"/>
                <w:sz w:val="22"/>
                <w:szCs w:val="22"/>
                <w:lang w:bidi="ar"/>
              </w:rPr>
              <w:t>针对本项目项目服务方案</w:t>
            </w:r>
            <w:r>
              <w:rPr>
                <w:rFonts w:hint="eastAsia" w:ascii="宋体" w:hAnsi="宋体" w:eastAsia="宋体" w:cs="宋体"/>
                <w:color w:val="auto"/>
                <w:sz w:val="22"/>
                <w:szCs w:val="22"/>
                <w:lang w:val="zh-CN" w:bidi="ar"/>
              </w:rPr>
              <w:t>是否具体、完整详细、先进、满足采购人要求，且有利于本项目的实施</w:t>
            </w:r>
            <w:r>
              <w:rPr>
                <w:rFonts w:hint="eastAsia" w:ascii="Times New Roman" w:hAnsi="Times New Roman"/>
                <w:color w:val="auto"/>
                <w:szCs w:val="21"/>
              </w:rPr>
              <w:t>性进行评分：</w:t>
            </w:r>
          </w:p>
          <w:p>
            <w:pPr>
              <w:spacing w:line="360" w:lineRule="auto"/>
              <w:textAlignment w:val="baseline"/>
              <w:rPr>
                <w:color w:val="auto"/>
                <w:szCs w:val="21"/>
              </w:rPr>
            </w:pPr>
            <w:r>
              <w:rPr>
                <w:rFonts w:hint="eastAsia" w:ascii="宋体" w:hAnsi="宋体" w:eastAsia="宋体" w:cs="宋体"/>
                <w:color w:val="auto"/>
                <w:sz w:val="22"/>
                <w:szCs w:val="22"/>
                <w:lang w:bidi="ar"/>
              </w:rPr>
              <w:t>对项目总体认识全面深刻，实施方案论述完整清晰，总体组织符合实际</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bidi="ar"/>
              </w:rPr>
              <w:t>总体计划合理，综合措施科学</w:t>
            </w:r>
            <w:r>
              <w:rPr>
                <w:rFonts w:hint="eastAsia"/>
                <w:color w:val="auto"/>
                <w:szCs w:val="21"/>
              </w:rPr>
              <w:t>的得</w:t>
            </w:r>
            <w:r>
              <w:rPr>
                <w:rFonts w:hint="eastAsia"/>
                <w:color w:val="auto"/>
                <w:szCs w:val="21"/>
                <w:lang w:val="en-US" w:eastAsia="zh-CN"/>
              </w:rPr>
              <w:t>7</w:t>
            </w:r>
            <w:r>
              <w:rPr>
                <w:rFonts w:hint="eastAsia"/>
                <w:color w:val="auto"/>
                <w:szCs w:val="21"/>
              </w:rPr>
              <w:t>分；</w:t>
            </w:r>
          </w:p>
          <w:p>
            <w:pPr>
              <w:spacing w:line="360" w:lineRule="auto"/>
              <w:textAlignment w:val="baseline"/>
              <w:rPr>
                <w:color w:val="auto"/>
                <w:szCs w:val="21"/>
              </w:rPr>
            </w:pPr>
            <w:r>
              <w:rPr>
                <w:rFonts w:hint="eastAsia" w:ascii="宋体" w:hAnsi="宋体" w:eastAsia="宋体" w:cs="宋体"/>
                <w:color w:val="auto"/>
                <w:sz w:val="22"/>
                <w:szCs w:val="22"/>
                <w:lang w:bidi="ar"/>
              </w:rPr>
              <w:t>对项目总体认识</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全面深刻，实施方案论述</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完整清晰，总体组织</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符合实际</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bidi="ar"/>
              </w:rPr>
              <w:t>总体计划</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合理，综合措施</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科学</w:t>
            </w:r>
            <w:r>
              <w:rPr>
                <w:rFonts w:hint="eastAsia"/>
                <w:color w:val="auto"/>
                <w:szCs w:val="21"/>
              </w:rPr>
              <w:t>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ascii="宋体" w:hAnsi="宋体" w:eastAsia="宋体" w:cs="宋体"/>
                <w:color w:val="auto"/>
                <w:sz w:val="22"/>
                <w:szCs w:val="22"/>
                <w:lang w:bidi="ar"/>
              </w:rPr>
              <w:t>对项目总体认识</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全面深刻，实施方案论述</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完整清晰，总体组织</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符合实际</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bidi="ar"/>
              </w:rPr>
              <w:t>总体计划</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合理，综合措施</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科学</w:t>
            </w:r>
            <w:r>
              <w:rPr>
                <w:rFonts w:hint="eastAsia"/>
                <w:color w:val="auto"/>
                <w:szCs w:val="21"/>
              </w:rPr>
              <w:t>的得</w:t>
            </w:r>
            <w:r>
              <w:rPr>
                <w:rFonts w:hint="eastAsia"/>
                <w:color w:val="auto"/>
                <w:szCs w:val="21"/>
                <w:lang w:val="en-US" w:eastAsia="zh-CN"/>
              </w:rPr>
              <w:t>5</w:t>
            </w:r>
            <w:r>
              <w:rPr>
                <w:rFonts w:hint="eastAsia"/>
                <w:color w:val="auto"/>
                <w:szCs w:val="21"/>
              </w:rPr>
              <w:t>；</w:t>
            </w:r>
          </w:p>
          <w:p>
            <w:pPr>
              <w:pStyle w:val="11"/>
              <w:ind w:firstLine="0" w:firstLineChars="0"/>
              <w:rPr>
                <w:color w:val="auto"/>
              </w:rPr>
            </w:pPr>
            <w:r>
              <w:rPr>
                <w:rFonts w:hint="eastAsia"/>
                <w:color w:val="auto"/>
                <w:sz w:val="21"/>
                <w:szCs w:val="21"/>
              </w:rPr>
              <w:t>缺项或不提供得0分。</w:t>
            </w:r>
          </w:p>
        </w:tc>
        <w:tc>
          <w:tcPr>
            <w:tcW w:w="667" w:type="dxa"/>
            <w:tcBorders>
              <w:top w:val="single" w:color="auto" w:sz="4" w:space="0"/>
              <w:bottom w:val="single" w:color="auto" w:sz="4" w:space="0"/>
            </w:tcBorders>
            <w:vAlign w:val="center"/>
          </w:tcPr>
          <w:p>
            <w:pPr>
              <w:spacing w:line="360" w:lineRule="auto"/>
              <w:jc w:val="center"/>
              <w:rPr>
                <w:rFonts w:hint="eastAsia" w:eastAsia="宋体"/>
                <w:color w:val="auto"/>
                <w:szCs w:val="21"/>
                <w:lang w:eastAsia="zh-CN"/>
              </w:rPr>
            </w:pPr>
            <w:r>
              <w:rPr>
                <w:rFonts w:hint="eastAsia"/>
                <w:color w:val="auto"/>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7" w:hRule="atLeast"/>
        </w:trPr>
        <w:tc>
          <w:tcPr>
            <w:tcW w:w="1237" w:type="dxa"/>
            <w:vMerge w:val="continue"/>
            <w:vAlign w:val="center"/>
          </w:tcPr>
          <w:p>
            <w:pPr>
              <w:spacing w:line="360" w:lineRule="auto"/>
              <w:textAlignment w:val="baseline"/>
              <w:rPr>
                <w:color w:val="auto"/>
                <w:szCs w:val="21"/>
              </w:rPr>
            </w:pPr>
          </w:p>
        </w:tc>
        <w:tc>
          <w:tcPr>
            <w:tcW w:w="7742" w:type="dxa"/>
            <w:tcBorders>
              <w:top w:val="single" w:color="auto" w:sz="4" w:space="0"/>
              <w:bottom w:val="single" w:color="auto" w:sz="4" w:space="0"/>
            </w:tcBorders>
            <w:vAlign w:val="center"/>
          </w:tcPr>
          <w:p>
            <w:pPr>
              <w:pStyle w:val="34"/>
              <w:numPr>
                <w:ilvl w:val="0"/>
                <w:numId w:val="0"/>
              </w:numPr>
              <w:spacing w:line="360" w:lineRule="auto"/>
              <w:ind w:leftChars="0"/>
              <w:textAlignment w:val="baseline"/>
              <w:rPr>
                <w:rFonts w:ascii="Times New Roman" w:hAnsi="Times New Roman"/>
                <w:color w:val="auto"/>
                <w:szCs w:val="21"/>
              </w:rPr>
            </w:pPr>
            <w:r>
              <w:rPr>
                <w:rFonts w:hint="eastAsia" w:ascii="宋体" w:hAnsi="宋体" w:eastAsia="宋体" w:cs="宋体"/>
                <w:color w:val="auto"/>
                <w:sz w:val="22"/>
                <w:szCs w:val="22"/>
                <w:lang w:bidi="ar"/>
              </w:rPr>
              <w:t>根据</w:t>
            </w:r>
            <w:r>
              <w:rPr>
                <w:rFonts w:hint="eastAsia" w:ascii="宋体" w:hAnsi="宋体" w:eastAsia="宋体" w:cs="宋体"/>
                <w:color w:val="auto"/>
                <w:sz w:val="22"/>
                <w:szCs w:val="22"/>
                <w:lang w:eastAsia="zh-CN" w:bidi="ar"/>
              </w:rPr>
              <w:t>投标人</w:t>
            </w:r>
            <w:r>
              <w:rPr>
                <w:rFonts w:hint="eastAsia" w:ascii="宋体" w:hAnsi="宋体" w:eastAsia="宋体" w:cs="宋体"/>
                <w:color w:val="auto"/>
                <w:sz w:val="22"/>
                <w:szCs w:val="22"/>
                <w:lang w:bidi="ar"/>
              </w:rPr>
              <w:t>为保证本项目服务过程中的质量控制手段：能提供质量保证大纲，质保大纲内容完整、描述清晰。对现场</w:t>
            </w:r>
            <w:r>
              <w:rPr>
                <w:rFonts w:hint="eastAsia" w:ascii="宋体" w:hAnsi="宋体" w:eastAsia="宋体" w:cs="宋体"/>
                <w:color w:val="auto"/>
                <w:sz w:val="22"/>
                <w:szCs w:val="22"/>
                <w:lang w:eastAsia="zh-CN" w:bidi="ar"/>
              </w:rPr>
              <w:t>踏勘、</w:t>
            </w:r>
            <w:r>
              <w:rPr>
                <w:rFonts w:hint="eastAsia" w:ascii="宋体" w:hAnsi="宋体" w:eastAsia="宋体" w:cs="宋体"/>
                <w:color w:val="auto"/>
                <w:sz w:val="22"/>
                <w:szCs w:val="22"/>
                <w:lang w:bidi="ar"/>
              </w:rPr>
              <w:t>仪器设备</w:t>
            </w:r>
            <w:r>
              <w:rPr>
                <w:rFonts w:hint="eastAsia" w:ascii="宋体" w:hAnsi="宋体" w:eastAsia="宋体" w:cs="宋体"/>
                <w:color w:val="auto"/>
                <w:sz w:val="22"/>
                <w:szCs w:val="22"/>
                <w:lang w:eastAsia="zh-CN" w:bidi="ar"/>
              </w:rPr>
              <w:t>、报告书</w:t>
            </w:r>
            <w:r>
              <w:rPr>
                <w:rFonts w:hint="eastAsia" w:ascii="宋体" w:hAnsi="宋体" w:eastAsia="宋体" w:cs="宋体"/>
                <w:color w:val="auto"/>
                <w:sz w:val="22"/>
                <w:szCs w:val="22"/>
                <w:lang w:bidi="ar"/>
              </w:rPr>
              <w:t>提出了详细的质量保证措施是否能满足项目采购需求的合理性、科学性、全面性等方面情况</w:t>
            </w:r>
            <w:r>
              <w:rPr>
                <w:rFonts w:hint="eastAsia" w:ascii="Times New Roman" w:hAnsi="Times New Roman"/>
                <w:color w:val="auto"/>
                <w:szCs w:val="21"/>
              </w:rPr>
              <w:t>进行评分</w:t>
            </w:r>
            <w:r>
              <w:rPr>
                <w:rFonts w:hint="eastAsia"/>
                <w:color w:val="auto"/>
                <w:szCs w:val="21"/>
              </w:rPr>
              <w:t>：</w:t>
            </w:r>
          </w:p>
          <w:p>
            <w:pPr>
              <w:spacing w:line="360" w:lineRule="auto"/>
              <w:textAlignment w:val="baseline"/>
              <w:rPr>
                <w:color w:val="auto"/>
                <w:szCs w:val="21"/>
              </w:rPr>
            </w:pPr>
            <w:r>
              <w:rPr>
                <w:rFonts w:hint="eastAsia" w:ascii="宋体" w:hAnsi="宋体" w:eastAsia="宋体" w:cs="宋体"/>
                <w:color w:val="auto"/>
                <w:sz w:val="22"/>
                <w:szCs w:val="22"/>
                <w:lang w:bidi="ar"/>
              </w:rPr>
              <w:t>质保大纲内容完整、描述清晰</w:t>
            </w:r>
            <w:r>
              <w:rPr>
                <w:rFonts w:hint="eastAsia" w:ascii="宋体" w:hAnsi="宋体" w:cs="宋体"/>
                <w:color w:val="auto"/>
                <w:sz w:val="22"/>
                <w:szCs w:val="22"/>
                <w:lang w:val="en-US" w:eastAsia="zh-CN" w:bidi="ar"/>
              </w:rPr>
              <w:t>,质量保证措施合理科学的</w:t>
            </w:r>
            <w:r>
              <w:rPr>
                <w:rFonts w:hint="eastAsia"/>
                <w:color w:val="auto"/>
                <w:szCs w:val="21"/>
              </w:rPr>
              <w:t>得</w:t>
            </w:r>
            <w:r>
              <w:rPr>
                <w:rFonts w:hint="eastAsia"/>
                <w:color w:val="auto"/>
                <w:szCs w:val="21"/>
                <w:lang w:val="en-US" w:eastAsia="zh-CN"/>
              </w:rPr>
              <w:t>7</w:t>
            </w:r>
            <w:r>
              <w:rPr>
                <w:rFonts w:hint="eastAsia"/>
                <w:color w:val="auto"/>
                <w:szCs w:val="21"/>
              </w:rPr>
              <w:t>分；</w:t>
            </w:r>
          </w:p>
          <w:p>
            <w:pPr>
              <w:spacing w:line="360" w:lineRule="auto"/>
              <w:textAlignment w:val="baseline"/>
              <w:rPr>
                <w:color w:val="auto"/>
                <w:szCs w:val="21"/>
              </w:rPr>
            </w:pPr>
            <w:r>
              <w:rPr>
                <w:rFonts w:hint="eastAsia" w:ascii="宋体" w:hAnsi="宋体" w:eastAsia="宋体" w:cs="宋体"/>
                <w:color w:val="auto"/>
                <w:sz w:val="22"/>
                <w:szCs w:val="22"/>
                <w:lang w:bidi="ar"/>
              </w:rPr>
              <w:t>质保大纲内容</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完整、描述</w:t>
            </w:r>
            <w:r>
              <w:rPr>
                <w:rFonts w:hint="eastAsia" w:ascii="宋体" w:hAnsi="宋体" w:cs="宋体"/>
                <w:color w:val="auto"/>
                <w:sz w:val="22"/>
                <w:szCs w:val="22"/>
                <w:lang w:val="en-US" w:eastAsia="zh-CN" w:bidi="ar"/>
              </w:rPr>
              <w:t>较</w:t>
            </w:r>
            <w:r>
              <w:rPr>
                <w:rFonts w:hint="eastAsia" w:ascii="宋体" w:hAnsi="宋体" w:eastAsia="宋体" w:cs="宋体"/>
                <w:color w:val="auto"/>
                <w:sz w:val="22"/>
                <w:szCs w:val="22"/>
                <w:lang w:bidi="ar"/>
              </w:rPr>
              <w:t>清晰</w:t>
            </w:r>
            <w:r>
              <w:rPr>
                <w:rFonts w:hint="eastAsia" w:ascii="宋体" w:hAnsi="宋体" w:cs="宋体"/>
                <w:color w:val="auto"/>
                <w:sz w:val="22"/>
                <w:szCs w:val="22"/>
                <w:lang w:val="en-US" w:eastAsia="zh-CN" w:bidi="ar"/>
              </w:rPr>
              <w:t>,质量保证措施较合理科学</w:t>
            </w:r>
            <w:r>
              <w:rPr>
                <w:rFonts w:hint="eastAsia"/>
                <w:color w:val="auto"/>
                <w:szCs w:val="21"/>
              </w:rPr>
              <w:t>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ascii="宋体" w:hAnsi="宋体" w:eastAsia="宋体" w:cs="宋体"/>
                <w:color w:val="auto"/>
                <w:sz w:val="22"/>
                <w:szCs w:val="22"/>
                <w:lang w:bidi="ar"/>
              </w:rPr>
              <w:t>质保大纲内容</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完整、描述</w:t>
            </w:r>
            <w:r>
              <w:rPr>
                <w:rFonts w:hint="eastAsia" w:ascii="宋体" w:hAnsi="宋体" w:cs="宋体"/>
                <w:color w:val="auto"/>
                <w:sz w:val="22"/>
                <w:szCs w:val="22"/>
                <w:lang w:val="en-US" w:eastAsia="zh-CN" w:bidi="ar"/>
              </w:rPr>
              <w:t>欠</w:t>
            </w:r>
            <w:r>
              <w:rPr>
                <w:rFonts w:hint="eastAsia" w:ascii="宋体" w:hAnsi="宋体" w:eastAsia="宋体" w:cs="宋体"/>
                <w:color w:val="auto"/>
                <w:sz w:val="22"/>
                <w:szCs w:val="22"/>
                <w:lang w:bidi="ar"/>
              </w:rPr>
              <w:t>清晰</w:t>
            </w:r>
            <w:r>
              <w:rPr>
                <w:rFonts w:hint="eastAsia" w:ascii="宋体" w:hAnsi="宋体" w:cs="宋体"/>
                <w:color w:val="auto"/>
                <w:sz w:val="22"/>
                <w:szCs w:val="22"/>
                <w:lang w:val="en-US" w:eastAsia="zh-CN" w:bidi="ar"/>
              </w:rPr>
              <w:t>,质量保证措施欠合理科学</w:t>
            </w:r>
            <w:r>
              <w:rPr>
                <w:rFonts w:hint="eastAsia"/>
                <w:color w:val="auto"/>
                <w:szCs w:val="21"/>
              </w:rPr>
              <w:t>的得</w:t>
            </w:r>
            <w:r>
              <w:rPr>
                <w:rFonts w:hint="eastAsia"/>
                <w:color w:val="auto"/>
                <w:szCs w:val="21"/>
                <w:lang w:val="en-US" w:eastAsia="zh-CN"/>
              </w:rPr>
              <w:t>5</w:t>
            </w:r>
            <w:r>
              <w:rPr>
                <w:rFonts w:hint="eastAsia"/>
                <w:color w:val="auto"/>
                <w:szCs w:val="21"/>
              </w:rPr>
              <w:t>分；</w:t>
            </w:r>
          </w:p>
          <w:p>
            <w:pPr>
              <w:pStyle w:val="20"/>
              <w:spacing w:line="360" w:lineRule="auto"/>
              <w:ind w:left="0" w:leftChars="0"/>
              <w:textAlignment w:val="baseline"/>
              <w:rPr>
                <w:color w:val="auto"/>
                <w:szCs w:val="21"/>
              </w:rPr>
            </w:pPr>
            <w:r>
              <w:rPr>
                <w:rFonts w:hint="eastAsia"/>
                <w:color w:val="auto"/>
                <w:szCs w:val="21"/>
              </w:rPr>
              <w:t>缺项或不提供得0分。</w:t>
            </w:r>
          </w:p>
        </w:tc>
        <w:tc>
          <w:tcPr>
            <w:tcW w:w="667" w:type="dxa"/>
            <w:tcBorders>
              <w:top w:val="single" w:color="auto" w:sz="4" w:space="0"/>
              <w:bottom w:val="single" w:color="auto" w:sz="4" w:space="0"/>
            </w:tcBorders>
            <w:vAlign w:val="center"/>
          </w:tcPr>
          <w:p>
            <w:pPr>
              <w:spacing w:line="360" w:lineRule="auto"/>
              <w:jc w:val="center"/>
              <w:rPr>
                <w:rFonts w:hint="eastAsia" w:eastAsia="宋体"/>
                <w:color w:val="auto"/>
                <w:szCs w:val="21"/>
                <w:lang w:eastAsia="zh-CN"/>
              </w:rPr>
            </w:pPr>
            <w:r>
              <w:rPr>
                <w:rFonts w:hint="eastAsia"/>
                <w:color w:val="auto"/>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1237" w:type="dxa"/>
            <w:vMerge w:val="continue"/>
            <w:vAlign w:val="center"/>
          </w:tcPr>
          <w:p>
            <w:pPr>
              <w:spacing w:line="360" w:lineRule="auto"/>
              <w:textAlignment w:val="baseline"/>
              <w:rPr>
                <w:color w:val="auto"/>
                <w:szCs w:val="21"/>
              </w:rPr>
            </w:pPr>
          </w:p>
        </w:tc>
        <w:tc>
          <w:tcPr>
            <w:tcW w:w="7742" w:type="dxa"/>
            <w:tcBorders>
              <w:top w:val="single" w:color="auto" w:sz="4" w:space="0"/>
              <w:bottom w:val="single" w:color="auto" w:sz="4" w:space="0"/>
            </w:tcBorders>
            <w:vAlign w:val="center"/>
          </w:tcPr>
          <w:p>
            <w:pPr>
              <w:pStyle w:val="34"/>
              <w:numPr>
                <w:ilvl w:val="0"/>
                <w:numId w:val="0"/>
              </w:numPr>
              <w:spacing w:line="360" w:lineRule="auto"/>
              <w:ind w:leftChars="0"/>
              <w:textAlignment w:val="baseline"/>
              <w:rPr>
                <w:rFonts w:ascii="Times New Roman" w:hAnsi="Times New Roman"/>
                <w:color w:val="auto"/>
                <w:szCs w:val="21"/>
              </w:rPr>
            </w:pPr>
            <w:r>
              <w:rPr>
                <w:rFonts w:hint="eastAsia" w:ascii="宋体" w:hAnsi="宋体" w:eastAsia="宋体" w:cs="宋体"/>
                <w:color w:val="auto"/>
                <w:sz w:val="22"/>
                <w:szCs w:val="22"/>
                <w:lang w:bidi="ar"/>
              </w:rPr>
              <w:t>根据</w:t>
            </w:r>
            <w:r>
              <w:rPr>
                <w:rFonts w:hint="eastAsia" w:ascii="宋体" w:hAnsi="宋体" w:eastAsia="宋体" w:cs="宋体"/>
                <w:color w:val="auto"/>
                <w:sz w:val="22"/>
                <w:szCs w:val="22"/>
                <w:lang w:eastAsia="zh-CN" w:bidi="ar"/>
              </w:rPr>
              <w:t>投标人</w:t>
            </w:r>
            <w:r>
              <w:rPr>
                <w:rFonts w:hint="eastAsia" w:ascii="宋体" w:hAnsi="宋体" w:eastAsia="宋体" w:cs="宋体"/>
                <w:color w:val="auto"/>
                <w:sz w:val="22"/>
                <w:szCs w:val="22"/>
                <w:lang w:bidi="ar"/>
              </w:rPr>
              <w:t>提供的数据资料安全保密制度措施是否能满足项目采购需求的合理性、科学性、全面性等方面情况</w:t>
            </w:r>
            <w:r>
              <w:rPr>
                <w:rFonts w:hint="eastAsia" w:ascii="Times New Roman" w:hAnsi="Times New Roman"/>
                <w:color w:val="auto"/>
                <w:szCs w:val="21"/>
              </w:rPr>
              <w:t>进行评分：</w:t>
            </w:r>
          </w:p>
          <w:p>
            <w:pPr>
              <w:spacing w:line="360" w:lineRule="auto"/>
              <w:textAlignment w:val="baseline"/>
              <w:rPr>
                <w:color w:val="auto"/>
                <w:szCs w:val="21"/>
              </w:rPr>
            </w:pPr>
            <w:r>
              <w:rPr>
                <w:rFonts w:hint="eastAsia"/>
                <w:color w:val="auto"/>
                <w:szCs w:val="21"/>
              </w:rPr>
              <w:t>方案针对性优秀、分析全面科学、合理性和可行性操作强的得</w:t>
            </w:r>
            <w:r>
              <w:rPr>
                <w:rFonts w:hint="eastAsia"/>
                <w:color w:val="auto"/>
                <w:szCs w:val="21"/>
                <w:lang w:val="en-US" w:eastAsia="zh-CN"/>
              </w:rPr>
              <w:t>7</w:t>
            </w:r>
            <w:r>
              <w:rPr>
                <w:rFonts w:hint="eastAsia"/>
                <w:color w:val="auto"/>
                <w:szCs w:val="21"/>
              </w:rPr>
              <w:t>分；</w:t>
            </w:r>
          </w:p>
          <w:p>
            <w:pPr>
              <w:spacing w:line="360" w:lineRule="auto"/>
              <w:textAlignment w:val="baseline"/>
              <w:rPr>
                <w:color w:val="auto"/>
                <w:szCs w:val="21"/>
              </w:rPr>
            </w:pPr>
            <w:r>
              <w:rPr>
                <w:rFonts w:hint="eastAsia"/>
                <w:color w:val="auto"/>
                <w:szCs w:val="21"/>
              </w:rPr>
              <w:t>方案针对性良好、分析较为全面科学、合理性和可行性操作良好的得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color w:val="auto"/>
                <w:szCs w:val="21"/>
              </w:rPr>
              <w:t>方案针对性一般、分析不全面科学、合理性和可行性操作一般的得</w:t>
            </w:r>
            <w:r>
              <w:rPr>
                <w:rFonts w:hint="eastAsia"/>
                <w:color w:val="auto"/>
                <w:szCs w:val="21"/>
                <w:lang w:val="en-US" w:eastAsia="zh-CN"/>
              </w:rPr>
              <w:t>5</w:t>
            </w:r>
            <w:r>
              <w:rPr>
                <w:rFonts w:hint="eastAsia"/>
                <w:color w:val="auto"/>
                <w:szCs w:val="21"/>
              </w:rPr>
              <w:t>分；</w:t>
            </w:r>
          </w:p>
          <w:p>
            <w:pPr>
              <w:spacing w:line="360" w:lineRule="auto"/>
              <w:textAlignment w:val="baseline"/>
              <w:rPr>
                <w:color w:val="auto"/>
                <w:szCs w:val="21"/>
              </w:rPr>
            </w:pPr>
            <w:r>
              <w:rPr>
                <w:rFonts w:hint="eastAsia"/>
                <w:color w:val="auto"/>
                <w:szCs w:val="21"/>
              </w:rPr>
              <w:t>缺项或不提供得0分。</w:t>
            </w:r>
          </w:p>
        </w:tc>
        <w:tc>
          <w:tcPr>
            <w:tcW w:w="667" w:type="dxa"/>
            <w:tcBorders>
              <w:top w:val="single" w:color="auto" w:sz="4" w:space="0"/>
              <w:bottom w:val="single" w:color="auto" w:sz="4" w:space="0"/>
            </w:tcBorders>
            <w:vAlign w:val="center"/>
          </w:tcPr>
          <w:p>
            <w:pPr>
              <w:spacing w:line="360" w:lineRule="auto"/>
              <w:jc w:val="center"/>
              <w:rPr>
                <w:rFonts w:hint="eastAsia" w:eastAsia="宋体"/>
                <w:color w:val="auto"/>
                <w:szCs w:val="21"/>
                <w:lang w:eastAsia="zh-CN"/>
              </w:rPr>
            </w:pPr>
            <w:r>
              <w:rPr>
                <w:rFonts w:hint="eastAsia"/>
                <w:color w:val="auto"/>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6" w:hRule="atLeast"/>
        </w:trPr>
        <w:tc>
          <w:tcPr>
            <w:tcW w:w="1237" w:type="dxa"/>
            <w:vMerge w:val="continue"/>
            <w:vAlign w:val="center"/>
          </w:tcPr>
          <w:p>
            <w:pPr>
              <w:spacing w:line="360" w:lineRule="auto"/>
              <w:textAlignment w:val="baseline"/>
              <w:rPr>
                <w:color w:val="auto"/>
                <w:szCs w:val="21"/>
              </w:rPr>
            </w:pPr>
          </w:p>
        </w:tc>
        <w:tc>
          <w:tcPr>
            <w:tcW w:w="7742" w:type="dxa"/>
            <w:tcBorders>
              <w:top w:val="single" w:color="auto" w:sz="4" w:space="0"/>
            </w:tcBorders>
            <w:vAlign w:val="center"/>
          </w:tcPr>
          <w:p>
            <w:pPr>
              <w:spacing w:line="360" w:lineRule="auto"/>
              <w:textAlignment w:val="baseline"/>
              <w:rPr>
                <w:color w:val="auto"/>
                <w:szCs w:val="21"/>
              </w:rPr>
            </w:pPr>
            <w:r>
              <w:rPr>
                <w:rFonts w:hint="eastAsia" w:ascii="宋体" w:hAnsi="宋体" w:eastAsia="宋体" w:cs="宋体"/>
                <w:color w:val="auto"/>
                <w:sz w:val="22"/>
                <w:szCs w:val="22"/>
                <w:lang w:bidi="ar"/>
              </w:rPr>
              <w:t>后勤保障措施</w:t>
            </w:r>
            <w:r>
              <w:rPr>
                <w:rFonts w:hint="eastAsia"/>
                <w:color w:val="auto"/>
                <w:szCs w:val="21"/>
              </w:rPr>
              <w:t>：</w:t>
            </w:r>
            <w:r>
              <w:rPr>
                <w:color w:val="auto"/>
                <w:szCs w:val="21"/>
              </w:rPr>
              <w:t>根据</w:t>
            </w:r>
            <w:r>
              <w:rPr>
                <w:rFonts w:hint="eastAsia"/>
                <w:color w:val="auto"/>
                <w:szCs w:val="21"/>
              </w:rPr>
              <w:t>投标人</w:t>
            </w:r>
            <w:r>
              <w:rPr>
                <w:rFonts w:hint="eastAsia" w:ascii="宋体" w:hAnsi="宋体" w:eastAsia="宋体" w:cs="宋体"/>
                <w:color w:val="auto"/>
                <w:sz w:val="22"/>
                <w:szCs w:val="22"/>
                <w:lang w:bidi="ar"/>
              </w:rPr>
              <w:t>针对本项目所提供的后勤保障措施的合理、可行等情况</w:t>
            </w:r>
            <w:r>
              <w:rPr>
                <w:rFonts w:hint="eastAsia"/>
                <w:color w:val="auto"/>
                <w:szCs w:val="21"/>
              </w:rPr>
              <w:t>进行评分。</w:t>
            </w:r>
          </w:p>
          <w:p>
            <w:pPr>
              <w:spacing w:line="360" w:lineRule="auto"/>
              <w:textAlignment w:val="baseline"/>
              <w:rPr>
                <w:color w:val="auto"/>
                <w:szCs w:val="21"/>
              </w:rPr>
            </w:pPr>
            <w:r>
              <w:rPr>
                <w:rFonts w:hint="eastAsia"/>
                <w:color w:val="auto"/>
                <w:szCs w:val="21"/>
              </w:rPr>
              <w:t>方案的完整性、清晰性、可行性，</w:t>
            </w:r>
            <w:r>
              <w:rPr>
                <w:rFonts w:hint="eastAsia" w:ascii="宋体" w:hAnsi="宋体" w:eastAsia="宋体" w:cs="宋体"/>
                <w:color w:val="auto"/>
                <w:sz w:val="22"/>
                <w:szCs w:val="22"/>
                <w:lang w:bidi="ar"/>
              </w:rPr>
              <w:t>后勤保障措施</w:t>
            </w:r>
            <w:r>
              <w:rPr>
                <w:rFonts w:hint="eastAsia"/>
                <w:color w:val="auto"/>
                <w:szCs w:val="21"/>
              </w:rPr>
              <w:t>实施科学、合理性优秀的得</w:t>
            </w:r>
            <w:r>
              <w:rPr>
                <w:rFonts w:hint="eastAsia"/>
                <w:color w:val="auto"/>
                <w:szCs w:val="21"/>
                <w:lang w:val="en-US" w:eastAsia="zh-CN"/>
              </w:rPr>
              <w:t>7</w:t>
            </w:r>
            <w:r>
              <w:rPr>
                <w:rFonts w:hint="eastAsia"/>
                <w:color w:val="auto"/>
                <w:szCs w:val="21"/>
              </w:rPr>
              <w:t>分；</w:t>
            </w:r>
          </w:p>
          <w:p>
            <w:pPr>
              <w:spacing w:line="360" w:lineRule="auto"/>
              <w:textAlignment w:val="baseline"/>
              <w:rPr>
                <w:color w:val="auto"/>
                <w:szCs w:val="21"/>
              </w:rPr>
            </w:pPr>
            <w:r>
              <w:rPr>
                <w:rFonts w:hint="eastAsia"/>
                <w:color w:val="auto"/>
                <w:szCs w:val="21"/>
              </w:rPr>
              <w:t>方案的完整性、清晰性、可行性，</w:t>
            </w:r>
            <w:r>
              <w:rPr>
                <w:rFonts w:hint="eastAsia" w:ascii="宋体" w:hAnsi="宋体" w:eastAsia="宋体" w:cs="宋体"/>
                <w:color w:val="auto"/>
                <w:sz w:val="22"/>
                <w:szCs w:val="22"/>
                <w:lang w:bidi="ar"/>
              </w:rPr>
              <w:t>后勤保障措施</w:t>
            </w:r>
            <w:r>
              <w:rPr>
                <w:rFonts w:hint="eastAsia"/>
                <w:color w:val="auto"/>
                <w:szCs w:val="21"/>
              </w:rPr>
              <w:t>实施科学、合理性良好的得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color w:val="auto"/>
                <w:szCs w:val="21"/>
              </w:rPr>
              <w:t>方案的完整性、清晰性、可行性，</w:t>
            </w:r>
            <w:r>
              <w:rPr>
                <w:rFonts w:hint="eastAsia" w:ascii="宋体" w:hAnsi="宋体" w:eastAsia="宋体" w:cs="宋体"/>
                <w:color w:val="auto"/>
                <w:sz w:val="22"/>
                <w:szCs w:val="22"/>
                <w:lang w:bidi="ar"/>
              </w:rPr>
              <w:t>后勤保障措施</w:t>
            </w:r>
            <w:r>
              <w:rPr>
                <w:rFonts w:hint="eastAsia"/>
                <w:color w:val="auto"/>
                <w:szCs w:val="21"/>
              </w:rPr>
              <w:t>实施科学、合理性一般的得</w:t>
            </w:r>
            <w:r>
              <w:rPr>
                <w:rFonts w:hint="eastAsia"/>
                <w:color w:val="auto"/>
                <w:szCs w:val="21"/>
                <w:lang w:val="en-US" w:eastAsia="zh-CN"/>
              </w:rPr>
              <w:t>5</w:t>
            </w:r>
            <w:r>
              <w:rPr>
                <w:rFonts w:hint="eastAsia"/>
                <w:color w:val="auto"/>
                <w:szCs w:val="21"/>
              </w:rPr>
              <w:t>分；</w:t>
            </w:r>
          </w:p>
          <w:p>
            <w:pPr>
              <w:spacing w:line="360" w:lineRule="auto"/>
              <w:textAlignment w:val="baseline"/>
              <w:rPr>
                <w:color w:val="auto"/>
                <w:szCs w:val="21"/>
              </w:rPr>
            </w:pPr>
            <w:r>
              <w:rPr>
                <w:rFonts w:hint="eastAsia"/>
                <w:color w:val="auto"/>
                <w:szCs w:val="21"/>
              </w:rPr>
              <w:t>缺项或不提供得0分。</w:t>
            </w:r>
          </w:p>
        </w:tc>
        <w:tc>
          <w:tcPr>
            <w:tcW w:w="667" w:type="dxa"/>
            <w:tcBorders>
              <w:top w:val="single" w:color="auto" w:sz="4" w:space="0"/>
            </w:tcBorders>
            <w:vAlign w:val="center"/>
          </w:tcPr>
          <w:p>
            <w:pPr>
              <w:widowControl/>
              <w:spacing w:line="360" w:lineRule="auto"/>
              <w:jc w:val="center"/>
              <w:rPr>
                <w:rFonts w:hint="eastAsia" w:ascii="宋体" w:eastAsia="宋体"/>
                <w:color w:val="auto"/>
                <w:szCs w:val="21"/>
                <w:lang w:eastAsia="zh-CN"/>
              </w:rPr>
            </w:pPr>
            <w:r>
              <w:rPr>
                <w:rFonts w:hint="eastAsia"/>
                <w:color w:val="auto"/>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7" w:hRule="atLeast"/>
        </w:trPr>
        <w:tc>
          <w:tcPr>
            <w:tcW w:w="1237" w:type="dxa"/>
            <w:vMerge w:val="continue"/>
            <w:vAlign w:val="center"/>
          </w:tcPr>
          <w:p>
            <w:pPr>
              <w:widowControl/>
              <w:spacing w:line="360" w:lineRule="auto"/>
              <w:ind w:firstLine="480"/>
              <w:jc w:val="left"/>
              <w:rPr>
                <w:rFonts w:ascii="Arial" w:hAnsi="Arial" w:cs="Arial"/>
                <w:bCs/>
                <w:color w:val="auto"/>
                <w:szCs w:val="21"/>
              </w:rPr>
            </w:pPr>
          </w:p>
        </w:tc>
        <w:tc>
          <w:tcPr>
            <w:tcW w:w="7742" w:type="dxa"/>
            <w:tcBorders>
              <w:top w:val="single" w:color="auto" w:sz="4" w:space="0"/>
              <w:bottom w:val="single" w:color="auto" w:sz="4" w:space="0"/>
            </w:tcBorders>
            <w:vAlign w:val="center"/>
          </w:tcPr>
          <w:p>
            <w:pPr>
              <w:numPr>
                <w:ilvl w:val="0"/>
                <w:numId w:val="0"/>
              </w:numPr>
              <w:spacing w:line="360" w:lineRule="auto"/>
              <w:ind w:leftChars="0"/>
              <w:textAlignment w:val="baseline"/>
              <w:rPr>
                <w:rFonts w:hint="eastAsia" w:ascii="宋体" w:hAnsi="宋体" w:eastAsia="宋体" w:cs="宋体"/>
                <w:color w:val="auto"/>
                <w:sz w:val="22"/>
                <w:szCs w:val="22"/>
                <w:lang w:bidi="ar"/>
              </w:rPr>
            </w:pPr>
            <w:r>
              <w:rPr>
                <w:rFonts w:hint="eastAsia"/>
                <w:color w:val="auto"/>
                <w:szCs w:val="21"/>
              </w:rPr>
              <w:t>工期安排：</w:t>
            </w:r>
            <w:r>
              <w:rPr>
                <w:rFonts w:hint="eastAsia" w:ascii="宋体" w:hAnsi="宋体" w:eastAsia="宋体" w:cs="宋体"/>
                <w:color w:val="auto"/>
                <w:sz w:val="22"/>
                <w:szCs w:val="22"/>
                <w:lang w:bidi="ar"/>
              </w:rPr>
              <w:t>根据</w:t>
            </w:r>
            <w:r>
              <w:rPr>
                <w:rFonts w:hint="eastAsia" w:ascii="宋体" w:hAnsi="宋体" w:eastAsia="宋体" w:cs="宋体"/>
                <w:color w:val="auto"/>
                <w:sz w:val="22"/>
                <w:szCs w:val="22"/>
                <w:lang w:eastAsia="zh-CN" w:bidi="ar"/>
              </w:rPr>
              <w:t>投标人</w:t>
            </w:r>
            <w:r>
              <w:rPr>
                <w:rFonts w:hint="eastAsia" w:ascii="宋体" w:hAnsi="宋体" w:eastAsia="宋体" w:cs="宋体"/>
                <w:color w:val="auto"/>
                <w:sz w:val="22"/>
                <w:szCs w:val="22"/>
                <w:lang w:bidi="ar"/>
              </w:rPr>
              <w:t>提供的工期进度安排和保障是否计划周详，重要节点符合</w:t>
            </w:r>
            <w:r>
              <w:rPr>
                <w:rFonts w:hint="eastAsia" w:ascii="宋体" w:hAnsi="宋体" w:eastAsia="宋体" w:cs="宋体"/>
                <w:color w:val="auto"/>
                <w:sz w:val="22"/>
                <w:szCs w:val="22"/>
                <w:lang w:eastAsia="zh-CN" w:bidi="ar"/>
              </w:rPr>
              <w:t>招标人</w:t>
            </w:r>
            <w:r>
              <w:rPr>
                <w:rFonts w:hint="eastAsia" w:ascii="宋体" w:hAnsi="宋体" w:eastAsia="宋体" w:cs="宋体"/>
                <w:color w:val="auto"/>
                <w:sz w:val="22"/>
                <w:szCs w:val="22"/>
                <w:lang w:bidi="ar"/>
              </w:rPr>
              <w:t>的进度要求的合理性、全面性</w:t>
            </w:r>
            <w:r>
              <w:rPr>
                <w:rFonts w:hint="eastAsia" w:ascii="Times New Roman" w:hAnsi="Times New Roman"/>
                <w:color w:val="auto"/>
                <w:szCs w:val="21"/>
              </w:rPr>
              <w:t>进行评分</w:t>
            </w:r>
            <w:r>
              <w:rPr>
                <w:rFonts w:hint="eastAsia"/>
                <w:color w:val="auto"/>
                <w:szCs w:val="21"/>
                <w:lang w:eastAsia="zh-CN"/>
              </w:rPr>
              <w:t>：</w:t>
            </w:r>
          </w:p>
          <w:p>
            <w:pPr>
              <w:numPr>
                <w:ilvl w:val="0"/>
                <w:numId w:val="0"/>
              </w:numPr>
              <w:spacing w:line="360" w:lineRule="auto"/>
              <w:ind w:leftChars="0"/>
              <w:textAlignment w:val="baseline"/>
              <w:rPr>
                <w:color w:val="auto"/>
                <w:szCs w:val="21"/>
              </w:rPr>
            </w:pPr>
            <w:r>
              <w:rPr>
                <w:rFonts w:hint="eastAsia"/>
                <w:color w:val="auto"/>
                <w:szCs w:val="21"/>
              </w:rPr>
              <w:t>方案科学合理的得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color w:val="auto"/>
                <w:szCs w:val="21"/>
              </w:rPr>
              <w:t>方案较科学合理的得</w:t>
            </w:r>
            <w:r>
              <w:rPr>
                <w:rFonts w:hint="eastAsia"/>
                <w:color w:val="auto"/>
                <w:szCs w:val="21"/>
                <w:lang w:val="en-US" w:eastAsia="zh-CN"/>
              </w:rPr>
              <w:t>5</w:t>
            </w:r>
            <w:r>
              <w:rPr>
                <w:rFonts w:hint="eastAsia"/>
                <w:color w:val="auto"/>
                <w:szCs w:val="21"/>
              </w:rPr>
              <w:t>分；</w:t>
            </w:r>
          </w:p>
          <w:p>
            <w:pPr>
              <w:spacing w:line="360" w:lineRule="auto"/>
              <w:textAlignment w:val="baseline"/>
              <w:rPr>
                <w:color w:val="auto"/>
                <w:szCs w:val="21"/>
              </w:rPr>
            </w:pPr>
            <w:r>
              <w:rPr>
                <w:rFonts w:hint="eastAsia"/>
                <w:color w:val="auto"/>
                <w:szCs w:val="21"/>
              </w:rPr>
              <w:t>方案欠科学合理的得</w:t>
            </w:r>
            <w:r>
              <w:rPr>
                <w:rFonts w:hint="eastAsia"/>
                <w:color w:val="auto"/>
                <w:szCs w:val="21"/>
                <w:lang w:val="en-US" w:eastAsia="zh-CN"/>
              </w:rPr>
              <w:t>4</w:t>
            </w:r>
            <w:r>
              <w:rPr>
                <w:rFonts w:hint="eastAsia"/>
                <w:color w:val="auto"/>
                <w:szCs w:val="21"/>
              </w:rPr>
              <w:t>分；</w:t>
            </w:r>
          </w:p>
          <w:p>
            <w:pPr>
              <w:spacing w:line="360" w:lineRule="auto"/>
              <w:rPr>
                <w:color w:val="auto"/>
                <w:szCs w:val="21"/>
              </w:rPr>
            </w:pPr>
            <w:r>
              <w:rPr>
                <w:rFonts w:hint="eastAsia" w:ascii="宋体" w:hAnsi="宋体"/>
                <w:color w:val="auto"/>
                <w:szCs w:val="21"/>
              </w:rPr>
              <w:t>无内容的得0分。</w:t>
            </w:r>
          </w:p>
        </w:tc>
        <w:tc>
          <w:tcPr>
            <w:tcW w:w="667" w:type="dxa"/>
            <w:tcBorders>
              <w:top w:val="single" w:color="auto" w:sz="4" w:space="0"/>
              <w:bottom w:val="single" w:color="auto" w:sz="4" w:space="0"/>
            </w:tcBorders>
            <w:vAlign w:val="center"/>
          </w:tcPr>
          <w:p>
            <w:pPr>
              <w:spacing w:line="360" w:lineRule="auto"/>
              <w:jc w:val="center"/>
              <w:rPr>
                <w:rFonts w:hint="eastAsia" w:eastAsia="宋体"/>
                <w:color w:val="auto"/>
                <w:szCs w:val="21"/>
                <w:lang w:eastAsia="zh-CN"/>
              </w:rPr>
            </w:pPr>
            <w:r>
              <w:rPr>
                <w:rFonts w:hint="eastAsia"/>
                <w:color w:val="auto"/>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7" w:hRule="atLeast"/>
        </w:trPr>
        <w:tc>
          <w:tcPr>
            <w:tcW w:w="1237" w:type="dxa"/>
            <w:vMerge w:val="continue"/>
            <w:vAlign w:val="center"/>
          </w:tcPr>
          <w:p>
            <w:pPr>
              <w:widowControl/>
              <w:spacing w:line="360" w:lineRule="auto"/>
              <w:ind w:firstLine="480"/>
              <w:jc w:val="left"/>
              <w:rPr>
                <w:rFonts w:ascii="Arial" w:hAnsi="Arial" w:cs="Arial"/>
                <w:bCs/>
                <w:color w:val="auto"/>
                <w:szCs w:val="21"/>
              </w:rPr>
            </w:pPr>
          </w:p>
        </w:tc>
        <w:tc>
          <w:tcPr>
            <w:tcW w:w="7742" w:type="dxa"/>
            <w:tcBorders>
              <w:top w:val="single" w:color="auto" w:sz="4" w:space="0"/>
              <w:bottom w:val="single" w:color="auto" w:sz="4" w:space="0"/>
            </w:tcBorders>
            <w:vAlign w:val="center"/>
          </w:tcPr>
          <w:p>
            <w:pPr>
              <w:numPr>
                <w:ilvl w:val="0"/>
                <w:numId w:val="0"/>
              </w:numPr>
              <w:spacing w:line="360" w:lineRule="auto"/>
              <w:ind w:leftChars="0"/>
              <w:textAlignment w:val="baseline"/>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bidi="ar"/>
              </w:rPr>
              <w:t>根据</w:t>
            </w:r>
            <w:r>
              <w:rPr>
                <w:rFonts w:hint="eastAsia" w:ascii="宋体" w:hAnsi="宋体" w:eastAsia="宋体" w:cs="宋体"/>
                <w:color w:val="auto"/>
                <w:sz w:val="22"/>
                <w:szCs w:val="22"/>
                <w:lang w:eastAsia="zh-CN" w:bidi="ar"/>
              </w:rPr>
              <w:t>投标人</w:t>
            </w:r>
            <w:r>
              <w:rPr>
                <w:rFonts w:hint="eastAsia" w:ascii="宋体" w:hAnsi="宋体" w:eastAsia="宋体" w:cs="宋体"/>
                <w:color w:val="auto"/>
                <w:sz w:val="22"/>
                <w:szCs w:val="22"/>
                <w:lang w:bidi="ar"/>
              </w:rPr>
              <w:t>对本项目现状、存在的问题的难点、要点等问题进行调查剖析情况</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bidi="ar"/>
              </w:rPr>
              <w:t>进行评分</w:t>
            </w:r>
            <w:r>
              <w:rPr>
                <w:rFonts w:hint="eastAsia" w:ascii="宋体" w:hAnsi="宋体" w:eastAsia="宋体" w:cs="宋体"/>
                <w:color w:val="auto"/>
                <w:sz w:val="22"/>
                <w:szCs w:val="22"/>
                <w:lang w:eastAsia="zh-CN" w:bidi="ar"/>
              </w:rPr>
              <w:t>：</w:t>
            </w:r>
          </w:p>
          <w:p>
            <w:pPr>
              <w:numPr>
                <w:ilvl w:val="0"/>
                <w:numId w:val="0"/>
              </w:numPr>
              <w:spacing w:line="360" w:lineRule="auto"/>
              <w:ind w:left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方案针对性</w:t>
            </w:r>
            <w:r>
              <w:rPr>
                <w:rFonts w:hint="eastAsia" w:ascii="宋体" w:hAnsi="宋体" w:eastAsia="宋体" w:cs="宋体"/>
                <w:color w:val="auto"/>
                <w:sz w:val="22"/>
                <w:szCs w:val="22"/>
                <w:lang w:val="en-US" w:eastAsia="zh-CN" w:bidi="ar"/>
              </w:rPr>
              <w:t>完整清晰</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重难点</w:t>
            </w:r>
            <w:r>
              <w:rPr>
                <w:rFonts w:hint="eastAsia" w:ascii="宋体" w:hAnsi="宋体" w:eastAsia="宋体" w:cs="宋体"/>
                <w:color w:val="auto"/>
                <w:sz w:val="22"/>
                <w:szCs w:val="22"/>
                <w:lang w:bidi="ar"/>
              </w:rPr>
              <w:t>分析全面科学、合理性和可行性操作</w:t>
            </w:r>
            <w:r>
              <w:rPr>
                <w:rFonts w:hint="eastAsia" w:ascii="宋体" w:hAnsi="宋体" w:eastAsia="宋体" w:cs="宋体"/>
                <w:color w:val="auto"/>
                <w:sz w:val="22"/>
                <w:szCs w:val="22"/>
                <w:lang w:val="en-US" w:eastAsia="zh-CN" w:bidi="ar"/>
              </w:rPr>
              <w:t>性强</w:t>
            </w:r>
            <w:r>
              <w:rPr>
                <w:rFonts w:hint="eastAsia" w:ascii="宋体" w:hAnsi="宋体" w:eastAsia="宋体" w:cs="宋体"/>
                <w:color w:val="auto"/>
                <w:sz w:val="22"/>
                <w:szCs w:val="22"/>
                <w:lang w:bidi="ar"/>
              </w:rPr>
              <w:t>的得</w:t>
            </w:r>
            <w:r>
              <w:rPr>
                <w:rFonts w:hint="eastAsia" w:ascii="宋体" w:hAnsi="宋体" w:eastAsia="宋体" w:cs="宋体"/>
                <w:color w:val="auto"/>
                <w:sz w:val="22"/>
                <w:szCs w:val="22"/>
                <w:lang w:val="en-US" w:eastAsia="zh-CN" w:bidi="ar"/>
              </w:rPr>
              <w:t>8</w:t>
            </w:r>
            <w:r>
              <w:rPr>
                <w:rFonts w:hint="eastAsia" w:ascii="宋体" w:hAnsi="宋体" w:eastAsia="宋体" w:cs="宋体"/>
                <w:color w:val="auto"/>
                <w:sz w:val="22"/>
                <w:szCs w:val="22"/>
                <w:lang w:bidi="ar"/>
              </w:rPr>
              <w:t>分；</w:t>
            </w:r>
          </w:p>
          <w:p>
            <w:pPr>
              <w:numPr>
                <w:ilvl w:val="0"/>
                <w:numId w:val="0"/>
              </w:numPr>
              <w:spacing w:line="360" w:lineRule="auto"/>
              <w:ind w:left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方案针对性</w:t>
            </w:r>
            <w:r>
              <w:rPr>
                <w:rFonts w:hint="eastAsia" w:ascii="宋体" w:hAnsi="宋体" w:eastAsia="宋体" w:cs="宋体"/>
                <w:color w:val="auto"/>
                <w:sz w:val="22"/>
                <w:szCs w:val="22"/>
                <w:lang w:val="en-US" w:eastAsia="zh-CN" w:bidi="ar"/>
              </w:rPr>
              <w:t>较完整清晰</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重难点</w:t>
            </w:r>
            <w:r>
              <w:rPr>
                <w:rFonts w:hint="eastAsia" w:ascii="宋体" w:hAnsi="宋体" w:eastAsia="宋体" w:cs="宋体"/>
                <w:color w:val="auto"/>
                <w:sz w:val="22"/>
                <w:szCs w:val="22"/>
                <w:lang w:bidi="ar"/>
              </w:rPr>
              <w:t>分析</w:t>
            </w:r>
            <w:r>
              <w:rPr>
                <w:rFonts w:hint="eastAsia" w:ascii="宋体" w:hAnsi="宋体" w:eastAsia="宋体" w:cs="宋体"/>
                <w:color w:val="auto"/>
                <w:sz w:val="22"/>
                <w:szCs w:val="22"/>
                <w:lang w:val="en-US" w:eastAsia="zh-CN" w:bidi="ar"/>
              </w:rPr>
              <w:t>较</w:t>
            </w:r>
            <w:r>
              <w:rPr>
                <w:rFonts w:hint="eastAsia" w:ascii="宋体" w:hAnsi="宋体" w:eastAsia="宋体" w:cs="宋体"/>
                <w:color w:val="auto"/>
                <w:sz w:val="22"/>
                <w:szCs w:val="22"/>
                <w:lang w:bidi="ar"/>
              </w:rPr>
              <w:t>全面科学、合理性和可行性操作</w:t>
            </w:r>
            <w:r>
              <w:rPr>
                <w:rFonts w:hint="eastAsia" w:ascii="宋体" w:hAnsi="宋体" w:eastAsia="宋体" w:cs="宋体"/>
                <w:color w:val="auto"/>
                <w:sz w:val="22"/>
                <w:szCs w:val="22"/>
                <w:lang w:val="en-US" w:eastAsia="zh-CN" w:bidi="ar"/>
              </w:rPr>
              <w:t>性较强</w:t>
            </w:r>
            <w:r>
              <w:rPr>
                <w:rFonts w:hint="eastAsia" w:ascii="宋体" w:hAnsi="宋体" w:eastAsia="宋体" w:cs="宋体"/>
                <w:color w:val="auto"/>
                <w:sz w:val="22"/>
                <w:szCs w:val="22"/>
                <w:lang w:bidi="ar"/>
              </w:rPr>
              <w:t>的得</w:t>
            </w:r>
            <w:r>
              <w:rPr>
                <w:rFonts w:hint="eastAsia" w:ascii="宋体" w:hAnsi="宋体" w:eastAsia="宋体" w:cs="宋体"/>
                <w:color w:val="auto"/>
                <w:sz w:val="22"/>
                <w:szCs w:val="22"/>
                <w:lang w:val="en-US" w:eastAsia="zh-CN" w:bidi="ar"/>
              </w:rPr>
              <w:t>7</w:t>
            </w:r>
            <w:r>
              <w:rPr>
                <w:rFonts w:hint="eastAsia" w:ascii="宋体" w:hAnsi="宋体" w:eastAsia="宋体" w:cs="宋体"/>
                <w:color w:val="auto"/>
                <w:sz w:val="22"/>
                <w:szCs w:val="22"/>
                <w:lang w:bidi="ar"/>
              </w:rPr>
              <w:t>分；</w:t>
            </w:r>
          </w:p>
          <w:p>
            <w:pPr>
              <w:numPr>
                <w:ilvl w:val="0"/>
                <w:numId w:val="0"/>
              </w:numPr>
              <w:spacing w:line="360" w:lineRule="auto"/>
              <w:ind w:leftChars="0"/>
              <w:textAlignment w:val="baseline"/>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方案针对性</w:t>
            </w:r>
            <w:r>
              <w:rPr>
                <w:rFonts w:hint="eastAsia" w:ascii="宋体" w:hAnsi="宋体" w:eastAsia="宋体" w:cs="宋体"/>
                <w:color w:val="auto"/>
                <w:sz w:val="22"/>
                <w:szCs w:val="22"/>
                <w:lang w:val="en-US" w:eastAsia="zh-CN" w:bidi="ar"/>
              </w:rPr>
              <w:t>欠完整清晰</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重难点</w:t>
            </w:r>
            <w:r>
              <w:rPr>
                <w:rFonts w:hint="eastAsia" w:ascii="宋体" w:hAnsi="宋体" w:eastAsia="宋体" w:cs="宋体"/>
                <w:color w:val="auto"/>
                <w:sz w:val="22"/>
                <w:szCs w:val="22"/>
                <w:lang w:bidi="ar"/>
              </w:rPr>
              <w:t>分析</w:t>
            </w:r>
            <w:r>
              <w:rPr>
                <w:rFonts w:hint="eastAsia" w:ascii="宋体" w:hAnsi="宋体" w:eastAsia="宋体" w:cs="宋体"/>
                <w:color w:val="auto"/>
                <w:sz w:val="22"/>
                <w:szCs w:val="22"/>
                <w:lang w:val="en-US" w:eastAsia="zh-CN" w:bidi="ar"/>
              </w:rPr>
              <w:t>欠</w:t>
            </w:r>
            <w:r>
              <w:rPr>
                <w:rFonts w:hint="eastAsia" w:ascii="宋体" w:hAnsi="宋体" w:eastAsia="宋体" w:cs="宋体"/>
                <w:color w:val="auto"/>
                <w:sz w:val="22"/>
                <w:szCs w:val="22"/>
                <w:lang w:bidi="ar"/>
              </w:rPr>
              <w:t>全面科学、合理性和可行性操作</w:t>
            </w:r>
            <w:r>
              <w:rPr>
                <w:rFonts w:hint="eastAsia" w:ascii="宋体" w:hAnsi="宋体" w:eastAsia="宋体" w:cs="宋体"/>
                <w:color w:val="auto"/>
                <w:sz w:val="22"/>
                <w:szCs w:val="22"/>
                <w:lang w:val="en-US" w:eastAsia="zh-CN" w:bidi="ar"/>
              </w:rPr>
              <w:t>性欠强</w:t>
            </w:r>
            <w:r>
              <w:rPr>
                <w:rFonts w:hint="eastAsia" w:ascii="宋体" w:hAnsi="宋体" w:eastAsia="宋体" w:cs="宋体"/>
                <w:color w:val="auto"/>
                <w:sz w:val="22"/>
                <w:szCs w:val="22"/>
                <w:lang w:bidi="ar"/>
              </w:rPr>
              <w:t>的得</w:t>
            </w:r>
            <w:r>
              <w:rPr>
                <w:rFonts w:hint="eastAsia" w:ascii="宋体" w:hAnsi="宋体" w:eastAsia="宋体" w:cs="宋体"/>
                <w:color w:val="auto"/>
                <w:sz w:val="22"/>
                <w:szCs w:val="22"/>
                <w:lang w:val="en-US" w:eastAsia="zh-CN" w:bidi="ar"/>
              </w:rPr>
              <w:t>6</w:t>
            </w:r>
            <w:r>
              <w:rPr>
                <w:rFonts w:hint="eastAsia" w:ascii="宋体" w:hAnsi="宋体" w:eastAsia="宋体" w:cs="宋体"/>
                <w:color w:val="auto"/>
                <w:sz w:val="22"/>
                <w:szCs w:val="22"/>
                <w:lang w:bidi="ar"/>
              </w:rPr>
              <w:t>分；</w:t>
            </w:r>
          </w:p>
          <w:p>
            <w:pPr>
              <w:numPr>
                <w:ilvl w:val="0"/>
                <w:numId w:val="0"/>
              </w:numPr>
              <w:spacing w:line="360" w:lineRule="auto"/>
              <w:ind w:leftChars="0"/>
              <w:textAlignment w:val="baseline"/>
              <w:rPr>
                <w:rFonts w:hint="eastAsia"/>
                <w:color w:val="auto"/>
              </w:rPr>
            </w:pPr>
            <w:r>
              <w:rPr>
                <w:rFonts w:hint="eastAsia" w:ascii="宋体" w:hAnsi="宋体" w:eastAsia="宋体" w:cs="宋体"/>
                <w:color w:val="auto"/>
                <w:sz w:val="22"/>
                <w:szCs w:val="22"/>
                <w:lang w:bidi="ar"/>
              </w:rPr>
              <w:t>缺项或不提供得0分。</w:t>
            </w:r>
          </w:p>
        </w:tc>
        <w:tc>
          <w:tcPr>
            <w:tcW w:w="667" w:type="dxa"/>
            <w:tcBorders>
              <w:top w:val="single" w:color="auto" w:sz="4" w:space="0"/>
              <w:bottom w:val="single" w:color="auto" w:sz="4" w:space="0"/>
            </w:tcBorders>
            <w:vAlign w:val="center"/>
          </w:tcPr>
          <w:p>
            <w:pPr>
              <w:spacing w:line="360" w:lineRule="auto"/>
              <w:jc w:val="center"/>
              <w:rPr>
                <w:rFonts w:hint="default"/>
                <w:color w:val="auto"/>
                <w:szCs w:val="21"/>
                <w:lang w:val="en-US" w:eastAsia="zh-CN"/>
              </w:rPr>
            </w:pPr>
            <w:r>
              <w:rPr>
                <w:rFonts w:hint="eastAsia"/>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7" w:hRule="atLeast"/>
        </w:trPr>
        <w:tc>
          <w:tcPr>
            <w:tcW w:w="1237" w:type="dxa"/>
            <w:vMerge w:val="continue"/>
            <w:vAlign w:val="center"/>
          </w:tcPr>
          <w:p>
            <w:pPr>
              <w:widowControl/>
              <w:spacing w:line="360" w:lineRule="auto"/>
              <w:ind w:firstLine="480"/>
              <w:jc w:val="left"/>
              <w:rPr>
                <w:rFonts w:ascii="Arial" w:hAnsi="Arial" w:cs="Arial"/>
                <w:bCs/>
                <w:color w:val="auto"/>
                <w:szCs w:val="21"/>
              </w:rPr>
            </w:pPr>
          </w:p>
        </w:tc>
        <w:tc>
          <w:tcPr>
            <w:tcW w:w="7742" w:type="dxa"/>
            <w:tcBorders>
              <w:top w:val="single" w:color="auto" w:sz="4" w:space="0"/>
              <w:bottom w:val="single" w:color="auto" w:sz="4" w:space="0"/>
            </w:tcBorders>
            <w:vAlign w:val="center"/>
          </w:tcPr>
          <w:p>
            <w:pPr>
              <w:numPr>
                <w:ilvl w:val="0"/>
                <w:numId w:val="0"/>
              </w:numPr>
              <w:spacing w:line="360" w:lineRule="auto"/>
              <w:ind w:leftChars="0"/>
              <w:textAlignment w:val="baseline"/>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eastAsia="zh-CN" w:bidi="ar"/>
              </w:rPr>
              <w:t>根据投标人针对性的提出克服难点和要点的解决措施的合理性、科学性、全面性等方面情况，进行评分：</w:t>
            </w:r>
          </w:p>
          <w:p>
            <w:pPr>
              <w:numPr>
                <w:ilvl w:val="0"/>
                <w:numId w:val="0"/>
              </w:numPr>
              <w:spacing w:line="360" w:lineRule="auto"/>
              <w:ind w:leftChars="0"/>
              <w:textAlignment w:val="baseline"/>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eastAsia="zh-CN" w:bidi="ar"/>
              </w:rPr>
              <w:t>每提出一条</w:t>
            </w:r>
            <w:r>
              <w:rPr>
                <w:rFonts w:hint="eastAsia" w:ascii="宋体" w:hAnsi="宋体" w:eastAsia="宋体" w:cs="宋体"/>
                <w:color w:val="auto"/>
                <w:sz w:val="22"/>
                <w:szCs w:val="22"/>
                <w:highlight w:val="none"/>
                <w:lang w:val="en-US" w:eastAsia="zh-CN" w:bidi="ar"/>
              </w:rPr>
              <w:t>克服</w:t>
            </w:r>
            <w:r>
              <w:rPr>
                <w:rFonts w:hint="eastAsia" w:ascii="宋体" w:hAnsi="宋体" w:eastAsia="宋体" w:cs="宋体"/>
                <w:color w:val="auto"/>
                <w:sz w:val="22"/>
                <w:szCs w:val="22"/>
                <w:highlight w:val="none"/>
                <w:lang w:eastAsia="zh-CN" w:bidi="ar"/>
              </w:rPr>
              <w:t>重难点，针对</w:t>
            </w:r>
            <w:r>
              <w:rPr>
                <w:rFonts w:hint="eastAsia" w:ascii="宋体" w:hAnsi="宋体" w:eastAsia="宋体" w:cs="宋体"/>
                <w:color w:val="auto"/>
                <w:sz w:val="22"/>
                <w:szCs w:val="22"/>
                <w:highlight w:val="none"/>
                <w:lang w:val="en-US" w:eastAsia="zh-CN" w:bidi="ar"/>
              </w:rPr>
              <w:t>本项目</w:t>
            </w:r>
            <w:r>
              <w:rPr>
                <w:rFonts w:hint="eastAsia" w:ascii="宋体" w:hAnsi="宋体" w:eastAsia="宋体" w:cs="宋体"/>
                <w:color w:val="auto"/>
                <w:sz w:val="22"/>
                <w:szCs w:val="22"/>
                <w:highlight w:val="none"/>
                <w:lang w:eastAsia="zh-CN" w:bidi="ar"/>
              </w:rPr>
              <w:t>解决措施完善</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lang w:eastAsia="zh-CN" w:bidi="ar"/>
              </w:rPr>
              <w:t>合理性</w:t>
            </w:r>
            <w:r>
              <w:rPr>
                <w:rFonts w:hint="eastAsia" w:ascii="宋体" w:hAnsi="宋体" w:eastAsia="宋体" w:cs="宋体"/>
                <w:color w:val="auto"/>
                <w:sz w:val="22"/>
                <w:szCs w:val="22"/>
                <w:highlight w:val="none"/>
                <w:lang w:val="en-US" w:eastAsia="zh-CN" w:bidi="ar"/>
              </w:rPr>
              <w:t>高，</w:t>
            </w:r>
            <w:r>
              <w:rPr>
                <w:rFonts w:hint="eastAsia" w:ascii="宋体" w:hAnsi="宋体" w:eastAsia="宋体" w:cs="宋体"/>
                <w:color w:val="auto"/>
                <w:sz w:val="22"/>
                <w:szCs w:val="22"/>
                <w:highlight w:val="none"/>
                <w:lang w:eastAsia="zh-CN" w:bidi="ar"/>
              </w:rPr>
              <w:t>分析与办法</w:t>
            </w:r>
            <w:r>
              <w:rPr>
                <w:rFonts w:hint="eastAsia" w:ascii="宋体" w:hAnsi="宋体" w:eastAsia="宋体" w:cs="宋体"/>
                <w:color w:val="auto"/>
                <w:sz w:val="22"/>
                <w:szCs w:val="22"/>
                <w:highlight w:val="none"/>
                <w:lang w:val="en-US" w:eastAsia="zh-CN" w:bidi="ar"/>
              </w:rPr>
              <w:t>完整的得3分；</w:t>
            </w:r>
          </w:p>
          <w:p>
            <w:pPr>
              <w:numPr>
                <w:ilvl w:val="0"/>
                <w:numId w:val="0"/>
              </w:numPr>
              <w:spacing w:line="360" w:lineRule="auto"/>
              <w:ind w:leftChars="0"/>
              <w:textAlignment w:val="baseline"/>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eastAsia="zh-CN" w:bidi="ar"/>
              </w:rPr>
              <w:t>每提出一条</w:t>
            </w:r>
            <w:r>
              <w:rPr>
                <w:rFonts w:hint="eastAsia" w:ascii="宋体" w:hAnsi="宋体" w:eastAsia="宋体" w:cs="宋体"/>
                <w:color w:val="auto"/>
                <w:sz w:val="22"/>
                <w:szCs w:val="22"/>
                <w:highlight w:val="none"/>
                <w:lang w:val="en-US" w:eastAsia="zh-CN" w:bidi="ar"/>
              </w:rPr>
              <w:t>克服</w:t>
            </w:r>
            <w:r>
              <w:rPr>
                <w:rFonts w:hint="eastAsia" w:ascii="宋体" w:hAnsi="宋体" w:eastAsia="宋体" w:cs="宋体"/>
                <w:color w:val="auto"/>
                <w:sz w:val="22"/>
                <w:szCs w:val="22"/>
                <w:highlight w:val="none"/>
                <w:lang w:eastAsia="zh-CN" w:bidi="ar"/>
              </w:rPr>
              <w:t>重难点，针对</w:t>
            </w:r>
            <w:r>
              <w:rPr>
                <w:rFonts w:hint="eastAsia" w:ascii="宋体" w:hAnsi="宋体" w:eastAsia="宋体" w:cs="宋体"/>
                <w:color w:val="auto"/>
                <w:sz w:val="22"/>
                <w:szCs w:val="22"/>
                <w:highlight w:val="none"/>
                <w:lang w:val="en-US" w:eastAsia="zh-CN" w:bidi="ar"/>
              </w:rPr>
              <w:t>本项目</w:t>
            </w:r>
            <w:r>
              <w:rPr>
                <w:rFonts w:hint="eastAsia" w:ascii="宋体" w:hAnsi="宋体" w:eastAsia="宋体" w:cs="宋体"/>
                <w:color w:val="auto"/>
                <w:sz w:val="22"/>
                <w:szCs w:val="22"/>
                <w:highlight w:val="none"/>
                <w:lang w:eastAsia="zh-CN" w:bidi="ar"/>
              </w:rPr>
              <w:t>解决措施</w:t>
            </w:r>
            <w:r>
              <w:rPr>
                <w:rFonts w:hint="eastAsia" w:ascii="宋体" w:hAnsi="宋体" w:eastAsia="宋体" w:cs="宋体"/>
                <w:color w:val="auto"/>
                <w:sz w:val="22"/>
                <w:szCs w:val="22"/>
                <w:highlight w:val="none"/>
                <w:lang w:val="en-US" w:eastAsia="zh-CN" w:bidi="ar"/>
              </w:rPr>
              <w:t>较</w:t>
            </w:r>
            <w:r>
              <w:rPr>
                <w:rFonts w:hint="eastAsia" w:ascii="宋体" w:hAnsi="宋体" w:eastAsia="宋体" w:cs="宋体"/>
                <w:color w:val="auto"/>
                <w:sz w:val="22"/>
                <w:szCs w:val="22"/>
                <w:highlight w:val="none"/>
                <w:lang w:eastAsia="zh-CN" w:bidi="ar"/>
              </w:rPr>
              <w:t>完善</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lang w:eastAsia="zh-CN" w:bidi="ar"/>
              </w:rPr>
              <w:t>合理性</w:t>
            </w:r>
            <w:r>
              <w:rPr>
                <w:rFonts w:hint="eastAsia" w:ascii="宋体" w:hAnsi="宋体" w:eastAsia="宋体" w:cs="宋体"/>
                <w:color w:val="auto"/>
                <w:sz w:val="22"/>
                <w:szCs w:val="22"/>
                <w:highlight w:val="none"/>
                <w:lang w:val="en-US" w:eastAsia="zh-CN" w:bidi="ar"/>
              </w:rPr>
              <w:t>较高，</w:t>
            </w:r>
            <w:r>
              <w:rPr>
                <w:rFonts w:hint="eastAsia" w:ascii="宋体" w:hAnsi="宋体" w:eastAsia="宋体" w:cs="宋体"/>
                <w:color w:val="auto"/>
                <w:sz w:val="22"/>
                <w:szCs w:val="22"/>
                <w:highlight w:val="none"/>
                <w:lang w:eastAsia="zh-CN" w:bidi="ar"/>
              </w:rPr>
              <w:t>分析与办法</w:t>
            </w:r>
            <w:r>
              <w:rPr>
                <w:rFonts w:hint="eastAsia" w:ascii="宋体" w:hAnsi="宋体" w:eastAsia="宋体" w:cs="宋体"/>
                <w:color w:val="auto"/>
                <w:sz w:val="22"/>
                <w:szCs w:val="22"/>
                <w:highlight w:val="none"/>
                <w:lang w:val="en-US" w:eastAsia="zh-CN" w:bidi="ar"/>
              </w:rPr>
              <w:t>较完整的得2分；</w:t>
            </w:r>
          </w:p>
          <w:p>
            <w:pPr>
              <w:numPr>
                <w:ilvl w:val="0"/>
                <w:numId w:val="0"/>
              </w:numPr>
              <w:spacing w:line="360" w:lineRule="auto"/>
              <w:ind w:leftChars="0"/>
              <w:textAlignment w:val="baseline"/>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eastAsia="zh-CN" w:bidi="ar"/>
              </w:rPr>
              <w:t>每提出一条</w:t>
            </w:r>
            <w:r>
              <w:rPr>
                <w:rFonts w:hint="eastAsia" w:ascii="宋体" w:hAnsi="宋体" w:eastAsia="宋体" w:cs="宋体"/>
                <w:color w:val="auto"/>
                <w:sz w:val="22"/>
                <w:szCs w:val="22"/>
                <w:highlight w:val="none"/>
                <w:lang w:val="en-US" w:eastAsia="zh-CN" w:bidi="ar"/>
              </w:rPr>
              <w:t>克服</w:t>
            </w:r>
            <w:r>
              <w:rPr>
                <w:rFonts w:hint="eastAsia" w:ascii="宋体" w:hAnsi="宋体" w:eastAsia="宋体" w:cs="宋体"/>
                <w:color w:val="auto"/>
                <w:sz w:val="22"/>
                <w:szCs w:val="22"/>
                <w:highlight w:val="none"/>
                <w:lang w:eastAsia="zh-CN" w:bidi="ar"/>
              </w:rPr>
              <w:t>重难点，针对</w:t>
            </w:r>
            <w:r>
              <w:rPr>
                <w:rFonts w:hint="eastAsia" w:ascii="宋体" w:hAnsi="宋体" w:eastAsia="宋体" w:cs="宋体"/>
                <w:color w:val="auto"/>
                <w:sz w:val="22"/>
                <w:szCs w:val="22"/>
                <w:highlight w:val="none"/>
                <w:lang w:val="en-US" w:eastAsia="zh-CN" w:bidi="ar"/>
              </w:rPr>
              <w:t>本项目</w:t>
            </w:r>
            <w:r>
              <w:rPr>
                <w:rFonts w:hint="eastAsia" w:ascii="宋体" w:hAnsi="宋体" w:eastAsia="宋体" w:cs="宋体"/>
                <w:color w:val="auto"/>
                <w:sz w:val="22"/>
                <w:szCs w:val="22"/>
                <w:highlight w:val="none"/>
                <w:lang w:eastAsia="zh-CN" w:bidi="ar"/>
              </w:rPr>
              <w:t>解决措施</w:t>
            </w:r>
            <w:r>
              <w:rPr>
                <w:rFonts w:hint="eastAsia" w:ascii="宋体" w:hAnsi="宋体" w:eastAsia="宋体" w:cs="宋体"/>
                <w:color w:val="auto"/>
                <w:sz w:val="22"/>
                <w:szCs w:val="22"/>
                <w:highlight w:val="none"/>
                <w:lang w:val="en-US" w:eastAsia="zh-CN" w:bidi="ar"/>
              </w:rPr>
              <w:t>欠</w:t>
            </w:r>
            <w:r>
              <w:rPr>
                <w:rFonts w:hint="eastAsia" w:ascii="宋体" w:hAnsi="宋体" w:eastAsia="宋体" w:cs="宋体"/>
                <w:color w:val="auto"/>
                <w:sz w:val="22"/>
                <w:szCs w:val="22"/>
                <w:highlight w:val="none"/>
                <w:lang w:eastAsia="zh-CN" w:bidi="ar"/>
              </w:rPr>
              <w:t>完善</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lang w:eastAsia="zh-CN" w:bidi="ar"/>
              </w:rPr>
              <w:t>合理性</w:t>
            </w:r>
            <w:r>
              <w:rPr>
                <w:rFonts w:hint="eastAsia" w:ascii="宋体" w:hAnsi="宋体" w:eastAsia="宋体" w:cs="宋体"/>
                <w:color w:val="auto"/>
                <w:sz w:val="22"/>
                <w:szCs w:val="22"/>
                <w:highlight w:val="none"/>
                <w:lang w:val="en-US" w:eastAsia="zh-CN" w:bidi="ar"/>
              </w:rPr>
              <w:t>欠高，</w:t>
            </w:r>
            <w:r>
              <w:rPr>
                <w:rFonts w:hint="eastAsia" w:ascii="宋体" w:hAnsi="宋体" w:eastAsia="宋体" w:cs="宋体"/>
                <w:color w:val="auto"/>
                <w:sz w:val="22"/>
                <w:szCs w:val="22"/>
                <w:highlight w:val="none"/>
                <w:lang w:eastAsia="zh-CN" w:bidi="ar"/>
              </w:rPr>
              <w:t>分析与办法</w:t>
            </w:r>
            <w:r>
              <w:rPr>
                <w:rFonts w:hint="eastAsia" w:ascii="宋体" w:hAnsi="宋体" w:eastAsia="宋体" w:cs="宋体"/>
                <w:color w:val="auto"/>
                <w:sz w:val="22"/>
                <w:szCs w:val="22"/>
                <w:highlight w:val="none"/>
                <w:lang w:val="en-US" w:eastAsia="zh-CN" w:bidi="ar"/>
              </w:rPr>
              <w:t>欠完整的得1分；</w:t>
            </w:r>
            <w:r>
              <w:rPr>
                <w:rFonts w:hint="eastAsia" w:ascii="宋体" w:hAnsi="宋体" w:cs="宋体"/>
                <w:color w:val="auto"/>
                <w:sz w:val="22"/>
                <w:szCs w:val="22"/>
                <w:highlight w:val="none"/>
                <w:lang w:val="en-US" w:eastAsia="zh-CN" w:bidi="ar"/>
              </w:rPr>
              <w:t>本项最多提3条解决措施，最高得9分。</w:t>
            </w:r>
          </w:p>
          <w:p>
            <w:pPr>
              <w:numPr>
                <w:ilvl w:val="0"/>
                <w:numId w:val="0"/>
              </w:numPr>
              <w:spacing w:line="360" w:lineRule="auto"/>
              <w:ind w:leftChars="0"/>
              <w:textAlignment w:val="baseline"/>
              <w:rPr>
                <w:rFonts w:hint="default"/>
                <w:color w:val="auto"/>
                <w:lang w:val="en-US"/>
              </w:rPr>
            </w:pPr>
            <w:r>
              <w:rPr>
                <w:rFonts w:hint="eastAsia" w:ascii="宋体" w:hAnsi="宋体" w:eastAsia="宋体" w:cs="宋体"/>
                <w:color w:val="auto"/>
                <w:sz w:val="22"/>
                <w:szCs w:val="22"/>
                <w:highlight w:val="none"/>
                <w:lang w:bidi="ar"/>
              </w:rPr>
              <w:t>缺项或不提供得0分。</w:t>
            </w:r>
          </w:p>
        </w:tc>
        <w:tc>
          <w:tcPr>
            <w:tcW w:w="667" w:type="dxa"/>
            <w:tcBorders>
              <w:top w:val="single" w:color="auto" w:sz="4" w:space="0"/>
              <w:bottom w:val="single" w:color="auto" w:sz="4" w:space="0"/>
            </w:tcBorders>
            <w:vAlign w:val="center"/>
          </w:tcPr>
          <w:p>
            <w:pPr>
              <w:spacing w:line="360" w:lineRule="auto"/>
              <w:jc w:val="center"/>
              <w:rPr>
                <w:rFonts w:hint="default"/>
                <w:color w:val="auto"/>
                <w:szCs w:val="21"/>
                <w:lang w:val="en-US" w:eastAsia="zh-CN"/>
              </w:rPr>
            </w:pPr>
            <w:r>
              <w:rPr>
                <w:rFonts w:hint="eastAsia"/>
                <w:color w:val="auto"/>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5" w:hRule="atLeast"/>
        </w:trPr>
        <w:tc>
          <w:tcPr>
            <w:tcW w:w="1237" w:type="dxa"/>
            <w:vMerge w:val="continue"/>
            <w:vAlign w:val="center"/>
          </w:tcPr>
          <w:p>
            <w:pPr>
              <w:widowControl/>
              <w:spacing w:line="360" w:lineRule="auto"/>
              <w:ind w:firstLine="480"/>
              <w:jc w:val="left"/>
              <w:rPr>
                <w:rFonts w:ascii="Arial" w:hAnsi="Arial" w:cs="Arial"/>
                <w:bCs/>
                <w:color w:val="auto"/>
                <w:szCs w:val="21"/>
              </w:rPr>
            </w:pPr>
          </w:p>
        </w:tc>
        <w:tc>
          <w:tcPr>
            <w:tcW w:w="7742" w:type="dxa"/>
            <w:tcBorders>
              <w:top w:val="single" w:color="auto" w:sz="4" w:space="0"/>
            </w:tcBorders>
            <w:vAlign w:val="center"/>
          </w:tcPr>
          <w:p>
            <w:pPr>
              <w:numPr>
                <w:ilvl w:val="0"/>
                <w:numId w:val="0"/>
              </w:numPr>
              <w:spacing w:line="360" w:lineRule="auto"/>
              <w:rPr>
                <w:rFonts w:hint="eastAsia"/>
                <w:color w:val="auto"/>
                <w:szCs w:val="21"/>
              </w:rPr>
            </w:pPr>
            <w:r>
              <w:rPr>
                <w:rFonts w:hint="eastAsia"/>
                <w:color w:val="auto"/>
                <w:szCs w:val="21"/>
              </w:rPr>
              <w:t>根据投标人对本项目拟投入的项目总负责人具有</w:t>
            </w:r>
            <w:r>
              <w:rPr>
                <w:rFonts w:hint="eastAsia"/>
                <w:color w:val="auto"/>
                <w:szCs w:val="21"/>
                <w:lang w:val="en-US" w:eastAsia="zh-CN"/>
              </w:rPr>
              <w:t>有效的</w:t>
            </w:r>
            <w:r>
              <w:rPr>
                <w:rFonts w:hint="eastAsia" w:ascii="宋体" w:hAnsi="宋体" w:eastAsia="宋体" w:cs="宋体"/>
                <w:color w:val="auto"/>
                <w:sz w:val="22"/>
                <w:szCs w:val="22"/>
                <w:lang w:bidi="ar"/>
              </w:rPr>
              <w:t>海洋高级</w:t>
            </w:r>
            <w:r>
              <w:rPr>
                <w:rFonts w:hint="eastAsia" w:ascii="宋体" w:hAnsi="宋体" w:cs="宋体"/>
                <w:color w:val="auto"/>
                <w:sz w:val="22"/>
                <w:szCs w:val="22"/>
                <w:lang w:val="en-US" w:eastAsia="zh-CN" w:bidi="ar"/>
              </w:rPr>
              <w:t>及以上</w:t>
            </w:r>
            <w:r>
              <w:rPr>
                <w:rFonts w:hint="eastAsia" w:ascii="宋体" w:hAnsi="宋体" w:eastAsia="宋体" w:cs="宋体"/>
                <w:color w:val="auto"/>
                <w:sz w:val="22"/>
                <w:szCs w:val="22"/>
                <w:lang w:bidi="ar"/>
              </w:rPr>
              <w:t>职称</w:t>
            </w:r>
            <w:r>
              <w:rPr>
                <w:rFonts w:hint="eastAsia"/>
                <w:color w:val="auto"/>
                <w:szCs w:val="21"/>
              </w:rPr>
              <w:t>的得2分；</w:t>
            </w:r>
          </w:p>
          <w:p>
            <w:pPr>
              <w:numPr>
                <w:ilvl w:val="0"/>
                <w:numId w:val="0"/>
              </w:numPr>
              <w:spacing w:line="360" w:lineRule="auto"/>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bidi="ar"/>
              </w:rPr>
              <w:t>技术负责人具体有</w:t>
            </w:r>
            <w:r>
              <w:rPr>
                <w:rFonts w:hint="eastAsia"/>
                <w:color w:val="auto"/>
                <w:szCs w:val="21"/>
                <w:lang w:val="en-US" w:eastAsia="zh-CN"/>
              </w:rPr>
              <w:t>有效的</w:t>
            </w:r>
            <w:r>
              <w:rPr>
                <w:rFonts w:hint="eastAsia" w:ascii="宋体" w:hAnsi="宋体" w:eastAsia="宋体" w:cs="宋体"/>
                <w:color w:val="auto"/>
                <w:sz w:val="22"/>
                <w:szCs w:val="22"/>
                <w:lang w:bidi="ar"/>
              </w:rPr>
              <w:t>海洋高级</w:t>
            </w:r>
            <w:r>
              <w:rPr>
                <w:rFonts w:hint="eastAsia" w:ascii="宋体" w:hAnsi="宋体" w:cs="宋体"/>
                <w:color w:val="auto"/>
                <w:sz w:val="22"/>
                <w:szCs w:val="22"/>
                <w:lang w:val="en-US" w:eastAsia="zh-CN" w:bidi="ar"/>
              </w:rPr>
              <w:t>及以上</w:t>
            </w:r>
            <w:r>
              <w:rPr>
                <w:rFonts w:hint="eastAsia" w:ascii="宋体" w:hAnsi="宋体" w:eastAsia="宋体" w:cs="宋体"/>
                <w:color w:val="auto"/>
                <w:sz w:val="22"/>
                <w:szCs w:val="22"/>
                <w:lang w:bidi="ar"/>
              </w:rPr>
              <w:t>职称得</w:t>
            </w:r>
            <w:r>
              <w:rPr>
                <w:rFonts w:hint="eastAsia" w:ascii="宋体" w:hAnsi="宋体" w:eastAsia="宋体" w:cs="宋体"/>
                <w:color w:val="auto"/>
                <w:sz w:val="22"/>
                <w:szCs w:val="22"/>
                <w:lang w:val="en-US" w:eastAsia="zh-CN" w:bidi="ar"/>
              </w:rPr>
              <w:t>2</w:t>
            </w:r>
            <w:r>
              <w:rPr>
                <w:rFonts w:hint="eastAsia" w:ascii="宋体" w:hAnsi="宋体" w:eastAsia="宋体" w:cs="宋体"/>
                <w:color w:val="auto"/>
                <w:sz w:val="22"/>
                <w:szCs w:val="22"/>
                <w:lang w:bidi="ar"/>
              </w:rPr>
              <w:t>分</w:t>
            </w:r>
            <w:r>
              <w:rPr>
                <w:rFonts w:hint="eastAsia" w:ascii="宋体" w:hAnsi="宋体" w:cs="宋体"/>
                <w:color w:val="auto"/>
                <w:sz w:val="22"/>
                <w:szCs w:val="22"/>
                <w:lang w:eastAsia="zh-CN" w:bidi="ar"/>
              </w:rPr>
              <w:t>；</w:t>
            </w:r>
          </w:p>
          <w:p>
            <w:pPr>
              <w:numPr>
                <w:ilvl w:val="0"/>
                <w:numId w:val="0"/>
              </w:numPr>
              <w:spacing w:line="360" w:lineRule="auto"/>
              <w:rPr>
                <w:color w:val="auto"/>
                <w:szCs w:val="21"/>
              </w:rPr>
            </w:pPr>
            <w:r>
              <w:rPr>
                <w:rFonts w:hint="eastAsia"/>
                <w:color w:val="auto"/>
                <w:szCs w:val="21"/>
              </w:rPr>
              <w:t>本项最高得4分。</w:t>
            </w:r>
          </w:p>
          <w:p>
            <w:pPr>
              <w:spacing w:line="360" w:lineRule="auto"/>
              <w:rPr>
                <w:rFonts w:ascii="宋体" w:hAnsi="宋体"/>
                <w:color w:val="auto"/>
                <w:szCs w:val="21"/>
              </w:rPr>
            </w:pPr>
            <w:r>
              <w:rPr>
                <w:rFonts w:hint="eastAsia"/>
                <w:b/>
                <w:bCs/>
                <w:color w:val="auto"/>
                <w:szCs w:val="21"/>
              </w:rPr>
              <w:t>注：以上人员不重复计算，须为公司正式在编人员</w:t>
            </w:r>
            <w:r>
              <w:rPr>
                <w:rFonts w:hint="eastAsia"/>
                <w:b/>
                <w:bCs/>
                <w:color w:val="auto"/>
                <w:szCs w:val="21"/>
                <w:lang w:eastAsia="zh-CN"/>
              </w:rPr>
              <w:t>，</w:t>
            </w:r>
            <w:r>
              <w:rPr>
                <w:rFonts w:hint="eastAsia"/>
                <w:b/>
                <w:bCs/>
                <w:color w:val="auto"/>
                <w:szCs w:val="21"/>
              </w:rPr>
              <w:t>提供项目总负责人及项目技术</w:t>
            </w:r>
            <w:r>
              <w:rPr>
                <w:rFonts w:hint="eastAsia" w:ascii="Times New Roman" w:hAnsi="Times New Roman" w:cs="Times New Roman"/>
                <w:b/>
                <w:bCs/>
                <w:color w:val="auto"/>
                <w:szCs w:val="21"/>
              </w:rPr>
              <w:t>负责人的近三个月</w:t>
            </w:r>
            <w:r>
              <w:rPr>
                <w:rFonts w:hint="eastAsia" w:ascii="Times New Roman" w:hAnsi="Times New Roman" w:cs="Times New Roman"/>
                <w:b/>
                <w:bCs/>
                <w:color w:val="auto"/>
                <w:szCs w:val="21"/>
                <w:lang w:val="en-US" w:eastAsia="zh-CN"/>
              </w:rPr>
              <w:t>中其中一个月</w:t>
            </w:r>
            <w:r>
              <w:rPr>
                <w:rFonts w:hint="eastAsia" w:ascii="Times New Roman" w:hAnsi="Times New Roman" w:cs="Times New Roman"/>
                <w:b/>
                <w:bCs/>
                <w:color w:val="auto"/>
                <w:szCs w:val="21"/>
              </w:rPr>
              <w:t>社保</w:t>
            </w:r>
            <w:r>
              <w:rPr>
                <w:rFonts w:hint="eastAsia"/>
                <w:b/>
                <w:bCs/>
                <w:color w:val="auto"/>
                <w:szCs w:val="21"/>
              </w:rPr>
              <w:t>证明材料和证书复印件，不提供不得分。</w:t>
            </w:r>
          </w:p>
        </w:tc>
        <w:tc>
          <w:tcPr>
            <w:tcW w:w="667" w:type="dxa"/>
            <w:tcBorders>
              <w:top w:val="single" w:color="auto" w:sz="4" w:space="0"/>
            </w:tcBorders>
            <w:vAlign w:val="center"/>
          </w:tcPr>
          <w:p>
            <w:pPr>
              <w:spacing w:line="360" w:lineRule="auto"/>
              <w:jc w:val="center"/>
              <w:rPr>
                <w:rFonts w:ascii="宋体"/>
                <w:color w:val="auto"/>
                <w:szCs w:val="21"/>
              </w:rPr>
            </w:pPr>
            <w:r>
              <w:rPr>
                <w:rFonts w:hint="eastAsia"/>
                <w:color w:val="auto"/>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237" w:type="dxa"/>
            <w:vMerge w:val="continue"/>
            <w:vAlign w:val="center"/>
          </w:tcPr>
          <w:p>
            <w:pPr>
              <w:widowControl/>
              <w:spacing w:line="360" w:lineRule="auto"/>
              <w:ind w:firstLine="480"/>
              <w:jc w:val="left"/>
              <w:rPr>
                <w:rFonts w:ascii="Arial" w:hAnsi="Arial" w:cs="Arial"/>
                <w:bCs/>
                <w:color w:val="auto"/>
                <w:szCs w:val="21"/>
              </w:rPr>
            </w:pPr>
          </w:p>
        </w:tc>
        <w:tc>
          <w:tcPr>
            <w:tcW w:w="7742" w:type="dxa"/>
            <w:tcBorders>
              <w:top w:val="single" w:color="auto" w:sz="4" w:space="0"/>
              <w:bottom w:val="single" w:color="auto" w:sz="4" w:space="0"/>
            </w:tcBorders>
            <w:vAlign w:val="center"/>
          </w:tcPr>
          <w:p>
            <w:pPr>
              <w:numPr>
                <w:ilvl w:val="0"/>
                <w:numId w:val="0"/>
              </w:numPr>
              <w:spacing w:line="360" w:lineRule="auto"/>
              <w:jc w:val="left"/>
              <w:textAlignment w:val="baseline"/>
              <w:rPr>
                <w:color w:val="auto"/>
                <w:szCs w:val="21"/>
              </w:rPr>
            </w:pPr>
            <w:r>
              <w:rPr>
                <w:rFonts w:hint="eastAsia"/>
                <w:color w:val="auto"/>
                <w:szCs w:val="21"/>
              </w:rPr>
              <w:t>根据投标人拟投入本项目的其他人员：</w:t>
            </w:r>
          </w:p>
          <w:p>
            <w:pPr>
              <w:numPr>
                <w:ilvl w:val="255"/>
                <w:numId w:val="0"/>
              </w:numPr>
              <w:shd w:val="clear"/>
              <w:spacing w:line="360" w:lineRule="auto"/>
              <w:jc w:val="left"/>
              <w:textAlignment w:val="baseline"/>
              <w:rPr>
                <w:color w:val="auto"/>
                <w:szCs w:val="21"/>
                <w:highlight w:val="none"/>
              </w:rPr>
            </w:pPr>
            <w:r>
              <w:rPr>
                <w:rFonts w:hint="eastAsia"/>
                <w:color w:val="auto"/>
                <w:szCs w:val="21"/>
              </w:rPr>
              <w:t xml:space="preserve">8.1 </w:t>
            </w:r>
            <w:r>
              <w:rPr>
                <w:rFonts w:hint="eastAsia" w:ascii="宋体" w:hAnsi="宋体" w:eastAsia="宋体" w:cs="宋体"/>
                <w:color w:val="auto"/>
                <w:sz w:val="22"/>
                <w:szCs w:val="22"/>
                <w:lang w:bidi="ar"/>
              </w:rPr>
              <w:t>具有</w:t>
            </w:r>
            <w:r>
              <w:rPr>
                <w:rFonts w:hint="eastAsia"/>
                <w:color w:val="auto"/>
                <w:szCs w:val="21"/>
                <w:lang w:val="en-US" w:eastAsia="zh-CN"/>
              </w:rPr>
              <w:t>有效的</w:t>
            </w:r>
            <w:r>
              <w:rPr>
                <w:rFonts w:hint="eastAsia" w:ascii="宋体" w:hAnsi="宋体" w:eastAsia="宋体" w:cs="宋体"/>
                <w:color w:val="auto"/>
                <w:sz w:val="22"/>
                <w:szCs w:val="22"/>
                <w:lang w:eastAsia="zh-CN" w:bidi="ar"/>
              </w:rPr>
              <w:t>海洋类或</w:t>
            </w:r>
            <w:r>
              <w:rPr>
                <w:rFonts w:hint="eastAsia" w:ascii="宋体" w:hAnsi="宋体" w:eastAsia="宋体" w:cs="宋体"/>
                <w:color w:val="auto"/>
                <w:sz w:val="22"/>
                <w:szCs w:val="22"/>
                <w:lang w:val="en-US" w:eastAsia="zh-CN" w:bidi="ar"/>
              </w:rPr>
              <w:t>测绘</w:t>
            </w:r>
            <w:r>
              <w:rPr>
                <w:rFonts w:hint="eastAsia" w:ascii="宋体" w:hAnsi="宋体" w:cs="宋体"/>
                <w:color w:val="auto"/>
                <w:sz w:val="22"/>
                <w:szCs w:val="22"/>
                <w:lang w:val="en-US" w:eastAsia="zh-CN" w:bidi="ar"/>
              </w:rPr>
              <w:t>类</w:t>
            </w:r>
            <w:r>
              <w:rPr>
                <w:rFonts w:hint="eastAsia" w:ascii="宋体" w:hAnsi="宋体" w:eastAsia="宋体" w:cs="宋体"/>
                <w:color w:val="auto"/>
                <w:sz w:val="22"/>
                <w:szCs w:val="22"/>
                <w:lang w:val="en-US" w:eastAsia="zh-CN" w:bidi="ar"/>
              </w:rPr>
              <w:t>中级</w:t>
            </w:r>
            <w:r>
              <w:rPr>
                <w:rFonts w:hint="eastAsia" w:ascii="宋体" w:hAnsi="宋体" w:cs="宋体"/>
                <w:color w:val="auto"/>
                <w:sz w:val="22"/>
                <w:szCs w:val="22"/>
                <w:lang w:val="en-US" w:eastAsia="zh-CN" w:bidi="ar"/>
              </w:rPr>
              <w:t>及</w:t>
            </w:r>
            <w:r>
              <w:rPr>
                <w:rFonts w:hint="eastAsia" w:ascii="宋体" w:hAnsi="宋体" w:eastAsia="宋体" w:cs="宋体"/>
                <w:color w:val="auto"/>
                <w:sz w:val="22"/>
                <w:szCs w:val="22"/>
                <w:lang w:val="en-US" w:eastAsia="zh-CN" w:bidi="ar"/>
              </w:rPr>
              <w:t>以上职称的</w:t>
            </w:r>
            <w:r>
              <w:rPr>
                <w:rFonts w:hint="eastAsia" w:ascii="宋体" w:hAnsi="宋体" w:eastAsia="宋体" w:cs="宋体"/>
                <w:color w:val="auto"/>
                <w:sz w:val="22"/>
                <w:szCs w:val="22"/>
                <w:lang w:bidi="ar"/>
              </w:rPr>
              <w:t>，</w:t>
            </w:r>
            <w:r>
              <w:rPr>
                <w:rFonts w:hint="eastAsia" w:ascii="宋体" w:hAnsi="宋体" w:eastAsia="宋体" w:cs="宋体"/>
                <w:color w:val="auto"/>
                <w:sz w:val="22"/>
                <w:szCs w:val="22"/>
                <w:lang w:val="en-US" w:eastAsia="zh-CN" w:bidi="ar"/>
              </w:rPr>
              <w:t>每投入一人</w:t>
            </w:r>
            <w:r>
              <w:rPr>
                <w:rFonts w:hint="eastAsia" w:ascii="宋体" w:hAnsi="宋体" w:eastAsia="宋体" w:cs="宋体"/>
                <w:color w:val="auto"/>
                <w:sz w:val="22"/>
                <w:szCs w:val="22"/>
                <w:lang w:bidi="ar"/>
              </w:rPr>
              <w:t>得</w:t>
            </w:r>
            <w:r>
              <w:rPr>
                <w:rFonts w:hint="eastAsia" w:ascii="宋体" w:hAnsi="宋体" w:eastAsia="宋体" w:cs="宋体"/>
                <w:color w:val="auto"/>
                <w:sz w:val="22"/>
                <w:szCs w:val="22"/>
                <w:lang w:val="en-US" w:eastAsia="zh-CN" w:bidi="ar"/>
              </w:rPr>
              <w:t>1</w:t>
            </w:r>
            <w:r>
              <w:rPr>
                <w:rFonts w:hint="eastAsia" w:ascii="宋体" w:hAnsi="宋体" w:eastAsia="宋体" w:cs="宋体"/>
                <w:color w:val="auto"/>
                <w:sz w:val="22"/>
                <w:szCs w:val="22"/>
                <w:lang w:bidi="ar"/>
              </w:rPr>
              <w:t>分，本小项最高得</w:t>
            </w:r>
            <w:r>
              <w:rPr>
                <w:rFonts w:hint="eastAsia" w:ascii="宋体" w:hAnsi="宋体" w:eastAsia="宋体" w:cs="宋体"/>
                <w:color w:val="auto"/>
                <w:sz w:val="22"/>
                <w:szCs w:val="22"/>
                <w:lang w:val="en-US" w:eastAsia="zh-CN" w:bidi="ar"/>
              </w:rPr>
              <w:t>4</w:t>
            </w:r>
            <w:r>
              <w:rPr>
                <w:rFonts w:hint="eastAsia" w:ascii="宋体" w:hAnsi="宋体" w:eastAsia="宋体" w:cs="宋体"/>
                <w:color w:val="auto"/>
                <w:sz w:val="22"/>
                <w:szCs w:val="22"/>
                <w:lang w:bidi="ar"/>
              </w:rPr>
              <w:t>分；</w:t>
            </w:r>
          </w:p>
          <w:p>
            <w:pPr>
              <w:shd w:val="clear"/>
              <w:spacing w:line="360" w:lineRule="auto"/>
              <w:jc w:val="left"/>
              <w:textAlignment w:val="baseline"/>
              <w:rPr>
                <w:rFonts w:ascii="宋体" w:hAnsi="宋体"/>
                <w:color w:val="auto"/>
                <w:kern w:val="0"/>
                <w:szCs w:val="21"/>
                <w:highlight w:val="none"/>
              </w:rPr>
            </w:pPr>
            <w:r>
              <w:rPr>
                <w:rFonts w:hint="eastAsia" w:ascii="宋体" w:hAnsi="宋体"/>
                <w:color w:val="auto"/>
                <w:kern w:val="0"/>
                <w:szCs w:val="21"/>
                <w:highlight w:val="none"/>
              </w:rPr>
              <w:t xml:space="preserve">8.2 </w:t>
            </w:r>
            <w:r>
              <w:rPr>
                <w:rFonts w:hint="eastAsia" w:ascii="宋体" w:hAnsi="宋体" w:eastAsia="宋体" w:cs="宋体"/>
                <w:color w:val="auto"/>
                <w:sz w:val="22"/>
                <w:szCs w:val="22"/>
                <w:lang w:bidi="ar"/>
              </w:rPr>
              <w:t>具有</w:t>
            </w:r>
            <w:r>
              <w:rPr>
                <w:rFonts w:hint="eastAsia"/>
                <w:color w:val="auto"/>
                <w:szCs w:val="21"/>
                <w:lang w:val="en-US" w:eastAsia="zh-CN"/>
              </w:rPr>
              <w:t>有效的</w:t>
            </w:r>
            <w:r>
              <w:rPr>
                <w:rFonts w:hint="eastAsia" w:ascii="宋体" w:hAnsi="宋体" w:eastAsia="宋体" w:cs="宋体"/>
                <w:color w:val="auto"/>
                <w:sz w:val="22"/>
                <w:szCs w:val="22"/>
                <w:lang w:bidi="ar"/>
              </w:rPr>
              <w:t>博士学历或高级工程师的</w:t>
            </w:r>
            <w:r>
              <w:rPr>
                <w:rFonts w:hint="eastAsia" w:ascii="宋体" w:hAnsi="宋体" w:eastAsia="宋体" w:cs="宋体"/>
                <w:color w:val="auto"/>
                <w:sz w:val="22"/>
                <w:szCs w:val="22"/>
                <w:lang w:eastAsia="zh-CN" w:bidi="ar"/>
              </w:rPr>
              <w:t>，每投入</w:t>
            </w:r>
            <w:r>
              <w:rPr>
                <w:rFonts w:hint="eastAsia" w:ascii="宋体" w:hAnsi="宋体" w:eastAsia="宋体" w:cs="宋体"/>
                <w:color w:val="auto"/>
                <w:sz w:val="22"/>
                <w:szCs w:val="22"/>
                <w:lang w:val="en-US" w:eastAsia="zh-CN" w:bidi="ar"/>
              </w:rPr>
              <w:t>1人得</w:t>
            </w:r>
            <w:r>
              <w:rPr>
                <w:rFonts w:hint="eastAsia" w:ascii="宋体" w:hAnsi="宋体" w:eastAsia="宋体" w:cs="宋体"/>
                <w:color w:val="auto"/>
                <w:sz w:val="22"/>
                <w:szCs w:val="22"/>
                <w:lang w:bidi="ar"/>
              </w:rPr>
              <w:t>1分</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bidi="ar"/>
              </w:rPr>
              <w:t>本小项最高得2分</w:t>
            </w:r>
            <w:r>
              <w:rPr>
                <w:rFonts w:hint="eastAsia" w:ascii="宋体" w:hAnsi="宋体"/>
                <w:color w:val="auto"/>
                <w:kern w:val="0"/>
                <w:szCs w:val="21"/>
                <w:highlight w:val="none"/>
              </w:rPr>
              <w:t>；</w:t>
            </w:r>
          </w:p>
          <w:p>
            <w:pPr>
              <w:pStyle w:val="11"/>
              <w:shd w:val="clear"/>
              <w:ind w:firstLine="0" w:firstLineChars="0"/>
              <w:rPr>
                <w:rFonts w:hint="eastAsia" w:ascii="宋体" w:hAnsi="宋体" w:eastAsia="宋体"/>
                <w:color w:val="auto"/>
                <w:kern w:val="0"/>
                <w:sz w:val="21"/>
                <w:szCs w:val="21"/>
                <w:highlight w:val="none"/>
                <w:lang w:eastAsia="zh-CN"/>
              </w:rPr>
            </w:pPr>
            <w:r>
              <w:rPr>
                <w:rFonts w:ascii="宋体" w:hAnsi="宋体"/>
                <w:color w:val="auto"/>
                <w:kern w:val="0"/>
                <w:sz w:val="21"/>
                <w:szCs w:val="21"/>
                <w:highlight w:val="none"/>
              </w:rPr>
              <w:t xml:space="preserve">8.3 </w:t>
            </w:r>
            <w:r>
              <w:rPr>
                <w:rFonts w:hint="eastAsia" w:ascii="宋体" w:hAnsi="宋体" w:eastAsia="宋体" w:cs="宋体"/>
                <w:color w:val="auto"/>
                <w:sz w:val="22"/>
                <w:szCs w:val="22"/>
                <w:lang w:bidi="ar"/>
              </w:rPr>
              <w:t>具有</w:t>
            </w:r>
            <w:r>
              <w:rPr>
                <w:rFonts w:hint="eastAsia" w:ascii="宋体" w:hAnsi="宋体" w:eastAsia="宋体" w:cs="宋体"/>
                <w:color w:val="auto"/>
                <w:sz w:val="22"/>
                <w:szCs w:val="22"/>
                <w:lang w:val="en-US" w:eastAsia="zh-CN" w:bidi="ar"/>
              </w:rPr>
              <w:t>有效的</w:t>
            </w:r>
            <w:r>
              <w:rPr>
                <w:rFonts w:hint="eastAsia" w:ascii="宋体" w:hAnsi="宋体" w:eastAsia="宋体" w:cs="宋体"/>
                <w:color w:val="auto"/>
                <w:sz w:val="22"/>
                <w:szCs w:val="22"/>
                <w:lang w:bidi="ar"/>
              </w:rPr>
              <w:t>海域使用论证上岗证书</w:t>
            </w:r>
            <w:r>
              <w:rPr>
                <w:rFonts w:hint="eastAsia" w:ascii="宋体" w:hAnsi="宋体" w:eastAsia="宋体" w:cs="宋体"/>
                <w:color w:val="auto"/>
                <w:sz w:val="22"/>
                <w:szCs w:val="22"/>
                <w:lang w:eastAsia="zh-CN" w:bidi="ar"/>
              </w:rPr>
              <w:t>的，每投入</w:t>
            </w:r>
            <w:r>
              <w:rPr>
                <w:rFonts w:hint="eastAsia" w:ascii="宋体" w:hAnsi="宋体" w:eastAsia="宋体" w:cs="宋体"/>
                <w:color w:val="auto"/>
                <w:sz w:val="22"/>
                <w:szCs w:val="22"/>
                <w:lang w:val="en-US" w:eastAsia="zh-CN" w:bidi="ar"/>
              </w:rPr>
              <w:t>1人</w:t>
            </w:r>
            <w:r>
              <w:rPr>
                <w:rFonts w:hint="eastAsia" w:ascii="宋体" w:hAnsi="宋体" w:eastAsia="宋体" w:cs="宋体"/>
                <w:color w:val="auto"/>
                <w:sz w:val="22"/>
                <w:szCs w:val="22"/>
                <w:lang w:bidi="ar"/>
              </w:rPr>
              <w:t>得</w:t>
            </w:r>
            <w:r>
              <w:rPr>
                <w:rFonts w:hint="eastAsia" w:ascii="宋体" w:hAnsi="宋体" w:eastAsia="宋体" w:cs="宋体"/>
                <w:color w:val="auto"/>
                <w:sz w:val="22"/>
                <w:szCs w:val="22"/>
                <w:lang w:val="en-US" w:eastAsia="zh-CN" w:bidi="ar"/>
              </w:rPr>
              <w:t>1</w:t>
            </w:r>
            <w:r>
              <w:rPr>
                <w:rFonts w:hint="eastAsia" w:ascii="宋体" w:hAnsi="宋体" w:eastAsia="宋体" w:cs="宋体"/>
                <w:color w:val="auto"/>
                <w:sz w:val="22"/>
                <w:szCs w:val="22"/>
                <w:lang w:bidi="ar"/>
              </w:rPr>
              <w:t>分</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bidi="ar"/>
              </w:rPr>
              <w:t>本小项最高得2分</w:t>
            </w:r>
            <w:r>
              <w:rPr>
                <w:rFonts w:hint="eastAsia" w:ascii="宋体" w:hAnsi="宋体" w:cs="宋体"/>
                <w:color w:val="auto"/>
                <w:sz w:val="22"/>
                <w:szCs w:val="22"/>
                <w:lang w:eastAsia="zh-CN" w:bidi="ar"/>
              </w:rPr>
              <w:t>。</w:t>
            </w:r>
          </w:p>
          <w:p>
            <w:pPr>
              <w:shd w:val="clear"/>
              <w:spacing w:line="360" w:lineRule="auto"/>
              <w:jc w:val="left"/>
              <w:textAlignment w:val="baseline"/>
              <w:rPr>
                <w:color w:val="auto"/>
                <w:szCs w:val="21"/>
              </w:rPr>
            </w:pPr>
            <w:r>
              <w:rPr>
                <w:b/>
                <w:color w:val="auto"/>
                <w:szCs w:val="21"/>
                <w:highlight w:val="none"/>
              </w:rPr>
              <w:t>注：以上人员不包括项目总负责人</w:t>
            </w:r>
            <w:r>
              <w:rPr>
                <w:rFonts w:hint="eastAsia"/>
                <w:b/>
                <w:color w:val="auto"/>
                <w:szCs w:val="21"/>
                <w:highlight w:val="none"/>
              </w:rPr>
              <w:t>及项目技术负责人</w:t>
            </w:r>
            <w:r>
              <w:rPr>
                <w:rFonts w:hint="eastAsia"/>
                <w:b/>
                <w:color w:val="auto"/>
                <w:szCs w:val="21"/>
                <w:highlight w:val="none"/>
                <w:lang w:val="en-US" w:eastAsia="zh-CN"/>
              </w:rPr>
              <w:t>且不得重复计算</w:t>
            </w:r>
            <w:r>
              <w:rPr>
                <w:b/>
                <w:color w:val="auto"/>
                <w:szCs w:val="21"/>
                <w:highlight w:val="none"/>
              </w:rPr>
              <w:t>，投</w:t>
            </w:r>
            <w:r>
              <w:rPr>
                <w:b/>
                <w:color w:val="auto"/>
                <w:szCs w:val="21"/>
              </w:rPr>
              <w:t>标人须提供对应人员</w:t>
            </w:r>
            <w:r>
              <w:rPr>
                <w:rFonts w:hint="eastAsia" w:ascii="Times New Roman" w:hAnsi="Times New Roman" w:cs="Times New Roman"/>
                <w:b/>
                <w:bCs/>
                <w:color w:val="auto"/>
                <w:szCs w:val="21"/>
              </w:rPr>
              <w:t>近三个月</w:t>
            </w:r>
            <w:r>
              <w:rPr>
                <w:rFonts w:hint="eastAsia" w:ascii="Times New Roman" w:hAnsi="Times New Roman" w:cs="Times New Roman"/>
                <w:b/>
                <w:bCs/>
                <w:color w:val="auto"/>
                <w:szCs w:val="21"/>
                <w:lang w:val="en-US" w:eastAsia="zh-CN"/>
              </w:rPr>
              <w:t>中其中一个月</w:t>
            </w:r>
            <w:r>
              <w:rPr>
                <w:b/>
                <w:color w:val="auto"/>
                <w:szCs w:val="21"/>
              </w:rPr>
              <w:t>的社保证明材料和证书复印件，不提供不得分（退休人员须提供退休证和返聘合同复印件，否则不得分）。上述人员为劳务派遣性质的， 还须提供相对应的劳务派遣合同复印件。</w:t>
            </w:r>
          </w:p>
        </w:tc>
        <w:tc>
          <w:tcPr>
            <w:tcW w:w="667" w:type="dxa"/>
            <w:tcBorders>
              <w:top w:val="single" w:color="auto" w:sz="4" w:space="0"/>
            </w:tcBorders>
            <w:vAlign w:val="center"/>
          </w:tcPr>
          <w:p>
            <w:pPr>
              <w:spacing w:line="360" w:lineRule="auto"/>
              <w:jc w:val="center"/>
              <w:rPr>
                <w:rFonts w:hint="eastAsia" w:eastAsia="宋体"/>
                <w:color w:val="auto"/>
                <w:szCs w:val="21"/>
                <w:lang w:eastAsia="zh-CN"/>
              </w:rPr>
            </w:pPr>
            <w:r>
              <w:rPr>
                <w:rFonts w:hint="eastAsia"/>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9" w:hRule="atLeast"/>
        </w:trPr>
        <w:tc>
          <w:tcPr>
            <w:tcW w:w="1237" w:type="dxa"/>
            <w:vMerge w:val="restart"/>
            <w:vAlign w:val="center"/>
          </w:tcPr>
          <w:p>
            <w:pPr>
              <w:widowControl/>
              <w:spacing w:line="360" w:lineRule="auto"/>
              <w:jc w:val="left"/>
              <w:rPr>
                <w:rFonts w:ascii="Arial" w:hAnsi="Arial" w:cs="Arial"/>
                <w:b/>
                <w:bCs/>
                <w:color w:val="auto"/>
                <w:szCs w:val="21"/>
              </w:rPr>
            </w:pPr>
            <w:r>
              <w:rPr>
                <w:rFonts w:hint="eastAsia" w:ascii="Arial" w:hAnsi="Arial" w:cs="Arial"/>
                <w:b/>
                <w:bCs/>
                <w:color w:val="auto"/>
                <w:szCs w:val="21"/>
              </w:rPr>
              <w:t>企业实力及信誉</w:t>
            </w:r>
            <w:r>
              <w:rPr>
                <w:rFonts w:hint="eastAsia" w:ascii="Arial" w:hAnsi="Arial" w:cs="Arial"/>
                <w:b/>
                <w:bCs/>
                <w:color w:val="auto"/>
                <w:szCs w:val="21"/>
                <w:lang w:val="en-US" w:eastAsia="zh-CN"/>
              </w:rPr>
              <w:t>4</w:t>
            </w:r>
            <w:r>
              <w:rPr>
                <w:rFonts w:hint="eastAsia" w:ascii="Arial" w:hAnsi="Arial" w:cs="Arial"/>
                <w:b/>
                <w:bCs/>
                <w:color w:val="auto"/>
                <w:szCs w:val="21"/>
              </w:rPr>
              <w:t>分</w:t>
            </w:r>
          </w:p>
        </w:tc>
        <w:tc>
          <w:tcPr>
            <w:tcW w:w="7742" w:type="dxa"/>
            <w:vAlign w:val="center"/>
          </w:tcPr>
          <w:p>
            <w:pPr>
              <w:spacing w:line="360" w:lineRule="auto"/>
              <w:jc w:val="left"/>
              <w:textAlignment w:val="baseline"/>
              <w:rPr>
                <w:rFonts w:ascii="宋体" w:hAnsi="宋体"/>
                <w:color w:val="auto"/>
                <w:kern w:val="0"/>
                <w:szCs w:val="21"/>
                <w:highlight w:val="none"/>
              </w:rPr>
            </w:pPr>
            <w:r>
              <w:rPr>
                <w:rFonts w:hint="eastAsia" w:ascii="宋体" w:hAnsi="宋体"/>
                <w:color w:val="auto"/>
                <w:kern w:val="0"/>
                <w:szCs w:val="21"/>
              </w:rPr>
              <w:t>自202</w:t>
            </w:r>
            <w:r>
              <w:rPr>
                <w:rFonts w:hint="eastAsia" w:ascii="宋体" w:hAnsi="宋体"/>
                <w:color w:val="auto"/>
                <w:kern w:val="0"/>
                <w:szCs w:val="21"/>
                <w:lang w:val="en-US" w:eastAsia="zh-CN"/>
              </w:rPr>
              <w:t>1</w:t>
            </w:r>
            <w:r>
              <w:rPr>
                <w:rFonts w:ascii="宋体" w:hAnsi="宋体"/>
                <w:color w:val="auto"/>
                <w:kern w:val="0"/>
                <w:szCs w:val="21"/>
              </w:rPr>
              <w:t>年</w:t>
            </w:r>
            <w:r>
              <w:rPr>
                <w:rFonts w:hint="eastAsia" w:ascii="宋体" w:hAnsi="宋体"/>
                <w:color w:val="auto"/>
                <w:kern w:val="0"/>
                <w:szCs w:val="21"/>
              </w:rPr>
              <w:t>1月1日（以合同签订时间为准）起至投标截止时间止，投标人具有</w:t>
            </w:r>
            <w:r>
              <w:rPr>
                <w:rFonts w:hint="eastAsia" w:ascii="宋体" w:hAnsi="宋体" w:eastAsia="宋体" w:cs="宋体"/>
                <w:color w:val="auto"/>
                <w:sz w:val="22"/>
                <w:szCs w:val="22"/>
                <w:lang w:val="en-US" w:eastAsia="zh-CN" w:bidi="ar"/>
              </w:rPr>
              <w:t>类似海域使用论证业绩</w:t>
            </w:r>
            <w:r>
              <w:rPr>
                <w:rFonts w:hint="eastAsia" w:ascii="宋体" w:hAnsi="宋体"/>
                <w:color w:val="auto"/>
                <w:kern w:val="0"/>
                <w:szCs w:val="21"/>
              </w:rPr>
              <w:t>的每个得</w:t>
            </w:r>
            <w:r>
              <w:rPr>
                <w:rFonts w:ascii="宋体" w:hAnsi="宋体"/>
                <w:color w:val="auto"/>
                <w:kern w:val="0"/>
                <w:szCs w:val="21"/>
              </w:rPr>
              <w:t>1</w:t>
            </w:r>
            <w:r>
              <w:rPr>
                <w:rFonts w:hint="eastAsia" w:ascii="宋体" w:hAnsi="宋体"/>
                <w:color w:val="auto"/>
                <w:kern w:val="0"/>
                <w:szCs w:val="21"/>
              </w:rPr>
              <w:t>分，本项</w:t>
            </w:r>
            <w:r>
              <w:rPr>
                <w:rFonts w:hint="eastAsia" w:ascii="宋体" w:hAnsi="宋体"/>
                <w:color w:val="auto"/>
                <w:kern w:val="0"/>
                <w:szCs w:val="21"/>
                <w:highlight w:val="none"/>
              </w:rPr>
              <w:t>最高</w:t>
            </w:r>
            <w:r>
              <w:rPr>
                <w:rFonts w:ascii="宋体" w:hAnsi="宋体"/>
                <w:color w:val="auto"/>
                <w:kern w:val="0"/>
                <w:szCs w:val="21"/>
                <w:highlight w:val="none"/>
              </w:rPr>
              <w:t>2</w:t>
            </w:r>
            <w:r>
              <w:rPr>
                <w:rFonts w:hint="eastAsia" w:ascii="宋体" w:hAnsi="宋体"/>
                <w:color w:val="auto"/>
                <w:kern w:val="0"/>
                <w:szCs w:val="21"/>
                <w:highlight w:val="none"/>
              </w:rPr>
              <w:t>分。</w:t>
            </w:r>
          </w:p>
          <w:p>
            <w:pPr>
              <w:spacing w:line="360" w:lineRule="auto"/>
              <w:jc w:val="left"/>
              <w:textAlignment w:val="baseline"/>
              <w:rPr>
                <w:rFonts w:asciiTheme="minorEastAsia" w:hAnsiTheme="minorEastAsia" w:eastAsiaTheme="minorEastAsia" w:cstheme="minorEastAsia"/>
                <w:color w:val="auto"/>
                <w:szCs w:val="21"/>
              </w:rPr>
            </w:pPr>
            <w:r>
              <w:rPr>
                <w:rFonts w:hint="eastAsia" w:ascii="宋体" w:hAnsi="宋体"/>
                <w:color w:val="auto"/>
                <w:kern w:val="0"/>
                <w:szCs w:val="21"/>
                <w:highlight w:val="none"/>
              </w:rPr>
              <w:t>注：以合同签订时间为准，须提供合同复印件</w:t>
            </w:r>
            <w:r>
              <w:rPr>
                <w:rFonts w:hint="eastAsia" w:ascii="宋体" w:hAnsi="宋体"/>
                <w:color w:val="auto"/>
                <w:kern w:val="0"/>
                <w:szCs w:val="21"/>
                <w:highlight w:val="none"/>
                <w:lang w:eastAsia="zh-CN"/>
              </w:rPr>
              <w:t>和论证报告书报批稿（封面及项目概况页）</w:t>
            </w:r>
            <w:r>
              <w:rPr>
                <w:rFonts w:hint="eastAsia" w:ascii="宋体" w:hAnsi="宋体"/>
                <w:color w:val="auto"/>
                <w:kern w:val="0"/>
                <w:szCs w:val="21"/>
                <w:highlight w:val="none"/>
              </w:rPr>
              <w:t>，不提供则不得分。</w:t>
            </w:r>
          </w:p>
        </w:tc>
        <w:tc>
          <w:tcPr>
            <w:tcW w:w="667" w:type="dxa"/>
            <w:tcBorders>
              <w:bottom w:val="single" w:color="auto" w:sz="4" w:space="0"/>
            </w:tcBorders>
            <w:vAlign w:val="center"/>
          </w:tcPr>
          <w:p>
            <w:pPr>
              <w:spacing w:line="360" w:lineRule="auto"/>
              <w:jc w:val="center"/>
              <w:rPr>
                <w:rFonts w:asciiTheme="minorEastAsia" w:hAnsiTheme="minorEastAsia" w:eastAsiaTheme="minorEastAsia" w:cstheme="minorEastAsia"/>
                <w:color w:val="auto"/>
                <w:szCs w:val="21"/>
              </w:rPr>
            </w:pPr>
            <w:r>
              <w:rPr>
                <w:color w:val="auto"/>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trPr>
        <w:tc>
          <w:tcPr>
            <w:tcW w:w="1237" w:type="dxa"/>
            <w:vMerge w:val="continue"/>
            <w:vAlign w:val="center"/>
          </w:tcPr>
          <w:p>
            <w:pPr>
              <w:widowControl/>
              <w:spacing w:line="360" w:lineRule="auto"/>
              <w:jc w:val="left"/>
              <w:rPr>
                <w:rFonts w:ascii="Arial" w:hAnsi="Arial" w:cs="Arial"/>
                <w:b/>
                <w:bCs/>
                <w:color w:val="auto"/>
                <w:szCs w:val="21"/>
              </w:rPr>
            </w:pPr>
          </w:p>
        </w:tc>
        <w:tc>
          <w:tcPr>
            <w:tcW w:w="7742" w:type="dxa"/>
            <w:vAlign w:val="center"/>
          </w:tcPr>
          <w:p>
            <w:pPr>
              <w:pStyle w:val="35"/>
              <w:widowControl w:val="0"/>
              <w:spacing w:line="360" w:lineRule="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投标人同时具备有效的海洋测绘资质的得2分。</w:t>
            </w:r>
          </w:p>
          <w:p>
            <w:pPr>
              <w:pStyle w:val="35"/>
              <w:widowControl w:val="0"/>
              <w:spacing w:line="360" w:lineRule="auto"/>
              <w:rPr>
                <w:rFonts w:ascii="宋体" w:hAnsi="宋体" w:eastAsia="宋体" w:cs="Times New Roman"/>
                <w:color w:val="auto"/>
                <w:sz w:val="21"/>
                <w:szCs w:val="21"/>
              </w:rPr>
            </w:pPr>
            <w:r>
              <w:rPr>
                <w:rFonts w:hint="eastAsia" w:ascii="宋体" w:hAnsi="宋体" w:eastAsia="宋体" w:cs="Times New Roman"/>
                <w:color w:val="auto"/>
                <w:kern w:val="0"/>
                <w:sz w:val="21"/>
                <w:szCs w:val="21"/>
                <w:lang w:val="en-US" w:eastAsia="zh-CN" w:bidi="ar-SA"/>
              </w:rPr>
              <w:t>注：须提证书扫描件，不提供不得分。</w:t>
            </w:r>
          </w:p>
        </w:tc>
        <w:tc>
          <w:tcPr>
            <w:tcW w:w="667" w:type="dxa"/>
            <w:tcBorders>
              <w:bottom w:val="single" w:color="auto" w:sz="4" w:space="0"/>
            </w:tcBorders>
            <w:vAlign w:val="center"/>
          </w:tcPr>
          <w:p>
            <w:pPr>
              <w:pStyle w:val="35"/>
              <w:widowControl w:val="0"/>
              <w:spacing w:line="360" w:lineRule="auto"/>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1237" w:type="dxa"/>
            <w:tcBorders>
              <w:top w:val="single" w:color="auto" w:sz="4" w:space="0"/>
              <w:left w:val="single" w:color="auto" w:sz="12" w:space="0"/>
              <w:right w:val="single" w:color="auto" w:sz="6" w:space="0"/>
            </w:tcBorders>
            <w:vAlign w:val="center"/>
          </w:tcPr>
          <w:p>
            <w:pPr>
              <w:widowControl/>
              <w:spacing w:line="360" w:lineRule="auto"/>
              <w:jc w:val="left"/>
              <w:rPr>
                <w:rFonts w:ascii="Arial" w:hAnsi="Arial" w:cs="Arial"/>
                <w:b/>
                <w:bCs/>
                <w:color w:val="auto"/>
                <w:szCs w:val="21"/>
              </w:rPr>
            </w:pPr>
            <w:r>
              <w:rPr>
                <w:rFonts w:hint="eastAsia" w:ascii="Arial" w:hAnsi="Arial" w:cs="Arial"/>
                <w:b/>
                <w:bCs/>
                <w:color w:val="auto"/>
                <w:szCs w:val="21"/>
              </w:rPr>
              <w:t>服务承诺</w:t>
            </w:r>
            <w:r>
              <w:rPr>
                <w:rFonts w:hint="eastAsia" w:ascii="Arial" w:hAnsi="Arial" w:cs="Arial"/>
                <w:b/>
                <w:bCs/>
                <w:color w:val="auto"/>
                <w:szCs w:val="21"/>
                <w:lang w:val="en-US" w:eastAsia="zh-CN"/>
              </w:rPr>
              <w:t>6</w:t>
            </w:r>
            <w:r>
              <w:rPr>
                <w:rFonts w:hint="eastAsia" w:ascii="Arial" w:hAnsi="Arial" w:cs="Arial"/>
                <w:b/>
                <w:bCs/>
                <w:color w:val="auto"/>
                <w:szCs w:val="21"/>
              </w:rPr>
              <w:t>分</w:t>
            </w:r>
          </w:p>
        </w:tc>
        <w:tc>
          <w:tcPr>
            <w:tcW w:w="7742" w:type="dxa"/>
            <w:tcBorders>
              <w:top w:val="single" w:color="auto" w:sz="4" w:space="0"/>
              <w:left w:val="single" w:color="auto" w:sz="6" w:space="0"/>
              <w:bottom w:val="single" w:color="auto" w:sz="4" w:space="0"/>
              <w:right w:val="single" w:color="auto" w:sz="6" w:space="0"/>
            </w:tcBorders>
            <w:vAlign w:val="center"/>
          </w:tcPr>
          <w:p>
            <w:pPr>
              <w:spacing w:line="360" w:lineRule="auto"/>
              <w:rPr>
                <w:color w:val="auto"/>
                <w:szCs w:val="21"/>
              </w:rPr>
            </w:pPr>
            <w:r>
              <w:rPr>
                <w:rFonts w:hint="eastAsia" w:ascii="宋体" w:hAnsi="宋体" w:eastAsia="宋体" w:cs="宋体"/>
                <w:color w:val="auto"/>
                <w:sz w:val="22"/>
                <w:szCs w:val="22"/>
                <w:lang w:bidi="ar"/>
              </w:rPr>
              <w:t>售后服务</w:t>
            </w:r>
            <w:r>
              <w:rPr>
                <w:rFonts w:hint="eastAsia"/>
                <w:color w:val="auto"/>
                <w:szCs w:val="21"/>
              </w:rPr>
              <w:t>：根据投标人</w:t>
            </w:r>
            <w:r>
              <w:rPr>
                <w:rFonts w:hint="eastAsia" w:ascii="宋体" w:hAnsi="宋体" w:eastAsia="宋体" w:cs="宋体"/>
                <w:color w:val="auto"/>
                <w:sz w:val="22"/>
                <w:szCs w:val="22"/>
                <w:lang w:bidi="ar"/>
              </w:rPr>
              <w:t>针对项目提供的售后培训、技术支持及售后服务计划情况</w:t>
            </w:r>
            <w:r>
              <w:rPr>
                <w:rFonts w:hint="eastAsia"/>
                <w:color w:val="auto"/>
                <w:szCs w:val="21"/>
              </w:rPr>
              <w:t>进行综合评分。</w:t>
            </w:r>
          </w:p>
          <w:p>
            <w:pPr>
              <w:spacing w:line="360" w:lineRule="auto"/>
              <w:textAlignment w:val="baseline"/>
              <w:rPr>
                <w:color w:val="auto"/>
                <w:szCs w:val="21"/>
              </w:rPr>
            </w:pPr>
            <w:r>
              <w:rPr>
                <w:rFonts w:hint="eastAsia"/>
                <w:color w:val="auto"/>
                <w:szCs w:val="21"/>
              </w:rPr>
              <w:t>方案的完整性、清晰性、可行性，</w:t>
            </w:r>
            <w:r>
              <w:rPr>
                <w:rFonts w:hint="eastAsia"/>
                <w:color w:val="auto"/>
                <w:szCs w:val="21"/>
                <w:lang w:val="en-US" w:eastAsia="zh-CN"/>
              </w:rPr>
              <w:t>售后</w:t>
            </w:r>
            <w:r>
              <w:rPr>
                <w:rFonts w:hint="eastAsia"/>
                <w:color w:val="auto"/>
                <w:szCs w:val="21"/>
              </w:rPr>
              <w:t>培训组织实施科学、合理性优秀的得</w:t>
            </w:r>
            <w:r>
              <w:rPr>
                <w:rFonts w:hint="eastAsia"/>
                <w:color w:val="auto"/>
                <w:szCs w:val="21"/>
                <w:lang w:val="en-US" w:eastAsia="zh-CN"/>
              </w:rPr>
              <w:t>6</w:t>
            </w:r>
            <w:r>
              <w:rPr>
                <w:rFonts w:hint="eastAsia"/>
                <w:color w:val="auto"/>
                <w:szCs w:val="21"/>
              </w:rPr>
              <w:t>分；</w:t>
            </w:r>
          </w:p>
          <w:p>
            <w:pPr>
              <w:spacing w:line="360" w:lineRule="auto"/>
              <w:textAlignment w:val="baseline"/>
              <w:rPr>
                <w:color w:val="auto"/>
                <w:szCs w:val="21"/>
              </w:rPr>
            </w:pPr>
            <w:r>
              <w:rPr>
                <w:rFonts w:hint="eastAsia"/>
                <w:color w:val="auto"/>
                <w:szCs w:val="21"/>
              </w:rPr>
              <w:t>方案的完整性、清晰性、可行性，</w:t>
            </w:r>
            <w:r>
              <w:rPr>
                <w:rFonts w:hint="eastAsia"/>
                <w:color w:val="auto"/>
                <w:szCs w:val="21"/>
                <w:lang w:val="en-US" w:eastAsia="zh-CN"/>
              </w:rPr>
              <w:t>售后</w:t>
            </w:r>
            <w:r>
              <w:rPr>
                <w:rFonts w:hint="eastAsia"/>
                <w:color w:val="auto"/>
                <w:szCs w:val="21"/>
              </w:rPr>
              <w:t>培训组织实施科学、合理性良好的得</w:t>
            </w:r>
            <w:r>
              <w:rPr>
                <w:rFonts w:hint="eastAsia"/>
                <w:color w:val="auto"/>
                <w:szCs w:val="21"/>
                <w:lang w:val="en-US" w:eastAsia="zh-CN"/>
              </w:rPr>
              <w:t>5</w:t>
            </w:r>
            <w:r>
              <w:rPr>
                <w:rFonts w:hint="eastAsia"/>
                <w:color w:val="auto"/>
                <w:szCs w:val="21"/>
              </w:rPr>
              <w:t>分；</w:t>
            </w:r>
          </w:p>
          <w:p>
            <w:pPr>
              <w:spacing w:line="360" w:lineRule="auto"/>
              <w:textAlignment w:val="baseline"/>
              <w:rPr>
                <w:color w:val="auto"/>
                <w:szCs w:val="21"/>
              </w:rPr>
            </w:pPr>
            <w:r>
              <w:rPr>
                <w:rFonts w:hint="eastAsia"/>
                <w:color w:val="auto"/>
                <w:szCs w:val="21"/>
              </w:rPr>
              <w:t>方案的完整性、清晰性、可行性，</w:t>
            </w:r>
            <w:r>
              <w:rPr>
                <w:rFonts w:hint="eastAsia"/>
                <w:color w:val="auto"/>
                <w:szCs w:val="21"/>
                <w:lang w:val="en-US" w:eastAsia="zh-CN"/>
              </w:rPr>
              <w:t>售后</w:t>
            </w:r>
            <w:r>
              <w:rPr>
                <w:rFonts w:hint="eastAsia"/>
                <w:color w:val="auto"/>
                <w:szCs w:val="21"/>
              </w:rPr>
              <w:t>培训组织实施科学、合理性一般的得</w:t>
            </w:r>
            <w:r>
              <w:rPr>
                <w:rFonts w:hint="eastAsia"/>
                <w:color w:val="auto"/>
                <w:szCs w:val="21"/>
                <w:lang w:val="en-US" w:eastAsia="zh-CN"/>
              </w:rPr>
              <w:t>4</w:t>
            </w:r>
            <w:r>
              <w:rPr>
                <w:rFonts w:hint="eastAsia"/>
                <w:color w:val="auto"/>
                <w:szCs w:val="21"/>
              </w:rPr>
              <w:t>分；</w:t>
            </w:r>
            <w:r>
              <w:rPr>
                <w:rFonts w:hint="eastAsia" w:ascii="宋体" w:hAnsi="宋体" w:eastAsia="宋体" w:cs="宋体"/>
                <w:color w:val="auto"/>
                <w:sz w:val="22"/>
                <w:szCs w:val="22"/>
                <w:lang w:bidi="ar"/>
              </w:rPr>
              <w:t>缺项或不提供得0分。</w:t>
            </w:r>
          </w:p>
        </w:tc>
        <w:tc>
          <w:tcPr>
            <w:tcW w:w="667" w:type="dxa"/>
            <w:tcBorders>
              <w:top w:val="single" w:color="auto" w:sz="4" w:space="0"/>
              <w:left w:val="single" w:color="auto" w:sz="6" w:space="0"/>
              <w:bottom w:val="single" w:color="auto" w:sz="4" w:space="0"/>
              <w:right w:val="single" w:color="auto" w:sz="12" w:space="0"/>
            </w:tcBorders>
            <w:vAlign w:val="center"/>
          </w:tcPr>
          <w:p>
            <w:pPr>
              <w:widowControl/>
              <w:spacing w:line="360" w:lineRule="auto"/>
              <w:jc w:val="center"/>
              <w:rPr>
                <w:rFonts w:hint="eastAsia" w:ascii="宋体" w:eastAsia="宋体"/>
                <w:color w:val="auto"/>
                <w:szCs w:val="21"/>
                <w:lang w:eastAsia="zh-CN"/>
              </w:rPr>
            </w:pPr>
            <w:r>
              <w:rPr>
                <w:rFonts w:hint="eastAsia" w:ascii="宋体"/>
                <w:color w:val="auto"/>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trPr>
        <w:tc>
          <w:tcPr>
            <w:tcW w:w="1237" w:type="dxa"/>
            <w:tcBorders>
              <w:left w:val="single" w:color="auto" w:sz="12" w:space="0"/>
              <w:bottom w:val="single" w:color="auto" w:sz="12" w:space="0"/>
              <w:right w:val="single" w:color="auto" w:sz="6" w:space="0"/>
            </w:tcBorders>
            <w:vAlign w:val="center"/>
          </w:tcPr>
          <w:p>
            <w:pPr>
              <w:widowControl/>
              <w:spacing w:line="360" w:lineRule="auto"/>
              <w:jc w:val="left"/>
              <w:rPr>
                <w:rFonts w:ascii="Arial" w:hAnsi="Arial" w:cs="Arial"/>
                <w:b/>
                <w:bCs/>
                <w:color w:val="auto"/>
                <w:szCs w:val="21"/>
              </w:rPr>
            </w:pPr>
            <w:r>
              <w:rPr>
                <w:rFonts w:hint="eastAsia" w:ascii="Arial" w:hAnsi="Arial" w:cs="Arial"/>
                <w:b/>
                <w:bCs/>
                <w:color w:val="auto"/>
                <w:szCs w:val="21"/>
                <w:lang w:val="en-US" w:eastAsia="zh-CN"/>
              </w:rPr>
              <w:t>商务</w:t>
            </w:r>
            <w:r>
              <w:rPr>
                <w:rFonts w:hint="eastAsia" w:ascii="Arial" w:hAnsi="Arial" w:cs="Arial"/>
                <w:b/>
                <w:bCs/>
                <w:color w:val="auto"/>
                <w:szCs w:val="21"/>
              </w:rPr>
              <w:t>得分</w:t>
            </w:r>
          </w:p>
          <w:p>
            <w:pPr>
              <w:pStyle w:val="20"/>
              <w:ind w:left="0" w:leftChars="0" w:firstLine="482"/>
              <w:rPr>
                <w:color w:val="auto"/>
                <w:szCs w:val="21"/>
              </w:rPr>
            </w:pPr>
            <w:r>
              <w:rPr>
                <w:rFonts w:hint="eastAsia" w:ascii="Arial" w:hAnsi="Arial" w:cs="Arial"/>
                <w:b/>
                <w:bCs/>
                <w:color w:val="auto"/>
                <w:szCs w:val="21"/>
              </w:rPr>
              <w:t>20分</w:t>
            </w:r>
          </w:p>
        </w:tc>
        <w:tc>
          <w:tcPr>
            <w:tcW w:w="7742" w:type="dxa"/>
            <w:tcBorders>
              <w:top w:val="single" w:color="auto" w:sz="4" w:space="0"/>
              <w:left w:val="single" w:color="auto" w:sz="6" w:space="0"/>
              <w:bottom w:val="single" w:color="auto" w:sz="12" w:space="0"/>
              <w:right w:val="single" w:color="auto" w:sz="6" w:space="0"/>
            </w:tcBorders>
            <w:vAlign w:val="center"/>
          </w:tcPr>
          <w:p>
            <w:pPr>
              <w:spacing w:line="360" w:lineRule="auto"/>
              <w:rPr>
                <w:color w:val="auto"/>
                <w:szCs w:val="21"/>
              </w:rPr>
            </w:pPr>
            <w:r>
              <w:rPr>
                <w:rFonts w:hint="eastAsia" w:asciiTheme="minorEastAsia" w:hAnsiTheme="minorEastAsia" w:eastAsiaTheme="minorEastAsia" w:cstheme="minorEastAsia"/>
                <w:color w:val="auto"/>
                <w:szCs w:val="21"/>
              </w:rPr>
              <w:t>以合格投标人有效投标总报价中的最低价为基准价，基准价为</w:t>
            </w:r>
            <w:r>
              <w:rPr>
                <w:rFonts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rPr>
              <w:t>0分。投标报价得分＝（评标基准价/投标报价）×</w:t>
            </w:r>
            <w:r>
              <w:rPr>
                <w:rFonts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rPr>
              <w:t>100</w:t>
            </w:r>
            <w:r>
              <w:rPr>
                <w:rFonts w:hint="eastAsia" w:asciiTheme="minorEastAsia" w:hAnsiTheme="minorEastAsia" w:eastAsiaTheme="minorEastAsia" w:cstheme="minorEastAsia"/>
                <w:color w:val="auto"/>
                <w:szCs w:val="21"/>
              </w:rPr>
              <w:t>（小数点后保留2位小数）。</w:t>
            </w:r>
          </w:p>
        </w:tc>
        <w:tc>
          <w:tcPr>
            <w:tcW w:w="667" w:type="dxa"/>
            <w:tcBorders>
              <w:top w:val="single" w:color="auto" w:sz="4" w:space="0"/>
              <w:left w:val="single" w:color="auto" w:sz="6" w:space="0"/>
              <w:bottom w:val="single" w:color="auto" w:sz="12" w:space="0"/>
              <w:right w:val="single" w:color="auto" w:sz="12" w:space="0"/>
            </w:tcBorders>
            <w:vAlign w:val="center"/>
          </w:tcPr>
          <w:p>
            <w:pPr>
              <w:widowControl/>
              <w:spacing w:line="360" w:lineRule="auto"/>
              <w:jc w:val="center"/>
              <w:rPr>
                <w:rFonts w:ascii="宋体"/>
                <w:color w:val="auto"/>
                <w:szCs w:val="21"/>
              </w:rPr>
            </w:pPr>
            <w:r>
              <w:rPr>
                <w:rFonts w:hint="eastAsia" w:ascii="宋体"/>
                <w:color w:val="auto"/>
                <w:szCs w:val="21"/>
              </w:rPr>
              <w:t>20</w:t>
            </w:r>
          </w:p>
        </w:tc>
      </w:tr>
    </w:tbl>
    <w:p>
      <w:pPr>
        <w:pStyle w:val="11"/>
        <w:ind w:firstLine="0" w:firstLineChars="0"/>
      </w:pPr>
    </w:p>
    <w:p>
      <w:pPr>
        <w:spacing w:line="360" w:lineRule="auto"/>
      </w:pPr>
      <w:r>
        <w:rPr>
          <w:rFonts w:hint="eastAsia"/>
          <w:b/>
          <w:bCs/>
        </w:rPr>
        <w:t>注</w:t>
      </w:r>
      <w:r>
        <w:rPr>
          <w:rFonts w:hint="eastAsia"/>
        </w:rPr>
        <w:t>：①请扫描上传合同、证书、报告及其他相关证明材料的原件至投标文件，并加盖公章。</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①“台州湾新区小额工程电子交易平台”上开启的投标报价与电子投标文件中开标一览表（报价表）内容不一致的，以电子投标文件中开标一览表（报价表）为准；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w:t>
      </w:r>
      <w:bookmarkStart w:id="80" w:name="_GoBack"/>
      <w:r>
        <w:rPr>
          <w:rFonts w:hint="eastAsia" w:ascii="宋体" w:hAnsi="宋体" w:cs="宋体"/>
          <w:sz w:val="24"/>
          <w:highlight w:val="none"/>
        </w:rPr>
        <w:t>排列。</w:t>
      </w:r>
      <w:r>
        <w:rPr>
          <w:rFonts w:hint="eastAsia" w:ascii="宋体" w:hAnsi="宋体" w:cs="宋体"/>
          <w:sz w:val="24"/>
          <w:highlight w:val="none"/>
          <w:lang w:val="zh-CN"/>
        </w:rPr>
        <w:t>得分且投标报价相同的</w:t>
      </w:r>
      <w:r>
        <w:rPr>
          <w:rFonts w:hint="eastAsia" w:ascii="宋体" w:hAnsi="宋体" w:cs="宋体"/>
          <w:sz w:val="24"/>
          <w:highlight w:val="none"/>
        </w:rPr>
        <w:t>并列</w:t>
      </w:r>
      <w:r>
        <w:rPr>
          <w:rFonts w:hint="eastAsia" w:ascii="宋体" w:hAnsi="宋体" w:cs="宋体"/>
          <w:sz w:val="24"/>
          <w:highlight w:val="none"/>
          <w:lang w:val="zh-CN"/>
        </w:rPr>
        <w:t>。</w:t>
      </w:r>
      <w:r>
        <w:rPr>
          <w:rFonts w:hint="eastAsia" w:ascii="宋体" w:hAnsi="宋体" w:cs="宋体"/>
          <w:sz w:val="24"/>
          <w:highlight w:val="none"/>
        </w:rPr>
        <w:t>投标文件满足招标文件全部实质性要求，且按照评审因素的量化指标评审得分最高的投标人为排名第一的</w:t>
      </w:r>
      <w:r>
        <w:rPr>
          <w:rFonts w:hint="eastAsia" w:ascii="宋体" w:hAnsi="宋体" w:cs="宋体"/>
          <w:sz w:val="24"/>
          <w:highlight w:val="none"/>
          <w:lang w:val="en-US" w:eastAsia="zh-CN"/>
        </w:rPr>
        <w:t>为第一</w:t>
      </w:r>
      <w:r>
        <w:rPr>
          <w:rFonts w:hint="eastAsia" w:ascii="宋体" w:hAnsi="宋体" w:cs="宋体"/>
          <w:sz w:val="24"/>
          <w:highlight w:val="none"/>
        </w:rPr>
        <w:t>中标候选人</w:t>
      </w:r>
      <w:r>
        <w:rPr>
          <w:rFonts w:hint="eastAsia" w:ascii="宋体" w:hAnsi="宋体" w:cs="宋体"/>
          <w:sz w:val="24"/>
          <w:highlight w:val="none"/>
          <w:lang w:eastAsia="zh-CN"/>
        </w:rPr>
        <w:t>，</w:t>
      </w:r>
      <w:r>
        <w:rPr>
          <w:rFonts w:hint="eastAsia" w:ascii="宋体" w:hAnsi="宋体" w:cs="宋体"/>
          <w:sz w:val="24"/>
          <w:highlight w:val="none"/>
          <w:lang w:val="en-US" w:eastAsia="zh-CN"/>
        </w:rPr>
        <w:t>排名第二的为第二中标后选人</w:t>
      </w:r>
      <w:r>
        <w:rPr>
          <w:rFonts w:hint="eastAsia" w:ascii="宋体" w:hAnsi="宋体" w:cs="宋体"/>
          <w:sz w:val="24"/>
          <w:highlight w:val="none"/>
        </w:rPr>
        <w:t>。</w:t>
      </w:r>
      <w:r>
        <w:rPr>
          <w:rFonts w:hint="eastAsia" w:ascii="宋体" w:hAnsi="宋体"/>
          <w:bCs/>
          <w:sz w:val="24"/>
          <w:highlight w:val="none"/>
        </w:rPr>
        <w:t>若出现总得分相同时，按技术标得分由高到低顺序排列；若以上均相同的，则抽签确定。</w:t>
      </w:r>
      <w:bookmarkEnd w:id="80"/>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asciiTheme="minorEastAsia" w:hAnsiTheme="minorEastAsia" w:eastAsiaTheme="minorEastAsia"/>
          <w:b/>
          <w:sz w:val="36"/>
          <w:szCs w:val="36"/>
        </w:rPr>
      </w:pPr>
      <w:r>
        <w:rPr>
          <w:rFonts w:hint="eastAsia" w:ascii="宋体" w:hAnsi="宋体" w:cs="宋体"/>
          <w:sz w:val="24"/>
        </w:rPr>
        <w:t>评标委员会根据全体评标成员签字的原始评标记录和评标结果编写评标报告。</w:t>
      </w:r>
      <w:bookmarkStart w:id="43" w:name="_Toc27944_WPSOffice_Level1"/>
    </w:p>
    <w:p>
      <w:pPr>
        <w:pStyle w:val="11"/>
        <w:ind w:firstLine="480"/>
      </w:pPr>
    </w:p>
    <w:bookmarkEnd w:id="43"/>
    <w:p>
      <w:pPr>
        <w:pStyle w:val="11"/>
        <w:ind w:firstLine="480"/>
        <w:rPr>
          <w:rFonts w:hint="eastAsia" w:ascii="仿宋" w:hAnsi="仿宋" w:eastAsia="仿宋" w:cs="仿宋"/>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spacing w:line="360" w:lineRule="auto"/>
        <w:jc w:val="both"/>
        <w:rPr>
          <w:rFonts w:hint="eastAsia" w:ascii="仿宋" w:hAnsi="仿宋" w:eastAsia="仿宋" w:cs="仿宋"/>
          <w:b/>
          <w:sz w:val="36"/>
          <w:szCs w:val="36"/>
        </w:rPr>
      </w:pPr>
    </w:p>
    <w:p>
      <w:pPr>
        <w:pStyle w:val="10"/>
        <w:rPr>
          <w:rFonts w:hint="eastAsia" w:ascii="仿宋" w:hAnsi="仿宋" w:eastAsia="仿宋" w:cs="仿宋"/>
          <w:b/>
          <w:sz w:val="36"/>
          <w:szCs w:val="36"/>
        </w:rPr>
      </w:pPr>
    </w:p>
    <w:p>
      <w:pPr>
        <w:pStyle w:val="11"/>
        <w:rPr>
          <w:rFonts w:hint="eastAsia" w:ascii="仿宋" w:hAnsi="仿宋" w:eastAsia="仿宋" w:cs="仿宋"/>
          <w:b/>
          <w:sz w:val="36"/>
          <w:szCs w:val="36"/>
        </w:rPr>
      </w:pPr>
    </w:p>
    <w:p>
      <w:pPr>
        <w:pStyle w:val="19"/>
        <w:rPr>
          <w:rFonts w:hint="eastAsia" w:ascii="仿宋" w:hAnsi="仿宋" w:eastAsia="仿宋" w:cs="仿宋"/>
          <w:b/>
          <w:sz w:val="36"/>
          <w:szCs w:val="36"/>
        </w:rPr>
      </w:pPr>
    </w:p>
    <w:p>
      <w:pPr>
        <w:rPr>
          <w:rFonts w:hint="eastAsia" w:ascii="仿宋" w:hAnsi="仿宋" w:eastAsia="仿宋" w:cs="仿宋"/>
          <w:b/>
          <w:sz w:val="36"/>
          <w:szCs w:val="36"/>
        </w:rPr>
      </w:pPr>
    </w:p>
    <w:p>
      <w:pPr>
        <w:pStyle w:val="10"/>
        <w:rPr>
          <w:rFonts w:hint="eastAsia" w:ascii="仿宋" w:hAnsi="仿宋" w:eastAsia="仿宋" w:cs="仿宋"/>
          <w:b/>
          <w:sz w:val="36"/>
          <w:szCs w:val="36"/>
        </w:rPr>
      </w:pPr>
    </w:p>
    <w:p>
      <w:pPr>
        <w:pStyle w:val="11"/>
        <w:rPr>
          <w:rFonts w:hint="eastAsia" w:ascii="仿宋" w:hAnsi="仿宋" w:eastAsia="仿宋" w:cs="仿宋"/>
          <w:b/>
          <w:sz w:val="36"/>
          <w:szCs w:val="36"/>
        </w:rPr>
      </w:pPr>
    </w:p>
    <w:p>
      <w:pPr>
        <w:pStyle w:val="19"/>
        <w:rPr>
          <w:rFonts w:hint="eastAsia" w:ascii="仿宋" w:hAnsi="仿宋" w:eastAsia="仿宋" w:cs="仿宋"/>
          <w:b/>
          <w:sz w:val="36"/>
          <w:szCs w:val="36"/>
        </w:rPr>
      </w:pPr>
    </w:p>
    <w:p>
      <w:pPr>
        <w:rPr>
          <w:rFonts w:hint="eastAsia" w:ascii="仿宋" w:hAnsi="仿宋" w:eastAsia="仿宋" w:cs="仿宋"/>
          <w:b/>
          <w:sz w:val="36"/>
          <w:szCs w:val="36"/>
        </w:rPr>
      </w:pPr>
    </w:p>
    <w:p>
      <w:pPr>
        <w:pStyle w:val="10"/>
        <w:rPr>
          <w:rFonts w:hint="eastAsia" w:ascii="仿宋" w:hAnsi="仿宋" w:eastAsia="仿宋" w:cs="仿宋"/>
          <w:b/>
          <w:sz w:val="36"/>
          <w:szCs w:val="36"/>
        </w:rPr>
      </w:pPr>
    </w:p>
    <w:p>
      <w:pPr>
        <w:pStyle w:val="11"/>
        <w:rPr>
          <w:rFonts w:hint="eastAsia" w:ascii="仿宋" w:hAnsi="仿宋" w:eastAsia="仿宋" w:cs="仿宋"/>
          <w:b/>
          <w:sz w:val="36"/>
          <w:szCs w:val="36"/>
        </w:rPr>
      </w:pPr>
    </w:p>
    <w:p>
      <w:pPr>
        <w:pStyle w:val="19"/>
        <w:rPr>
          <w:rFonts w:hint="eastAsia" w:ascii="仿宋" w:hAnsi="仿宋" w:eastAsia="仿宋" w:cs="仿宋"/>
          <w:b/>
          <w:sz w:val="36"/>
          <w:szCs w:val="36"/>
        </w:rPr>
      </w:pPr>
    </w:p>
    <w:p>
      <w:pPr>
        <w:rPr>
          <w:rFonts w:hint="eastAsia" w:ascii="仿宋" w:hAnsi="仿宋" w:eastAsia="仿宋" w:cs="仿宋"/>
          <w:b/>
          <w:sz w:val="36"/>
          <w:szCs w:val="36"/>
        </w:rPr>
      </w:pPr>
    </w:p>
    <w:p>
      <w:pPr>
        <w:pStyle w:val="10"/>
        <w:rPr>
          <w:rFonts w:hint="eastAsia" w:ascii="仿宋" w:hAnsi="仿宋" w:eastAsia="仿宋" w:cs="仿宋"/>
          <w:b/>
          <w:sz w:val="36"/>
          <w:szCs w:val="36"/>
        </w:rPr>
      </w:pPr>
    </w:p>
    <w:p>
      <w:pPr>
        <w:pStyle w:val="11"/>
        <w:rPr>
          <w:rFonts w:hint="eastAsia" w:ascii="仿宋" w:hAnsi="仿宋" w:eastAsia="仿宋" w:cs="仿宋"/>
          <w:b/>
          <w:sz w:val="36"/>
          <w:szCs w:val="36"/>
        </w:rPr>
      </w:pPr>
    </w:p>
    <w:p>
      <w:pPr>
        <w:pStyle w:val="19"/>
        <w:rPr>
          <w:rFonts w:hint="eastAsia" w:ascii="仿宋" w:hAnsi="仿宋" w:eastAsia="仿宋" w:cs="仿宋"/>
          <w:b/>
          <w:sz w:val="36"/>
          <w:szCs w:val="36"/>
        </w:rPr>
      </w:pPr>
    </w:p>
    <w:p>
      <w:pPr>
        <w:rPr>
          <w:rFonts w:hint="eastAsia" w:ascii="仿宋" w:hAnsi="仿宋" w:eastAsia="仿宋" w:cs="仿宋"/>
          <w:b/>
          <w:sz w:val="36"/>
          <w:szCs w:val="36"/>
        </w:rPr>
      </w:pPr>
    </w:p>
    <w:p>
      <w:pPr>
        <w:pStyle w:val="10"/>
        <w:rPr>
          <w:rFonts w:hint="eastAsia" w:ascii="仿宋" w:hAnsi="仿宋" w:eastAsia="仿宋" w:cs="仿宋"/>
          <w:b/>
          <w:sz w:val="36"/>
          <w:szCs w:val="36"/>
        </w:rPr>
      </w:pPr>
    </w:p>
    <w:p>
      <w:pPr>
        <w:pStyle w:val="11"/>
        <w:rPr>
          <w:rFonts w:hint="eastAsia" w:ascii="仿宋" w:hAnsi="仿宋" w:eastAsia="仿宋" w:cs="仿宋"/>
          <w:b/>
          <w:sz w:val="36"/>
          <w:szCs w:val="36"/>
        </w:rPr>
      </w:pPr>
    </w:p>
    <w:p>
      <w:pPr>
        <w:pStyle w:val="10"/>
        <w:rPr>
          <w:rFonts w:hint="eastAsia" w:ascii="仿宋" w:hAnsi="仿宋" w:eastAsia="仿宋" w:cs="仿宋"/>
          <w:b/>
          <w:sz w:val="36"/>
          <w:szCs w:val="36"/>
        </w:rPr>
      </w:pPr>
    </w:p>
    <w:p>
      <w:pPr>
        <w:pStyle w:val="11"/>
        <w:rPr>
          <w:rFonts w:hint="eastAsia"/>
        </w:rPr>
      </w:pPr>
    </w:p>
    <w:p>
      <w:pPr>
        <w:pStyle w:val="10"/>
        <w:rPr>
          <w:rFonts w:hint="eastAsia"/>
        </w:rPr>
      </w:pPr>
    </w:p>
    <w:p>
      <w:pPr>
        <w:pStyle w:val="11"/>
        <w:rPr>
          <w:rFonts w:hint="eastAsia"/>
        </w:rPr>
      </w:pPr>
    </w:p>
    <w:p>
      <w:pPr>
        <w:pStyle w:val="19"/>
        <w:rPr>
          <w:rFonts w:hint="eastAsia"/>
        </w:rPr>
      </w:pPr>
    </w:p>
    <w:p>
      <w:pPr>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11"/>
        <w:rPr>
          <w:rFonts w:hint="eastAsia"/>
        </w:rPr>
      </w:pPr>
    </w:p>
    <w:p>
      <w:pPr>
        <w:numPr>
          <w:ilvl w:val="0"/>
          <w:numId w:val="6"/>
        </w:numPr>
        <w:spacing w:line="360" w:lineRule="auto"/>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jc w:val="center"/>
        <w:rPr>
          <w:rFonts w:hint="eastAsia"/>
          <w:b/>
          <w:bCs/>
          <w:sz w:val="52"/>
          <w:szCs w:val="52"/>
        </w:rPr>
      </w:pPr>
      <w:r>
        <w:rPr>
          <w:rFonts w:hint="eastAsia"/>
          <w:b/>
          <w:bCs/>
          <w:sz w:val="52"/>
          <w:szCs w:val="52"/>
        </w:rPr>
        <w:t>台州市</w:t>
      </w:r>
      <w:r>
        <w:rPr>
          <w:rFonts w:hint="eastAsia"/>
          <w:b/>
          <w:bCs/>
          <w:sz w:val="52"/>
          <w:szCs w:val="52"/>
          <w:lang w:eastAsia="zh-CN"/>
        </w:rPr>
        <w:t>2023-</w:t>
      </w:r>
      <w:r>
        <w:rPr>
          <w:rFonts w:hint="eastAsia"/>
          <w:b/>
          <w:bCs/>
          <w:sz w:val="52"/>
          <w:szCs w:val="52"/>
          <w:lang w:val="en-US" w:eastAsia="zh-CN"/>
        </w:rPr>
        <w:t>4</w:t>
      </w:r>
      <w:r>
        <w:rPr>
          <w:rFonts w:hint="eastAsia"/>
          <w:b/>
          <w:bCs/>
          <w:sz w:val="52"/>
          <w:szCs w:val="52"/>
          <w:lang w:eastAsia="zh-CN"/>
        </w:rPr>
        <w:t>区块</w:t>
      </w:r>
      <w:r>
        <w:rPr>
          <w:rFonts w:hint="eastAsia"/>
          <w:b/>
          <w:bCs/>
          <w:sz w:val="52"/>
          <w:szCs w:val="52"/>
        </w:rPr>
        <w:t>海域使用论证报告书编制项目合同</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sz w:val="30"/>
          <w:szCs w:val="30"/>
        </w:rPr>
      </w:pPr>
    </w:p>
    <w:p>
      <w:pPr>
        <w:ind w:firstLine="1807" w:firstLineChars="600"/>
        <w:rPr>
          <w:rFonts w:hint="eastAsia"/>
          <w:b/>
          <w:bCs/>
          <w:sz w:val="30"/>
          <w:szCs w:val="30"/>
        </w:rPr>
      </w:pPr>
    </w:p>
    <w:p>
      <w:pPr>
        <w:ind w:firstLine="1807" w:firstLineChars="600"/>
        <w:rPr>
          <w:rFonts w:hint="eastAsia"/>
          <w:b/>
          <w:bCs/>
          <w:sz w:val="30"/>
          <w:szCs w:val="30"/>
        </w:rPr>
      </w:pPr>
    </w:p>
    <w:p>
      <w:pPr>
        <w:ind w:firstLine="1807" w:firstLineChars="600"/>
        <w:rPr>
          <w:rFonts w:hint="eastAsia"/>
          <w:b/>
          <w:bCs/>
          <w:sz w:val="30"/>
          <w:szCs w:val="30"/>
        </w:rPr>
      </w:pPr>
    </w:p>
    <w:p>
      <w:pPr>
        <w:widowControl/>
        <w:snapToGrid w:val="0"/>
        <w:spacing w:before="100" w:beforeAutospacing="1" w:after="100" w:afterAutospacing="1" w:line="320" w:lineRule="atLeast"/>
        <w:ind w:firstLine="420" w:firstLineChars="150"/>
        <w:jc w:val="left"/>
        <w:rPr>
          <w:rFonts w:hint="eastAsia" w:ascii="宋体" w:hAnsi="宋体" w:cs="宋体"/>
          <w:kern w:val="0"/>
          <w:sz w:val="28"/>
          <w:szCs w:val="28"/>
          <w:u w:val="single"/>
        </w:rPr>
      </w:pPr>
      <w:r>
        <w:rPr>
          <w:rFonts w:hint="eastAsia" w:ascii="宋体" w:hAnsi="宋体" w:cs="宋体"/>
          <w:kern w:val="0"/>
          <w:sz w:val="28"/>
          <w:szCs w:val="28"/>
        </w:rPr>
        <w:t>项  目 名  称：</w:t>
      </w:r>
      <w:r>
        <w:rPr>
          <w:rFonts w:hint="eastAsia" w:ascii="宋体" w:hAnsi="宋体" w:cs="宋体"/>
          <w:kern w:val="0"/>
          <w:sz w:val="28"/>
          <w:szCs w:val="28"/>
          <w:u w:val="single"/>
        </w:rPr>
        <w:t>台州市</w:t>
      </w:r>
      <w:r>
        <w:rPr>
          <w:rFonts w:hint="eastAsia" w:ascii="宋体" w:hAnsi="宋体" w:cs="宋体"/>
          <w:kern w:val="0"/>
          <w:sz w:val="28"/>
          <w:szCs w:val="28"/>
          <w:u w:val="single"/>
          <w:lang w:eastAsia="zh-CN"/>
        </w:rPr>
        <w:t>2023-</w:t>
      </w:r>
      <w:r>
        <w:rPr>
          <w:rFonts w:hint="eastAsia" w:ascii="宋体" w:hAnsi="宋体" w:cs="宋体"/>
          <w:kern w:val="0"/>
          <w:sz w:val="28"/>
          <w:szCs w:val="28"/>
          <w:u w:val="single"/>
          <w:lang w:val="en-US" w:eastAsia="zh-CN"/>
        </w:rPr>
        <w:t>4</w:t>
      </w:r>
      <w:r>
        <w:rPr>
          <w:rFonts w:hint="eastAsia" w:ascii="宋体" w:hAnsi="宋体" w:cs="宋体"/>
          <w:kern w:val="0"/>
          <w:sz w:val="28"/>
          <w:szCs w:val="28"/>
          <w:u w:val="single"/>
          <w:lang w:eastAsia="zh-CN"/>
        </w:rPr>
        <w:t>区块</w:t>
      </w:r>
      <w:r>
        <w:rPr>
          <w:rFonts w:hint="eastAsia" w:ascii="宋体" w:hAnsi="宋体" w:cs="宋体"/>
          <w:kern w:val="0"/>
          <w:sz w:val="28"/>
          <w:szCs w:val="28"/>
          <w:u w:val="single"/>
        </w:rPr>
        <w:t>海域使用论证报告书编制项目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                </w:t>
      </w:r>
      <w:r>
        <w:rPr>
          <w:rFonts w:hint="eastAsia" w:ascii="宋体" w:hAnsi="宋体" w:cs="宋体"/>
          <w:kern w:val="0"/>
          <w:sz w:val="28"/>
          <w:szCs w:val="28"/>
          <w:u w:val="single"/>
          <w:lang w:eastAsia="zh-CN"/>
        </w:rPr>
        <w:t>台州湾新区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hint="default" w:ascii="宋体" w:hAnsi="宋体" w:eastAsia="宋体" w:cs="宋体"/>
          <w:kern w:val="0"/>
          <w:sz w:val="28"/>
          <w:szCs w:val="28"/>
          <w:u w:val="single"/>
          <w:lang w:val="en-US" w:eastAsia="zh-CN"/>
        </w:rPr>
      </w:pPr>
      <w:r>
        <w:rPr>
          <w:rFonts w:hint="eastAsia" w:ascii="宋体" w:hAnsi="宋体" w:cs="宋体"/>
          <w:kern w:val="0"/>
          <w:sz w:val="28"/>
          <w:szCs w:val="28"/>
        </w:rPr>
        <w:t>发  包  人：</w:t>
      </w:r>
      <w:r>
        <w:rPr>
          <w:rFonts w:hint="eastAsia" w:ascii="宋体" w:hAnsi="宋体" w:cs="宋体"/>
          <w:kern w:val="0"/>
          <w:sz w:val="28"/>
          <w:szCs w:val="28"/>
          <w:u w:val="single"/>
          <w:lang w:val="en-US" w:eastAsia="zh-CN"/>
        </w:rPr>
        <w:t xml:space="preserve"> </w:t>
      </w:r>
      <w:r>
        <w:rPr>
          <w:rFonts w:hint="eastAsia" w:ascii="宋体" w:hAnsi="宋体"/>
          <w:sz w:val="28"/>
          <w:u w:val="single"/>
          <w:lang w:eastAsia="zh-CN"/>
        </w:rPr>
        <w:t>台州市自然资源和规划局台州湾新区（高新区）分局</w:t>
      </w:r>
      <w:r>
        <w:rPr>
          <w:rFonts w:hint="eastAsia" w:ascii="宋体" w:hAnsi="宋体"/>
          <w:sz w:val="28"/>
          <w:u w:val="single"/>
          <w:lang w:val="en-US" w:eastAsia="zh-CN"/>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xml:space="preserve">     </w:t>
      </w:r>
    </w:p>
    <w:p>
      <w:pPr>
        <w:pStyle w:val="22"/>
        <w:rPr>
          <w:rFonts w:hint="eastAsia"/>
        </w:rPr>
      </w:pPr>
    </w:p>
    <w:p>
      <w:pPr>
        <w:rPr>
          <w:rFonts w:hint="eastAsia"/>
          <w:b/>
          <w:bCs/>
          <w:sz w:val="30"/>
          <w:szCs w:val="30"/>
        </w:rPr>
      </w:pPr>
    </w:p>
    <w:p>
      <w:pPr>
        <w:rPr>
          <w:rFonts w:hint="eastAsia"/>
          <w:b/>
          <w:bCs/>
        </w:rPr>
      </w:pPr>
    </w:p>
    <w:p>
      <w:pPr>
        <w:rPr>
          <w:rFonts w:hint="eastAsia"/>
          <w:b/>
          <w:bCs/>
        </w:rPr>
      </w:pPr>
    </w:p>
    <w:p>
      <w:pPr>
        <w:rPr>
          <w:rFonts w:hint="eastAsia"/>
          <w:b/>
          <w:bCs/>
        </w:rPr>
      </w:pPr>
    </w:p>
    <w:p>
      <w:pPr>
        <w:adjustRightInd w:val="0"/>
        <w:snapToGrid w:val="0"/>
        <w:spacing w:line="324" w:lineRule="auto"/>
        <w:jc w:val="center"/>
        <w:outlineLvl w:val="0"/>
        <w:rPr>
          <w:rFonts w:hint="eastAsia" w:ascii="黑体"/>
          <w:b/>
          <w:sz w:val="30"/>
          <w:szCs w:val="30"/>
        </w:rPr>
      </w:pPr>
      <w:bookmarkStart w:id="44" w:name="_Toc5209"/>
      <w:r>
        <w:rPr>
          <w:rFonts w:hint="eastAsia" w:ascii="黑体"/>
          <w:b/>
          <w:sz w:val="30"/>
          <w:szCs w:val="30"/>
        </w:rPr>
        <w:t>合同条款</w:t>
      </w:r>
      <w:bookmarkEnd w:id="44"/>
    </w:p>
    <w:p>
      <w:pPr>
        <w:adjustRightInd w:val="0"/>
        <w:snapToGrid w:val="0"/>
        <w:spacing w:line="324" w:lineRule="auto"/>
        <w:jc w:val="center"/>
        <w:outlineLvl w:val="0"/>
        <w:rPr>
          <w:rFonts w:hint="eastAsia" w:ascii="黑体"/>
          <w:b/>
          <w:sz w:val="28"/>
          <w:szCs w:val="28"/>
        </w:rPr>
      </w:pPr>
    </w:p>
    <w:p>
      <w:pPr>
        <w:spacing w:line="460" w:lineRule="exact"/>
        <w:ind w:firstLine="420" w:firstLineChars="200"/>
        <w:rPr>
          <w:rFonts w:hint="eastAsia"/>
        </w:rPr>
      </w:pPr>
      <w:r>
        <w:rPr>
          <w:rFonts w:hint="eastAsia"/>
        </w:rPr>
        <w:t>依据《中华人民共和国民法典》的规定，</w:t>
      </w:r>
      <w:r>
        <w:rPr>
          <w:rFonts w:hint="eastAsia"/>
          <w:u w:val="single"/>
          <w:lang w:eastAsia="zh-CN"/>
        </w:rPr>
        <w:t>台州市自然资源和规划局台州湾新区（高新区）分局</w:t>
      </w:r>
      <w:r>
        <w:rPr>
          <w:rFonts w:hint="eastAsia"/>
        </w:rPr>
        <w:t>（以下简称“发包人”)通过招标确定</w:t>
      </w:r>
      <w:r>
        <w:rPr>
          <w:rFonts w:hint="eastAsia"/>
          <w:u w:val="single"/>
        </w:rPr>
        <w:t xml:space="preserve">                       </w:t>
      </w:r>
      <w:r>
        <w:rPr>
          <w:rFonts w:hint="eastAsia"/>
        </w:rPr>
        <w:t>（以下简称“承包人”)为</w:t>
      </w:r>
      <w:r>
        <w:rPr>
          <w:rFonts w:hint="eastAsia"/>
          <w:u w:val="single"/>
        </w:rPr>
        <w:t>台州市</w:t>
      </w:r>
      <w:r>
        <w:rPr>
          <w:rFonts w:hint="eastAsia"/>
          <w:u w:val="single"/>
          <w:lang w:eastAsia="zh-CN"/>
        </w:rPr>
        <w:t>2023-</w:t>
      </w:r>
      <w:r>
        <w:rPr>
          <w:rFonts w:hint="eastAsia"/>
          <w:u w:val="single"/>
          <w:lang w:val="en-US" w:eastAsia="zh-CN"/>
        </w:rPr>
        <w:t>4</w:t>
      </w:r>
      <w:r>
        <w:rPr>
          <w:rFonts w:hint="eastAsia"/>
          <w:u w:val="single"/>
          <w:lang w:eastAsia="zh-CN"/>
        </w:rPr>
        <w:t>区块</w:t>
      </w:r>
      <w:r>
        <w:rPr>
          <w:rFonts w:hint="eastAsia"/>
          <w:u w:val="single"/>
        </w:rPr>
        <w:t>海域使用论证报告书编制项目</w:t>
      </w:r>
      <w:r>
        <w:rPr>
          <w:rFonts w:hint="eastAsia"/>
        </w:rPr>
        <w:t>的中标单位，双方就台州市</w:t>
      </w:r>
      <w:r>
        <w:rPr>
          <w:rFonts w:hint="eastAsia"/>
          <w:lang w:eastAsia="zh-CN"/>
        </w:rPr>
        <w:t>2023-</w:t>
      </w:r>
      <w:r>
        <w:rPr>
          <w:rFonts w:hint="eastAsia"/>
          <w:lang w:val="en-US" w:eastAsia="zh-CN"/>
        </w:rPr>
        <w:t>4</w:t>
      </w:r>
      <w:r>
        <w:rPr>
          <w:rFonts w:hint="eastAsia"/>
          <w:lang w:eastAsia="zh-CN"/>
        </w:rPr>
        <w:t>区块</w:t>
      </w:r>
      <w:r>
        <w:rPr>
          <w:rFonts w:hint="eastAsia"/>
        </w:rPr>
        <w:t>海域使用论证报告书编制项目事宜按下述条款和条件签署本合同（以下简称“合同”)：</w:t>
      </w:r>
    </w:p>
    <w:p>
      <w:pPr>
        <w:spacing w:line="460" w:lineRule="exact"/>
        <w:ind w:firstLine="495"/>
        <w:rPr>
          <w:rFonts w:hint="eastAsia"/>
        </w:rPr>
      </w:pPr>
      <w:r>
        <w:rPr>
          <w:rFonts w:hint="eastAsia"/>
        </w:rPr>
        <w:t>1、合同方式与质量标准</w:t>
      </w:r>
      <w:r>
        <w:t xml:space="preserve"> </w:t>
      </w:r>
      <w:r>
        <w:rPr>
          <w:rFonts w:hint="eastAsia"/>
        </w:rPr>
        <w:t>：本项目采用固定总价合同，报告质量以</w:t>
      </w:r>
      <w:r>
        <w:t>专家</w:t>
      </w:r>
      <w:r>
        <w:rPr>
          <w:rFonts w:hint="eastAsia"/>
        </w:rPr>
        <w:t>组评审</w:t>
      </w:r>
      <w:r>
        <w:t>通过</w:t>
      </w:r>
      <w:r>
        <w:rPr>
          <w:rFonts w:hint="eastAsia"/>
        </w:rPr>
        <w:t>依据</w:t>
      </w:r>
      <w:r>
        <w:t>，协助</w:t>
      </w:r>
      <w:r>
        <w:rPr>
          <w:rFonts w:hint="eastAsia"/>
        </w:rPr>
        <w:t>发包人向</w:t>
      </w:r>
      <w:r>
        <w:t>海洋</w:t>
      </w:r>
      <w:r>
        <w:rPr>
          <w:rFonts w:hint="eastAsia"/>
        </w:rPr>
        <w:t>行政</w:t>
      </w:r>
      <w:r>
        <w:t>主管部门办理</w:t>
      </w:r>
      <w:r>
        <w:rPr>
          <w:rFonts w:hint="eastAsia"/>
        </w:rPr>
        <w:t>申请项目用海材料。</w:t>
      </w:r>
    </w:p>
    <w:p>
      <w:pPr>
        <w:spacing w:line="460" w:lineRule="exact"/>
        <w:ind w:firstLine="495"/>
        <w:rPr>
          <w:rFonts w:hint="eastAsia"/>
        </w:rPr>
      </w:pPr>
      <w:r>
        <w:rPr>
          <w:rFonts w:hint="eastAsia"/>
        </w:rPr>
        <w:t>2、履行期限和方式：</w:t>
      </w:r>
    </w:p>
    <w:tbl>
      <w:tblPr>
        <w:tblStyle w:val="2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29" w:type="dxa"/>
            <w:noWrap w:val="0"/>
            <w:vAlign w:val="center"/>
          </w:tcPr>
          <w:p>
            <w:pPr>
              <w:spacing w:line="460" w:lineRule="exact"/>
              <w:jc w:val="center"/>
              <w:rPr>
                <w:rFonts w:hint="eastAsia"/>
                <w:szCs w:val="21"/>
              </w:rPr>
            </w:pPr>
            <w:r>
              <w:rPr>
                <w:rFonts w:hint="eastAsia"/>
                <w:szCs w:val="21"/>
              </w:rPr>
              <w:t>序号</w:t>
            </w:r>
          </w:p>
        </w:tc>
        <w:tc>
          <w:tcPr>
            <w:tcW w:w="6830" w:type="dxa"/>
            <w:noWrap w:val="0"/>
            <w:vAlign w:val="center"/>
          </w:tcPr>
          <w:p>
            <w:pPr>
              <w:spacing w:line="460" w:lineRule="exact"/>
              <w:ind w:firstLine="495"/>
              <w:jc w:val="center"/>
              <w:rPr>
                <w:rFonts w:hint="eastAsia"/>
                <w:szCs w:val="21"/>
              </w:rPr>
            </w:pPr>
            <w:r>
              <w:rPr>
                <w:rFonts w:hint="eastAsia"/>
                <w:szCs w:val="21"/>
              </w:rPr>
              <w:t>工作阶段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429" w:type="dxa"/>
            <w:noWrap w:val="0"/>
            <w:vAlign w:val="center"/>
          </w:tcPr>
          <w:p>
            <w:pPr>
              <w:spacing w:line="460" w:lineRule="exact"/>
              <w:jc w:val="center"/>
              <w:rPr>
                <w:rFonts w:hint="eastAsia"/>
                <w:szCs w:val="21"/>
              </w:rPr>
            </w:pPr>
            <w:r>
              <w:rPr>
                <w:rFonts w:hint="eastAsia"/>
                <w:szCs w:val="21"/>
              </w:rPr>
              <w:t>1</w:t>
            </w:r>
          </w:p>
        </w:tc>
        <w:tc>
          <w:tcPr>
            <w:tcW w:w="6830" w:type="dxa"/>
            <w:noWrap w:val="0"/>
            <w:vAlign w:val="center"/>
          </w:tcPr>
          <w:p>
            <w:pPr>
              <w:spacing w:line="460" w:lineRule="exact"/>
              <w:ind w:firstLine="495"/>
              <w:jc w:val="left"/>
              <w:rPr>
                <w:rFonts w:hint="eastAsia"/>
                <w:shd w:val="pct10" w:color="auto" w:fill="FFFFFF"/>
              </w:rPr>
            </w:pPr>
            <w:r>
              <w:rPr>
                <w:rFonts w:hint="eastAsia" w:ascii="宋体" w:hAnsi="宋体" w:cs="宋体"/>
                <w:szCs w:val="21"/>
              </w:rPr>
              <w:t xml:space="preserve">承包人接收发包人提供的海域使用论证前置相关资料后 </w:t>
            </w:r>
            <w:r>
              <w:rPr>
                <w:rFonts w:hint="eastAsia" w:ascii="宋体" w:hAnsi="宋体" w:cs="宋体"/>
                <w:szCs w:val="21"/>
                <w:lang w:val="en-US" w:eastAsia="zh-CN"/>
              </w:rPr>
              <w:t>3</w:t>
            </w:r>
            <w:r>
              <w:rPr>
                <w:rFonts w:hint="eastAsia" w:ascii="宋体" w:hAnsi="宋体" w:cs="宋体"/>
                <w:szCs w:val="21"/>
              </w:rPr>
              <w:t>0 天内提交用海项目海域论证报告书等相关资料（初稿）15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29" w:type="dxa"/>
            <w:noWrap w:val="0"/>
            <w:vAlign w:val="center"/>
          </w:tcPr>
          <w:p>
            <w:pPr>
              <w:spacing w:line="460" w:lineRule="exact"/>
              <w:jc w:val="center"/>
              <w:rPr>
                <w:rFonts w:hint="eastAsia"/>
                <w:szCs w:val="21"/>
              </w:rPr>
            </w:pPr>
            <w:r>
              <w:rPr>
                <w:rFonts w:hint="eastAsia"/>
                <w:szCs w:val="21"/>
              </w:rPr>
              <w:t>2</w:t>
            </w:r>
          </w:p>
        </w:tc>
        <w:tc>
          <w:tcPr>
            <w:tcW w:w="6830" w:type="dxa"/>
            <w:noWrap w:val="0"/>
            <w:vAlign w:val="center"/>
          </w:tcPr>
          <w:p>
            <w:pPr>
              <w:spacing w:line="460" w:lineRule="exact"/>
              <w:ind w:firstLine="495"/>
              <w:jc w:val="left"/>
              <w:rPr>
                <w:rFonts w:hint="eastAsia"/>
                <w:szCs w:val="21"/>
              </w:rPr>
            </w:pPr>
            <w:r>
              <w:rPr>
                <w:rFonts w:hint="eastAsia" w:ascii="宋体" w:hAnsi="宋体" w:cs="宋体"/>
                <w:szCs w:val="21"/>
              </w:rPr>
              <w:t>用海项目海域论证报告书评审通过后 10 天内提交用海项目海域论证报告书、海籍调查表、宗海图等相关资料（报批稿）5份。</w:t>
            </w:r>
          </w:p>
        </w:tc>
      </w:tr>
    </w:tbl>
    <w:p>
      <w:pPr>
        <w:spacing w:line="460" w:lineRule="exact"/>
        <w:ind w:firstLine="495"/>
        <w:rPr>
          <w:rFonts w:hint="eastAsia"/>
        </w:rPr>
      </w:pPr>
      <w:r>
        <w:rPr>
          <w:rFonts w:hint="eastAsia"/>
        </w:rPr>
        <w:t>3、验收评价方法：</w:t>
      </w:r>
    </w:p>
    <w:p>
      <w:pPr>
        <w:spacing w:line="460" w:lineRule="exact"/>
        <w:ind w:firstLine="495"/>
        <w:rPr>
          <w:rFonts w:hint="eastAsia"/>
        </w:rPr>
      </w:pPr>
      <w:r>
        <w:rPr>
          <w:rFonts w:hint="eastAsia"/>
        </w:rPr>
        <w:t>本项目的最终成果是海域使用论证报告书，该文件的验收以相关的海洋行政主管部门审查通过为标准。在海域使用论证报告书编制完成且报送相关海洋行政主管部门组织审查后，承包人应当及时按审查意见进行报告的最后修改，并提交通过审查的最终报告。报告的评审和报批费用已经包含在合同总价中，发包人将不另行支付这部分费用。</w:t>
      </w:r>
    </w:p>
    <w:p>
      <w:pPr>
        <w:spacing w:line="460" w:lineRule="exact"/>
        <w:ind w:firstLine="495"/>
      </w:pPr>
      <w:r>
        <w:rPr>
          <w:rFonts w:hint="eastAsia"/>
        </w:rPr>
        <w:t>4、合同金额及支付方式：</w:t>
      </w:r>
    </w:p>
    <w:p>
      <w:pPr>
        <w:spacing w:line="460" w:lineRule="exact"/>
        <w:ind w:firstLine="495"/>
        <w:rPr>
          <w:rFonts w:hint="eastAsia"/>
        </w:rPr>
      </w:pPr>
      <w:r>
        <w:rPr>
          <w:rFonts w:hint="eastAsia"/>
        </w:rPr>
        <w:t>根据上述合同文件要求</w:t>
      </w:r>
      <w:r>
        <w:t>，</w:t>
      </w:r>
      <w:r>
        <w:rPr>
          <w:rFonts w:hint="eastAsia"/>
        </w:rPr>
        <w:t>合同价格为人民币（大写）</w:t>
      </w:r>
      <w:r>
        <w:rPr>
          <w:rFonts w:hint="eastAsia"/>
          <w:u w:val="single"/>
        </w:rPr>
        <w:t xml:space="preserve">           </w:t>
      </w:r>
      <w:r>
        <w:rPr>
          <w:rFonts w:hint="eastAsia"/>
        </w:rPr>
        <w:t>元整（￥</w:t>
      </w:r>
      <w:r>
        <w:rPr>
          <w:rFonts w:hint="eastAsia"/>
          <w:u w:val="single"/>
        </w:rPr>
        <w:t xml:space="preserve">      </w:t>
      </w:r>
      <w:r>
        <w:rPr>
          <w:rFonts w:hint="eastAsia"/>
        </w:rPr>
        <w:t>元），金额应是招标文件所确定的招标范围内全部工作内容的价格表现，其应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本合同采用分期支付的方式，具体方式如下：</w:t>
      </w:r>
    </w:p>
    <w:p>
      <w:pPr>
        <w:pStyle w:val="12"/>
        <w:spacing w:line="360" w:lineRule="auto"/>
        <w:jc w:val="left"/>
        <w:rPr>
          <w:rFonts w:hint="eastAsia"/>
        </w:rPr>
      </w:pPr>
      <w:r>
        <w:rPr>
          <w:rFonts w:hint="eastAsia"/>
        </w:rPr>
        <w:t>（1）</w:t>
      </w:r>
      <w:r>
        <w:rPr>
          <w:rFonts w:hint="eastAsia"/>
          <w:u w:val="single"/>
        </w:rPr>
        <w:t>双方合同签订后支付合同价的</w:t>
      </w:r>
      <w:r>
        <w:rPr>
          <w:rFonts w:hint="eastAsia"/>
          <w:u w:val="single"/>
          <w:lang w:val="en-US" w:eastAsia="zh-CN"/>
        </w:rPr>
        <w:t>4</w:t>
      </w:r>
      <w:r>
        <w:rPr>
          <w:rFonts w:hint="eastAsia"/>
          <w:u w:val="single"/>
        </w:rPr>
        <w:t>0%</w:t>
      </w:r>
      <w:r>
        <w:rPr>
          <w:rFonts w:hint="eastAsia"/>
        </w:rPr>
        <w:t xml:space="preserve">； </w:t>
      </w:r>
    </w:p>
    <w:p>
      <w:pPr>
        <w:pStyle w:val="12"/>
        <w:spacing w:line="360" w:lineRule="auto"/>
        <w:jc w:val="left"/>
        <w:rPr>
          <w:rFonts w:hint="eastAsia"/>
        </w:rPr>
      </w:pPr>
      <w:r>
        <w:rPr>
          <w:rFonts w:hint="eastAsia"/>
        </w:rPr>
        <w:t>（2）</w:t>
      </w:r>
      <w:r>
        <w:rPr>
          <w:rFonts w:hint="eastAsia"/>
          <w:u w:val="single"/>
        </w:rPr>
        <w:t>提交项目报告书（报批稿）支付合同价的</w:t>
      </w:r>
      <w:r>
        <w:rPr>
          <w:rFonts w:hint="eastAsia"/>
          <w:u w:val="single"/>
          <w:lang w:val="en-US" w:eastAsia="zh-CN"/>
        </w:rPr>
        <w:t>5</w:t>
      </w:r>
      <w:r>
        <w:rPr>
          <w:rFonts w:hint="eastAsia"/>
          <w:u w:val="single"/>
        </w:rPr>
        <w:t>0%；</w:t>
      </w:r>
    </w:p>
    <w:p>
      <w:pPr>
        <w:pStyle w:val="12"/>
        <w:spacing w:line="360" w:lineRule="auto"/>
        <w:jc w:val="left"/>
        <w:rPr>
          <w:rFonts w:hint="eastAsia"/>
        </w:rPr>
      </w:pPr>
      <w:r>
        <w:rPr>
          <w:rFonts w:hint="eastAsia"/>
        </w:rPr>
        <w:t>（3）</w:t>
      </w:r>
      <w:r>
        <w:rPr>
          <w:rFonts w:hint="eastAsia"/>
          <w:u w:val="single"/>
        </w:rPr>
        <w:t>取得项目批复支付合同价的10%</w:t>
      </w:r>
      <w:r>
        <w:rPr>
          <w:rFonts w:hint="eastAsia"/>
        </w:rPr>
        <w:t>。</w:t>
      </w:r>
    </w:p>
    <w:p>
      <w:pPr>
        <w:spacing w:line="460" w:lineRule="exact"/>
        <w:ind w:firstLine="495"/>
        <w:rPr>
          <w:rFonts w:hint="eastAsia"/>
        </w:rPr>
      </w:pPr>
      <w:r>
        <w:rPr>
          <w:rFonts w:hint="eastAsia"/>
        </w:rPr>
        <w:t>发包人收到承包人开具的正式发票后支付每期合同款。</w:t>
      </w:r>
    </w:p>
    <w:p>
      <w:pPr>
        <w:spacing w:line="460" w:lineRule="exact"/>
        <w:ind w:firstLine="495"/>
        <w:rPr>
          <w:rFonts w:hint="eastAsia"/>
        </w:rPr>
      </w:pPr>
      <w:r>
        <w:rPr>
          <w:rFonts w:hint="eastAsia"/>
        </w:rPr>
        <w:t>5、双方责任和义务：</w:t>
      </w:r>
    </w:p>
    <w:p>
      <w:pPr>
        <w:spacing w:line="460" w:lineRule="exact"/>
        <w:ind w:firstLine="495"/>
      </w:pPr>
      <w:r>
        <w:t>(</w:t>
      </w:r>
      <w:r>
        <w:rPr>
          <w:rFonts w:hint="eastAsia"/>
        </w:rPr>
        <w:t>1</w:t>
      </w:r>
      <w:r>
        <w:t xml:space="preserve">) </w:t>
      </w:r>
      <w:r>
        <w:rPr>
          <w:rFonts w:hint="eastAsia"/>
        </w:rPr>
        <w:t>发包人的责任和义务</w:t>
      </w:r>
    </w:p>
    <w:p>
      <w:pPr>
        <w:spacing w:line="460" w:lineRule="exact"/>
        <w:ind w:firstLine="495"/>
      </w:pPr>
      <w:r>
        <w:rPr>
          <w:rFonts w:hint="eastAsia"/>
        </w:rPr>
        <w:t>a、向承包人提供该项目海域论证所需的报告和资料，并对这些资料的解释和可靠性负责。</w:t>
      </w:r>
    </w:p>
    <w:p>
      <w:pPr>
        <w:spacing w:line="460" w:lineRule="exact"/>
        <w:ind w:firstLine="495"/>
        <w:rPr>
          <w:rFonts w:hint="eastAsia"/>
        </w:rPr>
      </w:pPr>
      <w:r>
        <w:rPr>
          <w:rFonts w:hint="eastAsia"/>
        </w:rPr>
        <w:t>b、对承包人的工作方案及人员组成进行审查，对项目技术质量进行监督。</w:t>
      </w:r>
    </w:p>
    <w:p>
      <w:pPr>
        <w:spacing w:line="460" w:lineRule="exact"/>
        <w:ind w:firstLine="495"/>
        <w:rPr>
          <w:rFonts w:hint="eastAsia"/>
        </w:rPr>
      </w:pPr>
      <w:r>
        <w:rPr>
          <w:rFonts w:hint="eastAsia"/>
        </w:rPr>
        <w:t>c、为承包人顺利完成报告编制任务提供必要的协助。</w:t>
      </w:r>
    </w:p>
    <w:p>
      <w:pPr>
        <w:spacing w:line="460" w:lineRule="exact"/>
        <w:ind w:firstLine="495"/>
        <w:rPr>
          <w:rFonts w:hint="eastAsia"/>
        </w:rPr>
      </w:pPr>
      <w:r>
        <w:rPr>
          <w:rFonts w:hint="eastAsia"/>
        </w:rPr>
        <w:t>d、按时支付承包人合同费用。</w:t>
      </w:r>
    </w:p>
    <w:p>
      <w:pPr>
        <w:spacing w:line="460" w:lineRule="exact"/>
        <w:ind w:firstLine="495"/>
      </w:pPr>
      <w:r>
        <w:t xml:space="preserve"> (</w:t>
      </w:r>
      <w:r>
        <w:rPr>
          <w:rFonts w:hint="eastAsia"/>
        </w:rPr>
        <w:t>2</w:t>
      </w:r>
      <w:r>
        <w:t xml:space="preserve">) </w:t>
      </w:r>
      <w:r>
        <w:rPr>
          <w:rFonts w:hint="eastAsia"/>
        </w:rPr>
        <w:t>承包人的责任和义务</w:t>
      </w:r>
    </w:p>
    <w:p>
      <w:pPr>
        <w:spacing w:line="460" w:lineRule="exact"/>
        <w:ind w:firstLine="495"/>
        <w:rPr>
          <w:rFonts w:hint="eastAsia"/>
        </w:rPr>
      </w:pPr>
      <w:r>
        <w:rPr>
          <w:rFonts w:hint="eastAsia"/>
        </w:rPr>
        <w:t>a、配合主管部门完成海域使用论证报告书的评审，相关费用已包含在合同总价里。</w:t>
      </w:r>
    </w:p>
    <w:p>
      <w:pPr>
        <w:spacing w:line="460" w:lineRule="exact"/>
        <w:ind w:firstLine="495"/>
        <w:rPr>
          <w:rFonts w:hint="eastAsia"/>
        </w:rPr>
      </w:pPr>
      <w:r>
        <w:rPr>
          <w:rFonts w:hint="eastAsia"/>
        </w:rPr>
        <w:t>b、负责按照评审意见和海洋行政主管部门的要求对海域使用论证报告书进行修改完善。</w:t>
      </w:r>
    </w:p>
    <w:p>
      <w:pPr>
        <w:spacing w:line="460" w:lineRule="exact"/>
        <w:ind w:firstLine="495"/>
        <w:rPr>
          <w:rFonts w:hint="eastAsia"/>
        </w:rPr>
      </w:pPr>
      <w:r>
        <w:rPr>
          <w:rFonts w:hint="eastAsia"/>
        </w:rPr>
        <w:t>c、根据合同第2、3条要求，按时完成相关工作。</w:t>
      </w:r>
    </w:p>
    <w:p>
      <w:pPr>
        <w:spacing w:line="460" w:lineRule="exact"/>
        <w:ind w:firstLine="495"/>
        <w:rPr>
          <w:rFonts w:hint="eastAsia"/>
        </w:rPr>
      </w:pPr>
      <w:r>
        <w:rPr>
          <w:rFonts w:hint="eastAsia"/>
        </w:rPr>
        <w:t>d、严格遵守对成果资料和发包人提供的资料的保密责任。</w:t>
      </w:r>
    </w:p>
    <w:p>
      <w:pPr>
        <w:spacing w:line="460" w:lineRule="exact"/>
        <w:ind w:firstLine="495"/>
        <w:rPr>
          <w:rFonts w:hint="eastAsia"/>
        </w:rPr>
      </w:pPr>
      <w:r>
        <w:rPr>
          <w:rFonts w:hint="eastAsia"/>
        </w:rPr>
        <w:t>e、需按照发包人的要求完成对海籍调查表和宗海图的绘制。</w:t>
      </w:r>
    </w:p>
    <w:p>
      <w:pPr>
        <w:spacing w:line="460" w:lineRule="exact"/>
        <w:ind w:firstLine="495"/>
        <w:rPr>
          <w:rFonts w:hint="eastAsia"/>
        </w:rPr>
      </w:pPr>
      <w:r>
        <w:rPr>
          <w:rFonts w:hint="eastAsia"/>
        </w:rPr>
        <w:t>6、双方违约责任：</w:t>
      </w:r>
    </w:p>
    <w:p>
      <w:pPr>
        <w:spacing w:line="460" w:lineRule="exact"/>
        <w:ind w:firstLine="495"/>
        <w:rPr>
          <w:rFonts w:hint="eastAsia"/>
        </w:rPr>
      </w:pPr>
      <w:r>
        <w:t>(</w:t>
      </w:r>
      <w:r>
        <w:rPr>
          <w:rFonts w:hint="eastAsia"/>
        </w:rPr>
        <w:t>1</w:t>
      </w:r>
      <w:r>
        <w:t xml:space="preserve">) </w:t>
      </w:r>
      <w:r>
        <w:rPr>
          <w:rFonts w:hint="eastAsia"/>
        </w:rPr>
        <w:t>发包人的违约责任</w:t>
      </w:r>
    </w:p>
    <w:p>
      <w:pPr>
        <w:spacing w:line="460" w:lineRule="exact"/>
        <w:ind w:firstLine="495"/>
        <w:rPr>
          <w:rFonts w:hint="eastAsia"/>
        </w:rPr>
      </w:pPr>
      <w:r>
        <w:rPr>
          <w:rFonts w:hint="eastAsia"/>
        </w:rPr>
        <w:t>a、 由于发包人自身原因中止合同</w:t>
      </w:r>
      <w:r>
        <w:t>,</w:t>
      </w:r>
      <w:r>
        <w:rPr>
          <w:rFonts w:hint="eastAsia"/>
        </w:rPr>
        <w:t xml:space="preserve"> 除应书面通知投标人外，发包人按投标人已完成的工作量比例向承包人支付相应比例的费用</w:t>
      </w:r>
      <w:r>
        <w:t>,</w:t>
      </w:r>
      <w:r>
        <w:rPr>
          <w:rFonts w:hint="eastAsia"/>
        </w:rPr>
        <w:t xml:space="preserve"> 同时终止合同关系。</w:t>
      </w:r>
    </w:p>
    <w:p>
      <w:pPr>
        <w:spacing w:line="460" w:lineRule="exact"/>
        <w:ind w:firstLine="495"/>
        <w:rPr>
          <w:rFonts w:hint="eastAsia"/>
        </w:rPr>
      </w:pPr>
      <w:r>
        <w:t xml:space="preserve"> (</w:t>
      </w:r>
      <w:r>
        <w:rPr>
          <w:rFonts w:hint="eastAsia"/>
        </w:rPr>
        <w:t>2</w:t>
      </w:r>
      <w:r>
        <w:t xml:space="preserve">) </w:t>
      </w:r>
      <w:r>
        <w:rPr>
          <w:rFonts w:hint="eastAsia"/>
        </w:rPr>
        <w:t>承包人的违约责任</w:t>
      </w:r>
    </w:p>
    <w:p>
      <w:pPr>
        <w:spacing w:line="460" w:lineRule="exact"/>
        <w:ind w:firstLine="495"/>
        <w:rPr>
          <w:rFonts w:hint="eastAsia"/>
        </w:rPr>
      </w:pPr>
      <w:r>
        <w:rPr>
          <w:rFonts w:hint="eastAsia"/>
        </w:rPr>
        <w:t>a、 由于承包人原因中止合同</w:t>
      </w:r>
      <w:r>
        <w:t>,</w:t>
      </w:r>
      <w:r>
        <w:rPr>
          <w:rFonts w:hint="eastAsia"/>
        </w:rPr>
        <w:t xml:space="preserve"> 承包人应全额返还发包人已支付的款项，并承担由此对发包人带来的其他损失</w:t>
      </w:r>
      <w:r>
        <w:t>。</w:t>
      </w:r>
    </w:p>
    <w:p>
      <w:pPr>
        <w:spacing w:line="460" w:lineRule="exact"/>
        <w:ind w:firstLine="495"/>
        <w:rPr>
          <w:rFonts w:hint="eastAsia"/>
        </w:rPr>
      </w:pPr>
      <w:r>
        <w:rPr>
          <w:rFonts w:hint="eastAsia"/>
        </w:rPr>
        <w:t>b、承包人应按合同工期完成工作任务。对第2、3条中规定的阶段性目标，若承包人不能及时完成，则扣罚违约金1000元/天，不超过总价的20%。但因不可抗拒的自然灾害造成承包人延误工期，经发包人同意，工期顺延。</w:t>
      </w:r>
    </w:p>
    <w:p>
      <w:pPr>
        <w:spacing w:line="460" w:lineRule="exact"/>
        <w:ind w:firstLine="495"/>
        <w:rPr>
          <w:rFonts w:hint="eastAsia" w:ascii="Calibri" w:hAnsi="Calibri" w:eastAsia="宋体" w:cs="Times New Roman"/>
        </w:rPr>
      </w:pPr>
      <w:r>
        <w:rPr>
          <w:rFonts w:hint="eastAsia" w:ascii="Calibri" w:hAnsi="Calibri" w:eastAsia="宋体" w:cs="Times New Roman"/>
        </w:rPr>
        <w:t>c、若中标人提交的技术服务成果，经采购人三次及以上退回中标人进行修改，仍未能通过验收的，则采购人有权解除台同。</w:t>
      </w:r>
    </w:p>
    <w:p>
      <w:pPr>
        <w:spacing w:line="460" w:lineRule="exact"/>
        <w:ind w:firstLine="495"/>
        <w:rPr>
          <w:rFonts w:hint="eastAsia"/>
        </w:rPr>
      </w:pPr>
      <w:r>
        <w:rPr>
          <w:rFonts w:hint="eastAsia"/>
        </w:rPr>
        <w:t>7、分包</w:t>
      </w:r>
    </w:p>
    <w:p>
      <w:pPr>
        <w:spacing w:line="460" w:lineRule="exact"/>
        <w:ind w:firstLine="495"/>
        <w:rPr>
          <w:rFonts w:hint="eastAsia"/>
        </w:rPr>
      </w:pPr>
      <w:r>
        <w:rPr>
          <w:rFonts w:hint="eastAsia"/>
        </w:rPr>
        <w:t>本项目允许承包人自行将海籍调查和宗海图绘制工作内容分包给具有相应测绘资质的单位，无需经过发包人同意。</w:t>
      </w:r>
    </w:p>
    <w:p>
      <w:pPr>
        <w:spacing w:line="460" w:lineRule="exact"/>
        <w:ind w:firstLine="495"/>
        <w:rPr>
          <w:rFonts w:hint="eastAsia"/>
        </w:rPr>
      </w:pPr>
      <w:r>
        <w:rPr>
          <w:rFonts w:hint="eastAsia"/>
        </w:rPr>
        <w:t>8、技术情报和资料的保密：</w:t>
      </w:r>
    </w:p>
    <w:p>
      <w:pPr>
        <w:spacing w:line="460" w:lineRule="exact"/>
        <w:ind w:firstLine="495"/>
        <w:rPr>
          <w:rFonts w:hint="eastAsia"/>
        </w:rPr>
      </w:pPr>
      <w:r>
        <w:rPr>
          <w:rFonts w:hint="eastAsia"/>
        </w:rPr>
        <w:t>全部技术成果归双方共有，但承包人对成果资料和发包人提供的所有资料负有保密的责任，未经发包人许可，承包人不得向第三方提供本合同范围内的研究成果。否则，发包人有权提起诉讼，由此引起的所有费用及损失由承包人承担。对本项目的宣传报道必须经发包人同意，否则造成的损失和影响，发包人有权通过法律途径取得追偿。本合同变更、解除及终止，本条款均有效。</w:t>
      </w:r>
    </w:p>
    <w:p>
      <w:pPr>
        <w:spacing w:line="460" w:lineRule="exact"/>
        <w:ind w:firstLine="495"/>
        <w:rPr>
          <w:rFonts w:hint="eastAsia"/>
        </w:rPr>
      </w:pPr>
      <w:r>
        <w:rPr>
          <w:rFonts w:hint="eastAsia"/>
        </w:rPr>
        <w:t>9、本合同未尽事宜，双方应及时协商解决，签订的补充协议与本合同具有同等法律效力。本合同在履行过程中发生的争端，由双方当事人协商解决，或通过上级主管部门调解；若经过协商或调解仍不能达成一致时，任何一方均可向发包人所在地的人民法院起诉。本协议自生效之日起，若发生纠纷，由违约方赔偿守约方因纠纷所支付的费用（包括但不限于律师费、差旅费、诉讼费、保全费、鉴定费、评估费等）。</w:t>
      </w:r>
    </w:p>
    <w:p>
      <w:pPr>
        <w:spacing w:line="460" w:lineRule="exact"/>
        <w:ind w:left="105" w:leftChars="50" w:firstLine="367" w:firstLineChars="175"/>
        <w:rPr>
          <w:rFonts w:hint="eastAsia"/>
        </w:rPr>
      </w:pPr>
      <w:r>
        <w:rPr>
          <w:rFonts w:hint="eastAsia"/>
        </w:rPr>
        <w:t>10、</w:t>
      </w:r>
      <w:r>
        <w:rPr>
          <w:rFonts w:hint="eastAsia"/>
          <w:color w:val="000000"/>
        </w:rPr>
        <w:t>本合同一式</w:t>
      </w:r>
      <w:r>
        <w:rPr>
          <w:rFonts w:hint="eastAsia"/>
          <w:color w:val="000000"/>
          <w:u w:val="single"/>
        </w:rPr>
        <w:t>肆</w:t>
      </w:r>
      <w:r>
        <w:rPr>
          <w:rFonts w:hint="eastAsia"/>
          <w:color w:val="000000"/>
        </w:rPr>
        <w:t>份，合同双方各执</w:t>
      </w:r>
      <w:r>
        <w:rPr>
          <w:rFonts w:hint="eastAsia"/>
          <w:color w:val="000000"/>
          <w:u w:val="single"/>
        </w:rPr>
        <w:t>贰</w:t>
      </w:r>
      <w:r>
        <w:rPr>
          <w:rFonts w:hint="eastAsia"/>
          <w:color w:val="000000"/>
        </w:rPr>
        <w:t>份，具有同等法律效力</w:t>
      </w:r>
      <w:r>
        <w:rPr>
          <w:rFonts w:hint="eastAsia"/>
        </w:rPr>
        <w:t>。</w:t>
      </w:r>
    </w:p>
    <w:p>
      <w:pPr>
        <w:spacing w:line="460" w:lineRule="exact"/>
        <w:ind w:firstLine="495"/>
      </w:pPr>
      <w:r>
        <w:rPr>
          <w:rFonts w:hint="eastAsia"/>
        </w:rPr>
        <w:t>11、合同生效</w:t>
      </w:r>
    </w:p>
    <w:p>
      <w:pPr>
        <w:spacing w:line="460" w:lineRule="exact"/>
        <w:ind w:firstLine="495"/>
      </w:pPr>
      <w:r>
        <w:rPr>
          <w:rFonts w:hint="eastAsia"/>
        </w:rPr>
        <w:t>合同订立时间：</w:t>
      </w:r>
      <w:r>
        <w:t xml:space="preserve">________ </w:t>
      </w:r>
      <w:r>
        <w:rPr>
          <w:rFonts w:hint="eastAsia"/>
        </w:rPr>
        <w:t>年</w:t>
      </w:r>
      <w:r>
        <w:t xml:space="preserve">__________ </w:t>
      </w:r>
      <w:r>
        <w:rPr>
          <w:rFonts w:hint="eastAsia"/>
        </w:rPr>
        <w:t>月</w:t>
      </w:r>
      <w:r>
        <w:t xml:space="preserve">__________ </w:t>
      </w:r>
      <w:r>
        <w:rPr>
          <w:rFonts w:hint="eastAsia"/>
        </w:rPr>
        <w:t>日</w:t>
      </w:r>
    </w:p>
    <w:p>
      <w:pPr>
        <w:spacing w:line="460" w:lineRule="exact"/>
        <w:ind w:firstLine="495"/>
      </w:pPr>
      <w:r>
        <w:rPr>
          <w:rFonts w:hint="eastAsia"/>
        </w:rPr>
        <w:t>合同订立地点：</w:t>
      </w:r>
      <w:r>
        <w:rPr>
          <w:rFonts w:hint="eastAsia"/>
          <w:u w:val="single"/>
        </w:rPr>
        <w:t xml:space="preserve">          </w:t>
      </w:r>
      <w:r>
        <w:rPr>
          <w:rFonts w:hint="eastAsia"/>
          <w:u w:val="single"/>
          <w:lang w:eastAsia="zh-CN"/>
        </w:rPr>
        <w:t>台州</w:t>
      </w:r>
      <w:r>
        <w:rPr>
          <w:rFonts w:hint="eastAsia"/>
          <w:u w:val="single"/>
        </w:rPr>
        <w:t xml:space="preserve">            </w:t>
      </w:r>
      <w:r>
        <w:rPr>
          <w:rFonts w:hint="eastAsia"/>
        </w:rPr>
        <w:t xml:space="preserve">     </w:t>
      </w:r>
    </w:p>
    <w:p>
      <w:pPr>
        <w:spacing w:line="460" w:lineRule="exact"/>
        <w:ind w:firstLine="495"/>
        <w:rPr>
          <w:rFonts w:hint="eastAsia"/>
        </w:rPr>
      </w:pPr>
      <w:r>
        <w:rPr>
          <w:rFonts w:hint="eastAsia"/>
        </w:rPr>
        <w:t>本合同双方约定　签字（或印鉴）、盖</w:t>
      </w:r>
      <w:r>
        <w:t>公</w:t>
      </w:r>
      <w:r>
        <w:rPr>
          <w:rFonts w:hint="eastAsia"/>
        </w:rPr>
        <w:t>章后生效。</w:t>
      </w:r>
    </w:p>
    <w:p>
      <w:pPr>
        <w:rPr>
          <w:rFonts w:hint="eastAsia"/>
        </w:rPr>
      </w:pPr>
    </w:p>
    <w:p>
      <w:pPr>
        <w:pStyle w:val="2"/>
        <w:numPr>
          <w:ilvl w:val="0"/>
          <w:numId w:val="0"/>
        </w:numPr>
        <w:ind w:left="420" w:leftChars="0"/>
        <w:rPr>
          <w:rFonts w:hint="eastAsia"/>
        </w:rPr>
      </w:pPr>
    </w:p>
    <w:p>
      <w:pPr>
        <w:spacing w:line="460" w:lineRule="exact"/>
        <w:ind w:firstLine="495"/>
        <w:rPr>
          <w:rFonts w:hint="eastAsia"/>
        </w:rPr>
      </w:pPr>
      <w:r>
        <w:rPr>
          <w:rFonts w:hint="eastAsia"/>
        </w:rPr>
        <w:t>发包人(公章)：                　　  　　　　承包人(公章)：</w:t>
      </w:r>
    </w:p>
    <w:p>
      <w:pPr>
        <w:spacing w:line="460" w:lineRule="exact"/>
        <w:ind w:firstLine="495"/>
        <w:rPr>
          <w:rFonts w:hint="eastAsia"/>
        </w:rPr>
      </w:pPr>
      <w:r>
        <w:rPr>
          <w:rFonts w:hint="eastAsia"/>
        </w:rPr>
        <w:t>住  所：                      　　　　　　　住  所：</w:t>
      </w:r>
    </w:p>
    <w:p>
      <w:pPr>
        <w:spacing w:line="460" w:lineRule="exact"/>
        <w:ind w:firstLine="495"/>
      </w:pPr>
      <w:r>
        <w:rPr>
          <w:rFonts w:hint="eastAsia"/>
        </w:rPr>
        <w:t xml:space="preserve">法定代表人（签字或印鉴）：                </w:t>
      </w:r>
      <w:r>
        <w:t>  </w:t>
      </w:r>
      <w:r>
        <w:rPr>
          <w:rFonts w:hint="eastAsia"/>
        </w:rPr>
        <w:t>法定代表人（签字或印鉴）：</w:t>
      </w:r>
    </w:p>
    <w:p>
      <w:pPr>
        <w:spacing w:line="460" w:lineRule="exact"/>
        <w:ind w:firstLine="495"/>
      </w:pPr>
      <w:r>
        <w:rPr>
          <w:rFonts w:hint="eastAsia"/>
        </w:rPr>
        <w:t xml:space="preserve">委托代理人（签字或印鉴）：             </w:t>
      </w:r>
      <w:r>
        <w:t>  </w:t>
      </w:r>
      <w:r>
        <w:rPr>
          <w:rFonts w:hint="eastAsia"/>
        </w:rPr>
        <w:t xml:space="preserve">  </w:t>
      </w:r>
      <w:r>
        <w:t>  </w:t>
      </w:r>
      <w:r>
        <w:rPr>
          <w:rFonts w:hint="eastAsia"/>
        </w:rPr>
        <w:t>委托代理人（签字或印鉴）：</w:t>
      </w:r>
    </w:p>
    <w:p>
      <w:pPr>
        <w:spacing w:line="460" w:lineRule="exact"/>
        <w:ind w:firstLine="495"/>
      </w:pPr>
      <w:r>
        <w:rPr>
          <w:rFonts w:hint="eastAsia"/>
        </w:rPr>
        <w:t>电  话：                      　　　　　　　电  话：</w:t>
      </w:r>
    </w:p>
    <w:p>
      <w:pPr>
        <w:spacing w:line="460" w:lineRule="exact"/>
        <w:ind w:firstLine="495"/>
      </w:pPr>
      <w:r>
        <w:rPr>
          <w:rFonts w:hint="eastAsia"/>
        </w:rPr>
        <w:t xml:space="preserve">传  真：                      　　　　　　　传  真：  </w:t>
      </w:r>
    </w:p>
    <w:p>
      <w:pPr>
        <w:spacing w:line="460" w:lineRule="exact"/>
        <w:ind w:firstLine="495"/>
      </w:pPr>
      <w:r>
        <w:rPr>
          <w:rFonts w:hint="eastAsia"/>
        </w:rPr>
        <w:t>开户银行：                    　　　　　　　开户银行：</w:t>
      </w:r>
    </w:p>
    <w:p>
      <w:pPr>
        <w:spacing w:line="460" w:lineRule="exact"/>
        <w:ind w:firstLine="495"/>
        <w:rPr>
          <w:rFonts w:hint="eastAsia"/>
        </w:rPr>
      </w:pPr>
      <w:r>
        <w:rPr>
          <w:rFonts w:hint="eastAsia"/>
        </w:rPr>
        <w:t>帐  号：                     　　 　　　　　帐  号：</w:t>
      </w:r>
    </w:p>
    <w:p>
      <w:pPr>
        <w:spacing w:line="460" w:lineRule="exact"/>
        <w:ind w:firstLine="495"/>
      </w:pPr>
      <w:r>
        <w:rPr>
          <w:rFonts w:hint="eastAsia"/>
        </w:rPr>
        <w:t>邮政编码：                   　　　　 　　　邮政编码：</w:t>
      </w:r>
    </w:p>
    <w:p>
      <w:pPr>
        <w:pStyle w:val="4"/>
        <w:numPr>
          <w:ilvl w:val="0"/>
          <w:numId w:val="0"/>
        </w:numPr>
        <w:spacing w:before="0" w:after="0" w:line="360" w:lineRule="auto"/>
        <w:ind w:left="425" w:leftChars="0"/>
        <w:jc w:val="both"/>
        <w:rPr>
          <w:rFonts w:hint="eastAsia"/>
          <w:sz w:val="32"/>
          <w:szCs w:val="32"/>
        </w:rPr>
      </w:pPr>
    </w:p>
    <w:p>
      <w:pPr>
        <w:rPr>
          <w:rFonts w:ascii="仿宋" w:hAnsi="仿宋" w:eastAsia="仿宋" w:cs="仿宋"/>
        </w:rPr>
      </w:pPr>
      <w:r>
        <w:rPr>
          <w:rFonts w:hint="eastAsia" w:ascii="仿宋" w:hAnsi="仿宋" w:eastAsia="仿宋" w:cs="仿宋"/>
        </w:rPr>
        <w:t>问</w:t>
      </w:r>
    </w:p>
    <w:p>
      <w:pPr>
        <w:rPr>
          <w:rFonts w:ascii="仿宋" w:hAnsi="仿宋" w:eastAsia="仿宋" w:cs="仿宋"/>
        </w:rPr>
      </w:pPr>
    </w:p>
    <w:p>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45" w:name="_Toc5481_WPSOffice_Level1"/>
      <w:r>
        <w:rPr>
          <w:rFonts w:hint="eastAsia" w:asciiTheme="minorEastAsia" w:hAnsiTheme="minorEastAsia" w:eastAsiaTheme="minorEastAsia"/>
          <w:b/>
          <w:sz w:val="36"/>
          <w:szCs w:val="36"/>
        </w:rPr>
        <w:t>第六章 投标文件格式</w:t>
      </w:r>
      <w:bookmarkEnd w:id="45"/>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rFonts w:hint="eastAsia" w:eastAsia="宋体"/>
          <w:sz w:val="44"/>
          <w:szCs w:val="44"/>
          <w:lang w:eastAsia="zh-CN"/>
        </w:rPr>
      </w:pPr>
      <w:r>
        <w:rPr>
          <w:rFonts w:hint="eastAsia"/>
          <w:sz w:val="44"/>
          <w:szCs w:val="44"/>
          <w:lang w:eastAsia="zh-CN"/>
        </w:rPr>
        <w:t>台州市2023-4区块海域使用论证报告书编制项目</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lang w:eastAsia="zh-CN"/>
        </w:rPr>
        <w:t>资格标</w:t>
      </w:r>
      <w:r>
        <w:rPr>
          <w:rFonts w:hint="eastAsia" w:ascii="宋体" w:hAnsi="宋体"/>
          <w:b/>
          <w:sz w:val="28"/>
          <w:szCs w:val="28"/>
        </w:rPr>
        <w:t>）</w:t>
      </w:r>
    </w:p>
    <w:p>
      <w:pPr>
        <w:pStyle w:val="24"/>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10"/>
        <w:rPr>
          <w:rFonts w:ascii="仿宋_GB2312" w:hAnsi="宋体" w:eastAsia="仿宋_GB2312"/>
          <w:b/>
          <w:sz w:val="36"/>
          <w:szCs w:val="36"/>
        </w:rPr>
      </w:pPr>
    </w:p>
    <w:p>
      <w:pPr>
        <w:pStyle w:val="11"/>
        <w:ind w:firstLine="480"/>
      </w:pPr>
    </w:p>
    <w:p>
      <w:pPr>
        <w:pStyle w:val="7"/>
        <w:rPr>
          <w:rFonts w:ascii="仿宋_GB2312" w:hAnsi="宋体" w:eastAsia="仿宋_GB2312"/>
          <w:b/>
          <w:sz w:val="36"/>
          <w:szCs w:val="36"/>
        </w:rPr>
      </w:pPr>
    </w:p>
    <w:p>
      <w:pPr>
        <w:spacing w:line="360" w:lineRule="auto"/>
        <w:jc w:val="center"/>
        <w:rPr>
          <w:b/>
          <w:bCs/>
          <w:sz w:val="36"/>
          <w:szCs w:val="36"/>
        </w:rPr>
      </w:pPr>
      <w:r>
        <w:rPr>
          <w:rFonts w:hint="eastAsia"/>
          <w:b/>
          <w:bCs/>
          <w:sz w:val="36"/>
          <w:szCs w:val="36"/>
          <w:lang w:eastAsia="zh-CN"/>
        </w:rPr>
        <w:t>资格标</w:t>
      </w:r>
      <w:r>
        <w:rPr>
          <w:rFonts w:hint="eastAsia"/>
          <w:b/>
          <w:bCs/>
          <w:sz w:val="36"/>
          <w:szCs w:val="36"/>
        </w:rPr>
        <w:t>目录</w:t>
      </w:r>
    </w:p>
    <w:p>
      <w:pPr>
        <w:spacing w:line="360" w:lineRule="auto"/>
        <w:ind w:firstLine="560" w:firstLineChars="200"/>
        <w:rPr>
          <w:sz w:val="28"/>
          <w:szCs w:val="36"/>
        </w:rPr>
      </w:pPr>
    </w:p>
    <w:p>
      <w:pPr>
        <w:snapToGrid w:val="0"/>
        <w:spacing w:line="360" w:lineRule="auto"/>
        <w:ind w:firstLine="480" w:firstLineChars="200"/>
        <w:rPr>
          <w:rFonts w:hint="eastAsia"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hint="eastAsia" w:ascii="宋体" w:hAnsi="宋体" w:cs="宋体"/>
          <w:sz w:val="24"/>
        </w:rPr>
      </w:pPr>
      <w:r>
        <w:rPr>
          <w:rFonts w:hint="eastAsia" w:ascii="宋体" w:hAnsi="宋体" w:cs="宋体"/>
          <w:sz w:val="24"/>
        </w:rPr>
        <w:t>（2）授权委托书（法定代表人亲自办理投标事宜的，则无需提交；附件2）；</w:t>
      </w:r>
    </w:p>
    <w:p>
      <w:pPr>
        <w:snapToGrid w:val="0"/>
        <w:spacing w:line="360" w:lineRule="auto"/>
        <w:ind w:firstLine="480" w:firstLineChars="200"/>
        <w:rPr>
          <w:rFonts w:hint="eastAsia" w:ascii="宋体" w:hAnsi="宋体" w:cs="宋体"/>
          <w:sz w:val="24"/>
        </w:rPr>
      </w:pPr>
      <w:r>
        <w:rPr>
          <w:rFonts w:hint="eastAsia" w:ascii="宋体" w:hAnsi="宋体" w:cs="宋体"/>
          <w:sz w:val="24"/>
        </w:rPr>
        <w:t>（3）法人或者其他组织的营业执照等证明文件，自然人的身份证明；</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）具有依法缴纳税收和社会保障资金证明的承诺函（附件3）；</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）具有良好的商业信誉和健全的财务会计制度的承诺函（附件4）；</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）具有履行合同所必须的设备和专业技术能力的承诺函（附件5）；</w:t>
      </w:r>
    </w:p>
    <w:p>
      <w:pPr>
        <w:snapToGrid w:val="0"/>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）需要说明的其他资料。</w:t>
      </w:r>
    </w:p>
    <w:p>
      <w:pPr>
        <w:spacing w:line="360" w:lineRule="auto"/>
        <w:rPr>
          <w:rFonts w:ascii="宋体" w:hAnsi="宋体"/>
          <w:b/>
          <w:sz w:val="28"/>
        </w:rPr>
      </w:pPr>
    </w:p>
    <w:p>
      <w:pPr>
        <w:spacing w:line="360" w:lineRule="auto"/>
        <w:ind w:left="420"/>
        <w:rPr>
          <w:rFonts w:ascii="宋体" w:hAnsi="宋体"/>
          <w:b/>
          <w:sz w:val="28"/>
        </w:rPr>
      </w:pPr>
    </w:p>
    <w:p>
      <w:pPr>
        <w:pStyle w:val="33"/>
        <w:rPr>
          <w:rFonts w:ascii="宋体" w:hAnsi="宋体"/>
          <w:b/>
          <w:sz w:val="28"/>
        </w:rPr>
      </w:pPr>
    </w:p>
    <w:p>
      <w:pPr>
        <w:pStyle w:val="33"/>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4"/>
        <w:numPr>
          <w:ilvl w:val="0"/>
          <w:numId w:val="0"/>
        </w:numPr>
        <w:ind w:left="425"/>
        <w:jc w:val="both"/>
      </w:pPr>
    </w:p>
    <w:p/>
    <w:p>
      <w:pPr>
        <w:pStyle w:val="7"/>
        <w:rPr>
          <w:rFonts w:ascii="宋体" w:hAnsi="宋体"/>
          <w:b/>
          <w:sz w:val="28"/>
        </w:rPr>
      </w:pPr>
    </w:p>
    <w:p>
      <w:pPr>
        <w:pStyle w:val="7"/>
        <w:rPr>
          <w:rFonts w:ascii="宋体" w:hAnsi="宋体"/>
          <w:b/>
          <w:sz w:val="28"/>
        </w:rPr>
      </w:pPr>
    </w:p>
    <w:p>
      <w:pPr>
        <w:pStyle w:val="7"/>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46" w:name="_Toc30723_WPSOffice_Level1"/>
      <w:bookmarkStart w:id="47" w:name="_Toc31708_WPSOffice_Level1"/>
      <w:r>
        <w:rPr>
          <w:rFonts w:hint="eastAsia" w:ascii="宋体" w:hAnsi="宋体"/>
          <w:b/>
          <w:kern w:val="0"/>
          <w:sz w:val="32"/>
          <w:szCs w:val="32"/>
          <w:lang w:val="zh-CN"/>
        </w:rPr>
        <w:t>投标声明书</w:t>
      </w:r>
      <w:bookmarkEnd w:id="46"/>
      <w:bookmarkEnd w:id="47"/>
    </w:p>
    <w:p>
      <w:pPr>
        <w:snapToGrid w:val="0"/>
        <w:spacing w:before="120" w:beforeLines="50" w:after="50" w:line="312" w:lineRule="auto"/>
        <w:rPr>
          <w:rFonts w:ascii="宋体" w:hAnsi="宋体" w:cs="宋体"/>
          <w:kern w:val="0"/>
          <w:sz w:val="24"/>
        </w:rPr>
      </w:pPr>
      <w:r>
        <w:rPr>
          <w:rFonts w:hint="eastAsia" w:ascii="宋体" w:hAnsi="宋体" w:cs="宋体"/>
          <w:kern w:val="0"/>
          <w:sz w:val="24"/>
          <w:u w:val="single"/>
          <w:lang w:eastAsia="zh-CN"/>
        </w:rPr>
        <w:t>台州市自然资源和规划局台州湾新区（高新区）分局</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hint="eastAsia"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48" w:name="_Toc24373_WPSOffice_Level1"/>
      <w:bookmarkStart w:id="49" w:name="_Toc6870_WPSOffice_Level1"/>
      <w:r>
        <w:rPr>
          <w:b/>
          <w:sz w:val="32"/>
          <w:szCs w:val="32"/>
        </w:rPr>
        <w:t>授权</w:t>
      </w:r>
      <w:r>
        <w:rPr>
          <w:rFonts w:hint="eastAsia"/>
          <w:b/>
          <w:sz w:val="32"/>
          <w:szCs w:val="32"/>
        </w:rPr>
        <w:t>委托</w:t>
      </w:r>
      <w:r>
        <w:rPr>
          <w:b/>
          <w:sz w:val="32"/>
          <w:szCs w:val="32"/>
        </w:rPr>
        <w:t>书</w:t>
      </w:r>
      <w:bookmarkEnd w:id="48"/>
      <w:bookmarkEnd w:id="49"/>
    </w:p>
    <w:p>
      <w:pPr>
        <w:snapToGrid w:val="0"/>
        <w:spacing w:before="120" w:beforeLines="50" w:after="50" w:line="360" w:lineRule="auto"/>
        <w:rPr>
          <w:rFonts w:ascii="宋体" w:hAnsi="宋体" w:cs="宋体"/>
          <w:kern w:val="0"/>
          <w:sz w:val="24"/>
        </w:rPr>
      </w:pPr>
      <w:r>
        <w:rPr>
          <w:rFonts w:hint="eastAsia" w:ascii="宋体" w:hAnsi="宋体" w:cs="宋体"/>
          <w:kern w:val="0"/>
          <w:sz w:val="24"/>
          <w:u w:val="single"/>
          <w:lang w:eastAsia="zh-CN"/>
        </w:rPr>
        <w:t>台州市自然资源和规划局台州湾新区（高新区）分局</w:t>
      </w:r>
      <w:r>
        <w:rPr>
          <w:rFonts w:hint="eastAsia" w:ascii="宋体" w:hAnsi="宋体" w:cs="宋体"/>
          <w:kern w:val="0"/>
          <w:sz w:val="24"/>
        </w:rPr>
        <w:t>：</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ascii="宋体" w:hAnsi="宋体"/>
          <w:b/>
          <w:sz w:val="28"/>
        </w:rPr>
      </w:pPr>
      <w:r>
        <w:rPr>
          <w:rFonts w:hint="eastAsia" w:ascii="宋体" w:hAnsi="宋体"/>
          <w:b/>
          <w:sz w:val="28"/>
        </w:rPr>
        <w:br w:type="page"/>
      </w:r>
      <w:bookmarkStart w:id="50" w:name="_Toc26389_WPSOffice_Level1"/>
      <w:bookmarkStart w:id="51" w:name="_Toc16825_WPSOffice_Level1"/>
      <w:bookmarkStart w:id="52" w:name="_Toc12331_WPSOffice_Level1"/>
    </w:p>
    <w:p>
      <w:pPr>
        <w:rPr>
          <w:rFonts w:ascii="宋体" w:hAnsi="宋体"/>
          <w:b/>
          <w:sz w:val="28"/>
        </w:rPr>
      </w:pPr>
      <w:r>
        <w:rPr>
          <w:rFonts w:hint="eastAsia" w:ascii="宋体" w:hAnsi="宋体"/>
          <w:b/>
          <w:sz w:val="28"/>
        </w:rPr>
        <w:t>附件3</w:t>
      </w:r>
    </w:p>
    <w:p>
      <w:pPr>
        <w:widowControl/>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pPr>
        <w:widowControl/>
        <w:adjustRightInd w:val="0"/>
        <w:snapToGrid w:val="0"/>
        <w:jc w:val="center"/>
        <w:rPr>
          <w:rFonts w:ascii="宋体" w:hAnsi="宋体"/>
          <w:b/>
          <w:kern w:val="0"/>
          <w:sz w:val="32"/>
          <w:szCs w:val="32"/>
        </w:rPr>
      </w:pPr>
    </w:p>
    <w:p>
      <w:pPr>
        <w:widowControl/>
        <w:adjustRightInd w:val="0"/>
        <w:snapToGrid w:val="0"/>
        <w:jc w:val="left"/>
        <w:rPr>
          <w:rFonts w:ascii="宋体" w:hAnsi="宋体"/>
          <w:kern w:val="0"/>
          <w:sz w:val="28"/>
          <w:szCs w:val="32"/>
        </w:rPr>
      </w:pPr>
      <w:r>
        <w:rPr>
          <w:rFonts w:hint="eastAsia" w:ascii="宋体" w:hAnsi="宋体"/>
          <w:kern w:val="0"/>
          <w:sz w:val="28"/>
          <w:szCs w:val="32"/>
        </w:rPr>
        <w:t>（如依法免税的，应提供相应文件证明其依法免税；如依法不需要缴纳社会保障资金的，应提供相应文件证明其依法不需要缴纳社会保障资金。）</w:t>
      </w:r>
    </w:p>
    <w:p>
      <w:pPr>
        <w:adjustRightInd w:val="0"/>
        <w:snapToGrid w:val="0"/>
        <w:jc w:val="left"/>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台州市自然资源和规划局台州湾新区（高新区）分局</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w:t>
      </w:r>
      <w:r>
        <w:rPr>
          <w:rFonts w:hint="eastAsia" w:ascii="宋体" w:hAnsi="宋体"/>
          <w:kern w:val="0"/>
          <w:sz w:val="24"/>
        </w:rPr>
        <w:t>具有</w:t>
      </w:r>
      <w:r>
        <w:rPr>
          <w:rFonts w:ascii="宋体" w:hAnsi="宋体"/>
          <w:kern w:val="0"/>
          <w:sz w:val="24"/>
        </w:rPr>
        <w:t>依法缴纳税收和</w:t>
      </w:r>
      <w:r>
        <w:rPr>
          <w:rFonts w:hint="eastAsia" w:ascii="宋体" w:hAnsi="宋体"/>
          <w:kern w:val="0"/>
          <w:sz w:val="24"/>
        </w:rPr>
        <w:t>社会保障资金</w:t>
      </w:r>
      <w:r>
        <w:rPr>
          <w:rFonts w:ascii="宋体" w:hAnsi="宋体"/>
          <w:kern w:val="0"/>
          <w:sz w:val="24"/>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rPr>
          <w:rFonts w:ascii="宋体" w:hAnsi="宋体"/>
          <w:b/>
          <w:sz w:val="28"/>
        </w:rPr>
      </w:pPr>
      <w:r>
        <w:rPr>
          <w:rFonts w:hint="eastAsia" w:ascii="宋体" w:hAnsi="宋体"/>
          <w:b/>
          <w:sz w:val="28"/>
        </w:rPr>
        <w:br w:type="page"/>
      </w:r>
      <w:r>
        <w:rPr>
          <w:rFonts w:hint="eastAsia" w:ascii="宋体" w:hAnsi="宋体"/>
          <w:b/>
          <w:sz w:val="28"/>
        </w:rPr>
        <w:t>附件4</w:t>
      </w:r>
    </w:p>
    <w:p>
      <w:pPr>
        <w:jc w:val="center"/>
        <w:rPr>
          <w:rFonts w:ascii="宋体" w:hAnsi="宋体"/>
          <w:b/>
          <w:kern w:val="0"/>
          <w:sz w:val="32"/>
          <w:szCs w:val="32"/>
        </w:rPr>
      </w:pPr>
      <w:r>
        <w:rPr>
          <w:rFonts w:ascii="宋体" w:hAnsi="宋体"/>
          <w:b/>
          <w:kern w:val="0"/>
          <w:sz w:val="32"/>
          <w:szCs w:val="32"/>
        </w:rPr>
        <w:t>具有良好的商业信誉和健全的财务会计制度的承诺函</w:t>
      </w:r>
    </w:p>
    <w:p>
      <w:pPr>
        <w:jc w:val="center"/>
        <w:rPr>
          <w:rFonts w:ascii="宋体" w:hAnsi="宋体"/>
          <w:b/>
          <w:kern w:val="0"/>
          <w:sz w:val="32"/>
          <w:szCs w:val="32"/>
        </w:rPr>
      </w:pPr>
    </w:p>
    <w:p>
      <w:pPr>
        <w:widowControl/>
        <w:shd w:val="clear" w:color="auto" w:fill="FFFFFF"/>
        <w:spacing w:before="100" w:beforeAutospacing="1" w:after="100" w:afterAutospacing="1" w:line="480" w:lineRule="auto"/>
        <w:jc w:val="left"/>
        <w:rPr>
          <w:rFonts w:ascii="宋体" w:hAnsi="宋体"/>
          <w:kern w:val="0"/>
          <w:sz w:val="24"/>
        </w:rPr>
      </w:pPr>
      <w:r>
        <w:rPr>
          <w:rFonts w:hint="eastAsia" w:ascii="宋体" w:hAnsi="宋体"/>
          <w:kern w:val="0"/>
          <w:sz w:val="24"/>
          <w:u w:val="single"/>
          <w:lang w:eastAsia="zh-CN"/>
        </w:rPr>
        <w:t>台州市自然资源和规划局台州湾新区（高新区）分局</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rFonts w:ascii="宋体" w:hAnsi="宋体"/>
          <w:b/>
          <w:kern w:val="0"/>
          <w:sz w:val="32"/>
          <w:szCs w:val="32"/>
        </w:rPr>
      </w:pPr>
    </w:p>
    <w:p>
      <w:pPr>
        <w:jc w:val="center"/>
        <w:rPr>
          <w:rFonts w:ascii="宋体" w:hAnsi="宋体"/>
          <w:b/>
          <w:kern w:val="0"/>
          <w:sz w:val="32"/>
          <w:szCs w:val="32"/>
        </w:rPr>
      </w:pPr>
    </w:p>
    <w:p>
      <w:pPr>
        <w:rPr>
          <w:rFonts w:ascii="宋体" w:hAnsi="宋体"/>
          <w:b/>
          <w:kern w:val="0"/>
          <w:sz w:val="32"/>
          <w:szCs w:val="32"/>
        </w:rPr>
      </w:pPr>
      <w:r>
        <w:rPr>
          <w:rFonts w:ascii="宋体" w:hAnsi="宋体"/>
          <w:b/>
          <w:kern w:val="0"/>
          <w:sz w:val="32"/>
          <w:szCs w:val="32"/>
        </w:rPr>
        <w:br w:type="page"/>
      </w:r>
    </w:p>
    <w:p>
      <w:pPr>
        <w:jc w:val="left"/>
        <w:rPr>
          <w:rFonts w:ascii="宋体" w:hAnsi="宋体"/>
          <w:b/>
          <w:kern w:val="0"/>
          <w:sz w:val="32"/>
          <w:szCs w:val="32"/>
        </w:rPr>
      </w:pPr>
      <w:r>
        <w:rPr>
          <w:rFonts w:hint="eastAsia" w:ascii="宋体" w:hAnsi="宋体"/>
          <w:b/>
          <w:kern w:val="0"/>
          <w:sz w:val="32"/>
          <w:szCs w:val="32"/>
        </w:rPr>
        <w:t>附件5</w:t>
      </w:r>
    </w:p>
    <w:p>
      <w:pPr>
        <w:jc w:val="center"/>
        <w:rPr>
          <w:rFonts w:ascii="宋体" w:hAnsi="宋体"/>
          <w:b/>
          <w:sz w:val="28"/>
        </w:rPr>
      </w:pPr>
      <w:r>
        <w:rPr>
          <w:rFonts w:ascii="宋体" w:hAnsi="宋体"/>
          <w:b/>
          <w:kern w:val="0"/>
          <w:sz w:val="32"/>
          <w:szCs w:val="32"/>
        </w:rPr>
        <w:t>具有履行合同所必须的设备和专业技术能力的承诺函</w:t>
      </w:r>
    </w:p>
    <w:p>
      <w:pPr>
        <w:jc w:val="center"/>
        <w:rPr>
          <w:rFonts w:ascii="宋体" w:hAnsi="宋体"/>
          <w:b/>
          <w:sz w:val="28"/>
        </w:rPr>
      </w:pPr>
    </w:p>
    <w:p>
      <w:pPr>
        <w:widowControl/>
        <w:shd w:val="clear" w:color="auto" w:fill="FFFFFF"/>
        <w:snapToGrid w:val="0"/>
        <w:spacing w:after="50" w:line="480" w:lineRule="auto"/>
        <w:jc w:val="left"/>
        <w:rPr>
          <w:rFonts w:ascii="宋体" w:hAnsi="宋体"/>
          <w:kern w:val="0"/>
          <w:sz w:val="24"/>
        </w:rPr>
      </w:pPr>
      <w:r>
        <w:rPr>
          <w:rFonts w:hint="eastAsia" w:ascii="宋体" w:hAnsi="宋体"/>
          <w:kern w:val="0"/>
          <w:sz w:val="24"/>
          <w:u w:val="single"/>
          <w:lang w:eastAsia="zh-CN"/>
        </w:rPr>
        <w:t>台州市自然资源和规划局台州湾新区（高新区）分局</w:t>
      </w:r>
      <w:r>
        <w:rPr>
          <w:rFonts w:ascii="宋体" w:hAnsi="宋体"/>
          <w:kern w:val="0"/>
          <w:sz w:val="24"/>
        </w:rPr>
        <w:t>：</w:t>
      </w:r>
    </w:p>
    <w:p>
      <w:pPr>
        <w:widowControl/>
        <w:shd w:val="clear" w:color="auto" w:fill="FFFFFF"/>
        <w:spacing w:before="100" w:beforeAutospacing="1" w:after="100" w:afterAutospacing="1" w:line="480" w:lineRule="auto"/>
        <w:ind w:firstLine="480" w:firstLineChars="200"/>
        <w:jc w:val="left"/>
        <w:rPr>
          <w:rFonts w:ascii="宋体" w:hAnsi="宋体"/>
          <w:kern w:val="0"/>
          <w:sz w:val="24"/>
        </w:rPr>
      </w:pPr>
      <w:r>
        <w:rPr>
          <w:rFonts w:ascii="宋体" w:hAnsi="宋体"/>
          <w:kern w:val="0"/>
          <w:sz w:val="24"/>
        </w:rPr>
        <w:t>若我单位有幸成为</w:t>
      </w:r>
      <w:r>
        <w:rPr>
          <w:rFonts w:hint="eastAsia" w:ascii="宋体" w:hAnsi="宋体"/>
          <w:sz w:val="24"/>
          <w:u w:val="single"/>
          <w:lang w:eastAsia="zh-CN"/>
        </w:rPr>
        <w:t>台州市2023-4区块海域使用论证报告书编制项目</w:t>
      </w:r>
      <w:r>
        <w:rPr>
          <w:rFonts w:hint="eastAsia" w:hAnsi="宋体"/>
          <w:sz w:val="24"/>
        </w:rPr>
        <w:t>（</w:t>
      </w:r>
      <w:r>
        <w:rPr>
          <w:rFonts w:hint="eastAsia" w:ascii="宋体" w:hAnsi="宋体" w:cs="宋体"/>
          <w:kern w:val="0"/>
          <w:sz w:val="24"/>
        </w:rPr>
        <w:t>编号为</w:t>
      </w:r>
      <w:r>
        <w:rPr>
          <w:rFonts w:hint="eastAsia" w:ascii="宋体" w:hAnsi="宋体" w:cs="宋体"/>
          <w:kern w:val="0"/>
          <w:sz w:val="24"/>
          <w:u w:val="single"/>
          <w:lang w:val="en-US" w:eastAsia="zh-CN"/>
        </w:rPr>
        <w:t xml:space="preserve">            </w:t>
      </w:r>
      <w:r>
        <w:rPr>
          <w:rFonts w:hint="eastAsia" w:hAnsi="宋体" w:cs="宋体"/>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p>
    <w:p>
      <w:pPr>
        <w:widowControl/>
        <w:shd w:val="clear" w:color="auto" w:fill="FFFFFF"/>
        <w:spacing w:before="100" w:beforeAutospacing="1" w:after="100" w:afterAutospacing="1" w:line="360" w:lineRule="auto"/>
        <w:ind w:firstLine="480" w:firstLineChars="200"/>
        <w:jc w:val="left"/>
        <w:rPr>
          <w:rFonts w:ascii="宋体" w:hAnsi="宋体"/>
          <w:kern w:val="0"/>
          <w:sz w:val="24"/>
        </w:rPr>
      </w:pPr>
      <w:r>
        <w:rPr>
          <w:rFonts w:ascii="宋体" w:hAnsi="宋体"/>
          <w:kern w:val="0"/>
          <w:sz w:val="24"/>
        </w:rPr>
        <w:t>特此声明</w:t>
      </w:r>
      <w:r>
        <w:rPr>
          <w:rFonts w:hint="eastAsia" w:ascii="宋体" w:hAnsi="宋体"/>
          <w:kern w:val="0"/>
          <w:sz w:val="24"/>
        </w:rPr>
        <w:t>。</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    年   月   日</w:t>
      </w:r>
    </w:p>
    <w:p>
      <w:pPr>
        <w:jc w:val="center"/>
        <w:rPr>
          <w:sz w:val="52"/>
          <w:szCs w:val="52"/>
        </w:rPr>
      </w:pPr>
    </w:p>
    <w:p>
      <w:pPr>
        <w:jc w:val="center"/>
        <w:rPr>
          <w:sz w:val="52"/>
          <w:szCs w:val="52"/>
        </w:rPr>
      </w:pPr>
    </w:p>
    <w:p>
      <w:pPr>
        <w:jc w:val="center"/>
        <w:rPr>
          <w:sz w:val="52"/>
          <w:szCs w:val="52"/>
        </w:rPr>
      </w:pPr>
    </w:p>
    <w:p>
      <w:pPr>
        <w:rPr>
          <w:sz w:val="52"/>
          <w:szCs w:val="52"/>
        </w:rPr>
      </w:pPr>
    </w:p>
    <w:p>
      <w:pPr>
        <w:pStyle w:val="4"/>
        <w:numPr>
          <w:ilvl w:val="0"/>
          <w:numId w:val="0"/>
        </w:numPr>
        <w:jc w:val="both"/>
      </w:pPr>
    </w:p>
    <w:p>
      <w:pPr>
        <w:jc w:val="center"/>
        <w:rPr>
          <w:sz w:val="52"/>
          <w:szCs w:val="52"/>
        </w:rPr>
      </w:pPr>
    </w:p>
    <w:p>
      <w:pPr>
        <w:pStyle w:val="4"/>
        <w:numPr>
          <w:ilvl w:val="0"/>
          <w:numId w:val="0"/>
        </w:numPr>
        <w:ind w:left="425"/>
        <w:jc w:val="both"/>
      </w:pPr>
    </w:p>
    <w:p/>
    <w:bookmarkEnd w:id="50"/>
    <w:bookmarkEnd w:id="51"/>
    <w:bookmarkEnd w:id="52"/>
    <w:p>
      <w:pPr>
        <w:jc w:val="center"/>
      </w:pPr>
    </w:p>
    <w:p>
      <w:pPr>
        <w:spacing w:before="240" w:beforeLines="100" w:line="360" w:lineRule="auto"/>
        <w:ind w:right="-108"/>
        <w:jc w:val="center"/>
        <w:rPr>
          <w:rFonts w:hint="eastAsia" w:ascii="宋体" w:hAnsi="宋体"/>
          <w:sz w:val="44"/>
          <w:szCs w:val="44"/>
          <w:lang w:eastAsia="zh-CN"/>
        </w:rPr>
      </w:pPr>
      <w:r>
        <w:rPr>
          <w:rFonts w:hint="eastAsia" w:ascii="宋体" w:hAnsi="宋体"/>
          <w:sz w:val="44"/>
          <w:szCs w:val="44"/>
          <w:lang w:eastAsia="zh-CN"/>
        </w:rPr>
        <w:t>台州市2023-4区块海域使用论证报告书</w:t>
      </w:r>
    </w:p>
    <w:p>
      <w:pPr>
        <w:spacing w:before="240" w:beforeLines="100" w:line="360" w:lineRule="auto"/>
        <w:ind w:right="-108"/>
        <w:jc w:val="center"/>
        <w:rPr>
          <w:rFonts w:hint="eastAsia" w:ascii="宋体" w:hAnsi="宋体" w:eastAsia="宋体"/>
          <w:sz w:val="44"/>
          <w:szCs w:val="44"/>
          <w:lang w:eastAsia="zh-CN"/>
        </w:rPr>
      </w:pPr>
      <w:r>
        <w:rPr>
          <w:rFonts w:hint="eastAsia" w:ascii="宋体" w:hAnsi="宋体"/>
          <w:sz w:val="44"/>
          <w:szCs w:val="44"/>
          <w:lang w:eastAsia="zh-CN"/>
        </w:rPr>
        <w:t>编制项目</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项目编号：（标项  ）</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en-US" w:eastAsia="zh-CN"/>
        </w:rPr>
        <w:t>技术标</w:t>
      </w:r>
      <w:r>
        <w:rPr>
          <w:rFonts w:hint="eastAsia" w:ascii="宋体" w:hAnsi="宋体"/>
          <w:b/>
          <w:sz w:val="28"/>
          <w:szCs w:val="28"/>
        </w:rPr>
        <w:t>）</w:t>
      </w:r>
    </w:p>
    <w:p>
      <w:pPr>
        <w:pStyle w:val="24"/>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7"/>
        <w:rPr>
          <w:rFonts w:ascii="仿宋_GB2312" w:hAnsi="宋体" w:eastAsia="仿宋_GB2312"/>
          <w:b/>
          <w:sz w:val="36"/>
          <w:szCs w:val="36"/>
        </w:rPr>
      </w:pPr>
    </w:p>
    <w:p>
      <w:pPr>
        <w:rPr>
          <w:b/>
          <w:bCs/>
          <w:sz w:val="32"/>
          <w:szCs w:val="32"/>
          <w:lang w:val="zh-CN"/>
        </w:rPr>
      </w:pPr>
      <w:bookmarkStart w:id="53" w:name="_Toc11308_WPSOffice_Level1"/>
      <w:bookmarkStart w:id="54" w:name="_Toc5889_WPSOffice_Level1"/>
    </w:p>
    <w:p>
      <w:pPr>
        <w:jc w:val="center"/>
        <w:rPr>
          <w:b/>
          <w:bCs/>
          <w:sz w:val="36"/>
          <w:szCs w:val="36"/>
          <w:lang w:val="zh-CN"/>
        </w:rPr>
      </w:pPr>
    </w:p>
    <w:p>
      <w:pPr>
        <w:jc w:val="center"/>
        <w:rPr>
          <w:b/>
          <w:bCs/>
          <w:sz w:val="36"/>
          <w:szCs w:val="36"/>
          <w:lang w:val="zh-CN"/>
        </w:rPr>
      </w:pPr>
    </w:p>
    <w:p>
      <w:pPr>
        <w:jc w:val="center"/>
        <w:rPr>
          <w:b/>
          <w:bCs/>
          <w:sz w:val="36"/>
          <w:szCs w:val="36"/>
          <w:lang w:val="zh-CN"/>
        </w:rPr>
      </w:pPr>
    </w:p>
    <w:p>
      <w:pPr>
        <w:jc w:val="center"/>
        <w:rPr>
          <w:b/>
          <w:bCs/>
          <w:sz w:val="36"/>
          <w:szCs w:val="36"/>
          <w:lang w:val="zh-CN"/>
        </w:rPr>
      </w:pPr>
    </w:p>
    <w:p>
      <w:pPr>
        <w:jc w:val="center"/>
        <w:rPr>
          <w:b/>
          <w:bCs/>
          <w:sz w:val="36"/>
          <w:szCs w:val="36"/>
        </w:rPr>
      </w:pPr>
      <w:r>
        <w:rPr>
          <w:rFonts w:hint="eastAsia"/>
          <w:b/>
          <w:bCs/>
          <w:sz w:val="36"/>
          <w:szCs w:val="36"/>
          <w:lang w:val="en-US" w:eastAsia="zh-CN"/>
        </w:rPr>
        <w:t>技术标</w:t>
      </w:r>
      <w:r>
        <w:rPr>
          <w:rFonts w:hint="eastAsia"/>
          <w:b/>
          <w:bCs/>
          <w:sz w:val="36"/>
          <w:szCs w:val="36"/>
        </w:rPr>
        <w:t>目录</w:t>
      </w:r>
      <w:bookmarkEnd w:id="53"/>
      <w:bookmarkEnd w:id="54"/>
    </w:p>
    <w:p>
      <w:pPr>
        <w:spacing w:line="360" w:lineRule="auto"/>
        <w:rPr>
          <w:sz w:val="24"/>
        </w:rPr>
      </w:pPr>
    </w:p>
    <w:p>
      <w:pPr>
        <w:snapToGrid w:val="0"/>
        <w:spacing w:line="360" w:lineRule="auto"/>
        <w:ind w:firstLine="480" w:firstLineChars="200"/>
        <w:rPr>
          <w:rFonts w:ascii="宋体" w:hAnsi="宋体"/>
          <w:bCs/>
          <w:sz w:val="24"/>
        </w:rPr>
      </w:pPr>
      <w:r>
        <w:rPr>
          <w:rFonts w:hint="eastAsia" w:ascii="宋体" w:hAnsi="宋体"/>
          <w:bCs/>
          <w:sz w:val="24"/>
        </w:rPr>
        <w:t>（1）投标人基本情况表（附件6）；</w:t>
      </w:r>
    </w:p>
    <w:p>
      <w:pPr>
        <w:snapToGrid w:val="0"/>
        <w:spacing w:line="360" w:lineRule="auto"/>
        <w:ind w:firstLine="480" w:firstLineChars="200"/>
        <w:rPr>
          <w:rFonts w:ascii="宋体" w:hAnsi="宋体"/>
          <w:bCs/>
          <w:sz w:val="24"/>
        </w:rPr>
      </w:pPr>
      <w:r>
        <w:rPr>
          <w:rFonts w:hint="eastAsia" w:ascii="宋体" w:hAnsi="宋体"/>
          <w:bCs/>
          <w:sz w:val="24"/>
        </w:rPr>
        <w:t>（2）技术方案（包括</w:t>
      </w:r>
      <w:r>
        <w:rPr>
          <w:rFonts w:hint="eastAsia" w:ascii="Calibri" w:hAnsi="Calibri" w:cs="Calibri"/>
          <w:sz w:val="24"/>
        </w:rPr>
        <w:t>项目需求的理解与分析、项目实施方案、重难点分析、保障措施、进度安排等</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（3）项目负责人资格情况表（附件7）；</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（4）项目实施人员一览表（附件8）；</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服务条款响应表（附件9）；</w:t>
      </w:r>
    </w:p>
    <w:p>
      <w:pPr>
        <w:pStyle w:val="7"/>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（6）证书一览表（与本项目相关的认证证书或文件；附件10）；</w:t>
      </w:r>
    </w:p>
    <w:p>
      <w:pPr>
        <w:pStyle w:val="7"/>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（7）同类业绩证明（如有，需提供合同复印件；附件11）；</w:t>
      </w:r>
    </w:p>
    <w:p>
      <w:pPr>
        <w:pStyle w:val="7"/>
        <w:spacing w:line="360" w:lineRule="auto"/>
        <w:ind w:left="420" w:firstLine="0"/>
        <w:rPr>
          <w:sz w:val="28"/>
          <w:szCs w:val="28"/>
        </w:rPr>
      </w:pPr>
      <w:r>
        <w:rPr>
          <w:rFonts w:hint="eastAsia" w:ascii="宋体" w:hAnsi="宋体"/>
          <w:bCs/>
          <w:sz w:val="24"/>
        </w:rPr>
        <w:t>（8）符合招标文件规定的其他证明文件及评分标准中涉及的其他材料。</w:t>
      </w: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Pr>
        <w:pStyle w:val="7"/>
        <w:spacing w:line="360" w:lineRule="auto"/>
        <w:ind w:firstLine="0"/>
        <w:rPr>
          <w:rFonts w:ascii="宋体" w:hAnsi="宋体"/>
          <w:bCs/>
          <w:sz w:val="24"/>
        </w:rPr>
      </w:pPr>
    </w:p>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rFonts w:hint="eastAsia"/>
          <w:b/>
          <w:sz w:val="28"/>
        </w:rPr>
      </w:pPr>
    </w:p>
    <w:p>
      <w:pPr>
        <w:pStyle w:val="37"/>
        <w:shd w:val="clear" w:color="auto" w:fill="FFFFFF"/>
        <w:spacing w:before="0" w:beforeAutospacing="0" w:after="0" w:afterAutospacing="0" w:line="360" w:lineRule="auto"/>
        <w:rPr>
          <w:b/>
          <w:sz w:val="28"/>
        </w:rPr>
      </w:pPr>
      <w:r>
        <w:rPr>
          <w:rFonts w:hint="eastAsia"/>
          <w:b/>
          <w:sz w:val="28"/>
        </w:rPr>
        <w:t>附件6</w:t>
      </w:r>
    </w:p>
    <w:p>
      <w:pPr>
        <w:pStyle w:val="37"/>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5" w:name="_Toc13307_WPSOffice_Level1"/>
      <w:bookmarkStart w:id="56" w:name="_Toc14261_WPSOffice_Level1"/>
      <w:r>
        <w:rPr>
          <w:rFonts w:hint="eastAsia"/>
          <w:b/>
          <w:sz w:val="32"/>
          <w:szCs w:val="32"/>
        </w:rPr>
        <w:t>投标</w:t>
      </w:r>
      <w:r>
        <w:rPr>
          <w:rFonts w:hint="eastAsia"/>
          <w:b/>
          <w:bCs/>
          <w:sz w:val="32"/>
          <w:szCs w:val="32"/>
        </w:rPr>
        <w:t>人基本情况表</w:t>
      </w:r>
      <w:bookmarkEnd w:id="55"/>
      <w:bookmarkEnd w:id="56"/>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bCs/>
              </w:rPr>
              <w:t>1</w:t>
            </w:r>
            <w:r>
              <w:rPr>
                <w:rFonts w:hint="eastAsia"/>
                <w:bCs/>
              </w:rPr>
              <w:t>.</w:t>
            </w:r>
          </w:p>
          <w:p>
            <w:pPr>
              <w:pStyle w:val="37"/>
              <w:shd w:val="clear" w:color="auto" w:fill="FFFFFF"/>
              <w:spacing w:before="0" w:beforeAutospacing="0" w:after="0" w:afterAutospacing="0"/>
              <w:jc w:val="center"/>
              <w:rPr>
                <w:bCs/>
              </w:rPr>
            </w:pPr>
            <w:r>
              <w:rPr>
                <w:rFonts w:hint="eastAsia"/>
                <w:bCs/>
              </w:rPr>
              <w:t>企</w:t>
            </w:r>
          </w:p>
          <w:p>
            <w:pPr>
              <w:pStyle w:val="37"/>
              <w:shd w:val="clear" w:color="auto" w:fill="FFFFFF"/>
              <w:spacing w:before="0" w:beforeAutospacing="0" w:after="0" w:afterAutospacing="0"/>
              <w:jc w:val="center"/>
              <w:rPr>
                <w:bCs/>
              </w:rPr>
            </w:pPr>
            <w:r>
              <w:rPr>
                <w:rFonts w:hint="eastAsia"/>
                <w:bCs/>
              </w:rPr>
              <w:t>业</w:t>
            </w:r>
          </w:p>
          <w:p>
            <w:pPr>
              <w:pStyle w:val="37"/>
              <w:shd w:val="clear" w:color="auto" w:fill="FFFFFF"/>
              <w:spacing w:before="0" w:beforeAutospacing="0" w:after="0" w:afterAutospacing="0"/>
              <w:jc w:val="center"/>
              <w:rPr>
                <w:bCs/>
              </w:rPr>
            </w:pPr>
            <w:r>
              <w:rPr>
                <w:rFonts w:hint="eastAsia"/>
                <w:bCs/>
              </w:rPr>
              <w:t>概</w:t>
            </w:r>
          </w:p>
          <w:p>
            <w:pPr>
              <w:pStyle w:val="37"/>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7"/>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r>
              <w:rPr>
                <w:bCs/>
              </w:rPr>
              <w:t>2</w:t>
            </w:r>
            <w:r>
              <w:rPr>
                <w:rFonts w:hint="eastAsia"/>
                <w:bCs/>
              </w:rPr>
              <w:t>．</w:t>
            </w:r>
          </w:p>
          <w:p>
            <w:pPr>
              <w:pStyle w:val="37"/>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7"/>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7"/>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7"/>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7"/>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7"/>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7"/>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7"/>
              <w:spacing w:before="0" w:beforeAutospacing="0" w:after="0" w:afterAutospacing="0"/>
              <w:jc w:val="center"/>
              <w:rPr>
                <w:bCs/>
              </w:rPr>
            </w:pPr>
          </w:p>
        </w:tc>
        <w:tc>
          <w:tcPr>
            <w:tcW w:w="933" w:type="dxa"/>
            <w:tcMar>
              <w:top w:w="57" w:type="dxa"/>
              <w:left w:w="85" w:type="dxa"/>
              <w:bottom w:w="0" w:type="dxa"/>
              <w:right w:w="85" w:type="dxa"/>
            </w:tcMar>
            <w:vAlign w:val="center"/>
          </w:tcPr>
          <w:p>
            <w:pPr>
              <w:pStyle w:val="37"/>
              <w:spacing w:before="0" w:beforeAutospacing="0" w:after="0" w:afterAutospacing="0"/>
              <w:jc w:val="center"/>
            </w:pPr>
          </w:p>
        </w:tc>
      </w:tr>
    </w:tbl>
    <w:p>
      <w:pPr>
        <w:pStyle w:val="37"/>
        <w:shd w:val="clear" w:color="auto" w:fill="FFFFFF"/>
        <w:spacing w:before="0" w:beforeAutospacing="0" w:after="0" w:afterAutospacing="0" w:line="360" w:lineRule="auto"/>
        <w:rPr>
          <w:b/>
          <w:sz w:val="21"/>
          <w:szCs w:val="21"/>
        </w:rPr>
      </w:pPr>
      <w:r>
        <w:rPr>
          <w:rFonts w:hint="eastAsia"/>
          <w:b/>
          <w:sz w:val="21"/>
          <w:szCs w:val="21"/>
        </w:rPr>
        <w:t>要求：</w:t>
      </w:r>
    </w:p>
    <w:p>
      <w:pPr>
        <w:pStyle w:val="37"/>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ascii="宋体" w:hAnsi="宋体"/>
          <w:b/>
          <w:sz w:val="28"/>
        </w:rPr>
      </w:pPr>
      <w:r>
        <w:rPr>
          <w:rFonts w:hint="eastAsia" w:ascii="宋体" w:hAnsi="宋体"/>
          <w:b/>
          <w:sz w:val="28"/>
        </w:rPr>
        <w:t>附件7</w:t>
      </w:r>
    </w:p>
    <w:p>
      <w:pPr>
        <w:spacing w:before="120" w:beforeLines="50" w:after="12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hint="eastAsia" w:ascii="宋体" w:hAnsi="宋体"/>
          <w:b/>
          <w:bCs/>
          <w:kern w:val="0"/>
          <w:sz w:val="32"/>
          <w:szCs w:val="32"/>
        </w:rPr>
      </w:pPr>
      <w:bookmarkStart w:id="57" w:name="_Toc26601_WPSOffice_Level1"/>
      <w:bookmarkStart w:id="58" w:name="_Toc12856_WPSOffice_Level1"/>
    </w:p>
    <w:p>
      <w:pPr>
        <w:jc w:val="left"/>
        <w:rPr>
          <w:rFonts w:ascii="宋体" w:hAnsi="宋体"/>
          <w:b/>
          <w:bCs/>
          <w:kern w:val="0"/>
          <w:sz w:val="32"/>
          <w:szCs w:val="32"/>
        </w:rPr>
      </w:pPr>
      <w:r>
        <w:rPr>
          <w:rFonts w:hint="eastAsia" w:ascii="宋体" w:hAnsi="宋体"/>
          <w:b/>
          <w:bCs/>
          <w:kern w:val="0"/>
          <w:sz w:val="32"/>
          <w:szCs w:val="32"/>
        </w:rPr>
        <w:t>附件8</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8"/>
        <w:spacing w:line="360" w:lineRule="auto"/>
        <w:ind w:left="424" w:leftChars="202"/>
        <w:rPr>
          <w:rFonts w:ascii="宋体" w:hAnsi="宋体"/>
          <w:szCs w:val="21"/>
        </w:rPr>
      </w:pPr>
      <w:r>
        <w:rPr>
          <w:rFonts w:hint="eastAsia" w:ascii="宋体" w:hAnsi="宋体"/>
          <w:szCs w:val="21"/>
        </w:rPr>
        <w:t>2.附人员证书。</w:t>
      </w:r>
    </w:p>
    <w:p>
      <w:pPr>
        <w:pStyle w:val="38"/>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ascii="宋体" w:hAnsi="宋体"/>
          <w:b/>
          <w:bCs/>
          <w:kern w:val="0"/>
          <w:sz w:val="32"/>
          <w:szCs w:val="32"/>
        </w:rPr>
      </w:pPr>
      <w:r>
        <w:rPr>
          <w:rFonts w:hint="eastAsia" w:ascii="宋体" w:hAnsi="宋体"/>
          <w:b/>
          <w:bCs/>
          <w:kern w:val="0"/>
          <w:sz w:val="32"/>
          <w:szCs w:val="32"/>
        </w:rPr>
        <w:t>附件9</w:t>
      </w:r>
    </w:p>
    <w:p>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pPr>
        <w:adjustRightInd w:val="0"/>
        <w:snapToGrid w:val="0"/>
        <w:ind w:firstLine="1205" w:firstLineChars="375"/>
        <w:jc w:val="center"/>
        <w:rPr>
          <w:rFonts w:ascii="宋体" w:hAnsi="宋体"/>
          <w:b/>
          <w:kern w:val="0"/>
          <w:sz w:val="32"/>
          <w:szCs w:val="32"/>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3"/>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3"/>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57"/>
    <w:bookmarkEnd w:id="58"/>
    <w:p>
      <w:pPr>
        <w:spacing w:line="360" w:lineRule="auto"/>
        <w:rPr>
          <w:rFonts w:ascii="宋体" w:hAnsi="宋体"/>
          <w:sz w:val="24"/>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u w:val="single"/>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0"/>
        <w:spacing w:line="360" w:lineRule="auto"/>
        <w:jc w:val="left"/>
        <w:rPr>
          <w:rFonts w:ascii="宋体" w:hAnsi="宋体"/>
          <w:b/>
          <w:sz w:val="28"/>
        </w:rPr>
      </w:pPr>
      <w:r>
        <w:rPr>
          <w:rFonts w:hint="eastAsia" w:ascii="宋体" w:hAnsi="宋体"/>
          <w:b/>
          <w:sz w:val="28"/>
        </w:rPr>
        <w:t>附件10</w:t>
      </w:r>
    </w:p>
    <w:p>
      <w:pPr>
        <w:pStyle w:val="41"/>
        <w:spacing w:line="360" w:lineRule="auto"/>
        <w:jc w:val="center"/>
        <w:rPr>
          <w:rFonts w:ascii="宋体" w:hAnsi="宋体" w:cs="Arial"/>
          <w:sz w:val="28"/>
          <w:szCs w:val="28"/>
        </w:rPr>
      </w:pPr>
      <w:bookmarkStart w:id="59" w:name="_Toc11030_WPSOffice_Level1"/>
      <w:bookmarkStart w:id="60" w:name="_Toc17604_WPSOffice_Level1"/>
      <w:r>
        <w:rPr>
          <w:rFonts w:hint="eastAsia" w:ascii="宋体" w:hAnsi="宋体"/>
          <w:b/>
          <w:sz w:val="32"/>
          <w:szCs w:val="32"/>
        </w:rPr>
        <w:t>证书一览表</w:t>
      </w:r>
      <w:bookmarkEnd w:id="59"/>
      <w:bookmarkEnd w:id="60"/>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1"/>
              <w:spacing w:line="360" w:lineRule="auto"/>
              <w:jc w:val="center"/>
              <w:rPr>
                <w:rFonts w:ascii="宋体" w:hAnsi="宋体" w:cs="Arial"/>
                <w:szCs w:val="21"/>
              </w:rPr>
            </w:pPr>
          </w:p>
        </w:tc>
      </w:tr>
    </w:tbl>
    <w:p>
      <w:pPr>
        <w:pStyle w:val="41"/>
        <w:tabs>
          <w:tab w:val="left" w:pos="1050"/>
        </w:tabs>
        <w:spacing w:line="360" w:lineRule="auto"/>
        <w:rPr>
          <w:rFonts w:ascii="宋体" w:hAnsi="宋体"/>
          <w:szCs w:val="21"/>
        </w:rPr>
      </w:pPr>
      <w:r>
        <w:rPr>
          <w:rFonts w:hint="eastAsia" w:ascii="宋体" w:hAnsi="宋体"/>
          <w:b/>
          <w:szCs w:val="21"/>
        </w:rPr>
        <w:t>要求：</w:t>
      </w:r>
    </w:p>
    <w:p>
      <w:pPr>
        <w:pStyle w:val="41"/>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1"/>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1"/>
        <w:tabs>
          <w:tab w:val="left" w:pos="1050"/>
        </w:tabs>
        <w:spacing w:line="360" w:lineRule="auto"/>
        <w:rPr>
          <w:rFonts w:ascii="仿宋_GB2312" w:hAnsi="宋体" w:eastAsia="仿宋_GB2312"/>
          <w:sz w:val="24"/>
        </w:rPr>
      </w:pPr>
    </w:p>
    <w:p>
      <w:pPr>
        <w:pStyle w:val="4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7"/>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4"/>
        <w:ind w:left="0" w:leftChars="0" w:firstLine="0" w:firstLineChars="0"/>
        <w:rPr>
          <w:rFonts w:ascii="宋体" w:hAnsi="宋体"/>
          <w:b/>
          <w:sz w:val="28"/>
        </w:rPr>
      </w:pPr>
    </w:p>
    <w:p>
      <w:pPr>
        <w:spacing w:line="360" w:lineRule="auto"/>
        <w:rPr>
          <w:rFonts w:ascii="宋体" w:hAnsi="宋体"/>
          <w:b/>
          <w:sz w:val="28"/>
        </w:rPr>
      </w:pPr>
      <w:r>
        <w:rPr>
          <w:rFonts w:hint="eastAsia" w:ascii="宋体" w:hAnsi="宋体"/>
          <w:b/>
          <w:sz w:val="28"/>
        </w:rPr>
        <w:t>附件11</w:t>
      </w:r>
    </w:p>
    <w:p>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0"/>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0"/>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both"/>
        <w:rPr>
          <w:sz w:val="52"/>
          <w:szCs w:val="52"/>
        </w:rPr>
      </w:pPr>
      <w:bookmarkStart w:id="61" w:name="_Toc30468_WPSOffice_Level1"/>
      <w:bookmarkStart w:id="62" w:name="_Toc21322_WPSOffice_Level1"/>
      <w:bookmarkStart w:id="63" w:name="_Toc4615_WPSOffice_Level1"/>
    </w:p>
    <w:bookmarkEnd w:id="61"/>
    <w:bookmarkEnd w:id="62"/>
    <w:bookmarkEnd w:id="63"/>
    <w:p>
      <w:pPr>
        <w:jc w:val="center"/>
        <w:rPr>
          <w:rFonts w:hint="eastAsia"/>
          <w:sz w:val="44"/>
          <w:szCs w:val="44"/>
          <w:lang w:eastAsia="zh-CN"/>
        </w:rPr>
      </w:pPr>
    </w:p>
    <w:p>
      <w:pPr>
        <w:jc w:val="center"/>
        <w:rPr>
          <w:rFonts w:hint="eastAsia" w:eastAsia="宋体"/>
          <w:sz w:val="44"/>
          <w:szCs w:val="44"/>
          <w:lang w:eastAsia="zh-CN"/>
        </w:rPr>
      </w:pPr>
      <w:r>
        <w:rPr>
          <w:rFonts w:hint="eastAsia"/>
          <w:sz w:val="44"/>
          <w:szCs w:val="44"/>
          <w:lang w:eastAsia="zh-CN"/>
        </w:rPr>
        <w:t>台州市2023-4区块海域使用论证报告书编制项目</w:t>
      </w:r>
    </w:p>
    <w:p>
      <w:pPr>
        <w:spacing w:before="240" w:beforeLines="100" w:line="360" w:lineRule="auto"/>
        <w:ind w:right="-108"/>
        <w:jc w:val="center"/>
        <w:rPr>
          <w:rFonts w:ascii="宋体" w:hAnsi="宋体"/>
          <w:sz w:val="36"/>
          <w:szCs w:val="36"/>
        </w:rPr>
      </w:pPr>
      <w:r>
        <w:rPr>
          <w:rFonts w:hint="eastAsia" w:ascii="宋体" w:hAnsi="宋体"/>
          <w:sz w:val="36"/>
          <w:szCs w:val="36"/>
        </w:rPr>
        <w:t>项目编号：（标项  ）</w:t>
      </w:r>
    </w:p>
    <w:p>
      <w:pPr>
        <w:pStyle w:val="24"/>
      </w:pPr>
    </w:p>
    <w:p>
      <w:pPr>
        <w:jc w:val="center"/>
        <w:rPr>
          <w:rFonts w:hint="eastAsia"/>
          <w:sz w:val="84"/>
          <w:szCs w:val="84"/>
          <w:lang w:val="en-US" w:eastAsia="zh-CN"/>
        </w:rPr>
      </w:pPr>
      <w:bookmarkStart w:id="64" w:name="_Toc14572_WPSOffice_Level1"/>
      <w:bookmarkStart w:id="65" w:name="_Toc3932_WPSOffice_Level1"/>
      <w:r>
        <w:rPr>
          <w:rFonts w:hint="eastAsia"/>
          <w:sz w:val="84"/>
          <w:szCs w:val="84"/>
          <w:lang w:val="en-US" w:eastAsia="zh-CN"/>
        </w:rPr>
        <w:t>商</w:t>
      </w:r>
    </w:p>
    <w:p>
      <w:pPr>
        <w:jc w:val="center"/>
        <w:rPr>
          <w:rFonts w:hint="eastAsia"/>
          <w:sz w:val="84"/>
          <w:szCs w:val="84"/>
          <w:lang w:val="en-US" w:eastAsia="zh-CN"/>
        </w:rPr>
      </w:pPr>
      <w:r>
        <w:rPr>
          <w:rFonts w:hint="eastAsia"/>
          <w:sz w:val="84"/>
          <w:szCs w:val="84"/>
          <w:lang w:val="en-US" w:eastAsia="zh-CN"/>
        </w:rPr>
        <w:t>务</w:t>
      </w:r>
    </w:p>
    <w:p>
      <w:pPr>
        <w:jc w:val="center"/>
        <w:rPr>
          <w:sz w:val="84"/>
          <w:szCs w:val="84"/>
        </w:rPr>
      </w:pPr>
      <w:r>
        <w:rPr>
          <w:rFonts w:hint="eastAsia"/>
          <w:sz w:val="84"/>
          <w:szCs w:val="84"/>
        </w:rPr>
        <w:t>文</w:t>
      </w:r>
      <w:bookmarkEnd w:id="64"/>
      <w:bookmarkEnd w:id="65"/>
    </w:p>
    <w:p>
      <w:pPr>
        <w:jc w:val="center"/>
        <w:rPr>
          <w:sz w:val="84"/>
          <w:szCs w:val="84"/>
        </w:rPr>
      </w:pPr>
      <w:bookmarkStart w:id="66" w:name="_Toc16973_WPSOffice_Level1"/>
      <w:bookmarkStart w:id="67" w:name="_Toc7562_WPSOffice_Level1"/>
      <w:r>
        <w:rPr>
          <w:rFonts w:hint="eastAsia"/>
          <w:sz w:val="84"/>
          <w:szCs w:val="84"/>
        </w:rPr>
        <w:t>件</w:t>
      </w:r>
      <w:bookmarkEnd w:id="66"/>
      <w:bookmarkEnd w:id="67"/>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8" w:name="_Toc26700_WPSOffice_Level1"/>
      <w:bookmarkStart w:id="69" w:name="_Toc4603_WPSOffice_Level1"/>
      <w:r>
        <w:rPr>
          <w:rFonts w:hint="eastAsia" w:ascii="宋体" w:hAnsi="宋体"/>
          <w:sz w:val="36"/>
          <w:szCs w:val="36"/>
        </w:rPr>
        <w:t>投标人全称（公章）：</w:t>
      </w:r>
      <w:bookmarkEnd w:id="68"/>
      <w:bookmarkEnd w:id="69"/>
    </w:p>
    <w:p>
      <w:pPr>
        <w:spacing w:line="360" w:lineRule="auto"/>
        <w:ind w:right="-108" w:firstLine="720" w:firstLineChars="200"/>
        <w:rPr>
          <w:rFonts w:ascii="宋体" w:hAnsi="宋体"/>
          <w:sz w:val="36"/>
          <w:szCs w:val="36"/>
        </w:rPr>
      </w:pPr>
      <w:bookmarkStart w:id="70" w:name="_Toc1391_WPSOffice_Level1"/>
      <w:bookmarkStart w:id="71" w:name="_Toc32593_WPSOffice_Level1"/>
      <w:r>
        <w:rPr>
          <w:rFonts w:hint="eastAsia" w:ascii="宋体" w:hAnsi="宋体"/>
          <w:sz w:val="36"/>
          <w:szCs w:val="36"/>
        </w:rPr>
        <w:t>地    址：</w:t>
      </w:r>
      <w:bookmarkEnd w:id="70"/>
      <w:bookmarkEnd w:id="71"/>
    </w:p>
    <w:p>
      <w:pPr>
        <w:spacing w:line="360" w:lineRule="auto"/>
        <w:ind w:right="-108" w:firstLine="720" w:firstLineChars="200"/>
        <w:rPr>
          <w:rFonts w:ascii="宋体" w:hAnsi="宋体"/>
          <w:sz w:val="36"/>
          <w:szCs w:val="36"/>
        </w:rPr>
      </w:pPr>
      <w:bookmarkStart w:id="72" w:name="_Toc20938_WPSOffice_Level1"/>
      <w:bookmarkStart w:id="73" w:name="_Toc3791_WPSOffice_Level1"/>
      <w:r>
        <w:rPr>
          <w:rFonts w:hint="eastAsia" w:ascii="宋体" w:hAnsi="宋体"/>
          <w:sz w:val="36"/>
          <w:szCs w:val="36"/>
        </w:rPr>
        <w:t>时    间：</w:t>
      </w:r>
      <w:bookmarkEnd w:id="72"/>
      <w:bookmarkEnd w:id="73"/>
    </w:p>
    <w:p>
      <w:pPr>
        <w:spacing w:line="360" w:lineRule="auto"/>
        <w:ind w:right="-108"/>
        <w:jc w:val="center"/>
        <w:rPr>
          <w:rFonts w:ascii="仿宋_GB2312" w:hAnsi="宋体" w:eastAsia="仿宋_GB2312"/>
          <w:b/>
          <w:sz w:val="36"/>
          <w:szCs w:val="36"/>
        </w:rPr>
      </w:pPr>
    </w:p>
    <w:p>
      <w:pPr>
        <w:pStyle w:val="24"/>
      </w:pPr>
    </w:p>
    <w:p>
      <w:pPr>
        <w:pStyle w:val="24"/>
      </w:pPr>
    </w:p>
    <w:p>
      <w:pPr>
        <w:pStyle w:val="24"/>
      </w:pPr>
    </w:p>
    <w:p>
      <w:pPr>
        <w:pStyle w:val="24"/>
      </w:pPr>
    </w:p>
    <w:p>
      <w:pPr>
        <w:pStyle w:val="24"/>
      </w:pPr>
    </w:p>
    <w:p>
      <w:pPr>
        <w:pStyle w:val="24"/>
      </w:pPr>
    </w:p>
    <w:p>
      <w:pPr>
        <w:pStyle w:val="24"/>
      </w:pPr>
    </w:p>
    <w:p>
      <w:pPr>
        <w:pStyle w:val="7"/>
        <w:rPr>
          <w:rFonts w:ascii="仿宋_GB2312" w:hAnsi="宋体" w:eastAsia="仿宋_GB2312"/>
          <w:b/>
          <w:sz w:val="36"/>
          <w:szCs w:val="36"/>
        </w:rPr>
      </w:pPr>
    </w:p>
    <w:p>
      <w:pPr>
        <w:spacing w:line="480" w:lineRule="auto"/>
        <w:jc w:val="center"/>
      </w:pPr>
      <w:bookmarkStart w:id="74" w:name="_Toc29537_WPSOffice_Level1"/>
      <w:bookmarkStart w:id="75" w:name="_Toc19972_WPSOffice_Level1"/>
      <w:r>
        <w:rPr>
          <w:rFonts w:hint="eastAsia" w:ascii="宋体" w:hAnsi="宋体"/>
          <w:b/>
          <w:bCs/>
          <w:sz w:val="36"/>
          <w:szCs w:val="36"/>
          <w:lang w:val="en-US" w:eastAsia="zh-CN"/>
        </w:rPr>
        <w:t>商务标</w:t>
      </w:r>
      <w:r>
        <w:rPr>
          <w:rFonts w:hint="eastAsia" w:ascii="宋体" w:hAnsi="宋体"/>
          <w:b/>
          <w:bCs/>
          <w:sz w:val="36"/>
          <w:szCs w:val="36"/>
        </w:rPr>
        <w:t>目录</w:t>
      </w:r>
      <w:bookmarkEnd w:id="74"/>
      <w:bookmarkEnd w:id="75"/>
    </w:p>
    <w:p>
      <w:pPr>
        <w:rPr>
          <w:rFonts w:asciiTheme="minorEastAsia" w:hAnsiTheme="minorEastAsia" w:eastAsiaTheme="minorEastAsia" w:cstheme="minorEastAsia"/>
          <w:sz w:val="28"/>
          <w:szCs w:val="28"/>
        </w:rPr>
      </w:pPr>
    </w:p>
    <w:p>
      <w:pPr>
        <w:autoSpaceDE w:val="0"/>
        <w:autoSpaceDN w:val="0"/>
        <w:adjustRightInd w:val="0"/>
        <w:spacing w:line="360" w:lineRule="auto"/>
        <w:ind w:firstLine="480" w:firstLineChars="200"/>
        <w:rPr>
          <w:rFonts w:asciiTheme="minorEastAsia" w:hAnsiTheme="minorEastAsia" w:eastAsiaTheme="minorEastAsia"/>
          <w:kern w:val="0"/>
          <w:sz w:val="24"/>
        </w:rPr>
      </w:pPr>
      <w:bookmarkStart w:id="76" w:name="_Toc29988_WPSOffice_Level1"/>
      <w:bookmarkStart w:id="77" w:name="_Toc6778_WPSOffice_Level1"/>
      <w:r>
        <w:rPr>
          <w:rFonts w:hint="eastAsia" w:asciiTheme="minorEastAsia" w:hAnsiTheme="minorEastAsia" w:eastAsiaTheme="minorEastAsia"/>
          <w:kern w:val="0"/>
          <w:sz w:val="24"/>
        </w:rPr>
        <w:t>（1）开标一览表（附件12）；</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）针对报价投标人认为其他需要说明的。</w:t>
      </w:r>
    </w:p>
    <w:bookmarkEnd w:id="76"/>
    <w:bookmarkEnd w:id="77"/>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ascii="宋体" w:hAnsi="宋体"/>
          <w:b/>
          <w:sz w:val="28"/>
        </w:rPr>
      </w:pPr>
      <w:r>
        <w:rPr>
          <w:rFonts w:hint="eastAsia" w:ascii="宋体" w:hAnsi="宋体"/>
          <w:b/>
          <w:sz w:val="28"/>
        </w:rPr>
        <w:t>附件12</w:t>
      </w:r>
    </w:p>
    <w:p>
      <w:pPr>
        <w:spacing w:line="360" w:lineRule="auto"/>
        <w:ind w:left="-2" w:hanging="2"/>
        <w:jc w:val="center"/>
        <w:rPr>
          <w:rFonts w:ascii="宋体" w:hAnsi="宋体"/>
          <w:b/>
          <w:sz w:val="32"/>
          <w:szCs w:val="32"/>
        </w:rPr>
      </w:pPr>
      <w:bookmarkStart w:id="78" w:name="_Toc30363_WPSOffice_Level1"/>
      <w:bookmarkStart w:id="79" w:name="_Toc16144_WPSOffice_Level1"/>
      <w:r>
        <w:rPr>
          <w:rFonts w:hint="eastAsia" w:ascii="宋体" w:hAnsi="宋体"/>
          <w:b/>
          <w:sz w:val="32"/>
          <w:szCs w:val="32"/>
        </w:rPr>
        <w:t xml:space="preserve">开标一览表（标项  ） </w:t>
      </w:r>
      <w:bookmarkEnd w:id="78"/>
      <w:bookmarkEnd w:id="79"/>
    </w:p>
    <w:p>
      <w:pPr>
        <w:pStyle w:val="13"/>
        <w:spacing w:line="360" w:lineRule="auto"/>
        <w:ind w:firstLine="482" w:firstLineChars="200"/>
        <w:rPr>
          <w:rFonts w:hAnsi="宋体"/>
          <w:b/>
          <w:sz w:val="24"/>
        </w:rPr>
      </w:pPr>
      <w:r>
        <w:rPr>
          <w:rFonts w:hAnsi="宋体"/>
          <w:b/>
          <w:sz w:val="24"/>
        </w:rPr>
        <w:t>项目编号：</w:t>
      </w:r>
    </w:p>
    <w:p>
      <w:pPr>
        <w:pStyle w:val="46"/>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p>
      <w:pPr>
        <w:snapToGrid w:val="0"/>
        <w:spacing w:before="50" w:after="50"/>
        <w:jc w:val="left"/>
        <w:rPr>
          <w:rFonts w:hint="eastAsia" w:ascii="Arial" w:hAnsi="Arial" w:eastAsia="宋体" w:cs="Arial"/>
          <w:sz w:val="22"/>
          <w:szCs w:val="22"/>
          <w:lang w:eastAsia="zh-CN"/>
        </w:rPr>
      </w:pPr>
      <w:r>
        <w:rPr>
          <w:rFonts w:hint="eastAsia" w:ascii="Arial" w:hAnsi="Arial" w:cs="宋体"/>
          <w:sz w:val="22"/>
          <w:szCs w:val="22"/>
        </w:rPr>
        <w:t>致：</w:t>
      </w:r>
      <w:r>
        <w:rPr>
          <w:rFonts w:hint="eastAsia" w:ascii="Arial" w:hAnsi="Arial" w:cs="宋体"/>
          <w:sz w:val="22"/>
          <w:szCs w:val="22"/>
          <w:lang w:eastAsia="zh-CN"/>
        </w:rPr>
        <w:t>台州市自然资源和规划局台州湾新区（高新区）分局</w:t>
      </w:r>
    </w:p>
    <w:p>
      <w:pPr>
        <w:snapToGrid w:val="0"/>
        <w:ind w:firstLine="440" w:firstLineChars="200"/>
        <w:jc w:val="left"/>
        <w:rPr>
          <w:rFonts w:ascii="新宋体" w:hAnsi="新宋体" w:eastAsia="新宋体"/>
          <w:szCs w:val="21"/>
        </w:rPr>
      </w:pPr>
      <w:r>
        <w:rPr>
          <w:rFonts w:ascii="Arial" w:hAnsi="Arial" w:cs="Arial"/>
          <w:sz w:val="22"/>
          <w:szCs w:val="22"/>
        </w:rPr>
        <w:t>经研究，我们决定参加</w:t>
      </w:r>
      <w:r>
        <w:rPr>
          <w:rFonts w:hint="eastAsia" w:ascii="Arial" w:hAnsi="Arial" w:cs="Arial"/>
          <w:sz w:val="22"/>
          <w:szCs w:val="22"/>
        </w:rPr>
        <w:t>你单位的</w:t>
      </w:r>
      <w:r>
        <w:rPr>
          <w:rFonts w:hint="eastAsia" w:ascii="宋体" w:hAnsi="宋体"/>
          <w:sz w:val="22"/>
          <w:szCs w:val="22"/>
          <w:u w:val="single"/>
          <w:lang w:eastAsia="zh-CN"/>
        </w:rPr>
        <w:t>台州市2023-4区块海域使用论证报告书编制项目</w:t>
      </w:r>
      <w:r>
        <w:rPr>
          <w:rFonts w:ascii="Arial" w:hAnsi="Arial" w:cs="Arial"/>
          <w:sz w:val="22"/>
          <w:szCs w:val="22"/>
        </w:rPr>
        <w:t>的</w:t>
      </w:r>
      <w:r>
        <w:rPr>
          <w:rFonts w:hint="eastAsia" w:ascii="Arial" w:hAnsi="Arial" w:cs="Arial"/>
          <w:sz w:val="22"/>
        </w:rPr>
        <w:t>招标</w:t>
      </w:r>
      <w:r>
        <w:rPr>
          <w:rFonts w:ascii="Arial" w:hAnsi="Arial" w:cs="Arial"/>
          <w:sz w:val="22"/>
        </w:rPr>
        <w:t>采购活动并提交</w:t>
      </w:r>
      <w:r>
        <w:rPr>
          <w:rFonts w:hint="eastAsia" w:ascii="Arial" w:hAnsi="Arial" w:cs="Arial"/>
          <w:sz w:val="22"/>
        </w:rPr>
        <w:t>投标</w:t>
      </w:r>
      <w:r>
        <w:rPr>
          <w:rFonts w:ascii="Arial" w:hAnsi="Arial" w:cs="Arial"/>
          <w:sz w:val="22"/>
        </w:rPr>
        <w:t>文件。为此，我方郑重声明以下诸点，并负法律责任。</w:t>
      </w:r>
    </w:p>
    <w:p>
      <w:pPr>
        <w:pStyle w:val="12"/>
        <w:adjustRightInd w:val="0"/>
        <w:snapToGrid w:val="0"/>
        <w:rPr>
          <w:rFonts w:ascii="Arial" w:hAnsi="Arial" w:cs="Arial"/>
          <w:sz w:val="22"/>
          <w:szCs w:val="22"/>
        </w:rPr>
      </w:pPr>
      <w:r>
        <w:rPr>
          <w:rFonts w:ascii="Arial" w:hAnsi="Arial" w:cs="Arial"/>
          <w:sz w:val="22"/>
          <w:szCs w:val="22"/>
        </w:rPr>
        <w:t>1、如果我们的招标文件被接受，我们将履行招标文件中规定的每一项要求，并按我们投标文件中的承诺按期、按质、按量提供服务。</w:t>
      </w:r>
    </w:p>
    <w:p>
      <w:pPr>
        <w:pStyle w:val="12"/>
        <w:adjustRightInd w:val="0"/>
        <w:snapToGrid w:val="0"/>
        <w:rPr>
          <w:rFonts w:ascii="Arial" w:hAnsi="Arial" w:cs="Arial"/>
          <w:sz w:val="22"/>
          <w:szCs w:val="22"/>
        </w:rPr>
      </w:pPr>
      <w:r>
        <w:rPr>
          <w:rFonts w:ascii="Arial" w:hAnsi="Arial" w:cs="Arial"/>
          <w:sz w:val="22"/>
          <w:szCs w:val="22"/>
        </w:rPr>
        <w:t>2、我们同意按采购文件规定遵守采购人有关采购的各项规定。</w:t>
      </w:r>
    </w:p>
    <w:p>
      <w:pPr>
        <w:pStyle w:val="12"/>
        <w:adjustRightInd w:val="0"/>
        <w:snapToGrid w:val="0"/>
        <w:rPr>
          <w:rFonts w:ascii="Arial" w:hAnsi="Arial" w:cs="Arial"/>
          <w:sz w:val="22"/>
          <w:szCs w:val="22"/>
        </w:rPr>
      </w:pPr>
      <w:r>
        <w:rPr>
          <w:rFonts w:ascii="Arial" w:hAnsi="Arial" w:cs="Arial"/>
          <w:sz w:val="22"/>
          <w:szCs w:val="22"/>
        </w:rPr>
        <w:t>3、我方同意提供按照贵方可能要求的与投标有关的一切数据或资料，我方若未成为成交投标人，采购人有权不做任何解释。</w:t>
      </w:r>
    </w:p>
    <w:p>
      <w:pPr>
        <w:ind w:firstLine="330" w:firstLineChars="150"/>
        <w:rPr>
          <w:rFonts w:ascii="宋体" w:hAnsi="宋体"/>
          <w:sz w:val="22"/>
          <w:szCs w:val="22"/>
        </w:rPr>
      </w:pPr>
      <w:r>
        <w:rPr>
          <w:rFonts w:hint="eastAsia" w:ascii="Arial" w:hAnsi="Arial" w:cs="Arial"/>
          <w:sz w:val="22"/>
          <w:szCs w:val="22"/>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rPr>
          <w:rFonts w:ascii="宋体" w:hAnsi="宋体"/>
          <w:sz w:val="22"/>
          <w:szCs w:val="22"/>
          <w:highlight w:val="none"/>
        </w:rPr>
      </w:pPr>
      <w:r>
        <w:rPr>
          <w:rFonts w:hint="eastAsia" w:ascii="宋体" w:hAnsi="宋体"/>
          <w:b/>
          <w:sz w:val="22"/>
          <w:szCs w:val="22"/>
        </w:rPr>
        <w:t>填报要求：</w:t>
      </w:r>
      <w:r>
        <w:rPr>
          <w:rFonts w:hint="eastAsia" w:ascii="宋体" w:hAnsi="宋体"/>
          <w:sz w:val="22"/>
          <w:szCs w:val="22"/>
          <w:highlight w:val="none"/>
        </w:rPr>
        <w:t>投标报价是履行合同的最终价格，</w:t>
      </w:r>
      <w:r>
        <w:rPr>
          <w:rFonts w:hint="eastAsia" w:ascii="宋体" w:hAnsi="宋体"/>
          <w:sz w:val="22"/>
          <w:szCs w:val="22"/>
          <w:highlight w:val="none"/>
          <w:lang w:val="en-US" w:eastAsia="zh-CN"/>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hint="eastAsia" w:ascii="宋体" w:hAnsi="宋体"/>
          <w:sz w:val="22"/>
          <w:szCs w:val="22"/>
          <w:highlight w:val="none"/>
        </w:rPr>
        <w:t>。供应商须充分考虑实际服务内容和需求，针对自身实际情况，核算所需的成本及合理 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投标人代表签字：</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pPr>
      <w:r>
        <w:rPr>
          <w:rFonts w:hint="eastAsia" w:ascii="宋体" w:hAnsi="宋体"/>
          <w:sz w:val="22"/>
          <w:szCs w:val="22"/>
        </w:rPr>
        <w:t>日        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tabs>
        <w:tab w:val="left" w:pos="454"/>
        <w:tab w:val="left" w:pos="720"/>
        <w:tab w:val="left" w:pos="1200"/>
        <w:tab w:val="clear" w:pos="360"/>
      </w:tabs>
      <w:spacing w:after="120"/>
      <w:ind w:left="480" w:leftChars="0" w:right="360" w:right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8"/>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CBFC0"/>
    <w:multiLevelType w:val="singleLevel"/>
    <w:tmpl w:val="963CBFC0"/>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3"/>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0"/>
  </w:num>
  <w:num w:numId="3">
    <w:abstractNumId w:val="2"/>
  </w:num>
  <w:num w:numId="4">
    <w:abstractNumId w:val="3"/>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cxNjA1OTVjOWU3ZTAyYTdhNDkwZTA0MjhjNjEifQ=="/>
  </w:docVars>
  <w:rsids>
    <w:rsidRoot w:val="685F2B0C"/>
    <w:rsid w:val="00001822"/>
    <w:rsid w:val="000154B2"/>
    <w:rsid w:val="000220D4"/>
    <w:rsid w:val="000221EE"/>
    <w:rsid w:val="00030D77"/>
    <w:rsid w:val="00047C71"/>
    <w:rsid w:val="00063432"/>
    <w:rsid w:val="00067EBE"/>
    <w:rsid w:val="00071BA1"/>
    <w:rsid w:val="00077950"/>
    <w:rsid w:val="0008211B"/>
    <w:rsid w:val="000839F2"/>
    <w:rsid w:val="00085621"/>
    <w:rsid w:val="00096A85"/>
    <w:rsid w:val="000A2B60"/>
    <w:rsid w:val="000B40AC"/>
    <w:rsid w:val="000B5655"/>
    <w:rsid w:val="000E4514"/>
    <w:rsid w:val="000F3BA6"/>
    <w:rsid w:val="001018F6"/>
    <w:rsid w:val="00102B98"/>
    <w:rsid w:val="001146EF"/>
    <w:rsid w:val="0011667D"/>
    <w:rsid w:val="00117F4A"/>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242E17"/>
    <w:rsid w:val="00255983"/>
    <w:rsid w:val="00291503"/>
    <w:rsid w:val="002A3D6E"/>
    <w:rsid w:val="002B1FBA"/>
    <w:rsid w:val="002F332C"/>
    <w:rsid w:val="00313AA9"/>
    <w:rsid w:val="00315916"/>
    <w:rsid w:val="0033653F"/>
    <w:rsid w:val="00345785"/>
    <w:rsid w:val="00346D34"/>
    <w:rsid w:val="00394AF1"/>
    <w:rsid w:val="00397B4C"/>
    <w:rsid w:val="00397CA4"/>
    <w:rsid w:val="003E7E4B"/>
    <w:rsid w:val="003F7037"/>
    <w:rsid w:val="003F7B6C"/>
    <w:rsid w:val="00401BB4"/>
    <w:rsid w:val="0040416F"/>
    <w:rsid w:val="00414893"/>
    <w:rsid w:val="00492D29"/>
    <w:rsid w:val="0049548B"/>
    <w:rsid w:val="004C1DEC"/>
    <w:rsid w:val="004C66BE"/>
    <w:rsid w:val="004D0F07"/>
    <w:rsid w:val="004D1BD8"/>
    <w:rsid w:val="004D436F"/>
    <w:rsid w:val="004F3491"/>
    <w:rsid w:val="00520055"/>
    <w:rsid w:val="005617DF"/>
    <w:rsid w:val="0059431D"/>
    <w:rsid w:val="005B07E9"/>
    <w:rsid w:val="005C58B3"/>
    <w:rsid w:val="005D0DD1"/>
    <w:rsid w:val="005E7F5A"/>
    <w:rsid w:val="005F2A0C"/>
    <w:rsid w:val="00605C1B"/>
    <w:rsid w:val="00635DA5"/>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A3A13"/>
    <w:rsid w:val="008C4C8B"/>
    <w:rsid w:val="008C57E4"/>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4D72"/>
    <w:rsid w:val="00A40A0F"/>
    <w:rsid w:val="00A51E78"/>
    <w:rsid w:val="00A5256C"/>
    <w:rsid w:val="00A52936"/>
    <w:rsid w:val="00A77741"/>
    <w:rsid w:val="00A85AC9"/>
    <w:rsid w:val="00A921FD"/>
    <w:rsid w:val="00A95853"/>
    <w:rsid w:val="00AA503A"/>
    <w:rsid w:val="00AB072A"/>
    <w:rsid w:val="00AB1596"/>
    <w:rsid w:val="00AB49B7"/>
    <w:rsid w:val="00AC6C12"/>
    <w:rsid w:val="00AD5F42"/>
    <w:rsid w:val="00AE66EB"/>
    <w:rsid w:val="00B020CF"/>
    <w:rsid w:val="00B03224"/>
    <w:rsid w:val="00B10199"/>
    <w:rsid w:val="00B12DF7"/>
    <w:rsid w:val="00B16FA7"/>
    <w:rsid w:val="00B2639F"/>
    <w:rsid w:val="00B3161E"/>
    <w:rsid w:val="00B34B47"/>
    <w:rsid w:val="00B47E53"/>
    <w:rsid w:val="00B72890"/>
    <w:rsid w:val="00BE26CA"/>
    <w:rsid w:val="00C010CD"/>
    <w:rsid w:val="00C061A0"/>
    <w:rsid w:val="00C124A2"/>
    <w:rsid w:val="00C21118"/>
    <w:rsid w:val="00C25A79"/>
    <w:rsid w:val="00C3129E"/>
    <w:rsid w:val="00C40128"/>
    <w:rsid w:val="00C50B60"/>
    <w:rsid w:val="00C51716"/>
    <w:rsid w:val="00C52A0D"/>
    <w:rsid w:val="00C55713"/>
    <w:rsid w:val="00C81C9D"/>
    <w:rsid w:val="00CA0697"/>
    <w:rsid w:val="00CA12F3"/>
    <w:rsid w:val="00CA2C6C"/>
    <w:rsid w:val="00CA728C"/>
    <w:rsid w:val="00CD0A72"/>
    <w:rsid w:val="00D0009A"/>
    <w:rsid w:val="00D14AD5"/>
    <w:rsid w:val="00D246D4"/>
    <w:rsid w:val="00D325EC"/>
    <w:rsid w:val="00D40771"/>
    <w:rsid w:val="00D64FC1"/>
    <w:rsid w:val="00D655A0"/>
    <w:rsid w:val="00D81728"/>
    <w:rsid w:val="00DB1553"/>
    <w:rsid w:val="00DB4DE5"/>
    <w:rsid w:val="00DF0325"/>
    <w:rsid w:val="00E10F08"/>
    <w:rsid w:val="00E42018"/>
    <w:rsid w:val="00E45207"/>
    <w:rsid w:val="00E51C18"/>
    <w:rsid w:val="00EA3C27"/>
    <w:rsid w:val="00EC7618"/>
    <w:rsid w:val="00EE16CE"/>
    <w:rsid w:val="00EE453C"/>
    <w:rsid w:val="00F1568D"/>
    <w:rsid w:val="00F21898"/>
    <w:rsid w:val="00F33C9E"/>
    <w:rsid w:val="00F447A7"/>
    <w:rsid w:val="00F543F9"/>
    <w:rsid w:val="00F548C4"/>
    <w:rsid w:val="00F7155E"/>
    <w:rsid w:val="00F8124B"/>
    <w:rsid w:val="00F86AB9"/>
    <w:rsid w:val="00F92A7E"/>
    <w:rsid w:val="00FA6B35"/>
    <w:rsid w:val="00FB14A1"/>
    <w:rsid w:val="00FC1E7F"/>
    <w:rsid w:val="00FC5C25"/>
    <w:rsid w:val="00FE5F42"/>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List Bullet 2"/>
    <w:basedOn w:val="1"/>
    <w:next w:val="3"/>
    <w:qFormat/>
    <w:uiPriority w:val="0"/>
    <w:pPr>
      <w:numPr>
        <w:ilvl w:val="0"/>
        <w:numId w:val="2"/>
      </w:numPr>
    </w:pPr>
  </w:style>
  <w:style w:type="paragraph" w:styleId="3">
    <w:name w:val="List Bullet"/>
    <w:basedOn w:val="1"/>
    <w:next w:val="1"/>
    <w:qFormat/>
    <w:uiPriority w:val="0"/>
    <w:pPr>
      <w:numPr>
        <w:ilvl w:val="0"/>
        <w:numId w:val="3"/>
      </w:numPr>
    </w:pPr>
  </w:style>
  <w:style w:type="paragraph" w:styleId="7">
    <w:name w:val="Normal Indent"/>
    <w:basedOn w:val="1"/>
    <w:next w:val="1"/>
    <w:qFormat/>
    <w:uiPriority w:val="0"/>
    <w:pPr>
      <w:ind w:firstLine="420"/>
    </w:pPr>
    <w:rPr>
      <w:szCs w:val="20"/>
    </w:rPr>
  </w:style>
  <w:style w:type="paragraph" w:styleId="8">
    <w:name w:val="List Number"/>
    <w:basedOn w:val="1"/>
    <w:qFormat/>
    <w:uiPriority w:val="0"/>
    <w:pPr>
      <w:numPr>
        <w:ilvl w:val="0"/>
        <w:numId w:val="4"/>
      </w:numPr>
    </w:pPr>
  </w:style>
  <w:style w:type="paragraph" w:styleId="9">
    <w:name w:val="annotation text"/>
    <w:basedOn w:val="1"/>
    <w:link w:val="74"/>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link w:val="76"/>
    <w:qFormat/>
    <w:uiPriority w:val="0"/>
    <w:pPr>
      <w:ind w:firstLine="200" w:firstLineChars="200"/>
    </w:pPr>
  </w:style>
  <w:style w:type="paragraph" w:styleId="12">
    <w:name w:val="Body Text Indent"/>
    <w:basedOn w:val="1"/>
    <w:next w:val="1"/>
    <w:qFormat/>
    <w:uiPriority w:val="0"/>
    <w:pPr>
      <w:spacing w:after="120"/>
      <w:ind w:left="420" w:leftChars="200"/>
    </w:pPr>
  </w:style>
  <w:style w:type="paragraph" w:styleId="13">
    <w:name w:val="Plain Text"/>
    <w:basedOn w:val="1"/>
    <w:next w:val="7"/>
    <w:link w:val="66"/>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ind w:left="2100" w:leftChars="1000"/>
    </w:pPr>
    <w:rPr>
      <w:rFonts w:ascii="Calibri" w:hAnsi="Calibri"/>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9"/>
    <w:next w:val="9"/>
    <w:link w:val="75"/>
    <w:qFormat/>
    <w:uiPriority w:val="0"/>
    <w:rPr>
      <w:b/>
      <w:bCs/>
    </w:rPr>
  </w:style>
  <w:style w:type="paragraph" w:styleId="24">
    <w:name w:val="Body Text First Indent 2"/>
    <w:basedOn w:val="12"/>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4、正文"/>
    <w:basedOn w:val="1"/>
    <w:qFormat/>
    <w:uiPriority w:val="0"/>
    <w:pPr>
      <w:ind w:firstLine="200" w:firstLineChars="200"/>
    </w:pPr>
    <w:rPr>
      <w:rFonts w:ascii="宋体"/>
      <w:sz w:val="24"/>
      <w:szCs w:val="28"/>
    </w:rPr>
  </w:style>
  <w:style w:type="paragraph" w:customStyle="1" w:styleId="32">
    <w:name w:val="表格文字"/>
    <w:basedOn w:val="1"/>
    <w:next w:val="10"/>
    <w:qFormat/>
    <w:uiPriority w:val="0"/>
    <w:pPr>
      <w:jc w:val="left"/>
      <w:textAlignment w:val="top"/>
    </w:pPr>
    <w:rPr>
      <w:sz w:val="18"/>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字符"/>
    <w:basedOn w:val="27"/>
    <w:link w:val="15"/>
    <w:qFormat/>
    <w:uiPriority w:val="0"/>
    <w:rPr>
      <w:kern w:val="2"/>
      <w:sz w:val="18"/>
      <w:szCs w:val="18"/>
    </w:rPr>
  </w:style>
  <w:style w:type="paragraph" w:customStyle="1" w:styleId="57">
    <w:name w:val="英文"/>
    <w:basedOn w:val="1"/>
    <w:link w:val="59"/>
    <w:qFormat/>
    <w:uiPriority w:val="0"/>
    <w:pPr>
      <w:adjustRightInd w:val="0"/>
      <w:snapToGrid w:val="0"/>
      <w:spacing w:line="360" w:lineRule="auto"/>
      <w:ind w:firstLine="480" w:firstLineChars="200"/>
    </w:pPr>
    <w:rPr>
      <w:rFonts w:ascii="Arial" w:hAnsi="Arial" w:cs="Arial"/>
      <w:sz w:val="24"/>
    </w:rPr>
  </w:style>
  <w:style w:type="paragraph" w:customStyle="1" w:styleId="58">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9">
    <w:name w:val="英文 Char"/>
    <w:link w:val="57"/>
    <w:qFormat/>
    <w:uiPriority w:val="0"/>
    <w:rPr>
      <w:rFonts w:ascii="Arial" w:hAnsi="Arial" w:cs="Arial"/>
      <w:sz w:val="24"/>
    </w:rPr>
  </w:style>
  <w:style w:type="paragraph" w:customStyle="1" w:styleId="60">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1">
    <w:name w:val="正文段落"/>
    <w:basedOn w:val="1"/>
    <w:qFormat/>
    <w:uiPriority w:val="0"/>
    <w:pPr>
      <w:spacing w:line="360" w:lineRule="auto"/>
      <w:ind w:firstLine="200" w:firstLineChars="200"/>
    </w:pPr>
    <w:rPr>
      <w:rFonts w:eastAsia="仿宋"/>
      <w:sz w:val="28"/>
    </w:rPr>
  </w:style>
  <w:style w:type="paragraph" w:customStyle="1" w:styleId="62">
    <w:name w:val="Normal Indent1"/>
    <w:basedOn w:val="1"/>
    <w:qFormat/>
    <w:uiPriority w:val="0"/>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表段落1"/>
    <w:basedOn w:val="1"/>
    <w:qFormat/>
    <w:uiPriority w:val="0"/>
    <w:pPr>
      <w:ind w:firstLine="420" w:firstLineChars="200"/>
    </w:pPr>
  </w:style>
  <w:style w:type="character" w:customStyle="1" w:styleId="66">
    <w:name w:val="纯文本 字符"/>
    <w:link w:val="13"/>
    <w:qFormat/>
    <w:uiPriority w:val="0"/>
    <w:rPr>
      <w:rFonts w:ascii="宋体" w:hAnsi="Courier New" w:cstheme="minorBidi"/>
      <w:kern w:val="2"/>
      <w:sz w:val="21"/>
      <w:szCs w:val="24"/>
    </w:rPr>
  </w:style>
  <w:style w:type="character" w:customStyle="1" w:styleId="67">
    <w:name w:val="NormalCharacter"/>
    <w:qFormat/>
    <w:uiPriority w:val="0"/>
  </w:style>
  <w:style w:type="paragraph" w:customStyle="1" w:styleId="68">
    <w:name w:val="UserStyle_4"/>
    <w:basedOn w:val="1"/>
    <w:qFormat/>
    <w:uiPriority w:val="0"/>
    <w:pPr>
      <w:ind w:firstLine="420" w:firstLineChars="200"/>
    </w:pPr>
    <w:rPr>
      <w:sz w:val="24"/>
    </w:rPr>
  </w:style>
  <w:style w:type="paragraph" w:customStyle="1" w:styleId="69">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0">
    <w:name w:val="UserStyle_48"/>
    <w:basedOn w:val="1"/>
    <w:qFormat/>
    <w:uiPriority w:val="0"/>
    <w:pPr>
      <w:ind w:firstLine="420" w:firstLineChars="200"/>
    </w:pPr>
    <w:rPr>
      <w:szCs w:val="21"/>
    </w:rPr>
  </w:style>
  <w:style w:type="paragraph" w:customStyle="1" w:styleId="71">
    <w:name w:val="PlainText"/>
    <w:basedOn w:val="1"/>
    <w:qFormat/>
    <w:uiPriority w:val="0"/>
    <w:pPr>
      <w:spacing w:before="156" w:after="156" w:line="400" w:lineRule="atLeast"/>
    </w:pPr>
    <w:rPr>
      <w:rFonts w:ascii="宋体" w:hAnsi="Courier New"/>
      <w:sz w:val="24"/>
    </w:rPr>
  </w:style>
  <w:style w:type="paragraph" w:customStyle="1" w:styleId="72">
    <w:name w:val="UserStyle_29"/>
    <w:basedOn w:val="1"/>
    <w:qFormat/>
    <w:uiPriority w:val="0"/>
    <w:pPr>
      <w:ind w:firstLine="420" w:firstLineChars="200"/>
    </w:pPr>
    <w:rPr>
      <w:szCs w:val="22"/>
    </w:rPr>
  </w:style>
  <w:style w:type="table" w:customStyle="1" w:styleId="73">
    <w:name w:val="Table Normal"/>
    <w:unhideWhenUsed/>
    <w:qFormat/>
    <w:uiPriority w:val="0"/>
    <w:tblPr>
      <w:tblCellMar>
        <w:top w:w="0" w:type="dxa"/>
        <w:left w:w="0" w:type="dxa"/>
        <w:bottom w:w="0" w:type="dxa"/>
        <w:right w:w="0" w:type="dxa"/>
      </w:tblCellMar>
    </w:tblPr>
  </w:style>
  <w:style w:type="character" w:customStyle="1" w:styleId="74">
    <w:name w:val="批注文字 字符"/>
    <w:basedOn w:val="27"/>
    <w:link w:val="9"/>
    <w:qFormat/>
    <w:uiPriority w:val="0"/>
    <w:rPr>
      <w:kern w:val="2"/>
      <w:sz w:val="21"/>
      <w:szCs w:val="24"/>
    </w:rPr>
  </w:style>
  <w:style w:type="character" w:customStyle="1" w:styleId="75">
    <w:name w:val="批注主题 字符"/>
    <w:basedOn w:val="74"/>
    <w:link w:val="23"/>
    <w:qFormat/>
    <w:uiPriority w:val="0"/>
    <w:rPr>
      <w:b/>
      <w:bCs/>
      <w:kern w:val="2"/>
      <w:sz w:val="21"/>
      <w:szCs w:val="24"/>
    </w:rPr>
  </w:style>
  <w:style w:type="character" w:customStyle="1" w:styleId="76">
    <w:name w:val="正文首行缩进 字符"/>
    <w:basedOn w:val="27"/>
    <w:link w:val="11"/>
    <w:qFormat/>
    <w:uiPriority w:val="0"/>
    <w:rPr>
      <w:kern w:val="2"/>
      <w:sz w:val="24"/>
      <w:szCs w:val="24"/>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20438</Words>
  <Characters>21214</Characters>
  <Lines>197</Lines>
  <Paragraphs>55</Paragraphs>
  <TotalTime>2</TotalTime>
  <ScaleCrop>false</ScaleCrop>
  <LinksUpToDate>false</LinksUpToDate>
  <CharactersWithSpaces>22343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建设咨询</cp:lastModifiedBy>
  <cp:lastPrinted>2023-07-18T00:34:00Z</cp:lastPrinted>
  <dcterms:modified xsi:type="dcterms:W3CDTF">2023-07-20T08:47:08Z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