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3990"/>
          <w:tab w:val="left" w:pos="4320"/>
          <w:tab w:val="left" w:pos="5040"/>
          <w:tab w:val="left" w:pos="5760"/>
        </w:tabs>
        <w:autoSpaceDE w:val="0"/>
        <w:autoSpaceDN w:val="0"/>
        <w:adjustRightInd w:val="0"/>
        <w:spacing w:line="360" w:lineRule="auto"/>
        <w:ind w:left="540" w:right="924" w:firstLine="355"/>
        <w:jc w:val="center"/>
        <w:rPr>
          <w:rFonts w:hint="eastAsia" w:ascii="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p>
    <w:p>
      <w:pPr>
        <w:pStyle w:val="77"/>
        <w:jc w:val="center"/>
        <w:rPr>
          <w:rFonts w:hint="eastAsia" w:eastAsia="宋体"/>
          <w:b/>
          <w:bCs/>
          <w:sz w:val="36"/>
          <w:szCs w:val="40"/>
          <w:lang w:eastAsia="zh-CN"/>
        </w:rPr>
      </w:pPr>
      <w:r>
        <w:rPr>
          <w:rFonts w:hint="eastAsia"/>
          <w:b/>
          <w:bCs/>
          <w:sz w:val="52"/>
          <w:szCs w:val="52"/>
          <w:lang w:eastAsia="zh-CN"/>
        </w:rPr>
        <w:t>云湖小学智慧上放学交通系统项目</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hint="eastAsia" w:ascii="宋体"/>
          <w:b/>
          <w:kern w:val="0"/>
          <w:sz w:val="52"/>
          <w:szCs w:val="52"/>
        </w:rPr>
        <w:t>采 购 文 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kern w:val="0"/>
          <w:sz w:val="24"/>
          <w:highlight w:val="none"/>
        </w:rPr>
      </w:pPr>
      <w:r>
        <w:rPr>
          <w:rFonts w:hint="eastAsia" w:ascii="宋体" w:hAnsi="宋体" w:cs="Calibri Light"/>
          <w:kern w:val="0"/>
          <w:sz w:val="24"/>
          <w:highlight w:val="none"/>
        </w:rPr>
        <w:t>采购编号：HHJD2023004</w:t>
      </w:r>
    </w:p>
    <w:p>
      <w:pPr>
        <w:tabs>
          <w:tab w:val="left" w:pos="1260"/>
        </w:tabs>
        <w:spacing w:line="640" w:lineRule="exact"/>
        <w:outlineLvl w:val="0"/>
        <w:rPr>
          <w:rFonts w:ascii="宋体" w:hAnsi="宋体"/>
          <w:spacing w:val="20"/>
          <w:kern w:val="21"/>
          <w:sz w:val="30"/>
          <w:szCs w:val="30"/>
        </w:rPr>
      </w:pPr>
    </w:p>
    <w:p>
      <w:pPr>
        <w:tabs>
          <w:tab w:val="left" w:pos="1260"/>
        </w:tabs>
        <w:spacing w:line="640" w:lineRule="exact"/>
        <w:ind w:firstLine="1020" w:firstLineChars="300"/>
        <w:outlineLvl w:val="0"/>
        <w:rPr>
          <w:rFonts w:ascii="宋体" w:hAnsi="宋体"/>
          <w:spacing w:val="20"/>
          <w:kern w:val="21"/>
          <w:sz w:val="30"/>
          <w:szCs w:val="30"/>
        </w:rPr>
      </w:pPr>
      <w:r>
        <w:rPr>
          <w:rFonts w:hint="eastAsia" w:ascii="宋体" w:hAnsi="宋体"/>
          <w:spacing w:val="20"/>
          <w:kern w:val="21"/>
          <w:sz w:val="30"/>
          <w:szCs w:val="30"/>
        </w:rPr>
        <w:t>采购人：</w:t>
      </w:r>
      <w:r>
        <w:rPr>
          <w:rFonts w:hint="eastAsia"/>
          <w:sz w:val="28"/>
          <w:u w:val="single"/>
          <w:lang w:eastAsia="zh-CN"/>
        </w:rPr>
        <w:t>台州市云湖小学</w:t>
      </w:r>
      <w:r>
        <w:rPr>
          <w:rFonts w:hint="eastAsia" w:ascii="宋体" w:hAnsi="宋体"/>
          <w:spacing w:val="20"/>
          <w:kern w:val="21"/>
          <w:sz w:val="30"/>
          <w:szCs w:val="30"/>
        </w:rPr>
        <w:t>（盖章）</w:t>
      </w:r>
    </w:p>
    <w:p>
      <w:pPr>
        <w:spacing w:line="640" w:lineRule="exact"/>
        <w:ind w:firstLine="1020" w:firstLineChars="300"/>
        <w:outlineLvl w:val="0"/>
        <w:rPr>
          <w:rFonts w:hint="eastAsia" w:ascii="宋体" w:hAnsi="宋体" w:eastAsia="宋体"/>
          <w:spacing w:val="20"/>
          <w:kern w:val="21"/>
          <w:sz w:val="30"/>
          <w:szCs w:val="30"/>
          <w:lang w:eastAsia="zh-CN"/>
        </w:rPr>
      </w:pPr>
      <w:r>
        <w:rPr>
          <w:rFonts w:hint="eastAsia" w:ascii="宋体" w:hAnsi="宋体"/>
          <w:spacing w:val="20"/>
          <w:kern w:val="21"/>
          <w:sz w:val="30"/>
          <w:szCs w:val="30"/>
        </w:rPr>
        <w:t>联 系 人：</w:t>
      </w:r>
      <w:r>
        <w:rPr>
          <w:rFonts w:hint="eastAsia" w:hAnsi="宋体"/>
          <w:sz w:val="28"/>
          <w:u w:val="single"/>
          <w:lang w:eastAsia="zh-CN"/>
        </w:rPr>
        <w:t>李先生</w:t>
      </w:r>
    </w:p>
    <w:p>
      <w:pPr>
        <w:spacing w:line="640" w:lineRule="exact"/>
        <w:ind w:firstLine="1020" w:firstLineChars="300"/>
        <w:outlineLvl w:val="0"/>
        <w:rPr>
          <w:rFonts w:ascii="宋体" w:hAnsi="宋体"/>
          <w:spacing w:val="20"/>
          <w:kern w:val="21"/>
          <w:sz w:val="30"/>
          <w:szCs w:val="30"/>
          <w:highlight w:val="none"/>
        </w:rPr>
      </w:pPr>
      <w:r>
        <w:rPr>
          <w:rFonts w:hint="eastAsia" w:ascii="宋体" w:hAnsi="宋体"/>
          <w:spacing w:val="20"/>
          <w:kern w:val="21"/>
          <w:sz w:val="30"/>
          <w:szCs w:val="30"/>
          <w:highlight w:val="none"/>
        </w:rPr>
        <w:t>联系电话：</w:t>
      </w:r>
      <w:r>
        <w:rPr>
          <w:rFonts w:hint="eastAsia" w:hAnsi="宋体"/>
          <w:sz w:val="28"/>
          <w:highlight w:val="none"/>
          <w:u w:val="single"/>
        </w:rPr>
        <w:t>0576-</w:t>
      </w:r>
      <w:r>
        <w:rPr>
          <w:rFonts w:hint="eastAsia" w:hAnsi="宋体"/>
          <w:sz w:val="28"/>
          <w:highlight w:val="none"/>
          <w:u w:val="single"/>
          <w:lang w:val="en-US" w:eastAsia="zh-CN"/>
        </w:rPr>
        <w:t>88865683</w:t>
      </w:r>
    </w:p>
    <w:p>
      <w:pPr>
        <w:pStyle w:val="12"/>
        <w:numPr>
          <w:ilvl w:val="0"/>
          <w:numId w:val="0"/>
        </w:numPr>
      </w:pPr>
    </w:p>
    <w:p>
      <w:pPr>
        <w:spacing w:line="640" w:lineRule="exact"/>
        <w:ind w:firstLine="1020" w:firstLineChars="300"/>
        <w:outlineLvl w:val="0"/>
        <w:rPr>
          <w:rFonts w:ascii="宋体" w:hAnsi="宋体"/>
          <w:spacing w:val="20"/>
          <w:kern w:val="21"/>
          <w:sz w:val="30"/>
          <w:szCs w:val="30"/>
        </w:rPr>
      </w:pPr>
      <w:r>
        <w:rPr>
          <w:rFonts w:hint="eastAsia" w:ascii="宋体" w:hAnsi="宋体"/>
          <w:spacing w:val="20"/>
          <w:kern w:val="21"/>
          <w:sz w:val="30"/>
          <w:szCs w:val="30"/>
        </w:rPr>
        <w:t>招标代理：</w:t>
      </w:r>
      <w:r>
        <w:rPr>
          <w:rFonts w:hint="eastAsia" w:ascii="宋体" w:hAnsi="宋体"/>
          <w:sz w:val="28"/>
          <w:u w:val="single"/>
          <w:lang w:eastAsia="zh-CN"/>
        </w:rPr>
        <w:t>台州中亿工程管理有限公司</w:t>
      </w:r>
      <w:r>
        <w:rPr>
          <w:rFonts w:hint="eastAsia" w:ascii="宋体" w:hAnsi="宋体"/>
          <w:spacing w:val="20"/>
          <w:kern w:val="21"/>
          <w:sz w:val="30"/>
          <w:szCs w:val="30"/>
        </w:rPr>
        <w:t>（盖章）</w:t>
      </w:r>
    </w:p>
    <w:p>
      <w:pPr>
        <w:spacing w:line="640" w:lineRule="exact"/>
        <w:ind w:firstLine="1020" w:firstLineChars="300"/>
        <w:outlineLvl w:val="0"/>
        <w:rPr>
          <w:rFonts w:hint="eastAsia" w:ascii="宋体" w:hAnsi="宋体" w:eastAsia="宋体"/>
          <w:spacing w:val="20"/>
          <w:kern w:val="21"/>
          <w:sz w:val="30"/>
          <w:szCs w:val="30"/>
          <w:lang w:eastAsia="zh-CN"/>
        </w:rPr>
      </w:pPr>
      <w:r>
        <w:rPr>
          <w:rFonts w:hint="eastAsia" w:ascii="宋体" w:hAnsi="宋体"/>
          <w:spacing w:val="20"/>
          <w:kern w:val="21"/>
          <w:sz w:val="30"/>
          <w:szCs w:val="30"/>
        </w:rPr>
        <w:t>联 系 人：</w:t>
      </w:r>
      <w:r>
        <w:rPr>
          <w:rFonts w:hint="eastAsia" w:ascii="宋体" w:hAnsi="宋体"/>
          <w:sz w:val="28"/>
          <w:u w:val="single"/>
          <w:lang w:eastAsia="zh-CN"/>
        </w:rPr>
        <w:t>李先生、戴先生</w:t>
      </w:r>
    </w:p>
    <w:p>
      <w:pPr>
        <w:spacing w:line="480" w:lineRule="auto"/>
        <w:ind w:firstLine="1020" w:firstLineChars="300"/>
        <w:rPr>
          <w:rFonts w:ascii="宋体" w:hAnsi="宋体"/>
          <w:spacing w:val="20"/>
          <w:kern w:val="21"/>
          <w:sz w:val="30"/>
          <w:szCs w:val="30"/>
        </w:rPr>
      </w:pPr>
      <w:r>
        <w:rPr>
          <w:rFonts w:hint="eastAsia" w:ascii="宋体" w:hAnsi="宋体"/>
          <w:spacing w:val="20"/>
          <w:kern w:val="21"/>
          <w:sz w:val="30"/>
          <w:szCs w:val="30"/>
        </w:rPr>
        <w:t>联系电话：</w:t>
      </w:r>
      <w:r>
        <w:rPr>
          <w:rFonts w:hint="eastAsia" w:ascii="宋体" w:hAnsi="宋体"/>
          <w:sz w:val="28"/>
          <w:u w:val="single"/>
        </w:rPr>
        <w:t>0576-</w:t>
      </w:r>
      <w:r>
        <w:rPr>
          <w:rFonts w:hint="eastAsia" w:ascii="宋体" w:hAnsi="宋体"/>
          <w:sz w:val="28"/>
          <w:u w:val="single"/>
          <w:lang w:val="en-US" w:eastAsia="zh-CN"/>
        </w:rPr>
        <w:t>88832068</w:t>
      </w:r>
    </w:p>
    <w:p>
      <w:pPr>
        <w:spacing w:line="640" w:lineRule="exact"/>
        <w:ind w:firstLine="1020" w:firstLineChars="300"/>
        <w:outlineLvl w:val="0"/>
        <w:rPr>
          <w:rFonts w:ascii="宋体" w:hAnsi="宋体"/>
          <w:b/>
          <w:sz w:val="36"/>
        </w:rPr>
        <w:sectPr>
          <w:footerReference r:id="rId6" w:type="first"/>
          <w:headerReference r:id="rId3" w:type="default"/>
          <w:footerReference r:id="rId4" w:type="default"/>
          <w:footerReference r:id="rId5" w:type="even"/>
          <w:pgSz w:w="11906" w:h="16838"/>
          <w:pgMar w:top="1588" w:right="1797" w:bottom="1304" w:left="1797" w:header="851" w:footer="992" w:gutter="0"/>
          <w:pgBorders>
            <w:top w:val="none" w:sz="0" w:space="0"/>
            <w:left w:val="none" w:sz="0" w:space="0"/>
            <w:bottom w:val="none" w:sz="0" w:space="0"/>
            <w:right w:val="none" w:sz="0" w:space="0"/>
          </w:pgBorders>
          <w:pgNumType w:start="1"/>
          <w:cols w:space="720" w:num="1"/>
          <w:titlePg/>
          <w:docGrid w:type="lines" w:linePitch="312" w:charSpace="0"/>
        </w:sectPr>
      </w:pPr>
      <w:r>
        <w:rPr>
          <w:rFonts w:hint="eastAsia" w:ascii="宋体" w:hAnsi="宋体"/>
          <w:spacing w:val="20"/>
          <w:kern w:val="21"/>
          <w:sz w:val="30"/>
          <w:szCs w:val="30"/>
        </w:rPr>
        <w:t>日    期：2023年</w:t>
      </w:r>
      <w:r>
        <w:rPr>
          <w:rFonts w:hint="eastAsia" w:ascii="宋体" w:hAnsi="宋体"/>
          <w:spacing w:val="20"/>
          <w:kern w:val="21"/>
          <w:sz w:val="30"/>
          <w:szCs w:val="30"/>
          <w:lang w:val="en-US" w:eastAsia="zh-CN"/>
        </w:rPr>
        <w:t>9</w:t>
      </w:r>
      <w:r>
        <w:rPr>
          <w:rFonts w:hint="eastAsia" w:ascii="宋体" w:hAnsi="宋体"/>
          <w:spacing w:val="20"/>
          <w:kern w:val="21"/>
          <w:sz w:val="30"/>
          <w:szCs w:val="30"/>
        </w:rPr>
        <w:t>月</w:t>
      </w:r>
    </w:p>
    <w:p>
      <w:pPr>
        <w:pStyle w:val="33"/>
      </w:pPr>
    </w:p>
    <w:sdt>
      <w:sdtPr>
        <w:rPr>
          <w:rFonts w:ascii="宋体" w:hAnsi="宋体"/>
          <w:kern w:val="0"/>
          <w:sz w:val="28"/>
          <w:szCs w:val="28"/>
        </w:rPr>
        <w:id w:val="147471336"/>
        <w:docPartObj>
          <w:docPartGallery w:val="Table of Contents"/>
          <w:docPartUnique/>
        </w:docPartObj>
      </w:sdtPr>
      <w:sdtEndPr>
        <w:rPr>
          <w:rFonts w:ascii="宋体" w:hAnsi="宋体"/>
          <w:kern w:val="0"/>
          <w:sz w:val="28"/>
          <w:szCs w:val="28"/>
        </w:rPr>
      </w:sdtEndPr>
      <w:sdtContent>
        <w:p>
          <w:pPr>
            <w:spacing w:line="480" w:lineRule="auto"/>
            <w:jc w:val="center"/>
            <w:rPr>
              <w:rFonts w:ascii="宋体" w:hAnsi="宋体"/>
              <w:kern w:val="0"/>
              <w:sz w:val="28"/>
              <w:szCs w:val="28"/>
            </w:rPr>
          </w:pPr>
          <w:bookmarkStart w:id="0" w:name="_Toc25017_WPSOffice_Type1"/>
        </w:p>
        <w:p>
          <w:pPr>
            <w:spacing w:line="480" w:lineRule="auto"/>
            <w:jc w:val="center"/>
            <w:rPr>
              <w:sz w:val="28"/>
              <w:szCs w:val="28"/>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p>
        <w:p>
          <w:pPr>
            <w:pStyle w:val="17"/>
            <w:tabs>
              <w:tab w:val="right" w:leader="dot" w:pos="8620"/>
            </w:tabs>
            <w:rPr>
              <w:rFonts w:eastAsiaTheme="minorEastAsia" w:cstheme="minorBidi"/>
              <w:sz w:val="28"/>
              <w:szCs w:val="28"/>
            </w:rPr>
          </w:pPr>
          <w:r>
            <w:fldChar w:fldCharType="begin"/>
          </w:r>
          <w:r>
            <w:instrText xml:space="preserve"> HYPERLINK \l "_Toc4350_WPSOffice_Level1" </w:instrText>
          </w:r>
          <w:r>
            <w:fldChar w:fldCharType="separate"/>
          </w:r>
          <w:r>
            <w:rPr>
              <w:rFonts w:hint="eastAsia" w:eastAsiaTheme="minorEastAsia" w:cstheme="minorBidi"/>
              <w:sz w:val="28"/>
              <w:szCs w:val="28"/>
            </w:rPr>
            <w:t>第一章 投标邀请</w:t>
          </w:r>
          <w:r>
            <w:rPr>
              <w:rFonts w:eastAsiaTheme="minorEastAsia" w:cstheme="minorBidi"/>
              <w:sz w:val="28"/>
              <w:szCs w:val="28"/>
            </w:rPr>
            <w:tab/>
          </w:r>
          <w:bookmarkStart w:id="1" w:name="_Toc4350_WPSOffice_Level1Page"/>
          <w:r>
            <w:rPr>
              <w:rFonts w:eastAsiaTheme="minorEastAsia" w:cstheme="minorBidi"/>
              <w:sz w:val="28"/>
              <w:szCs w:val="28"/>
            </w:rPr>
            <w:t>3</w:t>
          </w:r>
          <w:bookmarkEnd w:id="1"/>
          <w:r>
            <w:rPr>
              <w:rFonts w:eastAsiaTheme="minorEastAsia" w:cstheme="minorBidi"/>
              <w:sz w:val="28"/>
              <w:szCs w:val="28"/>
            </w:rPr>
            <w:fldChar w:fldCharType="end"/>
          </w:r>
        </w:p>
        <w:p>
          <w:pPr>
            <w:pStyle w:val="17"/>
            <w:tabs>
              <w:tab w:val="right" w:leader="dot" w:pos="8620"/>
            </w:tabs>
            <w:rPr>
              <w:rFonts w:eastAsiaTheme="minorEastAsia" w:cstheme="minorBidi"/>
              <w:sz w:val="28"/>
              <w:szCs w:val="28"/>
            </w:rPr>
          </w:pPr>
          <w:r>
            <w:fldChar w:fldCharType="begin"/>
          </w:r>
          <w:r>
            <w:instrText xml:space="preserve"> HYPERLINK \l "_Toc25017_WPSOffice_Level1" </w:instrText>
          </w:r>
          <w:r>
            <w:fldChar w:fldCharType="separate"/>
          </w:r>
          <w:r>
            <w:rPr>
              <w:rFonts w:hint="eastAsia" w:eastAsiaTheme="minorEastAsia" w:cstheme="minorBidi"/>
              <w:sz w:val="28"/>
              <w:szCs w:val="28"/>
            </w:rPr>
            <w:t>第二章 投标人须知</w:t>
          </w:r>
          <w:r>
            <w:rPr>
              <w:rFonts w:eastAsiaTheme="minorEastAsia" w:cstheme="minorBidi"/>
              <w:sz w:val="28"/>
              <w:szCs w:val="28"/>
            </w:rPr>
            <w:tab/>
          </w:r>
          <w:r>
            <w:rPr>
              <w:rFonts w:hint="eastAsia" w:eastAsiaTheme="minorEastAsia" w:cstheme="minorBidi"/>
              <w:sz w:val="28"/>
              <w:szCs w:val="28"/>
              <w:lang w:val="en-US" w:eastAsia="zh-CN"/>
            </w:rPr>
            <w:t>7</w:t>
          </w:r>
          <w:r>
            <w:rPr>
              <w:rFonts w:hint="eastAsia" w:eastAsiaTheme="minorEastAsia" w:cstheme="minorBidi"/>
              <w:sz w:val="28"/>
              <w:szCs w:val="28"/>
            </w:rPr>
            <w:fldChar w:fldCharType="end"/>
          </w:r>
        </w:p>
        <w:p>
          <w:pPr>
            <w:pStyle w:val="17"/>
            <w:tabs>
              <w:tab w:val="right" w:leader="dot" w:pos="8620"/>
            </w:tabs>
            <w:ind w:right="638" w:rightChars="304"/>
            <w:rPr>
              <w:rFonts w:hint="eastAsia" w:eastAsiaTheme="minorEastAsia" w:cstheme="minorBidi"/>
              <w:sz w:val="28"/>
              <w:szCs w:val="28"/>
              <w:lang w:eastAsia="zh-CN"/>
            </w:rPr>
          </w:pPr>
          <w:r>
            <w:fldChar w:fldCharType="begin"/>
          </w:r>
          <w:r>
            <w:instrText xml:space="preserve"> HYPERLINK \l "_Toc13072_WPSOffice_Level1" </w:instrText>
          </w:r>
          <w:r>
            <w:fldChar w:fldCharType="separate"/>
          </w:r>
          <w:r>
            <w:rPr>
              <w:rFonts w:hint="eastAsia" w:eastAsiaTheme="minorEastAsia" w:cstheme="minorBidi"/>
              <w:sz w:val="28"/>
              <w:szCs w:val="28"/>
            </w:rPr>
            <w:t>第三章 招标需求</w:t>
          </w:r>
          <w:r>
            <w:rPr>
              <w:rFonts w:eastAsiaTheme="minorEastAsia" w:cstheme="minorBidi"/>
              <w:sz w:val="28"/>
              <w:szCs w:val="28"/>
            </w:rPr>
            <w:tab/>
          </w:r>
          <w:r>
            <w:rPr>
              <w:rFonts w:hint="eastAsia" w:eastAsiaTheme="minorEastAsia" w:cstheme="minorBidi"/>
              <w:sz w:val="28"/>
              <w:szCs w:val="28"/>
            </w:rPr>
            <w:t>1</w:t>
          </w:r>
          <w:r>
            <w:rPr>
              <w:rFonts w:hint="eastAsia" w:eastAsiaTheme="minorEastAsia" w:cstheme="minorBidi"/>
              <w:sz w:val="28"/>
              <w:szCs w:val="28"/>
            </w:rPr>
            <w:fldChar w:fldCharType="end"/>
          </w:r>
          <w:r>
            <w:rPr>
              <w:rFonts w:hint="eastAsia" w:eastAsiaTheme="minorEastAsia" w:cstheme="minorBidi"/>
              <w:sz w:val="28"/>
              <w:szCs w:val="28"/>
              <w:lang w:val="en-US" w:eastAsia="zh-CN"/>
            </w:rPr>
            <w:t>5</w:t>
          </w:r>
        </w:p>
        <w:p>
          <w:pPr>
            <w:pStyle w:val="17"/>
            <w:tabs>
              <w:tab w:val="right" w:leader="dot" w:pos="8620"/>
            </w:tabs>
            <w:rPr>
              <w:rFonts w:eastAsiaTheme="minorEastAsia" w:cstheme="minorBidi"/>
              <w:sz w:val="28"/>
              <w:szCs w:val="28"/>
            </w:rPr>
          </w:pPr>
          <w:r>
            <w:fldChar w:fldCharType="begin"/>
          </w:r>
          <w:r>
            <w:instrText xml:space="preserve"> HYPERLINK \l "_Toc31173_WPSOffice_Level1" </w:instrText>
          </w:r>
          <w:r>
            <w:fldChar w:fldCharType="separate"/>
          </w:r>
          <w:r>
            <w:rPr>
              <w:rFonts w:hint="eastAsia" w:eastAsiaTheme="minorEastAsia" w:cstheme="minorBidi"/>
              <w:sz w:val="28"/>
              <w:szCs w:val="28"/>
            </w:rPr>
            <w:t>第四章 评标</w:t>
          </w:r>
          <w:r>
            <w:rPr>
              <w:rFonts w:eastAsiaTheme="minorEastAsia" w:cstheme="minorBidi"/>
              <w:sz w:val="28"/>
              <w:szCs w:val="28"/>
            </w:rPr>
            <w:tab/>
          </w:r>
          <w:bookmarkStart w:id="2" w:name="_Toc31173_WPSOffice_Level1Page"/>
          <w:r>
            <w:rPr>
              <w:rFonts w:eastAsiaTheme="minorEastAsia" w:cstheme="minorBidi"/>
              <w:sz w:val="28"/>
              <w:szCs w:val="28"/>
            </w:rPr>
            <w:t>2</w:t>
          </w:r>
          <w:bookmarkEnd w:id="2"/>
          <w:r>
            <w:rPr>
              <w:rFonts w:hint="eastAsia" w:eastAsiaTheme="minorEastAsia" w:cstheme="minorBidi"/>
              <w:sz w:val="28"/>
              <w:szCs w:val="28"/>
              <w:lang w:val="en-US" w:eastAsia="zh-CN"/>
            </w:rPr>
            <w:t>1</w:t>
          </w:r>
          <w:r>
            <w:rPr>
              <w:rFonts w:eastAsiaTheme="minorEastAsia" w:cstheme="minorBidi"/>
              <w:sz w:val="28"/>
              <w:szCs w:val="28"/>
            </w:rPr>
            <w:fldChar w:fldCharType="end"/>
          </w:r>
        </w:p>
        <w:p>
          <w:pPr>
            <w:pStyle w:val="17"/>
            <w:tabs>
              <w:tab w:val="right" w:leader="dot" w:pos="8620"/>
            </w:tabs>
            <w:rPr>
              <w:rFonts w:hint="eastAsia" w:eastAsiaTheme="minorEastAsia" w:cstheme="minorBidi"/>
              <w:sz w:val="28"/>
              <w:szCs w:val="28"/>
              <w:lang w:val="en-US" w:eastAsia="zh-CN"/>
            </w:rPr>
          </w:pPr>
          <w:r>
            <w:fldChar w:fldCharType="begin"/>
          </w:r>
          <w:r>
            <w:instrText xml:space="preserve"> HYPERLINK \l "_Toc27944_WPSOffice_Level1" </w:instrText>
          </w:r>
          <w:r>
            <w:fldChar w:fldCharType="separate"/>
          </w:r>
          <w:r>
            <w:rPr>
              <w:rFonts w:hint="eastAsia" w:eastAsiaTheme="minorEastAsia" w:cstheme="minorBidi"/>
              <w:sz w:val="28"/>
              <w:szCs w:val="28"/>
            </w:rPr>
            <w:t>第五章 拟签订的合同文本</w:t>
          </w:r>
          <w:r>
            <w:rPr>
              <w:rFonts w:eastAsiaTheme="minorEastAsia" w:cstheme="minorBidi"/>
              <w:sz w:val="28"/>
              <w:szCs w:val="28"/>
            </w:rPr>
            <w:tab/>
          </w:r>
          <w:r>
            <w:rPr>
              <w:rFonts w:hint="eastAsia" w:eastAsiaTheme="minorEastAsia" w:cstheme="minorBidi"/>
              <w:sz w:val="28"/>
              <w:szCs w:val="28"/>
              <w:lang w:val="en-US" w:eastAsia="zh-CN"/>
            </w:rPr>
            <w:t>2</w:t>
          </w:r>
          <w:r>
            <w:rPr>
              <w:rFonts w:eastAsiaTheme="minorEastAsia" w:cstheme="minorBidi"/>
              <w:sz w:val="28"/>
              <w:szCs w:val="28"/>
            </w:rPr>
            <w:fldChar w:fldCharType="end"/>
          </w:r>
          <w:r>
            <w:rPr>
              <w:rFonts w:hint="eastAsia" w:eastAsiaTheme="minorEastAsia" w:cstheme="minorBidi"/>
              <w:sz w:val="28"/>
              <w:szCs w:val="28"/>
              <w:lang w:val="en-US" w:eastAsia="zh-CN"/>
            </w:rPr>
            <w:t>8</w:t>
          </w:r>
        </w:p>
        <w:p>
          <w:pPr>
            <w:pStyle w:val="17"/>
            <w:tabs>
              <w:tab w:val="right" w:leader="dot" w:pos="8620"/>
            </w:tabs>
          </w:pPr>
          <w:r>
            <w:fldChar w:fldCharType="begin"/>
          </w:r>
          <w:r>
            <w:instrText xml:space="preserve"> HYPERLINK \l "_Toc5481_WPSOffice_Level1" </w:instrText>
          </w:r>
          <w:r>
            <w:fldChar w:fldCharType="separate"/>
          </w:r>
          <w:r>
            <w:rPr>
              <w:rFonts w:hint="eastAsia" w:eastAsiaTheme="minorEastAsia" w:cstheme="minorBidi"/>
              <w:sz w:val="28"/>
              <w:szCs w:val="28"/>
            </w:rPr>
            <w:t>第六章 投标文件格式</w:t>
          </w:r>
          <w:r>
            <w:rPr>
              <w:rFonts w:eastAsiaTheme="minorEastAsia" w:cstheme="minorBidi"/>
              <w:sz w:val="28"/>
              <w:szCs w:val="28"/>
            </w:rPr>
            <w:tab/>
          </w:r>
          <w:r>
            <w:rPr>
              <w:rFonts w:hint="eastAsia" w:eastAsiaTheme="minorEastAsia" w:cstheme="minorBidi"/>
              <w:sz w:val="28"/>
              <w:szCs w:val="28"/>
              <w:lang w:val="en-US" w:eastAsia="zh-CN"/>
            </w:rPr>
            <w:t>3</w:t>
          </w:r>
          <w:r>
            <w:rPr>
              <w:rFonts w:eastAsiaTheme="minorEastAsia" w:cstheme="minorBidi"/>
              <w:sz w:val="28"/>
              <w:szCs w:val="28"/>
            </w:rPr>
            <w:fldChar w:fldCharType="end"/>
          </w:r>
          <w:r>
            <w:rPr>
              <w:rFonts w:hint="eastAsia" w:eastAsiaTheme="minorEastAsia" w:cstheme="minorBidi"/>
              <w:sz w:val="28"/>
              <w:szCs w:val="28"/>
              <w:lang w:val="en-US" w:eastAsia="zh-CN"/>
            </w:rPr>
            <w:t>2</w:t>
          </w:r>
        </w:p>
      </w:sdtContent>
    </w:sdt>
    <w:bookmarkEnd w:id="0"/>
    <w:p>
      <w:pPr>
        <w:spacing w:line="480" w:lineRule="auto"/>
        <w:rPr>
          <w:sz w:val="28"/>
          <w:szCs w:val="28"/>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pPr>
        <w:numPr>
          <w:ilvl w:val="0"/>
          <w:numId w:val="5"/>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bookmarkStart w:id="3" w:name="_Toc4350_WPSOffice_Level1"/>
      <w:r>
        <w:rPr>
          <w:rFonts w:hint="eastAsia" w:ascii="宋体" w:hAnsi="宋体" w:cs="宋体"/>
          <w:b/>
          <w:kern w:val="0"/>
          <w:sz w:val="36"/>
          <w:szCs w:val="36"/>
        </w:rPr>
        <w:t>投标邀请</w:t>
      </w:r>
      <w:bookmarkEnd w:id="3"/>
    </w:p>
    <w:p>
      <w:pPr>
        <w:pStyle w:val="4"/>
        <w:ind w:firstLine="480" w:firstLineChars="200"/>
        <w:rPr>
          <w:rFonts w:cs="宋体"/>
          <w:b w:val="0"/>
          <w:sz w:val="24"/>
          <w:szCs w:val="24"/>
        </w:rPr>
      </w:pPr>
      <w:bookmarkStart w:id="4" w:name="_Toc28359002"/>
      <w:bookmarkStart w:id="5" w:name="_Toc28359079"/>
      <w:bookmarkStart w:id="6" w:name="_Toc35393621"/>
      <w:bookmarkStart w:id="7" w:name="_Toc35393790"/>
      <w:bookmarkStart w:id="8" w:name="_Hlk24379207"/>
      <w:r>
        <w:rPr>
          <w:rFonts w:hint="eastAsia" w:cs="宋体"/>
          <w:b w:val="0"/>
          <w:sz w:val="24"/>
          <w:szCs w:val="24"/>
          <w:u w:val="single"/>
          <w:lang w:eastAsia="zh-CN"/>
        </w:rPr>
        <w:t>台州中亿工程管理有限公司</w:t>
      </w:r>
      <w:r>
        <w:rPr>
          <w:rFonts w:hint="eastAsia" w:cs="宋体"/>
          <w:b w:val="0"/>
          <w:sz w:val="24"/>
          <w:szCs w:val="24"/>
        </w:rPr>
        <w:t>受</w:t>
      </w:r>
      <w:r>
        <w:rPr>
          <w:rFonts w:hint="eastAsia" w:cs="宋体"/>
          <w:b w:val="0"/>
          <w:sz w:val="24"/>
          <w:szCs w:val="24"/>
          <w:u w:val="single"/>
          <w:lang w:eastAsia="zh-CN"/>
        </w:rPr>
        <w:t>台州市云湖小学</w:t>
      </w:r>
      <w:r>
        <w:rPr>
          <w:rFonts w:hint="eastAsia" w:cs="宋体"/>
          <w:b w:val="0"/>
          <w:sz w:val="24"/>
          <w:szCs w:val="24"/>
        </w:rPr>
        <w:t>委托，就</w:t>
      </w:r>
      <w:r>
        <w:rPr>
          <w:rFonts w:hint="eastAsia" w:cs="宋体"/>
          <w:b w:val="0"/>
          <w:sz w:val="24"/>
          <w:szCs w:val="24"/>
          <w:u w:val="single"/>
          <w:lang w:eastAsia="zh-CN"/>
        </w:rPr>
        <w:t>云湖小学智慧上放学交通系统项目</w:t>
      </w:r>
      <w:r>
        <w:rPr>
          <w:rFonts w:hint="eastAsia" w:cs="宋体"/>
          <w:b w:val="0"/>
          <w:sz w:val="24"/>
          <w:szCs w:val="24"/>
        </w:rPr>
        <w:t>进行公开招标，欢迎符合资格条件的国内投标人参加投标。</w:t>
      </w:r>
    </w:p>
    <w:p>
      <w:pPr>
        <w:pStyle w:val="4"/>
        <w:ind w:firstLine="482" w:firstLineChars="200"/>
        <w:rPr>
          <w:rFonts w:cs="宋体"/>
          <w:bCs/>
          <w:sz w:val="24"/>
          <w:szCs w:val="24"/>
        </w:rPr>
      </w:pPr>
      <w:r>
        <w:rPr>
          <w:rFonts w:hint="eastAsia" w:cs="宋体"/>
          <w:bCs/>
          <w:sz w:val="24"/>
          <w:szCs w:val="24"/>
        </w:rPr>
        <w:t>一、项目基本情况</w:t>
      </w:r>
      <w:bookmarkEnd w:id="4"/>
      <w:bookmarkEnd w:id="5"/>
      <w:bookmarkEnd w:id="6"/>
      <w:bookmarkEnd w:id="7"/>
    </w:p>
    <w:p>
      <w:pPr>
        <w:spacing w:line="360" w:lineRule="auto"/>
        <w:ind w:firstLine="480" w:firstLineChars="200"/>
        <w:rPr>
          <w:rFonts w:ascii="宋体" w:hAnsi="宋体" w:cs="宋体"/>
          <w:sz w:val="24"/>
          <w:highlight w:val="none"/>
        </w:rPr>
      </w:pPr>
      <w:r>
        <w:rPr>
          <w:rFonts w:hint="eastAsia" w:ascii="宋体" w:hAnsi="宋体" w:cs="宋体"/>
          <w:sz w:val="24"/>
          <w:highlight w:val="none"/>
        </w:rPr>
        <w:t>项目编号：HHJD2023004</w:t>
      </w:r>
    </w:p>
    <w:bookmarkEnd w:id="8"/>
    <w:p>
      <w:pPr>
        <w:spacing w:line="360" w:lineRule="auto"/>
        <w:ind w:firstLine="480" w:firstLineChars="200"/>
      </w:pPr>
      <w:r>
        <w:rPr>
          <w:rFonts w:hint="eastAsia" w:ascii="宋体" w:hAnsi="宋体" w:cs="宋体"/>
          <w:sz w:val="24"/>
        </w:rPr>
        <w:t>项目名称：</w:t>
      </w:r>
      <w:r>
        <w:rPr>
          <w:rFonts w:hint="eastAsia" w:ascii="宋体" w:hAnsi="宋体" w:cs="宋体"/>
          <w:sz w:val="24"/>
          <w:lang w:eastAsia="zh-CN"/>
        </w:rPr>
        <w:t>云湖小学智慧上放学交通系统项目</w:t>
      </w:r>
      <w:r>
        <w:t xml:space="preserve"> </w:t>
      </w:r>
    </w:p>
    <w:tbl>
      <w:tblPr>
        <w:tblStyle w:val="25"/>
        <w:tblpPr w:leftFromText="181" w:rightFromText="181" w:bottomFromText="170" w:vertAnchor="text" w:tblpXSpec="center" w:tblpY="1"/>
        <w:tblOverlap w:val="never"/>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3235"/>
        <w:gridCol w:w="917"/>
        <w:gridCol w:w="799"/>
        <w:gridCol w:w="1190"/>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030"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标项号</w:t>
            </w:r>
          </w:p>
        </w:tc>
        <w:tc>
          <w:tcPr>
            <w:tcW w:w="3235" w:type="dxa"/>
            <w:vAlign w:val="center"/>
          </w:tcPr>
          <w:p>
            <w:pPr>
              <w:tabs>
                <w:tab w:val="left" w:pos="8280"/>
              </w:tabs>
              <w:autoSpaceDE w:val="0"/>
              <w:autoSpaceDN w:val="0"/>
              <w:adjustRightInd w:val="0"/>
              <w:ind w:firstLine="105" w:firstLineChars="50"/>
              <w:jc w:val="center"/>
              <w:rPr>
                <w:rFonts w:ascii="宋体" w:hAnsi="宋体" w:cs="宋体"/>
                <w:b/>
                <w:szCs w:val="21"/>
              </w:rPr>
            </w:pPr>
            <w:r>
              <w:rPr>
                <w:rFonts w:hint="eastAsia" w:ascii="宋体" w:hAnsi="宋体" w:cs="宋体"/>
                <w:b/>
                <w:szCs w:val="21"/>
              </w:rPr>
              <w:t>标项名称</w:t>
            </w:r>
          </w:p>
        </w:tc>
        <w:tc>
          <w:tcPr>
            <w:tcW w:w="917"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kern w:val="0"/>
                <w:szCs w:val="21"/>
              </w:rPr>
              <w:t>数量</w:t>
            </w:r>
          </w:p>
        </w:tc>
        <w:tc>
          <w:tcPr>
            <w:tcW w:w="799"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单位</w:t>
            </w:r>
          </w:p>
        </w:tc>
        <w:tc>
          <w:tcPr>
            <w:tcW w:w="1190"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预算</w:t>
            </w:r>
          </w:p>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（万元）</w:t>
            </w:r>
          </w:p>
        </w:tc>
        <w:tc>
          <w:tcPr>
            <w:tcW w:w="1372" w:type="dxa"/>
            <w:vAlign w:val="center"/>
          </w:tcPr>
          <w:p>
            <w:pPr>
              <w:jc w:val="center"/>
              <w:rPr>
                <w:rFonts w:ascii="宋体" w:hAnsi="宋体" w:cs="宋体"/>
                <w:b/>
                <w:szCs w:val="21"/>
              </w:rPr>
            </w:pPr>
            <w:r>
              <w:rPr>
                <w:rFonts w:hint="eastAsia" w:ascii="宋体" w:hAnsi="宋体" w:cs="宋体"/>
                <w:b/>
                <w:szCs w:val="21"/>
              </w:rPr>
              <w:t>最高限价</w:t>
            </w:r>
          </w:p>
          <w:p>
            <w:pPr>
              <w:jc w:val="center"/>
              <w:rPr>
                <w:rFonts w:ascii="宋体" w:hAnsi="宋体" w:cs="宋体"/>
                <w:b/>
                <w:szCs w:val="21"/>
              </w:rPr>
            </w:pPr>
            <w:r>
              <w:rPr>
                <w:rFonts w:hint="eastAsia" w:ascii="宋体" w:hAnsi="宋体" w:cs="宋体"/>
                <w:b/>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030" w:type="dxa"/>
            <w:vAlign w:val="center"/>
          </w:tcPr>
          <w:p>
            <w:pPr>
              <w:tabs>
                <w:tab w:val="left" w:pos="8280"/>
              </w:tabs>
              <w:autoSpaceDE w:val="0"/>
              <w:autoSpaceDN w:val="0"/>
              <w:adjustRightInd w:val="0"/>
              <w:jc w:val="center"/>
              <w:rPr>
                <w:rFonts w:ascii="宋体" w:hAnsi="宋体" w:cs="宋体"/>
                <w:b w:val="0"/>
                <w:bCs/>
                <w:szCs w:val="21"/>
              </w:rPr>
            </w:pPr>
            <w:r>
              <w:rPr>
                <w:rFonts w:hint="eastAsia" w:ascii="宋体" w:hAnsi="宋体" w:cs="宋体"/>
                <w:b w:val="0"/>
                <w:bCs/>
                <w:szCs w:val="21"/>
              </w:rPr>
              <w:t>1</w:t>
            </w:r>
          </w:p>
        </w:tc>
        <w:tc>
          <w:tcPr>
            <w:tcW w:w="3235" w:type="dxa"/>
            <w:vAlign w:val="center"/>
          </w:tcPr>
          <w:p>
            <w:pPr>
              <w:tabs>
                <w:tab w:val="left" w:pos="8280"/>
              </w:tabs>
              <w:autoSpaceDE w:val="0"/>
              <w:autoSpaceDN w:val="0"/>
              <w:adjustRightInd w:val="0"/>
              <w:jc w:val="center"/>
              <w:rPr>
                <w:rFonts w:ascii="宋体" w:hAnsi="宋体" w:cs="宋体"/>
                <w:b w:val="0"/>
                <w:bCs/>
                <w:szCs w:val="21"/>
              </w:rPr>
            </w:pPr>
            <w:r>
              <w:rPr>
                <w:rFonts w:hint="eastAsia" w:ascii="宋体" w:hAnsi="宋体" w:cs="宋体"/>
                <w:b w:val="0"/>
                <w:bCs/>
                <w:szCs w:val="21"/>
                <w:lang w:eastAsia="zh-CN"/>
              </w:rPr>
              <w:t>云湖小学智慧上放学交通系统项目</w:t>
            </w:r>
          </w:p>
        </w:tc>
        <w:tc>
          <w:tcPr>
            <w:tcW w:w="917" w:type="dxa"/>
            <w:vAlign w:val="center"/>
          </w:tcPr>
          <w:p>
            <w:pPr>
              <w:tabs>
                <w:tab w:val="left" w:pos="8280"/>
              </w:tabs>
              <w:autoSpaceDE w:val="0"/>
              <w:autoSpaceDN w:val="0"/>
              <w:adjustRightInd w:val="0"/>
              <w:jc w:val="center"/>
              <w:rPr>
                <w:rFonts w:hint="eastAsia" w:ascii="宋体" w:hAnsi="宋体" w:eastAsia="宋体" w:cs="宋体"/>
                <w:b w:val="0"/>
                <w:bCs/>
                <w:szCs w:val="21"/>
                <w:lang w:val="en-US" w:eastAsia="zh-CN"/>
              </w:rPr>
            </w:pPr>
            <w:r>
              <w:rPr>
                <w:rFonts w:hint="eastAsia" w:ascii="宋体" w:hAnsi="宋体" w:cs="宋体"/>
                <w:b w:val="0"/>
                <w:bCs/>
                <w:szCs w:val="21"/>
                <w:lang w:val="en-US" w:eastAsia="zh-CN"/>
              </w:rPr>
              <w:t>1</w:t>
            </w:r>
          </w:p>
        </w:tc>
        <w:tc>
          <w:tcPr>
            <w:tcW w:w="799" w:type="dxa"/>
            <w:vAlign w:val="center"/>
          </w:tcPr>
          <w:p>
            <w:pPr>
              <w:tabs>
                <w:tab w:val="left" w:pos="8280"/>
              </w:tabs>
              <w:autoSpaceDE w:val="0"/>
              <w:autoSpaceDN w:val="0"/>
              <w:adjustRightInd w:val="0"/>
              <w:jc w:val="center"/>
              <w:rPr>
                <w:rFonts w:hint="eastAsia" w:ascii="宋体" w:hAnsi="宋体" w:eastAsia="宋体" w:cs="宋体"/>
                <w:b w:val="0"/>
                <w:bCs/>
                <w:szCs w:val="21"/>
                <w:lang w:eastAsia="zh-CN"/>
              </w:rPr>
            </w:pPr>
            <w:r>
              <w:rPr>
                <w:rFonts w:hint="eastAsia" w:ascii="宋体" w:hAnsi="宋体" w:cs="宋体"/>
                <w:b w:val="0"/>
                <w:bCs/>
                <w:szCs w:val="21"/>
                <w:lang w:eastAsia="zh-CN"/>
              </w:rPr>
              <w:t>项</w:t>
            </w:r>
          </w:p>
        </w:tc>
        <w:tc>
          <w:tcPr>
            <w:tcW w:w="1190" w:type="dxa"/>
            <w:vAlign w:val="center"/>
          </w:tcPr>
          <w:p>
            <w:pPr>
              <w:tabs>
                <w:tab w:val="left" w:pos="8280"/>
              </w:tabs>
              <w:autoSpaceDE w:val="0"/>
              <w:autoSpaceDN w:val="0"/>
              <w:adjustRightInd w:val="0"/>
              <w:jc w:val="center"/>
              <w:rPr>
                <w:rFonts w:hint="default" w:ascii="宋体" w:hAnsi="宋体" w:eastAsia="宋体" w:cs="宋体"/>
                <w:b w:val="0"/>
                <w:bCs/>
                <w:szCs w:val="21"/>
                <w:lang w:val="en-US" w:eastAsia="zh-CN"/>
              </w:rPr>
            </w:pPr>
            <w:r>
              <w:rPr>
                <w:rFonts w:hint="eastAsia" w:ascii="宋体" w:hAnsi="宋体" w:cs="宋体"/>
                <w:b w:val="0"/>
                <w:bCs/>
                <w:szCs w:val="21"/>
                <w:lang w:val="en-US" w:eastAsia="zh-CN"/>
              </w:rPr>
              <w:t>39.8</w:t>
            </w:r>
          </w:p>
        </w:tc>
        <w:tc>
          <w:tcPr>
            <w:tcW w:w="1372" w:type="dxa"/>
            <w:vAlign w:val="center"/>
          </w:tcPr>
          <w:p>
            <w:pPr>
              <w:tabs>
                <w:tab w:val="left" w:pos="8280"/>
              </w:tabs>
              <w:autoSpaceDE w:val="0"/>
              <w:autoSpaceDN w:val="0"/>
              <w:adjustRightInd w:val="0"/>
              <w:jc w:val="center"/>
              <w:rPr>
                <w:rStyle w:val="67"/>
                <w:rFonts w:hint="default" w:ascii="宋体" w:hAnsi="宋体" w:eastAsia="宋体"/>
                <w:b w:val="0"/>
                <w:bCs/>
                <w:szCs w:val="21"/>
                <w:lang w:val="en-US" w:eastAsia="zh-CN"/>
              </w:rPr>
            </w:pPr>
            <w:r>
              <w:rPr>
                <w:rStyle w:val="67"/>
                <w:rFonts w:hint="eastAsia" w:ascii="宋体" w:hAnsi="宋体"/>
                <w:b w:val="0"/>
                <w:bCs/>
                <w:szCs w:val="21"/>
                <w:lang w:val="en-US" w:eastAsia="zh-CN"/>
              </w:rPr>
              <w:t>39.8</w:t>
            </w:r>
          </w:p>
        </w:tc>
      </w:tr>
    </w:tbl>
    <w:p>
      <w:pPr>
        <w:pStyle w:val="4"/>
        <w:tabs>
          <w:tab w:val="left" w:pos="9660"/>
          <w:tab w:val="clear" w:pos="8280"/>
        </w:tabs>
        <w:ind w:right="23" w:firstLine="482" w:firstLineChars="200"/>
        <w:jc w:val="left"/>
        <w:rPr>
          <w:rFonts w:cs="宋体"/>
          <w:bCs/>
          <w:sz w:val="24"/>
          <w:szCs w:val="24"/>
        </w:rPr>
      </w:pPr>
      <w:bookmarkStart w:id="9" w:name="_Toc28359003"/>
      <w:bookmarkStart w:id="10" w:name="_Toc35393622"/>
      <w:bookmarkStart w:id="11" w:name="_Toc28359080"/>
      <w:bookmarkStart w:id="12" w:name="_Toc35393791"/>
      <w:r>
        <w:rPr>
          <w:rFonts w:hint="eastAsia" w:cs="宋体"/>
          <w:bCs/>
          <w:sz w:val="24"/>
          <w:szCs w:val="24"/>
        </w:rPr>
        <w:t>二、投标人的资格要求</w:t>
      </w:r>
      <w:bookmarkEnd w:id="9"/>
      <w:bookmarkEnd w:id="10"/>
      <w:bookmarkEnd w:id="11"/>
      <w:bookmarkEnd w:id="12"/>
    </w:p>
    <w:p>
      <w:pPr>
        <w:spacing w:line="360" w:lineRule="auto"/>
        <w:ind w:left="12" w:firstLine="480" w:firstLineChars="200"/>
        <w:jc w:val="left"/>
        <w:rPr>
          <w:rFonts w:ascii="宋体" w:hAnsi="宋体" w:cs="宋体"/>
          <w:sz w:val="24"/>
        </w:rPr>
      </w:pPr>
      <w:r>
        <w:rPr>
          <w:rFonts w:hint="eastAsia" w:ascii="宋体" w:hAnsi="宋体" w:cs="宋体"/>
          <w:sz w:val="24"/>
        </w:rPr>
        <w:t>（一）满足《中华人民共和国政府采购法》第二十二条规定。</w:t>
      </w:r>
    </w:p>
    <w:p>
      <w:pPr>
        <w:spacing w:line="360" w:lineRule="auto"/>
        <w:ind w:firstLine="480" w:firstLineChars="200"/>
        <w:rPr>
          <w:rFonts w:ascii="宋体" w:hAnsi="宋体" w:cs="宋体"/>
          <w:sz w:val="24"/>
        </w:rPr>
      </w:pPr>
      <w:bookmarkStart w:id="13" w:name="_Toc35393792"/>
      <w:bookmarkStart w:id="14" w:name="_Toc28359004"/>
      <w:bookmarkStart w:id="15" w:name="_Toc28359081"/>
      <w:bookmarkStart w:id="16" w:name="_Toc35393623"/>
      <w:r>
        <w:rPr>
          <w:rFonts w:hint="eastAsia" w:ascii="宋体" w:hAnsi="宋体" w:cs="宋体"/>
          <w:sz w:val="24"/>
        </w:rPr>
        <w:t>（二）本项目的特定资格要求：</w:t>
      </w:r>
      <w:r>
        <w:rPr>
          <w:rFonts w:hint="eastAsia" w:ascii="宋体" w:hAnsi="宋体"/>
          <w:sz w:val="24"/>
        </w:rPr>
        <w:t>无</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（三）本项目不接受联合体投标。</w:t>
      </w:r>
    </w:p>
    <w:p>
      <w:pPr>
        <w:spacing w:line="360" w:lineRule="auto"/>
        <w:ind w:firstLine="480" w:firstLineChars="200"/>
        <w:jc w:val="left"/>
        <w:rPr>
          <w:rFonts w:ascii="宋体" w:hAnsi="宋体" w:cs="宋体"/>
          <w:sz w:val="24"/>
          <w:highlight w:val="none"/>
        </w:rPr>
      </w:pPr>
      <w:r>
        <w:rPr>
          <w:rFonts w:hint="eastAsia" w:ascii="宋体" w:hAnsi="宋体" w:cs="宋体"/>
          <w:sz w:val="24"/>
        </w:rPr>
        <w:t>（四）信用记录：未被列入“信用中国”失信被执行人或重大税收违法案件当事人名单</w:t>
      </w:r>
      <w:r>
        <w:rPr>
          <w:rFonts w:hint="eastAsia" w:ascii="宋体" w:hAnsi="宋体" w:cs="宋体"/>
          <w:sz w:val="24"/>
          <w:highlight w:val="none"/>
        </w:rPr>
        <w:t>；未处于“中国政府采购网”</w:t>
      </w:r>
      <w:r>
        <w:rPr>
          <w:highlight w:val="none"/>
        </w:rPr>
        <w:fldChar w:fldCharType="begin"/>
      </w:r>
      <w:r>
        <w:rPr>
          <w:highlight w:val="none"/>
        </w:rPr>
        <w:instrText xml:space="preserve"> HYPERLINK "http://www.ccgp.gov.cn）政府采购严重违法失信行为信息记录中的禁止参加政府采购活动期间。/" </w:instrText>
      </w:r>
      <w:r>
        <w:rPr>
          <w:highlight w:val="none"/>
        </w:rPr>
        <w:fldChar w:fldCharType="separate"/>
      </w:r>
      <w:r>
        <w:rPr>
          <w:rFonts w:hint="eastAsia" w:ascii="宋体" w:hAnsi="宋体" w:cs="宋体"/>
          <w:sz w:val="24"/>
          <w:highlight w:val="none"/>
        </w:rPr>
        <w:t>政府采购严重违法失信行为信息记录中的禁止参加政府采购活动期间。</w:t>
      </w:r>
      <w:r>
        <w:rPr>
          <w:rFonts w:ascii="宋体" w:hAnsi="宋体" w:cs="宋体"/>
          <w:sz w:val="24"/>
          <w:highlight w:val="none"/>
        </w:rPr>
        <w:fldChar w:fldCharType="end"/>
      </w:r>
    </w:p>
    <w:p>
      <w:pPr>
        <w:spacing w:line="360" w:lineRule="auto"/>
        <w:ind w:firstLine="480" w:firstLineChars="200"/>
        <w:jc w:val="left"/>
        <w:rPr>
          <w:rFonts w:ascii="宋体" w:hAnsi="宋体"/>
          <w:sz w:val="24"/>
          <w:highlight w:val="none"/>
        </w:rPr>
      </w:pPr>
      <w:r>
        <w:rPr>
          <w:rFonts w:hint="eastAsia" w:ascii="宋体" w:hAnsi="宋体" w:cs="宋体"/>
          <w:sz w:val="24"/>
          <w:highlight w:val="none"/>
        </w:rPr>
        <w:t>（五）</w:t>
      </w:r>
      <w:r>
        <w:rPr>
          <w:rFonts w:hint="eastAsia" w:ascii="宋体" w:hAnsi="宋体"/>
          <w:sz w:val="24"/>
          <w:highlight w:val="none"/>
        </w:rPr>
        <w:t>公益一类事业单位，既不属于政府购买服务的购买主体，也不属于承接主体，不得参与承接政府购买服务。</w:t>
      </w:r>
    </w:p>
    <w:p>
      <w:pPr>
        <w:spacing w:line="360" w:lineRule="auto"/>
        <w:ind w:firstLine="480" w:firstLineChars="200"/>
        <w:jc w:val="left"/>
        <w:rPr>
          <w:rFonts w:ascii="宋体" w:hAnsi="宋体" w:cs="宋体"/>
          <w:sz w:val="24"/>
        </w:rPr>
      </w:pPr>
      <w:r>
        <w:rPr>
          <w:rFonts w:hint="eastAsia" w:ascii="宋体" w:hAnsi="宋体"/>
          <w:sz w:val="24"/>
        </w:rPr>
        <w:t>（六）</w:t>
      </w:r>
      <w:r>
        <w:rPr>
          <w:rFonts w:hint="eastAsia" w:ascii="宋体" w:hAnsi="宋体" w:cs="宋体"/>
          <w:sz w:val="24"/>
        </w:rPr>
        <w:t>法律、行政法规规定的其他条件：单位负责人为同一人或者存在直接控股、管理关系的不同供应商，不得同时参加同一项目投标，不得再参与本项目投标。</w:t>
      </w:r>
    </w:p>
    <w:p>
      <w:pPr>
        <w:pStyle w:val="4"/>
        <w:tabs>
          <w:tab w:val="left" w:pos="9660"/>
          <w:tab w:val="clear" w:pos="8280"/>
        </w:tabs>
        <w:ind w:right="23" w:firstLine="482" w:firstLineChars="200"/>
        <w:jc w:val="left"/>
        <w:rPr>
          <w:rFonts w:cs="宋体"/>
          <w:bCs/>
          <w:sz w:val="24"/>
          <w:szCs w:val="24"/>
        </w:rPr>
      </w:pPr>
      <w:r>
        <w:rPr>
          <w:rFonts w:hint="eastAsia" w:cs="宋体"/>
          <w:bCs/>
          <w:sz w:val="24"/>
          <w:szCs w:val="24"/>
        </w:rPr>
        <w:t>三、获取招标文件</w:t>
      </w:r>
      <w:bookmarkEnd w:id="13"/>
      <w:bookmarkEnd w:id="14"/>
      <w:bookmarkEnd w:id="15"/>
      <w:bookmarkEnd w:id="16"/>
    </w:p>
    <w:p>
      <w:pPr>
        <w:spacing w:line="360" w:lineRule="auto"/>
        <w:ind w:firstLine="480" w:firstLineChars="200"/>
        <w:jc w:val="left"/>
        <w:rPr>
          <w:rFonts w:ascii="宋体" w:hAnsi="宋体" w:cs="宋体"/>
          <w:sz w:val="24"/>
        </w:rPr>
      </w:pPr>
      <w:r>
        <w:rPr>
          <w:rFonts w:hint="eastAsia" w:ascii="宋体" w:hAnsi="宋体" w:cs="宋体"/>
          <w:sz w:val="24"/>
        </w:rPr>
        <w:t>（一）时间：项目发布之日起至</w:t>
      </w:r>
      <w:r>
        <w:rPr>
          <w:rFonts w:hint="eastAsia" w:ascii="宋体" w:hAnsi="宋体" w:cs="宋体"/>
          <w:sz w:val="24"/>
          <w:u w:val="single"/>
        </w:rPr>
        <w:t>开标截止时间</w:t>
      </w:r>
    </w:p>
    <w:p>
      <w:pPr>
        <w:tabs>
          <w:tab w:val="left" w:pos="180"/>
          <w:tab w:val="left" w:pos="360"/>
          <w:tab w:val="left" w:pos="540"/>
          <w:tab w:val="left" w:pos="8280"/>
        </w:tabs>
        <w:autoSpaceDE w:val="0"/>
        <w:autoSpaceDN w:val="0"/>
        <w:adjustRightInd w:val="0"/>
        <w:spacing w:line="360" w:lineRule="auto"/>
        <w:ind w:left="479" w:leftChars="228"/>
        <w:jc w:val="left"/>
        <w:rPr>
          <w:rFonts w:ascii="宋体" w:hAnsi="宋体" w:cs="宋体"/>
          <w:b/>
          <w:kern w:val="0"/>
          <w:sz w:val="24"/>
        </w:rPr>
      </w:pPr>
      <w:r>
        <w:rPr>
          <w:rFonts w:hint="eastAsia" w:ascii="宋体" w:hAnsi="宋体" w:cs="宋体"/>
          <w:sz w:val="24"/>
        </w:rPr>
        <w:t>（二）方式：</w:t>
      </w:r>
      <w:r>
        <w:rPr>
          <w:rFonts w:hint="eastAsia" w:ascii="宋体" w:hAnsi="宋体" w:cs="宋体"/>
          <w:b/>
          <w:kern w:val="0"/>
          <w:sz w:val="24"/>
        </w:rPr>
        <w:t>网上下载-台州湾新区小额工程电子交易平台（</w:t>
      </w:r>
      <w:r>
        <w:rPr>
          <w:rFonts w:ascii="宋体" w:hAnsi="宋体" w:cs="宋体"/>
          <w:b/>
          <w:kern w:val="0"/>
          <w:sz w:val="24"/>
        </w:rPr>
        <w:t>http://www.tzwztb.com/</w:t>
      </w:r>
      <w:r>
        <w:rPr>
          <w:rFonts w:hint="eastAsia" w:ascii="宋体" w:hAnsi="宋体" w:cs="宋体"/>
          <w:b/>
          <w:kern w:val="0"/>
          <w:sz w:val="24"/>
        </w:rPr>
        <w:t>)</w:t>
      </w:r>
    </w:p>
    <w:p>
      <w:pPr>
        <w:pStyle w:val="4"/>
        <w:ind w:right="0" w:firstLine="482" w:firstLineChars="200"/>
        <w:rPr>
          <w:rFonts w:cs="宋体"/>
          <w:bCs/>
          <w:sz w:val="24"/>
          <w:szCs w:val="24"/>
        </w:rPr>
      </w:pPr>
      <w:bookmarkStart w:id="17" w:name="_Toc35393624"/>
      <w:bookmarkStart w:id="18" w:name="_Toc28359005"/>
      <w:bookmarkStart w:id="19" w:name="_Toc28359082"/>
      <w:bookmarkStart w:id="20" w:name="_Toc35393793"/>
      <w:r>
        <w:rPr>
          <w:rFonts w:hint="eastAsia" w:cs="宋体"/>
          <w:bCs/>
          <w:sz w:val="24"/>
          <w:szCs w:val="24"/>
        </w:rPr>
        <w:t>四、提交投标文件</w:t>
      </w:r>
      <w:bookmarkEnd w:id="17"/>
      <w:bookmarkEnd w:id="18"/>
      <w:bookmarkEnd w:id="19"/>
      <w:bookmarkEnd w:id="20"/>
    </w:p>
    <w:p>
      <w:pPr>
        <w:spacing w:line="360" w:lineRule="auto"/>
        <w:ind w:firstLine="480" w:firstLineChars="200"/>
        <w:jc w:val="left"/>
        <w:rPr>
          <w:rFonts w:ascii="宋体" w:hAnsi="宋体" w:cs="宋体"/>
          <w:sz w:val="24"/>
        </w:rPr>
      </w:pPr>
      <w:bookmarkStart w:id="21" w:name="_Toc35393625"/>
      <w:bookmarkStart w:id="22" w:name="_Toc28359007"/>
      <w:bookmarkStart w:id="23" w:name="_Toc28359084"/>
      <w:bookmarkStart w:id="24" w:name="_Toc35393794"/>
      <w:r>
        <w:rPr>
          <w:rFonts w:hint="eastAsia" w:ascii="宋体" w:hAnsi="宋体" w:cs="宋体"/>
          <w:sz w:val="24"/>
        </w:rPr>
        <w:t>（一）截止时间（开标时间</w:t>
      </w:r>
      <w:r>
        <w:rPr>
          <w:rFonts w:hint="eastAsia" w:ascii="宋体" w:hAnsi="宋体" w:cs="宋体"/>
          <w:sz w:val="24"/>
          <w:highlight w:val="none"/>
        </w:rPr>
        <w:t>）：</w:t>
      </w:r>
      <w:r>
        <w:rPr>
          <w:rFonts w:hint="eastAsia" w:ascii="宋体" w:hAnsi="宋体" w:cs="宋体"/>
          <w:bCs/>
          <w:sz w:val="24"/>
          <w:highlight w:val="none"/>
          <w:u w:val="single"/>
        </w:rPr>
        <w:t>2023年</w:t>
      </w:r>
      <w:r>
        <w:rPr>
          <w:rFonts w:hint="eastAsia" w:ascii="宋体" w:hAnsi="宋体" w:cs="宋体"/>
          <w:sz w:val="24"/>
          <w:highlight w:val="none"/>
          <w:u w:val="single"/>
          <w:lang w:val="en-US" w:eastAsia="zh-CN"/>
        </w:rPr>
        <w:t>9</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21</w:t>
      </w:r>
      <w:r>
        <w:rPr>
          <w:rFonts w:hint="eastAsia" w:ascii="宋体" w:hAnsi="宋体" w:cs="宋体"/>
          <w:bCs/>
          <w:sz w:val="24"/>
          <w:highlight w:val="none"/>
          <w:u w:val="single"/>
        </w:rPr>
        <w:t>日</w:t>
      </w:r>
      <w:r>
        <w:rPr>
          <w:rFonts w:hint="eastAsia" w:ascii="宋体" w:hAnsi="宋体" w:cs="宋体"/>
          <w:bCs/>
          <w:sz w:val="24"/>
          <w:highlight w:val="none"/>
          <w:u w:val="single"/>
          <w:lang w:val="en-US" w:eastAsia="zh-CN"/>
        </w:rPr>
        <w:t>14</w:t>
      </w:r>
      <w:r>
        <w:rPr>
          <w:rFonts w:hint="eastAsia" w:ascii="宋体" w:hAnsi="宋体" w:cs="宋体"/>
          <w:bCs/>
          <w:sz w:val="24"/>
          <w:highlight w:val="none"/>
          <w:u w:val="single"/>
        </w:rPr>
        <w:t>点</w:t>
      </w:r>
      <w:r>
        <w:rPr>
          <w:rFonts w:hint="eastAsia" w:ascii="宋体" w:hAnsi="宋体" w:cs="宋体"/>
          <w:bCs/>
          <w:sz w:val="24"/>
          <w:highlight w:val="none"/>
          <w:u w:val="single"/>
          <w:lang w:val="en-US" w:eastAsia="zh-CN"/>
        </w:rPr>
        <w:t>00</w:t>
      </w:r>
      <w:r>
        <w:rPr>
          <w:rFonts w:hint="eastAsia" w:ascii="宋体" w:hAnsi="宋体" w:cs="宋体"/>
          <w:bCs/>
          <w:sz w:val="24"/>
          <w:highlight w:val="none"/>
          <w:u w:val="single"/>
        </w:rPr>
        <w:t>分</w:t>
      </w:r>
      <w:r>
        <w:rPr>
          <w:rFonts w:hint="eastAsia" w:ascii="宋体" w:hAnsi="宋体" w:cs="宋体"/>
          <w:sz w:val="24"/>
          <w:highlight w:val="none"/>
        </w:rPr>
        <w:t>（北京</w:t>
      </w:r>
      <w:r>
        <w:rPr>
          <w:rFonts w:hint="eastAsia" w:ascii="宋体" w:hAnsi="宋体" w:cs="宋体"/>
          <w:sz w:val="24"/>
        </w:rPr>
        <w:t>时间）</w:t>
      </w:r>
    </w:p>
    <w:p>
      <w:pPr>
        <w:spacing w:line="360" w:lineRule="auto"/>
        <w:ind w:firstLine="480" w:firstLineChars="200"/>
        <w:jc w:val="left"/>
        <w:rPr>
          <w:rFonts w:ascii="宋体" w:hAnsi="宋体" w:cs="宋体"/>
          <w:sz w:val="24"/>
        </w:rPr>
      </w:pPr>
      <w:r>
        <w:rPr>
          <w:rFonts w:hint="eastAsia" w:ascii="宋体" w:hAnsi="宋体" w:cs="宋体"/>
          <w:sz w:val="24"/>
        </w:rPr>
        <w:t>（二）投标网址：台州湾新区小额工程电子交易平台（网址：</w:t>
      </w:r>
      <w:r>
        <w:rPr>
          <w:sz w:val="24"/>
        </w:rPr>
        <w:t>http://www.tzwztb.com/</w:t>
      </w:r>
      <w:r>
        <w:rPr>
          <w:rFonts w:hint="eastAsia" w:ascii="宋体" w:hAnsi="宋体" w:cs="宋体"/>
          <w:sz w:val="24"/>
        </w:rPr>
        <w:t>）</w:t>
      </w:r>
    </w:p>
    <w:bookmarkEnd w:id="21"/>
    <w:bookmarkEnd w:id="22"/>
    <w:bookmarkEnd w:id="23"/>
    <w:bookmarkEnd w:id="24"/>
    <w:p>
      <w:pPr>
        <w:pStyle w:val="24"/>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pPr>
        <w:pStyle w:val="24"/>
        <w:spacing w:after="0" w:line="360" w:lineRule="auto"/>
        <w:ind w:left="0" w:leftChars="0" w:firstLine="480" w:firstLineChars="200"/>
        <w:rPr>
          <w:rFonts w:ascii="宋体" w:hAnsi="宋体" w:cs="宋体"/>
          <w:kern w:val="0"/>
          <w:sz w:val="24"/>
        </w:rPr>
      </w:pPr>
      <w:r>
        <w:rPr>
          <w:rFonts w:hint="eastAsia" w:ascii="宋体" w:hAnsi="宋体" w:cs="宋体"/>
          <w:sz w:val="24"/>
        </w:rPr>
        <w:t>（一）公告网址：台州湾新区小额工程电子交易平台</w:t>
      </w:r>
      <w:r>
        <w:rPr>
          <w:rFonts w:ascii="宋体" w:hAnsi="宋体" w:cs="宋体"/>
          <w:sz w:val="24"/>
        </w:rPr>
        <w:t>”</w:t>
      </w:r>
      <w:r>
        <w:rPr>
          <w:rFonts w:hint="eastAsia" w:ascii="宋体" w:hAnsi="宋体" w:cs="宋体"/>
          <w:sz w:val="24"/>
        </w:rPr>
        <w:t>（http://www.tzwztb.com）、</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p>
    <w:p>
      <w:pPr>
        <w:pStyle w:val="24"/>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pPr>
        <w:pStyle w:val="4"/>
        <w:ind w:right="0" w:firstLine="482" w:firstLineChars="200"/>
        <w:rPr>
          <w:rFonts w:cs="宋体"/>
          <w:bCs/>
          <w:sz w:val="24"/>
          <w:szCs w:val="24"/>
        </w:rPr>
      </w:pPr>
      <w:bookmarkStart w:id="25" w:name="_Toc35393626"/>
      <w:bookmarkStart w:id="26" w:name="_Toc35393795"/>
      <w:r>
        <w:rPr>
          <w:rFonts w:hint="eastAsia" w:cs="宋体"/>
          <w:bCs/>
          <w:sz w:val="24"/>
          <w:szCs w:val="24"/>
        </w:rPr>
        <w:t>六、</w:t>
      </w:r>
      <w:bookmarkEnd w:id="25"/>
      <w:bookmarkEnd w:id="26"/>
      <w:r>
        <w:rPr>
          <w:rFonts w:hint="eastAsia" w:cs="宋体"/>
          <w:bCs/>
          <w:sz w:val="24"/>
          <w:szCs w:val="24"/>
        </w:rPr>
        <w:t>注册报名</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投标人需登录</w:t>
      </w:r>
      <w:r>
        <w:rPr>
          <w:rFonts w:hint="eastAsia" w:ascii="宋体" w:hAnsi="宋体" w:cs="宋体"/>
          <w:b/>
          <w:kern w:val="0"/>
          <w:sz w:val="24"/>
        </w:rPr>
        <w:t>台州湾新区小额工程电子交易平台（</w:t>
      </w:r>
      <w:r>
        <w:rPr>
          <w:rFonts w:ascii="宋体" w:hAnsi="宋体" w:cs="宋体"/>
          <w:b/>
          <w:kern w:val="0"/>
          <w:sz w:val="24"/>
        </w:rPr>
        <w:t>http://www.tzwztb.com/</w:t>
      </w:r>
      <w:r>
        <w:rPr>
          <w:rFonts w:hint="eastAsia" w:ascii="宋体" w:hAnsi="宋体" w:cs="宋体"/>
          <w:b/>
          <w:kern w:val="0"/>
          <w:sz w:val="24"/>
        </w:rPr>
        <w:t>)</w:t>
      </w:r>
      <w:r>
        <w:rPr>
          <w:rFonts w:hint="eastAsia" w:ascii="宋体" w:hAnsi="宋体" w:cs="宋体"/>
          <w:sz w:val="24"/>
        </w:rPr>
        <w:t>进行注册后报名。</w:t>
      </w:r>
    </w:p>
    <w:p>
      <w:pPr>
        <w:snapToGrid w:val="0"/>
        <w:spacing w:line="360" w:lineRule="auto"/>
        <w:ind w:firstLine="482" w:firstLineChars="200"/>
        <w:rPr>
          <w:rFonts w:ascii="宋体" w:hAnsi="宋体" w:cs="宋体"/>
          <w:sz w:val="24"/>
          <w:szCs w:val="20"/>
        </w:rPr>
      </w:pPr>
      <w:r>
        <w:rPr>
          <w:rFonts w:hint="eastAsia" w:ascii="宋体" w:hAnsi="宋体" w:cs="宋体"/>
          <w:b/>
          <w:bCs/>
          <w:sz w:val="24"/>
        </w:rPr>
        <w:t>七、投标保证金</w:t>
      </w:r>
      <w:r>
        <w:rPr>
          <w:rFonts w:hint="eastAsia" w:ascii="宋体" w:hAnsi="宋体" w:cs="宋体"/>
          <w:sz w:val="24"/>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1.投标保证金金额：</w:t>
      </w:r>
      <w:r>
        <w:rPr>
          <w:rFonts w:hint="eastAsia" w:ascii="宋体" w:hAnsi="宋体" w:cs="宋体"/>
          <w:bCs/>
          <w:kern w:val="0"/>
          <w:sz w:val="24"/>
          <w:highlight w:val="none"/>
          <w:lang w:val="en-US" w:eastAsia="zh-CN"/>
        </w:rPr>
        <w:t>3</w:t>
      </w:r>
      <w:r>
        <w:rPr>
          <w:rFonts w:hint="eastAsia" w:ascii="宋体" w:hAnsi="宋体" w:cs="宋体"/>
          <w:bCs/>
          <w:kern w:val="0"/>
          <w:sz w:val="24"/>
          <w:highlight w:val="none"/>
          <w:u w:val="single"/>
          <w:lang w:val="en-US" w:eastAsia="zh-CN"/>
        </w:rPr>
        <w:t>000</w:t>
      </w:r>
      <w:r>
        <w:rPr>
          <w:rFonts w:hint="eastAsia" w:ascii="宋体" w:hAnsi="宋体" w:cs="宋体"/>
          <w:bCs/>
          <w:kern w:val="0"/>
          <w:sz w:val="24"/>
          <w:highlight w:val="none"/>
        </w:rPr>
        <w:t>元。</w:t>
      </w:r>
    </w:p>
    <w:p>
      <w:pPr>
        <w:pStyle w:val="24"/>
        <w:ind w:left="0" w:leftChars="0" w:firstLine="480"/>
        <w:jc w:val="left"/>
        <w:rPr>
          <w:rFonts w:ascii="宋体" w:hAnsi="宋体" w:cs="宋体"/>
          <w:bCs/>
          <w:kern w:val="0"/>
          <w:sz w:val="24"/>
        </w:rPr>
      </w:pPr>
      <w:r>
        <w:rPr>
          <w:rFonts w:hint="eastAsia" w:ascii="宋体" w:hAnsi="宋体" w:cs="宋体"/>
          <w:bCs/>
          <w:kern w:val="0"/>
          <w:sz w:val="24"/>
        </w:rPr>
        <w:t>2.投标保证金缴纳方式：现金转账、银行保函、保险机构保证保险保单、融资担保公司保函。</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（1）现金转账</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②投标人缴纳的投标保证金必须在投标截止时间前到达上述指定账户，否则导致投标无效等后果由投标人自行承担。另外须注意双休日银行柜台休息对公对公转账的影响。开标结束后，未中标投标单位无息返还;中标人的投标保证金由招标人暂时保管，待履约担保办理完毕并签订施工合同后，招标人返还中标人 (不计息)。</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（2）银行保函、保险机构保证保险保单、融资担保公司保函（以下合称“工程保函”）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u w:val="single"/>
        </w:rPr>
      </w:pPr>
      <w:r>
        <w:rPr>
          <w:rFonts w:hint="eastAsia" w:ascii="宋体" w:hAnsi="宋体" w:cs="宋体"/>
          <w:bCs/>
          <w:kern w:val="0"/>
          <w:sz w:val="24"/>
        </w:rPr>
        <w:t>①工程保函的受益人：</w:t>
      </w:r>
      <w:r>
        <w:rPr>
          <w:rFonts w:hint="eastAsia" w:ascii="宋体" w:hAnsi="宋体" w:cs="宋体"/>
          <w:bCs/>
          <w:kern w:val="0"/>
          <w:sz w:val="24"/>
          <w:u w:val="single"/>
          <w:lang w:eastAsia="zh-CN"/>
        </w:rPr>
        <w:t>台州市云湖小学</w:t>
      </w:r>
      <w:r>
        <w:rPr>
          <w:rFonts w:hint="eastAsia" w:ascii="宋体" w:hAnsi="宋体" w:cs="宋体"/>
          <w:bCs/>
          <w:kern w:val="0"/>
          <w:sz w:val="24"/>
        </w:rPr>
        <w:t>（招标人名称）；</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②工程保函的有效期为1年；</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③递交方式：</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递交方式一（电子保函系统）：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通过台州湾新区小额工程电子交易平台选择“电子保函”递交方式，并按系统流程进行操作、购买电子保函。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u w:val="single"/>
        </w:rPr>
      </w:pPr>
      <w:r>
        <w:rPr>
          <w:rFonts w:hint="eastAsia" w:ascii="宋体" w:hAnsi="宋体" w:cs="宋体"/>
          <w:bCs/>
          <w:kern w:val="0"/>
          <w:sz w:val="24"/>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kern w:val="0"/>
          <w:sz w:val="24"/>
          <w:u w:val="single"/>
        </w:rPr>
        <w:t>投标电子保函针对具体项目标段的要求“一标段一保函”，每个标段对应相应的订单号，汇款时备注订单号。</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递交方式二（非电子保函系统）：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 xml:space="preserve">投标人须在投标截止时间前将工程保函纸质原件、基本账户证明材料复印件（加盖公章）、保费支付的银行回单一并按要求递交。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递交方式：现场递交。</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（1）若是投标人的法定代表人递交工程保函的，应持法定代表人身份证明原件（姓名须与全国建设市场监管与诚信信息发布平台查询的相一致），否则工程保函不予签收。</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（2）若是投标人委托代理人递交工程保函的，应持针对本工程的法定代表人授权委</w:t>
      </w:r>
      <w:r>
        <w:rPr>
          <w:rFonts w:hint="eastAsia" w:ascii="宋体" w:hAnsi="宋体" w:cs="宋体"/>
          <w:bCs/>
          <w:kern w:val="0"/>
          <w:sz w:val="24"/>
          <w:highlight w:val="none"/>
        </w:rPr>
        <w:t>托书原件（格式</w:t>
      </w:r>
      <w:r>
        <w:rPr>
          <w:rFonts w:hint="eastAsia" w:ascii="宋体" w:hAnsi="宋体" w:cs="宋体"/>
          <w:bCs/>
          <w:kern w:val="0"/>
          <w:sz w:val="24"/>
          <w:highlight w:val="none"/>
          <w:lang w:eastAsia="zh-CN"/>
        </w:rPr>
        <w:t>见附件</w:t>
      </w:r>
      <w:r>
        <w:rPr>
          <w:rFonts w:hint="eastAsia" w:ascii="宋体" w:hAnsi="宋体" w:cs="宋体"/>
          <w:bCs/>
          <w:kern w:val="0"/>
          <w:sz w:val="24"/>
          <w:highlight w:val="none"/>
        </w:rPr>
        <w:t>）及身</w:t>
      </w:r>
      <w:r>
        <w:rPr>
          <w:rFonts w:hint="eastAsia" w:ascii="宋体" w:hAnsi="宋体" w:cs="宋体"/>
          <w:bCs/>
          <w:kern w:val="0"/>
          <w:sz w:val="24"/>
        </w:rPr>
        <w:t>份证原件，否则工程保函不予签收。</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rPr>
        <w:t>（3）递交工程保函时所要求提供的法定代表人授权委托书或法定代表人身份证明中的人员须与投</w:t>
      </w:r>
      <w:r>
        <w:rPr>
          <w:rFonts w:hint="eastAsia" w:ascii="宋体" w:hAnsi="宋体" w:cs="宋体"/>
          <w:bCs/>
          <w:kern w:val="0"/>
          <w:sz w:val="24"/>
          <w:highlight w:val="none"/>
        </w:rPr>
        <w:t>标文件组成中提供的人员一致，若提供的不一致则以无效标处理。</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提交地点：</w:t>
      </w:r>
      <w:r>
        <w:rPr>
          <w:rFonts w:hint="eastAsia" w:ascii="宋体" w:hAnsi="宋体" w:cs="宋体"/>
          <w:bCs/>
          <w:kern w:val="0"/>
          <w:sz w:val="24"/>
          <w:highlight w:val="none"/>
          <w:u w:val="single"/>
        </w:rPr>
        <w:t>台州湾新区海虹街道一楼大厅</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提交时间：</w:t>
      </w:r>
      <w:r>
        <w:rPr>
          <w:rFonts w:ascii="宋体" w:hAnsi="宋体" w:cs="宋体"/>
          <w:bCs/>
          <w:kern w:val="0"/>
          <w:sz w:val="24"/>
          <w:highlight w:val="none"/>
          <w:u w:val="single"/>
        </w:rPr>
        <w:t>2023年</w:t>
      </w:r>
      <w:r>
        <w:rPr>
          <w:rFonts w:hint="eastAsia" w:ascii="宋体" w:hAnsi="宋体" w:cs="宋体"/>
          <w:bCs/>
          <w:kern w:val="0"/>
          <w:sz w:val="24"/>
          <w:highlight w:val="none"/>
          <w:u w:val="single"/>
          <w:lang w:val="en-US" w:eastAsia="zh-CN"/>
        </w:rPr>
        <w:t>9</w:t>
      </w:r>
      <w:r>
        <w:rPr>
          <w:rFonts w:ascii="宋体" w:hAnsi="宋体" w:cs="宋体"/>
          <w:bCs/>
          <w:kern w:val="0"/>
          <w:sz w:val="24"/>
          <w:highlight w:val="none"/>
          <w:u w:val="single"/>
        </w:rPr>
        <w:t>月</w:t>
      </w:r>
      <w:r>
        <w:rPr>
          <w:rFonts w:hint="eastAsia" w:ascii="宋体" w:hAnsi="宋体" w:cs="宋体"/>
          <w:bCs/>
          <w:kern w:val="0"/>
          <w:sz w:val="24"/>
          <w:highlight w:val="none"/>
          <w:u w:val="single"/>
          <w:lang w:val="en-US" w:eastAsia="zh-CN"/>
        </w:rPr>
        <w:t>21</w:t>
      </w:r>
      <w:r>
        <w:rPr>
          <w:rFonts w:ascii="宋体" w:hAnsi="宋体" w:cs="宋体"/>
          <w:bCs/>
          <w:kern w:val="0"/>
          <w:sz w:val="24"/>
          <w:highlight w:val="none"/>
          <w:u w:val="single"/>
        </w:rPr>
        <w:t>日</w:t>
      </w:r>
      <w:r>
        <w:rPr>
          <w:rFonts w:hint="eastAsia" w:ascii="宋体" w:hAnsi="宋体" w:cs="宋体"/>
          <w:bCs/>
          <w:kern w:val="0"/>
          <w:sz w:val="24"/>
          <w:highlight w:val="none"/>
          <w:u w:val="single"/>
        </w:rPr>
        <w:t>1</w:t>
      </w:r>
      <w:r>
        <w:rPr>
          <w:rFonts w:hint="eastAsia" w:ascii="宋体" w:hAnsi="宋体" w:cs="宋体"/>
          <w:bCs/>
          <w:kern w:val="0"/>
          <w:sz w:val="24"/>
          <w:highlight w:val="none"/>
          <w:u w:val="single"/>
          <w:lang w:val="en-US" w:eastAsia="zh-CN"/>
        </w:rPr>
        <w:t>3</w:t>
      </w:r>
      <w:r>
        <w:rPr>
          <w:rFonts w:ascii="宋体" w:hAnsi="宋体" w:cs="宋体"/>
          <w:bCs/>
          <w:kern w:val="0"/>
          <w:sz w:val="24"/>
          <w:highlight w:val="none"/>
          <w:u w:val="single"/>
        </w:rPr>
        <w:t>：</w:t>
      </w:r>
      <w:r>
        <w:rPr>
          <w:rFonts w:hint="eastAsia" w:ascii="宋体" w:hAnsi="宋体" w:cs="宋体"/>
          <w:bCs/>
          <w:kern w:val="0"/>
          <w:sz w:val="24"/>
          <w:highlight w:val="none"/>
          <w:u w:val="single"/>
          <w:lang w:val="en-US" w:eastAsia="zh-CN"/>
        </w:rPr>
        <w:t>3</w:t>
      </w:r>
      <w:r>
        <w:rPr>
          <w:rFonts w:hint="eastAsia" w:ascii="宋体" w:hAnsi="宋体" w:cs="宋体"/>
          <w:bCs/>
          <w:kern w:val="0"/>
          <w:sz w:val="24"/>
          <w:highlight w:val="none"/>
          <w:u w:val="single"/>
        </w:rPr>
        <w:t>0-1</w:t>
      </w:r>
      <w:r>
        <w:rPr>
          <w:rFonts w:hint="eastAsia" w:ascii="宋体" w:hAnsi="宋体" w:cs="宋体"/>
          <w:bCs/>
          <w:kern w:val="0"/>
          <w:sz w:val="24"/>
          <w:highlight w:val="none"/>
          <w:u w:val="single"/>
          <w:lang w:val="en-US" w:eastAsia="zh-CN"/>
        </w:rPr>
        <w:t>4</w:t>
      </w:r>
      <w:r>
        <w:rPr>
          <w:rFonts w:hint="eastAsia" w:ascii="宋体" w:hAnsi="宋体" w:cs="宋体"/>
          <w:bCs/>
          <w:kern w:val="0"/>
          <w:sz w:val="24"/>
          <w:highlight w:val="none"/>
          <w:u w:val="single"/>
        </w:rPr>
        <w:t>：00</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接收人：</w:t>
      </w:r>
      <w:r>
        <w:rPr>
          <w:rFonts w:hint="eastAsia" w:ascii="宋体" w:hAnsi="宋体" w:cs="宋体"/>
          <w:bCs/>
          <w:kern w:val="0"/>
          <w:sz w:val="24"/>
          <w:u w:val="single"/>
          <w:lang w:eastAsia="zh-CN"/>
        </w:rPr>
        <w:t>台州中亿工程管理有限公司</w:t>
      </w:r>
      <w:r>
        <w:rPr>
          <w:rFonts w:hint="eastAsia" w:ascii="宋体" w:hAnsi="宋体" w:cs="宋体"/>
          <w:bCs/>
          <w:kern w:val="0"/>
          <w:sz w:val="24"/>
        </w:rPr>
        <w:t>（代理机构）</w:t>
      </w:r>
    </w:p>
    <w:p>
      <w:pPr>
        <w:tabs>
          <w:tab w:val="left" w:pos="180"/>
          <w:tab w:val="left" w:pos="360"/>
          <w:tab w:val="left" w:pos="540"/>
          <w:tab w:val="left" w:pos="8280"/>
        </w:tabs>
        <w:autoSpaceDE w:val="0"/>
        <w:autoSpaceDN w:val="0"/>
        <w:adjustRightInd w:val="0"/>
        <w:spacing w:line="360" w:lineRule="auto"/>
        <w:ind w:firstLine="480" w:firstLineChars="200"/>
        <w:jc w:val="left"/>
        <w:rPr>
          <w:rFonts w:hint="default" w:ascii="宋体" w:hAnsi="宋体" w:eastAsia="宋体" w:cs="宋体"/>
          <w:bCs/>
          <w:kern w:val="0"/>
          <w:sz w:val="24"/>
          <w:lang w:val="en-US" w:eastAsia="zh-CN"/>
        </w:rPr>
      </w:pPr>
      <w:r>
        <w:rPr>
          <w:rFonts w:hint="eastAsia" w:ascii="宋体" w:hAnsi="宋体" w:cs="宋体"/>
          <w:bCs/>
          <w:kern w:val="0"/>
          <w:sz w:val="24"/>
        </w:rPr>
        <w:t>接</w:t>
      </w:r>
      <w:r>
        <w:rPr>
          <w:rFonts w:hint="eastAsia" w:ascii="宋体" w:hAnsi="宋体" w:cs="宋体"/>
          <w:bCs/>
          <w:kern w:val="0"/>
          <w:sz w:val="24"/>
          <w:highlight w:val="none"/>
        </w:rPr>
        <w:t>收人联系方式：</w:t>
      </w:r>
      <w:r>
        <w:rPr>
          <w:rFonts w:hint="eastAsia" w:ascii="宋体" w:hAnsi="宋体" w:cs="宋体"/>
          <w:bCs/>
          <w:kern w:val="0"/>
          <w:sz w:val="24"/>
          <w:highlight w:val="none"/>
          <w:u w:val="single"/>
        </w:rPr>
        <w:t>0576-</w:t>
      </w:r>
      <w:r>
        <w:rPr>
          <w:rFonts w:hint="eastAsia" w:ascii="宋体" w:hAnsi="宋体" w:cs="宋体"/>
          <w:bCs/>
          <w:kern w:val="0"/>
          <w:sz w:val="24"/>
          <w:highlight w:val="none"/>
          <w:u w:val="single"/>
          <w:lang w:val="en-US" w:eastAsia="zh-CN"/>
        </w:rPr>
        <w:t>88832068</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注：投标保函文件中必须包含投标企业的信息，包含但不仅限于投标企业名称、保证方式、保证金额、保函获得时间、保证项目名称、保函有效期限、保费标准、费用支付账户（基本账户）等。</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3、注意事项</w:t>
      </w:r>
    </w:p>
    <w:p>
      <w:pPr>
        <w:pStyle w:val="4"/>
        <w:ind w:firstLine="480" w:firstLineChars="200"/>
        <w:rPr>
          <w:rFonts w:cs="宋体"/>
          <w:b w:val="0"/>
          <w:bCs/>
          <w:kern w:val="0"/>
          <w:sz w:val="24"/>
          <w:szCs w:val="24"/>
        </w:rPr>
      </w:pPr>
      <w:r>
        <w:rPr>
          <w:rFonts w:hint="eastAsia" w:cs="宋体"/>
          <w:b w:val="0"/>
          <w:bCs/>
          <w:kern w:val="0"/>
          <w:sz w:val="24"/>
          <w:szCs w:val="24"/>
        </w:rPr>
        <w:t>① 若招标文件允许联合体投标且投标人以联合体身份投标的，由联合体牵头人提交投标保证金；</w:t>
      </w:r>
    </w:p>
    <w:p>
      <w:pPr>
        <w:pStyle w:val="4"/>
        <w:ind w:firstLine="480" w:firstLineChars="200"/>
        <w:rPr>
          <w:rFonts w:cs="宋体"/>
          <w:b w:val="0"/>
          <w:bCs/>
          <w:kern w:val="0"/>
          <w:sz w:val="24"/>
          <w:szCs w:val="24"/>
        </w:rPr>
      </w:pPr>
      <w:r>
        <w:rPr>
          <w:rFonts w:hint="eastAsia" w:cs="宋体"/>
          <w:b w:val="0"/>
          <w:bCs/>
          <w:kern w:val="0"/>
          <w:sz w:val="24"/>
          <w:szCs w:val="24"/>
        </w:rPr>
        <w:t>② 现金转账账号根据不同工程（标段）由系统随机生成，此账号只在本工程（标段）中使用有效，请注意核对。账号漏填、混填或错填均视为未按时缴纳保证金。</w:t>
      </w:r>
    </w:p>
    <w:p>
      <w:pPr>
        <w:pStyle w:val="4"/>
        <w:ind w:firstLine="482" w:firstLineChars="200"/>
        <w:rPr>
          <w:rFonts w:cs="宋体"/>
          <w:kern w:val="0"/>
          <w:sz w:val="24"/>
          <w:szCs w:val="24"/>
        </w:rPr>
      </w:pPr>
      <w:r>
        <w:rPr>
          <w:rFonts w:hint="eastAsia" w:cs="宋体"/>
          <w:kern w:val="0"/>
          <w:sz w:val="24"/>
          <w:szCs w:val="24"/>
        </w:rPr>
        <w:t>③ 以现金转账形式提交的投标保证金应当从投标人基本账户转出，购买工程保函的费用应当从投标人基本账户支付；</w:t>
      </w:r>
    </w:p>
    <w:p>
      <w:pPr>
        <w:pStyle w:val="4"/>
        <w:ind w:firstLine="482" w:firstLineChars="200"/>
        <w:rPr>
          <w:rFonts w:cs="宋体"/>
          <w:kern w:val="0"/>
          <w:sz w:val="24"/>
          <w:szCs w:val="24"/>
        </w:rPr>
      </w:pPr>
      <w:r>
        <w:rPr>
          <w:rFonts w:hint="eastAsia" w:cs="宋体"/>
          <w:kern w:val="0"/>
          <w:sz w:val="24"/>
          <w:szCs w:val="24"/>
        </w:rPr>
        <w:t>④ 电子保函或现金转账的缴款凭证，其扫描件（加盖公章）放进投标文件中。</w:t>
      </w:r>
    </w:p>
    <w:p>
      <w:pPr>
        <w:pStyle w:val="4"/>
        <w:ind w:firstLine="480" w:firstLineChars="200"/>
        <w:rPr>
          <w:rFonts w:cs="宋体"/>
          <w:b w:val="0"/>
          <w:bCs/>
          <w:kern w:val="0"/>
          <w:sz w:val="24"/>
          <w:szCs w:val="24"/>
        </w:rPr>
      </w:pPr>
      <w:r>
        <w:rPr>
          <w:rFonts w:hint="eastAsia" w:cs="宋体"/>
          <w:b w:val="0"/>
          <w:bCs/>
          <w:kern w:val="0"/>
          <w:sz w:val="24"/>
          <w:szCs w:val="24"/>
        </w:rPr>
        <w:t>⑤ 若有疑问，请咨询技术服务热线：0576-88865501</w:t>
      </w:r>
    </w:p>
    <w:p>
      <w:pPr>
        <w:pStyle w:val="4"/>
        <w:ind w:firstLine="480" w:firstLineChars="200"/>
        <w:rPr>
          <w:rFonts w:cs="宋体"/>
          <w:b w:val="0"/>
          <w:bCs/>
          <w:kern w:val="0"/>
          <w:sz w:val="24"/>
          <w:szCs w:val="24"/>
        </w:rPr>
      </w:pPr>
      <w:r>
        <w:rPr>
          <w:rFonts w:hint="eastAsia" w:cs="宋体"/>
          <w:b w:val="0"/>
          <w:bCs/>
          <w:kern w:val="0"/>
          <w:sz w:val="24"/>
          <w:szCs w:val="24"/>
        </w:rPr>
        <w:t>⑥ 以上未按要求提供或提供不清晰的，评标委员会可能做出不利于投标人的评审结果，由此造成的风险由投标人自行承担。</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bCs/>
          <w:sz w:val="24"/>
        </w:rPr>
      </w:pPr>
      <w:r>
        <w:rPr>
          <w:rFonts w:hint="eastAsia" w:ascii="宋体" w:hAnsi="宋体" w:cs="宋体"/>
          <w:b/>
          <w:kern w:val="0"/>
          <w:sz w:val="24"/>
        </w:rPr>
        <w:t>4、</w:t>
      </w:r>
      <w:r>
        <w:rPr>
          <w:rFonts w:hint="eastAsia" w:ascii="宋体" w:hAnsi="宋体" w:cs="宋体"/>
          <w:bCs/>
          <w:kern w:val="0"/>
          <w:sz w:val="24"/>
        </w:rPr>
        <w:t>购买工程电子</w:t>
      </w:r>
      <w:r>
        <w:rPr>
          <w:rFonts w:hint="eastAsia" w:ascii="宋体" w:hAnsi="宋体" w:cs="宋体"/>
          <w:bCs/>
          <w:kern w:val="0"/>
          <w:sz w:val="24"/>
          <w:highlight w:val="none"/>
        </w:rPr>
        <w:t>保函截止时间：</w:t>
      </w:r>
      <w:r>
        <w:rPr>
          <w:rFonts w:hint="eastAsia" w:ascii="宋体" w:hAnsi="宋体" w:cs="宋体"/>
          <w:b/>
          <w:bCs/>
          <w:color w:val="000000"/>
          <w:kern w:val="0"/>
          <w:sz w:val="24"/>
          <w:highlight w:val="none"/>
          <w:u w:val="single"/>
        </w:rPr>
        <w:t>2023</w:t>
      </w:r>
      <w:r>
        <w:rPr>
          <w:rFonts w:hint="eastAsia" w:ascii="宋体" w:hAnsi="宋体" w:cs="宋体"/>
          <w:b/>
          <w:bCs/>
          <w:color w:val="000000"/>
          <w:kern w:val="0"/>
          <w:sz w:val="24"/>
          <w:highlight w:val="none"/>
        </w:rPr>
        <w:t>年</w:t>
      </w:r>
      <w:r>
        <w:rPr>
          <w:rFonts w:hint="eastAsia" w:ascii="宋体" w:hAnsi="宋体" w:cs="宋体"/>
          <w:b/>
          <w:bCs/>
          <w:color w:val="000000"/>
          <w:kern w:val="0"/>
          <w:sz w:val="24"/>
          <w:highlight w:val="none"/>
          <w:u w:val="single"/>
          <w:lang w:val="en-US" w:eastAsia="zh-CN"/>
        </w:rPr>
        <w:t>9</w:t>
      </w:r>
      <w:r>
        <w:rPr>
          <w:rFonts w:hint="eastAsia" w:ascii="宋体" w:hAnsi="宋体" w:cs="宋体"/>
          <w:b/>
          <w:bCs/>
          <w:color w:val="000000"/>
          <w:kern w:val="0"/>
          <w:sz w:val="24"/>
          <w:highlight w:val="none"/>
        </w:rPr>
        <w:t>月</w:t>
      </w:r>
      <w:r>
        <w:rPr>
          <w:rFonts w:hint="eastAsia" w:ascii="宋体" w:hAnsi="宋体" w:cs="宋体"/>
          <w:b/>
          <w:bCs/>
          <w:color w:val="000000"/>
          <w:kern w:val="0"/>
          <w:sz w:val="24"/>
          <w:highlight w:val="none"/>
          <w:u w:val="single"/>
          <w:lang w:val="en-US" w:eastAsia="zh-CN"/>
        </w:rPr>
        <w:t>20</w:t>
      </w:r>
      <w:r>
        <w:rPr>
          <w:rFonts w:hint="eastAsia" w:ascii="宋体" w:hAnsi="宋体" w:cs="宋体"/>
          <w:b/>
          <w:bCs/>
          <w:color w:val="000000"/>
          <w:kern w:val="0"/>
          <w:sz w:val="24"/>
          <w:highlight w:val="none"/>
          <w:lang w:val="en-US" w:eastAsia="zh-CN"/>
        </w:rPr>
        <w:t>日</w:t>
      </w:r>
      <w:r>
        <w:rPr>
          <w:rFonts w:hint="eastAsia" w:ascii="宋体" w:hAnsi="宋体" w:cs="宋体"/>
          <w:b/>
          <w:bCs/>
          <w:color w:val="000000"/>
          <w:kern w:val="0"/>
          <w:sz w:val="24"/>
          <w:highlight w:val="none"/>
        </w:rPr>
        <w:t>下午16点前</w:t>
      </w:r>
    </w:p>
    <w:p>
      <w:pPr>
        <w:pStyle w:val="4"/>
        <w:ind w:right="0" w:firstLine="482" w:firstLineChars="200"/>
        <w:rPr>
          <w:rFonts w:cs="宋体"/>
          <w:bCs/>
          <w:sz w:val="24"/>
          <w:szCs w:val="24"/>
        </w:rPr>
      </w:pPr>
      <w:bookmarkStart w:id="27" w:name="_Toc28359085"/>
      <w:bookmarkStart w:id="28" w:name="_Toc35393627"/>
      <w:bookmarkStart w:id="29" w:name="_Toc28359008"/>
      <w:bookmarkStart w:id="30" w:name="_Toc35393796"/>
      <w:r>
        <w:rPr>
          <w:rFonts w:hint="eastAsia" w:cs="宋体"/>
          <w:bCs/>
          <w:sz w:val="24"/>
          <w:szCs w:val="24"/>
        </w:rPr>
        <w:t>八、</w:t>
      </w:r>
      <w:bookmarkEnd w:id="27"/>
      <w:bookmarkEnd w:id="28"/>
      <w:bookmarkEnd w:id="29"/>
      <w:bookmarkEnd w:id="30"/>
      <w:r>
        <w:rPr>
          <w:rFonts w:hint="eastAsia" w:cs="宋体"/>
          <w:bCs/>
          <w:sz w:val="24"/>
          <w:szCs w:val="24"/>
        </w:rPr>
        <w:t>联系方式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名 称：</w:t>
      </w:r>
      <w:r>
        <w:rPr>
          <w:rFonts w:hint="eastAsia" w:cs="宋体"/>
          <w:sz w:val="24"/>
          <w:highlight w:val="none"/>
          <w:u w:val="single"/>
          <w:lang w:eastAsia="zh-CN"/>
        </w:rPr>
        <w:t>台州市云湖小学</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single"/>
        </w:rPr>
        <w:t>浙江省台州市台州湾新区荣和路281号</w:t>
      </w:r>
    </w:p>
    <w:p>
      <w:pPr>
        <w:spacing w:line="360" w:lineRule="auto"/>
        <w:ind w:firstLine="480" w:firstLineChars="200"/>
        <w:rPr>
          <w:rFonts w:hint="eastAsia" w:ascii="宋体" w:hAnsi="宋体" w:eastAsia="宋体" w:cs="宋体"/>
          <w:sz w:val="24"/>
          <w:highlight w:val="none"/>
          <w:u w:val="single"/>
          <w:lang w:eastAsia="zh-CN"/>
        </w:rPr>
      </w:pPr>
      <w:r>
        <w:rPr>
          <w:rFonts w:hint="eastAsia" w:ascii="宋体" w:hAnsi="宋体" w:cs="宋体"/>
          <w:sz w:val="24"/>
          <w:highlight w:val="none"/>
        </w:rPr>
        <w:t>联系人：</w:t>
      </w:r>
      <w:bookmarkStart w:id="31" w:name="_Toc28359009"/>
      <w:bookmarkStart w:id="32" w:name="_Toc28359086"/>
      <w:r>
        <w:rPr>
          <w:rFonts w:hint="eastAsia" w:ascii="宋体" w:hAnsi="宋体" w:cs="宋体"/>
          <w:sz w:val="24"/>
          <w:highlight w:val="none"/>
          <w:u w:val="single"/>
          <w:lang w:eastAsia="zh-CN"/>
        </w:rPr>
        <w:t>李先生</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联系电话：</w:t>
      </w:r>
      <w:r>
        <w:rPr>
          <w:rFonts w:hint="eastAsia" w:ascii="宋体" w:hAnsi="宋体" w:cs="宋体"/>
          <w:sz w:val="24"/>
          <w:highlight w:val="none"/>
          <w:u w:val="single"/>
        </w:rPr>
        <w:t>0576-</w:t>
      </w:r>
      <w:r>
        <w:rPr>
          <w:rFonts w:hint="eastAsia" w:ascii="宋体" w:hAnsi="宋体" w:cs="宋体"/>
          <w:sz w:val="24"/>
          <w:highlight w:val="none"/>
          <w:u w:val="single"/>
          <w:lang w:val="en-US" w:eastAsia="zh-CN"/>
        </w:rPr>
        <w:t>88865683</w:t>
      </w:r>
    </w:p>
    <w:bookmarkEnd w:id="31"/>
    <w:bookmarkEnd w:id="32"/>
    <w:p>
      <w:pPr>
        <w:spacing w:line="360" w:lineRule="auto"/>
        <w:ind w:firstLine="482" w:firstLineChars="200"/>
        <w:rPr>
          <w:rFonts w:ascii="宋体" w:hAnsi="宋体" w:cs="宋体"/>
          <w:b/>
          <w:sz w:val="24"/>
          <w:highlight w:val="none"/>
        </w:rPr>
      </w:pPr>
      <w:r>
        <w:rPr>
          <w:rFonts w:hint="eastAsia" w:ascii="宋体" w:hAnsi="宋体" w:cs="宋体"/>
          <w:b/>
          <w:bCs/>
          <w:sz w:val="24"/>
          <w:highlight w:val="none"/>
        </w:rPr>
        <w:t>（二）采购组织机构</w:t>
      </w:r>
    </w:p>
    <w:p>
      <w:pPr>
        <w:spacing w:line="360" w:lineRule="auto"/>
        <w:ind w:firstLine="480" w:firstLineChars="200"/>
        <w:rPr>
          <w:rFonts w:hint="default" w:ascii="宋体" w:hAnsi="宋体" w:eastAsia="宋体" w:cs="宋体"/>
          <w:sz w:val="24"/>
          <w:u w:val="single"/>
          <w:lang w:val="en-US" w:eastAsia="zh-CN"/>
        </w:rPr>
      </w:pPr>
      <w:bookmarkStart w:id="33" w:name="_Toc28359087"/>
      <w:bookmarkStart w:id="34" w:name="_Toc28359010"/>
      <w:r>
        <w:rPr>
          <w:rFonts w:hint="eastAsia" w:ascii="宋体" w:hAnsi="宋体" w:cs="宋体"/>
          <w:sz w:val="24"/>
        </w:rPr>
        <w:t>名 称：</w:t>
      </w:r>
      <w:r>
        <w:rPr>
          <w:rFonts w:hint="eastAsia" w:ascii="宋体" w:hAnsi="宋体" w:cs="宋体"/>
          <w:sz w:val="24"/>
          <w:u w:val="single"/>
        </w:rPr>
        <w:t>台州中亿工程管理有限公司</w:t>
      </w:r>
    </w:p>
    <w:p>
      <w:pPr>
        <w:spacing w:line="360" w:lineRule="auto"/>
        <w:ind w:firstLine="480" w:firstLineChars="200"/>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浙江省台州市椒江区亿嘉路华中大厦1-701</w:t>
      </w:r>
    </w:p>
    <w:p>
      <w:pPr>
        <w:spacing w:line="360" w:lineRule="auto"/>
        <w:ind w:firstLine="480" w:firstLineChars="200"/>
        <w:rPr>
          <w:rFonts w:hint="eastAsia" w:ascii="宋体" w:hAnsi="宋体" w:eastAsia="宋体" w:cs="宋体"/>
          <w:sz w:val="24"/>
          <w:u w:val="single"/>
          <w:lang w:eastAsia="zh-CN"/>
        </w:rPr>
      </w:pPr>
      <w:r>
        <w:rPr>
          <w:rFonts w:hint="eastAsia" w:ascii="宋体" w:hAnsi="宋体" w:cs="宋体"/>
          <w:sz w:val="24"/>
        </w:rPr>
        <w:t>项目联系人：</w:t>
      </w:r>
      <w:r>
        <w:rPr>
          <w:rFonts w:hint="eastAsia" w:ascii="宋体" w:hAnsi="宋体" w:cs="宋体"/>
          <w:sz w:val="24"/>
          <w:u w:val="single"/>
          <w:lang w:eastAsia="zh-CN"/>
        </w:rPr>
        <w:t>李先生</w:t>
      </w:r>
    </w:p>
    <w:p>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88832068</w:t>
      </w:r>
    </w:p>
    <w:p>
      <w:pPr>
        <w:spacing w:line="360" w:lineRule="auto"/>
        <w:ind w:firstLine="480" w:firstLineChars="200"/>
        <w:rPr>
          <w:rFonts w:ascii="宋体" w:hAnsi="宋体" w:cs="宋体"/>
          <w:sz w:val="24"/>
          <w:u w:val="single"/>
        </w:rPr>
      </w:pPr>
      <w:r>
        <w:rPr>
          <w:rFonts w:hint="eastAsia" w:ascii="宋体" w:hAnsi="宋体" w:cs="宋体"/>
          <w:sz w:val="24"/>
        </w:rPr>
        <w:t>受理联系人：</w:t>
      </w:r>
      <w:r>
        <w:rPr>
          <w:rFonts w:hint="eastAsia" w:ascii="宋体" w:hAnsi="宋体" w:cs="宋体"/>
          <w:sz w:val="24"/>
          <w:u w:val="single"/>
        </w:rPr>
        <w:t>戴林平</w:t>
      </w:r>
    </w:p>
    <w:p>
      <w:pPr>
        <w:spacing w:line="360" w:lineRule="auto"/>
        <w:ind w:firstLine="480" w:firstLineChars="200"/>
        <w:rPr>
          <w:rFonts w:hint="default" w:ascii="宋体" w:hAnsi="宋体" w:cs="宋体"/>
          <w:sz w:val="24"/>
          <w:u w:val="single"/>
          <w:lang w:val="en-US"/>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88832068</w:t>
      </w:r>
    </w:p>
    <w:p>
      <w:pPr>
        <w:spacing w:line="360" w:lineRule="auto"/>
        <w:ind w:firstLine="482" w:firstLineChars="200"/>
        <w:rPr>
          <w:rFonts w:ascii="宋体" w:hAnsi="宋体" w:cs="宋体"/>
          <w:b/>
          <w:sz w:val="24"/>
        </w:rPr>
      </w:pPr>
      <w:r>
        <w:rPr>
          <w:rFonts w:hint="eastAsia" w:ascii="宋体" w:hAnsi="宋体" w:cs="宋体"/>
          <w:b/>
          <w:sz w:val="24"/>
        </w:rPr>
        <w:t>（三）同级政府采购监管机构</w:t>
      </w:r>
    </w:p>
    <w:p>
      <w:pPr>
        <w:spacing w:line="360" w:lineRule="auto"/>
        <w:ind w:firstLine="480" w:firstLineChars="200"/>
        <w:rPr>
          <w:rFonts w:ascii="宋体" w:hAnsi="宋体" w:cs="宋体"/>
          <w:sz w:val="24"/>
          <w:u w:val="single"/>
        </w:rPr>
      </w:pPr>
      <w:r>
        <w:rPr>
          <w:rFonts w:hint="eastAsia" w:ascii="宋体" w:hAnsi="宋体" w:cs="宋体"/>
          <w:sz w:val="24"/>
        </w:rPr>
        <w:t>名 称：</w:t>
      </w:r>
      <w:r>
        <w:rPr>
          <w:rFonts w:hint="eastAsia" w:asciiTheme="minorEastAsia" w:hAnsiTheme="minorEastAsia" w:eastAsiaTheme="minorEastAsia" w:cstheme="minorEastAsia"/>
          <w:sz w:val="24"/>
          <w:u w:val="single"/>
        </w:rPr>
        <w:t>台州湾新区司法审计局</w:t>
      </w:r>
    </w:p>
    <w:p>
      <w:pPr>
        <w:spacing w:line="360" w:lineRule="auto"/>
        <w:ind w:firstLine="480" w:firstLineChars="200"/>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台州市甲南大道东段9号</w:t>
      </w:r>
    </w:p>
    <w:p>
      <w:pPr>
        <w:spacing w:line="360" w:lineRule="auto"/>
        <w:ind w:firstLine="480" w:firstLineChars="200"/>
        <w:rPr>
          <w:rFonts w:ascii="宋体" w:hAnsi="宋体" w:cs="宋体"/>
          <w:sz w:val="24"/>
          <w:u w:val="single"/>
        </w:rPr>
      </w:pPr>
      <w:r>
        <w:rPr>
          <w:rFonts w:hint="eastAsia" w:ascii="宋体" w:hAnsi="宋体" w:cs="宋体"/>
          <w:sz w:val="24"/>
        </w:rPr>
        <w:t>联系人：</w:t>
      </w:r>
      <w:r>
        <w:rPr>
          <w:rFonts w:hint="eastAsia" w:ascii="宋体" w:hAnsi="宋体" w:cs="宋体"/>
          <w:sz w:val="24"/>
          <w:u w:val="single"/>
        </w:rPr>
        <w:t>徐先生</w:t>
      </w:r>
    </w:p>
    <w:p>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0576-88538849</w:t>
      </w:r>
    </w:p>
    <w:p>
      <w:pPr>
        <w:spacing w:line="360" w:lineRule="auto"/>
        <w:ind w:firstLine="482" w:firstLineChars="200"/>
        <w:rPr>
          <w:rFonts w:ascii="宋体" w:hAnsi="宋体" w:cs="宋体"/>
          <w:b/>
          <w:sz w:val="24"/>
        </w:rPr>
      </w:pPr>
      <w:r>
        <w:rPr>
          <w:rFonts w:hint="eastAsia" w:ascii="宋体" w:hAnsi="宋体" w:cs="宋体"/>
          <w:b/>
          <w:sz w:val="24"/>
        </w:rPr>
        <w:t>（四）台州湾新区小额工程电子交易平台</w:t>
      </w:r>
    </w:p>
    <w:p>
      <w:pPr>
        <w:spacing w:line="360" w:lineRule="auto"/>
        <w:ind w:firstLine="480" w:firstLineChars="200"/>
        <w:rPr>
          <w:rFonts w:ascii="宋体" w:hAnsi="宋体" w:cs="宋体"/>
          <w:sz w:val="24"/>
        </w:rPr>
      </w:pPr>
      <w:r>
        <w:rPr>
          <w:rFonts w:hint="eastAsia" w:ascii="宋体" w:hAnsi="宋体" w:cs="宋体"/>
          <w:sz w:val="24"/>
        </w:rPr>
        <w:t>联系人：</w:t>
      </w:r>
      <w:r>
        <w:rPr>
          <w:rFonts w:hint="eastAsia" w:ascii="宋体" w:hAnsi="宋体" w:cs="宋体"/>
          <w:sz w:val="24"/>
          <w:u w:val="single"/>
        </w:rPr>
        <w:t>蔡先生、王女士</w:t>
      </w:r>
    </w:p>
    <w:p>
      <w:pPr>
        <w:spacing w:line="360" w:lineRule="auto"/>
        <w:ind w:firstLine="480" w:firstLineChars="200"/>
        <w:rPr>
          <w:rFonts w:ascii="宋体" w:hAnsi="宋体" w:cs="宋体"/>
          <w:sz w:val="24"/>
          <w:shd w:val="clear" w:color="auto" w:fill="FFFFFF"/>
        </w:rPr>
      </w:pPr>
      <w:r>
        <w:rPr>
          <w:rFonts w:hint="eastAsia" w:ascii="宋体" w:hAnsi="宋体" w:cs="宋体"/>
          <w:sz w:val="24"/>
        </w:rPr>
        <w:t>联系电话：</w:t>
      </w:r>
      <w:r>
        <w:rPr>
          <w:rFonts w:hint="eastAsia" w:ascii="宋体" w:hAnsi="宋体" w:cs="宋体"/>
          <w:sz w:val="24"/>
          <w:u w:val="single"/>
        </w:rPr>
        <w:t>13454667697、13757680207</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hint="eastAsia" w:ascii="宋体" w:hAnsi="宋体" w:cs="宋体"/>
          <w:sz w:val="24"/>
          <w:shd w:val="clear" w:color="auto" w:fill="FFFFFF"/>
          <w:lang w:eastAsia="zh-CN"/>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hint="eastAsia" w:ascii="宋体" w:hAnsi="宋体" w:cs="宋体"/>
          <w:sz w:val="24"/>
          <w:shd w:val="clear" w:color="auto" w:fill="FFFFFF"/>
          <w:lang w:eastAsia="zh-CN"/>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宋体" w:hAnsi="宋体" w:cs="宋体"/>
          <w:sz w:val="24"/>
        </w:rPr>
      </w:pPr>
      <w:r>
        <w:rPr>
          <w:rFonts w:hint="eastAsia" w:ascii="宋体" w:hAnsi="宋体" w:cs="宋体"/>
          <w:sz w:val="24"/>
          <w:shd w:val="clear" w:color="auto" w:fill="FFFFFF"/>
          <w:lang w:eastAsia="zh-CN"/>
        </w:rPr>
        <w:t>台州中亿工程管理有限公司</w:t>
      </w:r>
      <w:r>
        <w:rPr>
          <w:rFonts w:hint="eastAsia" w:ascii="宋体" w:hAnsi="宋体" w:cs="宋体"/>
          <w:kern w:val="0"/>
          <w:sz w:val="24"/>
        </w:rPr>
        <w:t xml:space="preserve">  </w:t>
      </w:r>
    </w:p>
    <w:p>
      <w:pPr>
        <w:widowControl/>
        <w:spacing w:line="360" w:lineRule="auto"/>
        <w:ind w:firstLine="200"/>
        <w:jc w:val="right"/>
        <w:rPr>
          <w:rFonts w:asciiTheme="minorEastAsia" w:hAnsiTheme="minorEastAsia" w:eastAsiaTheme="minorEastAsia" w:cstheme="minorEastAsia"/>
          <w:kern w:val="0"/>
          <w:sz w:val="24"/>
        </w:rPr>
      </w:pPr>
      <w:r>
        <w:rPr>
          <w:rFonts w:hint="eastAsia" w:ascii="宋体" w:hAnsi="宋体" w:cs="宋体"/>
          <w:kern w:val="0"/>
          <w:sz w:val="24"/>
        </w:rPr>
        <w:t xml:space="preserve">                                                      </w:t>
      </w:r>
      <w:r>
        <w:rPr>
          <w:rFonts w:hint="eastAsia" w:asciiTheme="minorEastAsia" w:hAnsiTheme="minorEastAsia" w:eastAsiaTheme="minorEastAsia" w:cstheme="minorEastAsia"/>
          <w:kern w:val="0"/>
          <w:sz w:val="24"/>
        </w:rPr>
        <w:t>2023年</w:t>
      </w:r>
      <w:r>
        <w:rPr>
          <w:rFonts w:hint="eastAsia" w:asciiTheme="minorEastAsia" w:hAnsiTheme="minorEastAsia" w:eastAsiaTheme="minorEastAsia" w:cstheme="minorEastAsia"/>
          <w:sz w:val="24"/>
        </w:rPr>
        <w:t>0</w:t>
      </w:r>
      <w:r>
        <w:rPr>
          <w:rFonts w:hint="eastAsia" w:asciiTheme="minorEastAsia" w:hAnsiTheme="minorEastAsia" w:eastAsiaTheme="minorEastAsia" w:cstheme="minorEastAsia"/>
          <w:sz w:val="24"/>
          <w:lang w:val="en-US" w:eastAsia="zh-CN"/>
        </w:rPr>
        <w:t>9</w:t>
      </w:r>
      <w:r>
        <w:rPr>
          <w:rFonts w:hint="eastAsia" w:asciiTheme="minorEastAsia" w:hAnsiTheme="minorEastAsia" w:eastAsiaTheme="minorEastAsia" w:cstheme="minorEastAsia"/>
          <w:kern w:val="0"/>
          <w:sz w:val="24"/>
        </w:rPr>
        <w:t>月</w:t>
      </w:r>
    </w:p>
    <w:p>
      <w:pPr>
        <w:pStyle w:val="31"/>
        <w:ind w:firstLine="480"/>
        <w:rPr>
          <w:rFonts w:asciiTheme="minorEastAsia" w:hAnsiTheme="minorEastAsia" w:eastAsiaTheme="minorEastAsia" w:cstheme="minorEastAsia"/>
          <w:kern w:val="0"/>
        </w:rPr>
      </w:pPr>
    </w:p>
    <w:p>
      <w:pPr>
        <w:pStyle w:val="31"/>
        <w:ind w:firstLine="480"/>
        <w:rPr>
          <w:rFonts w:asciiTheme="minorEastAsia" w:hAnsiTheme="minorEastAsia" w:eastAsiaTheme="minorEastAsia" w:cstheme="minorEastAsia"/>
          <w:kern w:val="0"/>
        </w:rPr>
      </w:pPr>
    </w:p>
    <w:p>
      <w:pPr>
        <w:pStyle w:val="31"/>
        <w:ind w:firstLine="480"/>
        <w:rPr>
          <w:rFonts w:asciiTheme="minorEastAsia" w:hAnsiTheme="minorEastAsia" w:eastAsiaTheme="minorEastAsia" w:cstheme="minorEastAsia"/>
          <w:kern w:val="0"/>
        </w:rPr>
      </w:pPr>
    </w:p>
    <w:p>
      <w:pPr>
        <w:pStyle w:val="31"/>
        <w:ind w:firstLine="480"/>
        <w:rPr>
          <w:rFonts w:asciiTheme="minorEastAsia" w:hAnsiTheme="minorEastAsia" w:eastAsiaTheme="minorEastAsia" w:cstheme="minorEastAsia"/>
          <w:kern w:val="0"/>
        </w:rPr>
      </w:pPr>
    </w:p>
    <w:p>
      <w:pPr>
        <w:pStyle w:val="31"/>
        <w:ind w:firstLine="480"/>
        <w:rPr>
          <w:rFonts w:asciiTheme="minorEastAsia" w:hAnsiTheme="minorEastAsia" w:eastAsiaTheme="minorEastAsia" w:cstheme="minorEastAsia"/>
          <w:kern w:val="0"/>
        </w:rPr>
      </w:pPr>
    </w:p>
    <w:p>
      <w:pPr>
        <w:pStyle w:val="31"/>
        <w:ind w:firstLine="0" w:firstLineChars="0"/>
        <w:rPr>
          <w:rFonts w:hint="eastAsia" w:asciiTheme="minorEastAsia" w:hAnsiTheme="minorEastAsia" w:eastAsiaTheme="minorEastAsia" w:cstheme="minorEastAsia"/>
          <w:kern w:val="0"/>
        </w:rPr>
      </w:pPr>
    </w:p>
    <w:bookmarkEnd w:id="33"/>
    <w:bookmarkEnd w:id="34"/>
    <w:p>
      <w:pPr>
        <w:numPr>
          <w:ilvl w:val="0"/>
          <w:numId w:val="6"/>
        </w:numPr>
        <w:spacing w:line="360" w:lineRule="auto"/>
        <w:jc w:val="center"/>
        <w:rPr>
          <w:rFonts w:asciiTheme="minorEastAsia" w:hAnsiTheme="minorEastAsia" w:eastAsiaTheme="minorEastAsia"/>
          <w:b/>
          <w:sz w:val="36"/>
          <w:szCs w:val="36"/>
        </w:rPr>
      </w:pPr>
      <w:bookmarkStart w:id="35" w:name="_Toc25017_WPSOffice_Level1"/>
      <w:r>
        <w:rPr>
          <w:rFonts w:hint="eastAsia" w:asciiTheme="minorEastAsia" w:hAnsiTheme="minorEastAsia" w:eastAsiaTheme="minorEastAsia"/>
          <w:b/>
          <w:sz w:val="36"/>
          <w:szCs w:val="36"/>
        </w:rPr>
        <w:t>投标人须知</w:t>
      </w:r>
      <w:bookmarkEnd w:id="35"/>
    </w:p>
    <w:p>
      <w:pPr>
        <w:numPr>
          <w:ilvl w:val="0"/>
          <w:numId w:val="7"/>
        </w:numPr>
        <w:ind w:firstLine="482" w:firstLineChars="200"/>
      </w:pPr>
      <w:r>
        <w:rPr>
          <w:rFonts w:hint="eastAsia" w:asciiTheme="minorEastAsia" w:hAnsiTheme="minorEastAsia" w:eastAsiaTheme="minorEastAsia"/>
          <w:b/>
          <w:sz w:val="24"/>
        </w:rPr>
        <w:t>前附表</w:t>
      </w:r>
    </w:p>
    <w:tbl>
      <w:tblPr>
        <w:tblStyle w:val="25"/>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rPr>
            </w:pPr>
            <w:r>
              <w:rPr>
                <w:rFonts w:hint="eastAsia" w:ascii="宋体" w:hAnsi="宋体" w:cs="宋体"/>
                <w:b/>
                <w:bCs/>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rPr>
            </w:pPr>
            <w:r>
              <w:rPr>
                <w:rFonts w:hint="eastAsia" w:ascii="宋体" w:hAnsi="宋体" w:cs="宋体"/>
                <w:b/>
                <w:bCs/>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rPr>
            </w:pPr>
            <w:r>
              <w:rPr>
                <w:rFonts w:hint="eastAsia" w:ascii="宋体" w:hAnsi="宋体" w:cs="宋体"/>
                <w:b/>
                <w:bCs/>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ascii="宋体" w:hAnsi="宋体" w:cs="宋体"/>
              </w:rPr>
            </w:pP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hint="eastAsia" w:ascii="宋体" w:hAnsi="宋体" w:eastAsia="宋体" w:cs="宋体"/>
                <w:lang w:eastAsia="zh-CN"/>
              </w:rPr>
            </w:pPr>
            <w:r>
              <w:rPr>
                <w:rFonts w:hint="eastAsia" w:ascii="宋体" w:hAnsi="宋体" w:cs="宋体"/>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答疑会或</w:t>
            </w:r>
          </w:p>
          <w:p>
            <w:pPr>
              <w:spacing w:line="300" w:lineRule="auto"/>
              <w:jc w:val="center"/>
              <w:rPr>
                <w:rFonts w:ascii="宋体" w:hAnsi="宋体" w:cs="宋体"/>
              </w:rPr>
            </w:pPr>
            <w:r>
              <w:rPr>
                <w:rFonts w:hint="eastAsia" w:ascii="宋体" w:hAnsi="宋体" w:cs="宋体"/>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ascii="宋体" w:hAnsi="宋体" w:cs="宋体"/>
              </w:rPr>
            </w:pPr>
            <w:r>
              <w:rPr>
                <w:rFonts w:hint="eastAsia" w:ascii="宋体" w:hAnsi="宋体" w:cs="宋体"/>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1、投标人无需到开标现场，电子投标文件上传至台州湾新区小额工程电子交易平台。如遇有问题的请联系蔡先生，13454667697；王女士，13757680207。</w:t>
            </w:r>
          </w:p>
          <w:p>
            <w:pPr>
              <w:spacing w:line="300" w:lineRule="auto"/>
              <w:ind w:firstLine="420" w:firstLineChars="200"/>
              <w:rPr>
                <w:rFonts w:ascii="宋体" w:hAnsi="宋体" w:cs="宋体"/>
              </w:rPr>
            </w:pPr>
            <w:r>
              <w:rPr>
                <w:rFonts w:hint="eastAsia" w:ascii="宋体" w:hAnsi="宋体" w:cs="宋体"/>
              </w:rPr>
              <w:t>2、电子投标文件上传步骤：</w:t>
            </w:r>
          </w:p>
          <w:p>
            <w:pPr>
              <w:spacing w:line="300" w:lineRule="auto"/>
              <w:ind w:firstLine="420" w:firstLineChars="200"/>
              <w:rPr>
                <w:rFonts w:ascii="宋体" w:hAnsi="宋体" w:cs="宋体"/>
              </w:rPr>
            </w:pPr>
            <w:r>
              <w:rPr>
                <w:rFonts w:hint="eastAsia" w:ascii="宋体" w:hAnsi="宋体" w:cs="宋体"/>
              </w:rPr>
              <w:t>1) 台州湾新区小额工程电子交易平台（网址：http://www.tzwztb.com/）；</w:t>
            </w:r>
          </w:p>
          <w:p>
            <w:pPr>
              <w:spacing w:line="300" w:lineRule="auto"/>
              <w:ind w:firstLine="420" w:firstLineChars="200"/>
              <w:rPr>
                <w:rFonts w:ascii="宋体" w:hAnsi="宋体" w:cs="宋体"/>
              </w:rPr>
            </w:pPr>
            <w:r>
              <w:rPr>
                <w:rFonts w:hint="eastAsia" w:ascii="宋体" w:hAnsi="宋体" w:cs="宋体"/>
              </w:rPr>
              <w:t>2) 投标人应提前办好ca锁（办理网址：http://www.tseal.cn/tcloud/common.xhtml?projId=295），绑定平台账户。</w:t>
            </w:r>
          </w:p>
          <w:p>
            <w:pPr>
              <w:spacing w:line="300" w:lineRule="auto"/>
              <w:ind w:firstLine="420" w:firstLineChars="200"/>
              <w:rPr>
                <w:rFonts w:ascii="宋体" w:hAnsi="宋体" w:cs="宋体"/>
              </w:rPr>
            </w:pPr>
            <w:r>
              <w:rPr>
                <w:rFonts w:hint="eastAsia" w:ascii="宋体" w:hAnsi="宋体" w:cs="宋体"/>
              </w:rPr>
              <w:t>3)缴纳保证金（或购买电子保函）后，点击“电子投标文件制作工具”，进入制作页面，签章并加密上传电子投标文件。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投标与开标</w:t>
            </w:r>
          </w:p>
          <w:p>
            <w:pPr>
              <w:spacing w:line="300" w:lineRule="auto"/>
              <w:jc w:val="center"/>
              <w:rPr>
                <w:rFonts w:ascii="宋体" w:hAnsi="宋体" w:cs="宋体"/>
              </w:rPr>
            </w:pPr>
            <w:r>
              <w:rPr>
                <w:rFonts w:hint="eastAsia" w:ascii="宋体" w:hAnsi="宋体" w:cs="宋体"/>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1.本项目实行电子投标，投标人自行承担投标一切费用。</w:t>
            </w:r>
          </w:p>
          <w:p>
            <w:pPr>
              <w:spacing w:line="300" w:lineRule="auto"/>
              <w:ind w:firstLine="420" w:firstLineChars="200"/>
              <w:rPr>
                <w:rFonts w:ascii="宋体" w:hAnsi="宋体" w:cs="宋体"/>
              </w:rPr>
            </w:pPr>
            <w:r>
              <w:rPr>
                <w:rFonts w:hint="eastAsia" w:ascii="宋体" w:hAnsi="宋体" w:cs="宋体"/>
              </w:rPr>
              <w:t>2.标前准备：投标人在开标前确保成为台州湾新区小额工程电子交易平台正式注册用户，并完成CA数字证书办理（办理流程详见平台官网附件：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信用信息</w:t>
            </w:r>
          </w:p>
          <w:p>
            <w:pPr>
              <w:spacing w:line="300" w:lineRule="auto"/>
              <w:jc w:val="center"/>
              <w:rPr>
                <w:rFonts w:ascii="宋体" w:hAnsi="宋体" w:cs="宋体"/>
              </w:rPr>
            </w:pPr>
            <w:r>
              <w:rPr>
                <w:rFonts w:hint="eastAsia" w:ascii="宋体" w:hAnsi="宋体" w:cs="宋体"/>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信用中国（网址：</w:t>
            </w:r>
            <w:r>
              <w:fldChar w:fldCharType="begin"/>
            </w:r>
            <w:r>
              <w:instrText xml:space="preserve"> HYPERLINK "http://www.creditchina.gov.cn" </w:instrText>
            </w:r>
            <w:r>
              <w:fldChar w:fldCharType="separate"/>
            </w:r>
            <w:r>
              <w:rPr>
                <w:rFonts w:hint="eastAsia" w:ascii="宋体" w:hAnsi="宋体" w:cs="宋体"/>
              </w:rPr>
              <w:t>http://www.creditchina.gov.cn</w:t>
            </w:r>
            <w:r>
              <w:rPr>
                <w:rFonts w:ascii="宋体" w:hAnsi="宋体" w:cs="宋体"/>
              </w:rPr>
              <w:fldChar w:fldCharType="end"/>
            </w:r>
            <w:r>
              <w:rPr>
                <w:rFonts w:hint="eastAsia" w:ascii="宋体" w:hAnsi="宋体" w:cs="宋体"/>
              </w:rPr>
              <w:t>）</w:t>
            </w:r>
          </w:p>
          <w:p>
            <w:pPr>
              <w:spacing w:line="300" w:lineRule="auto"/>
              <w:ind w:firstLine="420" w:firstLineChars="200"/>
              <w:rPr>
                <w:rFonts w:ascii="宋体" w:hAnsi="宋体" w:cs="宋体"/>
              </w:rPr>
            </w:pPr>
            <w:r>
              <w:rPr>
                <w:rFonts w:hint="eastAsia" w:ascii="宋体" w:hAnsi="宋体" w:cs="宋体"/>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 xml:space="preserve"> 以书面形式向采购人、采购代理机构递交质疑函。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lang w:val="zh-CN"/>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lang w:val="zh-CN"/>
              </w:rPr>
              <w:t>带“</w:t>
            </w:r>
            <w:r>
              <w:rPr>
                <w:rFonts w:hint="eastAsia" w:ascii="宋体" w:hAnsi="宋体" w:cs="宋体"/>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本招标文件解释权属于采购人和采购组织机构。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投标报价及费用</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rPr>
            </w:pPr>
            <w:r>
              <w:rPr>
                <w:rFonts w:hint="eastAsia" w:ascii="宋体" w:hAnsi="宋体" w:cs="宋体"/>
              </w:rPr>
              <w:t>本项目投标应以人民币报价；</w:t>
            </w:r>
          </w:p>
          <w:p>
            <w:pPr>
              <w:spacing w:line="300" w:lineRule="auto"/>
              <w:rPr>
                <w:rFonts w:ascii="宋体" w:hAnsi="宋体" w:cs="宋体"/>
              </w:rPr>
            </w:pPr>
            <w:r>
              <w:rPr>
                <w:rFonts w:hint="eastAsia" w:ascii="宋体" w:hAnsi="宋体" w:cs="宋体"/>
              </w:rPr>
              <w:t>不</w:t>
            </w:r>
            <w:r>
              <w:rPr>
                <w:rFonts w:hint="eastAsia" w:ascii="宋体" w:hAnsi="宋体" w:cs="宋体"/>
                <w:highlight w:val="none"/>
              </w:rPr>
              <w:t>论投标结果如何，投标人均应自行承担所有与投标有关的全部费用。</w:t>
            </w:r>
            <w:r>
              <w:rPr>
                <w:rFonts w:hint="eastAsia" w:ascii="宋体" w:hAnsi="宋体" w:cs="宋体"/>
                <w:szCs w:val="21"/>
                <w:highlight w:val="none"/>
              </w:rPr>
              <w:t>本项目招标代理服务费</w:t>
            </w:r>
            <w:r>
              <w:rPr>
                <w:rFonts w:hint="eastAsia" w:ascii="宋体" w:hAnsi="宋体" w:cs="宋体"/>
                <w:szCs w:val="21"/>
                <w:highlight w:val="none"/>
                <w:lang w:val="en-US" w:eastAsia="zh-CN"/>
              </w:rPr>
              <w:t>6000</w:t>
            </w:r>
            <w:r>
              <w:rPr>
                <w:rFonts w:hint="eastAsia" w:ascii="宋体" w:hAnsi="宋体" w:cs="宋体"/>
                <w:szCs w:val="21"/>
                <w:highlight w:val="none"/>
              </w:rPr>
              <w:t>元，由中标单位支付，请各投标人报价时综合考虑。</w:t>
            </w:r>
          </w:p>
        </w:tc>
      </w:tr>
    </w:tbl>
    <w:p>
      <w:pPr>
        <w:pStyle w:val="13"/>
        <w:snapToGrid w:val="0"/>
        <w:spacing w:line="360" w:lineRule="auto"/>
        <w:rPr>
          <w:rFonts w:asciiTheme="minorEastAsia" w:hAnsiTheme="minorEastAsia" w:eastAsiaTheme="minorEastAsia"/>
          <w:b/>
          <w:sz w:val="24"/>
        </w:rPr>
      </w:pPr>
    </w:p>
    <w:p>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pPr>
        <w:pStyle w:val="14"/>
        <w:numPr>
          <w:ilvl w:val="0"/>
          <w:numId w:val="8"/>
        </w:numPr>
        <w:spacing w:line="360" w:lineRule="auto"/>
        <w:ind w:left="0" w:leftChars="0"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总则</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Theme="minorEastAsia" w:hAnsiTheme="minorEastAsia" w:eastAsiaTheme="minorEastAsia"/>
          <w:sz w:val="24"/>
        </w:rPr>
        <w:t>投标</w:t>
      </w:r>
      <w:r>
        <w:rPr>
          <w:rFonts w:hint="eastAsia" w:asciiTheme="minorEastAsia" w:hAnsiTheme="minorEastAsia" w:eastAsiaTheme="minorEastAsia"/>
          <w:sz w:val="24"/>
        </w:rPr>
        <w:t>人</w:t>
      </w:r>
      <w:r>
        <w:rPr>
          <w:rFonts w:hint="eastAsia"/>
          <w:sz w:val="24"/>
        </w:rPr>
        <w:t>承担。</w:t>
      </w:r>
    </w:p>
    <w:p>
      <w:pPr>
        <w:numPr>
          <w:ilvl w:val="0"/>
          <w:numId w:val="8"/>
        </w:numPr>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pStyle w:val="10"/>
        <w:spacing w:line="360" w:lineRule="auto"/>
        <w:ind w:firstLine="480" w:firstLineChars="200"/>
      </w:pPr>
      <w:r>
        <w:t>本招标文件仅适用于本次招标公告中所涉及的项目和内容。</w:t>
      </w:r>
    </w:p>
    <w:p>
      <w:pPr>
        <w:snapToGrid w:val="0"/>
        <w:spacing w:before="156" w:beforeLines="50"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（三）当事人</w:t>
      </w:r>
    </w:p>
    <w:p>
      <w:pPr>
        <w:pStyle w:val="5"/>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asciiTheme="minorEastAsia" w:hAnsiTheme="minorEastAsia" w:eastAsiaTheme="minorEastAsia"/>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2.采购人：是指依法进行政府采购的国家机关、事业单位和团体组织；</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p>
    <w:p>
      <w:pPr>
        <w:snapToGrid w:val="0"/>
        <w:spacing w:line="360" w:lineRule="auto"/>
        <w:ind w:firstLine="480" w:firstLineChars="200"/>
        <w:rPr>
          <w:rFonts w:ascii="宋体" w:hAnsi="宋体"/>
          <w:sz w:val="24"/>
          <w:lang w:val="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p>
    <w:p>
      <w:pPr>
        <w:snapToGrid w:val="0"/>
        <w:spacing w:line="360" w:lineRule="auto"/>
        <w:ind w:firstLine="480" w:firstLineChars="200"/>
        <w:rPr>
          <w:sz w:val="24"/>
        </w:rPr>
      </w:pPr>
      <w:r>
        <w:rPr>
          <w:rFonts w:hint="eastAsia" w:ascii="宋体" w:hAnsi="宋体"/>
          <w:sz w:val="24"/>
        </w:rPr>
        <w:t>5</w:t>
      </w:r>
      <w:r>
        <w:rPr>
          <w:rFonts w:hint="eastAsia" w:ascii="宋体" w:hAnsi="宋体"/>
          <w:sz w:val="24"/>
          <w:lang w:val="zh-CN"/>
        </w:rPr>
        <w:t>.</w:t>
      </w:r>
      <w:r>
        <w:rPr>
          <w:rFonts w:hint="eastAsia" w:ascii="宋体" w:hAnsi="宋体"/>
          <w:sz w:val="24"/>
        </w:rPr>
        <w:t>联合体：</w:t>
      </w:r>
      <w:r>
        <w:rPr>
          <w:rFonts w:hint="eastAsia"/>
          <w:sz w:val="24"/>
        </w:rPr>
        <w:t>两个或两个以上法人或者其他组织可以组成一个联合体，以一个投标人的身份共同投标。</w:t>
      </w:r>
    </w:p>
    <w:p>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本项目不接受联合体投标。</w:t>
      </w:r>
    </w:p>
    <w:p>
      <w:pPr>
        <w:snapToGrid w:val="0"/>
        <w:spacing w:line="360" w:lineRule="auto"/>
        <w:ind w:firstLine="482" w:firstLineChars="200"/>
        <w:rPr>
          <w:b/>
          <w:bCs/>
          <w:sz w:val="24"/>
        </w:rPr>
      </w:pPr>
      <w:r>
        <w:rPr>
          <w:rFonts w:hint="eastAsia"/>
          <w:b/>
          <w:bCs/>
          <w:sz w:val="24"/>
        </w:rPr>
        <w:t>（五）</w:t>
      </w:r>
      <w:r>
        <w:rPr>
          <w:b/>
          <w:bCs/>
          <w:sz w:val="24"/>
        </w:rPr>
        <w:t>语言文字以及度量衡单位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1.投标文件以及投标人与</w:t>
      </w:r>
      <w:r>
        <w:rPr>
          <w:rFonts w:hint="eastAsia" w:ascii="宋体" w:hAnsi="宋体" w:cs="宋体" w:eastAsiaTheme="minorEastAsia"/>
          <w:kern w:val="0"/>
          <w:sz w:val="24"/>
          <w:lang w:eastAsia="zh-CN"/>
        </w:rPr>
        <w:t>台州中亿工程管理有限公司</w:t>
      </w:r>
      <w:r>
        <w:rPr>
          <w:rFonts w:hint="eastAsia" w:asciiTheme="minorEastAsia" w:hAnsiTheme="minorEastAsia" w:eastAsiaTheme="minor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2.所有计量均采用中国法定的计量单位。</w:t>
      </w:r>
    </w:p>
    <w:p>
      <w:pPr>
        <w:snapToGrid w:val="0"/>
        <w:spacing w:line="360" w:lineRule="auto"/>
        <w:ind w:firstLine="480" w:firstLineChars="200"/>
        <w:rPr>
          <w:sz w:val="24"/>
        </w:rPr>
      </w:pPr>
      <w:r>
        <w:rPr>
          <w:rFonts w:hint="eastAsia" w:asciiTheme="minorEastAsia" w:hAnsiTheme="minorEastAsia" w:eastAsiaTheme="minorEastAsia"/>
          <w:sz w:val="24"/>
        </w:rPr>
        <w:t>3.所有</w:t>
      </w:r>
      <w:r>
        <w:rPr>
          <w:sz w:val="24"/>
        </w:rPr>
        <w:t>报价一律使用人民币，货币单位：元。</w:t>
      </w:r>
    </w:p>
    <w:p>
      <w:pPr>
        <w:snapToGrid w:val="0"/>
        <w:spacing w:line="360" w:lineRule="auto"/>
        <w:ind w:firstLine="482" w:firstLineChars="200"/>
        <w:rPr>
          <w:b/>
          <w:bCs/>
          <w:sz w:val="24"/>
        </w:rPr>
      </w:pPr>
      <w:r>
        <w:rPr>
          <w:rFonts w:hint="eastAsia"/>
          <w:b/>
          <w:bCs/>
          <w:sz w:val="24"/>
        </w:rPr>
        <w:t>（六）</w:t>
      </w:r>
      <w:r>
        <w:rPr>
          <w:b/>
          <w:bCs/>
          <w:sz w:val="24"/>
        </w:rPr>
        <w:t>现场踏勘</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1.本项目不组织现场踏勘。</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2.投标人自行承担踏勘现场发生的责任、风险和自身费用。</w:t>
      </w:r>
    </w:p>
    <w:p>
      <w:pPr>
        <w:snapToGrid w:val="0"/>
        <w:spacing w:line="360" w:lineRule="auto"/>
        <w:ind w:firstLine="480" w:firstLineChars="200"/>
        <w:rPr>
          <w:sz w:val="24"/>
        </w:rPr>
      </w:pPr>
      <w:r>
        <w:rPr>
          <w:rFonts w:hint="eastAsia" w:asciiTheme="minorEastAsia" w:hAnsiTheme="minorEastAsia" w:eastAsiaTheme="minorEastAsia"/>
          <w:sz w:val="24"/>
        </w:rPr>
        <w:t>3.采购人</w:t>
      </w:r>
      <w:r>
        <w:rPr>
          <w:sz w:val="24"/>
        </w:rPr>
        <w:t>在踏勘现场中介绍的资料和数据等，不构成对招标文件的修改或不作为投标人编制投标文件的依据。</w:t>
      </w:r>
    </w:p>
    <w:p>
      <w:pPr>
        <w:pStyle w:val="13"/>
        <w:snapToGrid w:val="0"/>
        <w:spacing w:line="360" w:lineRule="auto"/>
        <w:ind w:left="2" w:leftChars="1" w:firstLine="482" w:firstLineChars="200"/>
        <w:rPr>
          <w:rFonts w:hAnsi="宋体"/>
          <w:b/>
          <w:sz w:val="24"/>
        </w:rPr>
      </w:pPr>
      <w:r>
        <w:rPr>
          <w:rFonts w:hint="eastAsia" w:hAnsi="宋体"/>
          <w:b/>
          <w:sz w:val="24"/>
        </w:rPr>
        <w:t>（七）特别说明</w:t>
      </w:r>
    </w:p>
    <w:p>
      <w:pPr>
        <w:pStyle w:val="13"/>
        <w:snapToGrid w:val="0"/>
        <w:spacing w:line="360" w:lineRule="auto"/>
        <w:ind w:left="2" w:leftChars="1"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投标人投标所使用的资格、信誉、荣誉、业绩与企业认证必须为本法人所拥有</w:t>
      </w:r>
      <w:r>
        <w:rPr>
          <w:rFonts w:hint="eastAsia" w:asciiTheme="minorEastAsia" w:hAnsiTheme="minorEastAsia" w:eastAsiaTheme="minorEastAsia"/>
          <w:sz w:val="24"/>
        </w:rPr>
        <w:t>且所提供的资料都是真实有效的</w:t>
      </w:r>
      <w:r>
        <w:rPr>
          <w:rFonts w:asciiTheme="minorEastAsia" w:hAnsiTheme="minorEastAsia" w:eastAsiaTheme="minorEastAsia"/>
          <w:sz w:val="24"/>
        </w:rPr>
        <w:t>。投标人投标所使用的采购项目实施人员必须为本法人员工。</w:t>
      </w:r>
    </w:p>
    <w:p>
      <w:pPr>
        <w:pStyle w:val="34"/>
        <w:snapToGrid w:val="0"/>
        <w:spacing w:line="360" w:lineRule="auto"/>
        <w:ind w:firstLine="480"/>
        <w:rPr>
          <w:rFonts w:ascii="宋体" w:hAnsi="宋体" w:cs="宋体"/>
          <w:sz w:val="24"/>
          <w:szCs w:val="24"/>
        </w:rPr>
      </w:pPr>
      <w:r>
        <w:rPr>
          <w:rFonts w:hint="eastAsia" w:asciiTheme="minorEastAsia" w:hAnsiTheme="minorEastAsia" w:eastAsiaTheme="minorEastAsia" w:cstheme="minorBidi"/>
          <w:sz w:val="24"/>
          <w:szCs w:val="24"/>
        </w:rPr>
        <w:t>2.</w:t>
      </w:r>
      <w:r>
        <w:rPr>
          <w:rFonts w:hint="eastAsia" w:ascii="宋体" w:hAnsi="宋体" w:cs="宋体"/>
          <w:sz w:val="24"/>
          <w:szCs w:val="24"/>
        </w:rPr>
        <w:t>本招标文件中关于电子招投标的内容、流程，如与台州湾新区小额工程电子交易平台系统中最新的内容、操作不一致的，以台州湾新区小额工程电子交易平台系统中的要求为准。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pPr>
        <w:pStyle w:val="34"/>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pPr>
        <w:pStyle w:val="34"/>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pPr>
        <w:pStyle w:val="34"/>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pPr>
        <w:pStyle w:val="34"/>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3日前在浙江省政府采购网上以更正公告的形式通知各潜在的投标人；不足3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pPr>
        <w:pStyle w:val="6"/>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kern w:val="0"/>
          <w:sz w:val="24"/>
        </w:rPr>
        <w:t>投标人获取招标文件后，按照采购组织机构的要求提供：资格标、技术标和商务标</w:t>
      </w:r>
      <w:r>
        <w:rPr>
          <w:rFonts w:hint="eastAsia" w:asciiTheme="minorEastAsia" w:hAnsiTheme="minorEastAsia" w:eastAsiaTheme="minorEastAsia"/>
          <w:kern w:val="0"/>
          <w:sz w:val="24"/>
          <w:lang w:val="zh-CN"/>
        </w:rPr>
        <w:t>。若参与多标项投标的，则按每个标项分别独立编制投标文件。</w:t>
      </w:r>
    </w:p>
    <w:p>
      <w:pPr>
        <w:snapToGrid w:val="0"/>
        <w:spacing w:line="360" w:lineRule="auto"/>
        <w:ind w:firstLine="482" w:firstLineChars="200"/>
        <w:rPr>
          <w:rFonts w:asciiTheme="minorEastAsia" w:hAnsiTheme="minorEastAsia" w:eastAsiaTheme="minorEastAsia"/>
          <w:kern w:val="0"/>
          <w:sz w:val="24"/>
        </w:rPr>
      </w:pPr>
      <w:r>
        <w:rPr>
          <w:rFonts w:hint="eastAsia" w:ascii="宋体" w:hAnsi="宋体" w:cs="宋体"/>
          <w:b/>
          <w:sz w:val="24"/>
        </w:rPr>
        <w:t>▲</w:t>
      </w:r>
      <w:r>
        <w:rPr>
          <w:rFonts w:hint="eastAsia" w:asciiTheme="minorEastAsia" w:hAnsiTheme="minorEastAsia" w:eastAsiaTheme="minorEastAsia"/>
          <w:b/>
          <w:sz w:val="24"/>
        </w:rPr>
        <w:t>1.资格标</w:t>
      </w:r>
      <w:r>
        <w:rPr>
          <w:rFonts w:hint="eastAsia" w:ascii="宋体" w:hAnsi="宋体"/>
          <w:b/>
          <w:sz w:val="24"/>
        </w:rPr>
        <w:t>组成</w:t>
      </w:r>
    </w:p>
    <w:p>
      <w:pPr>
        <w:snapToGrid w:val="0"/>
        <w:spacing w:line="360" w:lineRule="auto"/>
        <w:ind w:firstLine="480" w:firstLineChars="200"/>
        <w:rPr>
          <w:rFonts w:ascii="宋体" w:hAnsi="宋体" w:cs="宋体"/>
          <w:sz w:val="24"/>
        </w:rPr>
      </w:pPr>
      <w:r>
        <w:rPr>
          <w:rFonts w:hint="eastAsia" w:ascii="宋体" w:hAnsi="宋体" w:cs="宋体"/>
          <w:sz w:val="24"/>
        </w:rPr>
        <w:t>（1）投标声明书（详见附件）；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（2）授权委托书（法定代表人亲自办理投标事宜的，则无需提交；详见附件）；</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（3）法人或者其他组织的营业执照等证明文件；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4</w:t>
      </w:r>
      <w:r>
        <w:rPr>
          <w:rFonts w:hint="eastAsia" w:ascii="宋体" w:hAnsi="宋体" w:cs="宋体"/>
          <w:sz w:val="24"/>
          <w:highlight w:val="none"/>
        </w:rPr>
        <w:t>）具有依法缴纳税收和社会保障资金证明的承诺函（详见附件）；</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）具有良好的商业信誉和健全的财务会计制度的承诺函（详见附件）；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（6）具有履行合同所必须的设备和专业技术能力的承诺函（详见附件）；</w:t>
      </w:r>
    </w:p>
    <w:p>
      <w:pPr>
        <w:snapToGrid w:val="0"/>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）需要说明的其他资料。</w:t>
      </w:r>
    </w:p>
    <w:p>
      <w:pPr>
        <w:snapToGrid w:val="0"/>
        <w:spacing w:line="360" w:lineRule="auto"/>
        <w:ind w:firstLine="482" w:firstLineChars="200"/>
        <w:rPr>
          <w:rFonts w:ascii="宋体" w:hAnsi="宋体"/>
          <w:b/>
          <w:sz w:val="24"/>
        </w:rPr>
      </w:pPr>
      <w:r>
        <w:rPr>
          <w:rFonts w:hint="eastAsia" w:asciiTheme="minorEastAsia" w:hAnsiTheme="minorEastAsia" w:eastAsiaTheme="minorEastAsia"/>
          <w:b/>
          <w:sz w:val="24"/>
        </w:rPr>
        <w:t>2.</w:t>
      </w:r>
      <w:r>
        <w:rPr>
          <w:rFonts w:hint="eastAsia" w:ascii="宋体" w:hAnsi="宋体" w:eastAsiaTheme="minorEastAsia"/>
          <w:b/>
          <w:sz w:val="24"/>
        </w:rPr>
        <w:t>技术标</w:t>
      </w:r>
      <w:r>
        <w:rPr>
          <w:rFonts w:hint="eastAsia" w:ascii="宋体" w:hAnsi="宋体"/>
          <w:b/>
          <w:sz w:val="24"/>
        </w:rPr>
        <w:t>组成</w:t>
      </w:r>
    </w:p>
    <w:p>
      <w:pPr>
        <w:snapToGrid w:val="0"/>
        <w:spacing w:line="360" w:lineRule="auto"/>
        <w:ind w:firstLine="480" w:firstLineChars="200"/>
        <w:rPr>
          <w:rFonts w:ascii="宋体" w:hAnsi="宋体"/>
          <w:bCs/>
          <w:sz w:val="24"/>
          <w:highlight w:val="none"/>
        </w:rPr>
      </w:pPr>
      <w:r>
        <w:rPr>
          <w:rFonts w:hint="eastAsia" w:ascii="宋体" w:hAnsi="宋体"/>
          <w:bCs/>
          <w:sz w:val="24"/>
          <w:highlight w:val="none"/>
        </w:rPr>
        <w:t>（</w:t>
      </w:r>
      <w:r>
        <w:rPr>
          <w:rFonts w:ascii="宋体" w:hAnsi="宋体"/>
          <w:bCs/>
          <w:sz w:val="24"/>
          <w:highlight w:val="none"/>
        </w:rPr>
        <w:t>1）</w:t>
      </w:r>
      <w:r>
        <w:rPr>
          <w:rFonts w:hint="eastAsia" w:ascii="宋体" w:hAnsi="宋体"/>
          <w:bCs/>
          <w:sz w:val="24"/>
          <w:highlight w:val="none"/>
        </w:rPr>
        <w:t>投标人基本情况表（详见附件）；</w:t>
      </w:r>
    </w:p>
    <w:p>
      <w:pPr>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）其余内容根据评标办法自拟（详见格式附件）</w:t>
      </w:r>
      <w:r>
        <w:rPr>
          <w:rFonts w:hint="eastAsia" w:ascii="宋体" w:hAnsi="宋体" w:eastAsia="宋体" w:cs="宋体"/>
          <w:kern w:val="0"/>
          <w:sz w:val="24"/>
          <w:highlight w:val="none"/>
        </w:rPr>
        <w:t>；</w:t>
      </w:r>
    </w:p>
    <w:p>
      <w:pPr>
        <w:pStyle w:val="6"/>
        <w:widowControl/>
        <w:numPr>
          <w:ilvl w:val="255"/>
          <w:numId w:val="0"/>
        </w:numPr>
        <w:snapToGrid w:val="0"/>
        <w:spacing w:line="360" w:lineRule="auto"/>
        <w:ind w:firstLine="480" w:firstLineChars="200"/>
        <w:rPr>
          <w:rFonts w:ascii="宋体" w:hAnsi="宋体"/>
          <w:bCs/>
          <w:sz w:val="24"/>
          <w:highlight w:val="none"/>
        </w:rPr>
      </w:pPr>
      <w:r>
        <w:rPr>
          <w:rFonts w:hint="eastAsia" w:ascii="宋体" w:hAnsi="宋体" w:eastAsia="宋体" w:cs="宋体"/>
          <w:sz w:val="24"/>
          <w:szCs w:val="21"/>
          <w:highlight w:val="none"/>
        </w:rPr>
        <w:t>（</w:t>
      </w:r>
      <w:r>
        <w:rPr>
          <w:rFonts w:hint="eastAsia" w:ascii="宋体" w:hAnsi="宋体" w:eastAsia="宋体" w:cs="宋体"/>
          <w:sz w:val="24"/>
          <w:szCs w:val="21"/>
          <w:highlight w:val="none"/>
          <w:lang w:val="en-US" w:eastAsia="zh-CN"/>
        </w:rPr>
        <w:t>3</w:t>
      </w:r>
      <w:r>
        <w:rPr>
          <w:rFonts w:hint="eastAsia" w:ascii="宋体" w:hAnsi="宋体" w:eastAsia="宋体" w:cs="宋体"/>
          <w:sz w:val="24"/>
          <w:szCs w:val="21"/>
          <w:highlight w:val="none"/>
        </w:rPr>
        <w:t>）投标人认为需要提供的其他资料</w:t>
      </w:r>
      <w:r>
        <w:rPr>
          <w:rFonts w:hint="eastAsia" w:ascii="宋体" w:hAnsi="宋体" w:eastAsia="宋体" w:cs="宋体"/>
          <w:kern w:val="0"/>
          <w:sz w:val="24"/>
          <w:highlight w:val="none"/>
        </w:rPr>
        <w:t>。</w:t>
      </w:r>
    </w:p>
    <w:p>
      <w:pPr>
        <w:autoSpaceDE w:val="0"/>
        <w:autoSpaceDN w:val="0"/>
        <w:adjustRightInd w:val="0"/>
        <w:spacing w:line="360" w:lineRule="auto"/>
        <w:ind w:firstLine="482" w:firstLineChars="200"/>
        <w:rPr>
          <w:rFonts w:hint="eastAsia" w:asciiTheme="minorEastAsia" w:hAnsiTheme="minorEastAsia" w:eastAsiaTheme="minorEastAsia"/>
          <w:b/>
          <w:kern w:val="0"/>
          <w:sz w:val="24"/>
        </w:rPr>
      </w:pPr>
      <w:r>
        <w:rPr>
          <w:rFonts w:hint="eastAsia" w:ascii="宋体" w:hAnsi="宋体" w:eastAsia="宋体" w:cs="宋体"/>
          <w:b/>
          <w:kern w:val="0"/>
          <w:sz w:val="24"/>
          <w:highlight w:val="none"/>
        </w:rPr>
        <w:t>招标需求中要求提供的相关证明材料及根据评标办法提供的证明材料均需在磋商响应文件中提供扫描件。</w:t>
      </w:r>
    </w:p>
    <w:p>
      <w:pPr>
        <w:autoSpaceDE w:val="0"/>
        <w:autoSpaceDN w:val="0"/>
        <w:adjustRightInd w:val="0"/>
        <w:spacing w:line="360" w:lineRule="auto"/>
        <w:ind w:left="426" w:firstLine="65" w:firstLineChars="27"/>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3、商务标组成</w:t>
      </w:r>
    </w:p>
    <w:p>
      <w:pPr>
        <w:autoSpaceDE w:val="0"/>
        <w:autoSpaceDN w:val="0"/>
        <w:adjustRightInd w:val="0"/>
        <w:spacing w:line="360" w:lineRule="auto"/>
        <w:ind w:firstLine="480" w:firstLineChars="20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（1）开标一览表（详见附件）；</w:t>
      </w:r>
    </w:p>
    <w:p>
      <w:pPr>
        <w:autoSpaceDE w:val="0"/>
        <w:autoSpaceDN w:val="0"/>
        <w:adjustRightInd w:val="0"/>
        <w:spacing w:line="360" w:lineRule="auto"/>
        <w:ind w:firstLine="480" w:firstLineChars="200"/>
        <w:rPr>
          <w:rFonts w:hint="eastAsia" w:asciiTheme="minorEastAsia" w:hAnsiTheme="minorEastAsia" w:eastAsiaTheme="minorEastAsia"/>
          <w:kern w:val="0"/>
          <w:sz w:val="24"/>
          <w:highlight w:val="none"/>
          <w:lang w:eastAsia="zh-CN"/>
        </w:rPr>
      </w:pPr>
      <w:r>
        <w:rPr>
          <w:rFonts w:hint="eastAsia" w:asciiTheme="minorEastAsia" w:hAnsiTheme="minorEastAsia" w:eastAsiaTheme="minorEastAsia"/>
          <w:kern w:val="0"/>
          <w:sz w:val="24"/>
          <w:highlight w:val="none"/>
          <w:lang w:eastAsia="zh-CN"/>
        </w:rPr>
        <w:t>（</w:t>
      </w:r>
      <w:r>
        <w:rPr>
          <w:rFonts w:hint="eastAsia" w:asciiTheme="minorEastAsia" w:hAnsiTheme="minorEastAsia" w:eastAsiaTheme="minorEastAsia"/>
          <w:kern w:val="0"/>
          <w:sz w:val="24"/>
          <w:highlight w:val="none"/>
          <w:lang w:val="en-US" w:eastAsia="zh-CN"/>
        </w:rPr>
        <w:t>2</w:t>
      </w:r>
      <w:r>
        <w:rPr>
          <w:rFonts w:hint="eastAsia" w:asciiTheme="minorEastAsia" w:hAnsiTheme="minorEastAsia" w:eastAsiaTheme="minorEastAsia"/>
          <w:kern w:val="0"/>
          <w:sz w:val="24"/>
          <w:highlight w:val="none"/>
          <w:lang w:eastAsia="zh-CN"/>
        </w:rPr>
        <w:t>）报价明细表</w:t>
      </w:r>
      <w:r>
        <w:rPr>
          <w:rFonts w:hint="eastAsia" w:asciiTheme="minorEastAsia" w:hAnsiTheme="minorEastAsia" w:eastAsiaTheme="minorEastAsia"/>
          <w:kern w:val="0"/>
          <w:sz w:val="24"/>
          <w:highlight w:val="none"/>
        </w:rPr>
        <w:t>（详见附件）</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hint="eastAsia" w:asciiTheme="minorEastAsia" w:hAnsiTheme="minorEastAsia" w:eastAsiaTheme="minorEastAsia"/>
          <w:kern w:val="0"/>
          <w:sz w:val="24"/>
          <w:lang w:val="en-US" w:eastAsia="zh-CN"/>
        </w:rPr>
        <w:t>3</w:t>
      </w:r>
      <w:r>
        <w:rPr>
          <w:rFonts w:hint="eastAsia" w:asciiTheme="minorEastAsia" w:hAnsiTheme="minorEastAsia" w:eastAsiaTheme="minorEastAsia"/>
          <w:kern w:val="0"/>
          <w:sz w:val="24"/>
        </w:rPr>
        <w:t>）针对报价投标人认为其他需要说明的。</w:t>
      </w:r>
    </w:p>
    <w:p>
      <w:pPr>
        <w:autoSpaceDE w:val="0"/>
        <w:autoSpaceDN w:val="0"/>
        <w:adjustRightInd w:val="0"/>
        <w:spacing w:line="360" w:lineRule="auto"/>
        <w:ind w:firstLine="482" w:firstLineChars="200"/>
        <w:rPr>
          <w:rFonts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（二）投标报价</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1.投标人应按照招标需求内容、责任范围以及合同条款进行报价。并按“开标一览表”规定的格式报出总价。投标总价中不得包含招标文件要求以外的内容，否则，在评标时不予核减。</w:t>
      </w:r>
    </w:p>
    <w:p>
      <w:pPr>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2.投标报价是履行合同的最终价格，</w:t>
      </w:r>
      <w:r>
        <w:rPr>
          <w:rFonts w:hint="eastAsia" w:ascii="宋体" w:hAnsi="宋体"/>
          <w:bCs/>
          <w:spacing w:val="-4"/>
          <w:sz w:val="24"/>
          <w:lang w:bidi="ar"/>
        </w:rPr>
        <w:t>应包括主件、标准附件、备品备件、施工、服务、专用工具、安装、调试、检验、培训、运输、保险、税款等政策性文件规定及合同包含的所有风险、责任</w:t>
      </w:r>
      <w:r>
        <w:rPr>
          <w:rFonts w:hint="eastAsia" w:ascii="宋体" w:hAnsi="宋体"/>
          <w:bCs/>
          <w:spacing w:val="-4"/>
          <w:sz w:val="24"/>
          <w:lang w:eastAsia="zh-CN" w:bidi="ar"/>
        </w:rPr>
        <w:t>等</w:t>
      </w:r>
      <w:r>
        <w:rPr>
          <w:rFonts w:hint="eastAsia" w:ascii="宋体" w:hAnsi="宋体"/>
          <w:bCs/>
          <w:spacing w:val="-4"/>
          <w:sz w:val="24"/>
          <w:lang w:bidi="ar"/>
        </w:rPr>
        <w:t>所有费用</w:t>
      </w:r>
      <w:r>
        <w:rPr>
          <w:rFonts w:hint="eastAsia" w:asciiTheme="minorEastAsia" w:hAnsiTheme="minorEastAsia" w:eastAsiaTheme="minorEastAsia"/>
          <w:bCs/>
          <w:kern w:val="0"/>
          <w:sz w:val="24"/>
        </w:rPr>
        <w:t>。供应商须充分考虑实际服务内容和需求，针对自身实际情况，核算所需的成本及合理的利润，自行报价，结算时由供应商开具正式发票。各投标人应根据招标人提供的技术资料以及本</w:t>
      </w:r>
      <w:r>
        <w:rPr>
          <w:rFonts w:hint="eastAsia" w:asciiTheme="minorEastAsia" w:hAnsiTheme="minorEastAsia" w:eastAsiaTheme="minorEastAsia"/>
          <w:bCs/>
          <w:kern w:val="0"/>
          <w:sz w:val="24"/>
          <w:lang w:eastAsia="zh-CN"/>
        </w:rPr>
        <w:t>项目</w:t>
      </w:r>
      <w:r>
        <w:rPr>
          <w:rFonts w:hint="eastAsia" w:asciiTheme="minorEastAsia" w:hAnsiTheme="minorEastAsia" w:eastAsiaTheme="minorEastAsia"/>
          <w:bCs/>
          <w:kern w:val="0"/>
          <w:sz w:val="24"/>
        </w:rPr>
        <w:t>实际情况和自身的综合实力，竞报投标报价。总报价以人民币元计。知识产权等由投标人在投标报价时综合考虑，以后不作任何调整。</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pPr>
        <w:pStyle w:val="6"/>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pPr>
        <w:pStyle w:val="6"/>
        <w:spacing w:line="360" w:lineRule="auto"/>
        <w:ind w:firstLine="480" w:firstLineChars="200"/>
        <w:rPr>
          <w:rFonts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1.投标文件有效期为</w:t>
      </w:r>
      <w:r>
        <w:rPr>
          <w:rFonts w:hint="eastAsia" w:asciiTheme="minorEastAsia" w:hAnsiTheme="minorEastAsia" w:eastAsiaTheme="minorEastAsia" w:cstheme="minorEastAsia"/>
          <w:sz w:val="24"/>
          <w:lang w:val="en-GB"/>
        </w:rPr>
        <w:t>投标截止日起90天。</w:t>
      </w:r>
    </w:p>
    <w:p>
      <w:pPr>
        <w:pStyle w:val="6"/>
        <w:spacing w:line="360" w:lineRule="auto"/>
        <w:ind w:firstLine="480" w:firstLineChars="200"/>
        <w:rPr>
          <w:rFonts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GB"/>
        </w:rPr>
        <w:t>在特殊情况下，采购人可与投标人协商延长投标文件的有效期。</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3.中标人的投标文件自开标之日起至合同履行完毕均应保持有效。</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1.投标文件需由法定代表人或经其正式授权的代表签字或盖章。授权代表须出具书面授权证明，其《法定代表人授权书》应附在投标文件中。</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如采购组织机构延长截止时间和开标时间，采购组织机构和投标人的权利和义务将受到新的截止时间和开标时间的约束。</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pPr>
        <w:pStyle w:val="13"/>
        <w:snapToGrid w:val="0"/>
        <w:spacing w:line="360" w:lineRule="auto"/>
        <w:ind w:firstLine="413" w:firstLineChars="196"/>
        <w:rPr>
          <w:rFonts w:hAnsi="宋体"/>
          <w:b/>
          <w:bCs/>
        </w:rPr>
      </w:pPr>
      <w:r>
        <w:rPr>
          <w:rFonts w:hAnsi="宋体"/>
          <w:b/>
          <w:bCs/>
        </w:rPr>
        <w:t>（一）开标</w:t>
      </w:r>
    </w:p>
    <w:p>
      <w:pPr>
        <w:pStyle w:val="20"/>
        <w:widowControl w:val="0"/>
        <w:snapToGrid w:val="0"/>
        <w:spacing w:before="156" w:beforeLines="50" w:beforeAutospacing="0" w:after="0" w:afterAutospacing="0" w:line="360" w:lineRule="auto"/>
        <w:ind w:firstLine="480" w:firstLineChars="200"/>
        <w:jc w:val="both"/>
        <w:rPr>
          <w:rFonts w:hint="default"/>
          <w:bCs/>
        </w:rPr>
      </w:pPr>
      <w:r>
        <w:rPr>
          <w:szCs w:val="21"/>
        </w:rPr>
        <w:t>投标人代表一律不参加现场开标，通过在线直播参与监督开标过程。直播网络地址：</w:t>
      </w:r>
      <w:r>
        <w:fldChar w:fldCharType="begin"/>
      </w:r>
      <w:r>
        <w:instrText xml:space="preserve"> HYPERLINK "http://www.tzwztb.com/live/" </w:instrText>
      </w:r>
      <w:r>
        <w:fldChar w:fldCharType="separate"/>
      </w:r>
      <w:r>
        <w:rPr>
          <w:rStyle w:val="28"/>
        </w:rPr>
        <w:t>http://www.tzwztb.com/live/</w:t>
      </w:r>
      <w:r>
        <w:rPr>
          <w:rStyle w:val="28"/>
        </w:rPr>
        <w:fldChar w:fldCharType="end"/>
      </w:r>
      <w:r>
        <w:rPr>
          <w:rFonts w:hint="default"/>
        </w:rPr>
        <w:t xml:space="preserve"> </w:t>
      </w:r>
      <w:r>
        <w:t>。</w:t>
      </w:r>
    </w:p>
    <w:p>
      <w:pPr>
        <w:pStyle w:val="13"/>
        <w:snapToGrid w:val="0"/>
        <w:spacing w:before="120" w:after="120" w:line="360" w:lineRule="auto"/>
        <w:ind w:firstLine="482" w:firstLineChars="200"/>
        <w:rPr>
          <w:rFonts w:hAnsi="宋体" w:cs="宋体"/>
          <w:b/>
          <w:bCs/>
          <w:sz w:val="24"/>
        </w:rPr>
      </w:pPr>
      <w:r>
        <w:rPr>
          <w:rFonts w:hAnsi="宋体" w:cs="宋体"/>
          <w:b/>
          <w:bCs/>
          <w:sz w:val="24"/>
        </w:rPr>
        <w:t>（二） 开标程序：</w:t>
      </w:r>
    </w:p>
    <w:p>
      <w:pPr>
        <w:snapToGrid w:val="0"/>
        <w:spacing w:line="360" w:lineRule="auto"/>
        <w:ind w:firstLine="480" w:firstLineChars="200"/>
        <w:rPr>
          <w:rFonts w:ascii="宋体" w:hAnsi="宋体" w:cs="宋体"/>
          <w:sz w:val="24"/>
        </w:rPr>
      </w:pPr>
      <w:r>
        <w:rPr>
          <w:rFonts w:ascii="宋体" w:hAnsi="宋体" w:cs="宋体"/>
          <w:sz w:val="24"/>
        </w:rPr>
        <w:t>1、开标由采购代理机构工作人员主持</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ascii="宋体" w:hAnsi="宋体" w:cs="宋体"/>
          <w:sz w:val="24"/>
        </w:rPr>
        <w:t>2、投标人</w:t>
      </w:r>
      <w:r>
        <w:rPr>
          <w:rFonts w:hint="eastAsia" w:ascii="宋体" w:hAnsi="宋体" w:cs="宋体"/>
          <w:sz w:val="24"/>
        </w:rPr>
        <w:t>可</w:t>
      </w:r>
      <w:r>
        <w:rPr>
          <w:rFonts w:ascii="宋体" w:hAnsi="宋体" w:cs="宋体"/>
          <w:sz w:val="24"/>
        </w:rPr>
        <w:t>进行在线</w:t>
      </w:r>
      <w:r>
        <w:rPr>
          <w:rFonts w:hint="eastAsia" w:ascii="宋体" w:hAnsi="宋体" w:cs="宋体"/>
          <w:sz w:val="24"/>
        </w:rPr>
        <w:t>沟通</w:t>
      </w:r>
      <w:r>
        <w:rPr>
          <w:rFonts w:ascii="宋体" w:hAnsi="宋体" w:cs="宋体"/>
          <w:sz w:val="24"/>
        </w:rPr>
        <w:t>。</w:t>
      </w:r>
    </w:p>
    <w:p>
      <w:pPr>
        <w:snapToGrid w:val="0"/>
        <w:spacing w:line="360" w:lineRule="auto"/>
        <w:ind w:firstLine="480" w:firstLineChars="200"/>
        <w:rPr>
          <w:rFonts w:ascii="宋体" w:hAnsi="宋体" w:cs="宋体"/>
          <w:sz w:val="24"/>
        </w:rPr>
      </w:pPr>
      <w:r>
        <w:rPr>
          <w:rFonts w:ascii="宋体" w:hAnsi="宋体" w:cs="宋体"/>
          <w:sz w:val="24"/>
        </w:rPr>
        <w:t>3、采购人依法对资格文件进行审查，评标委员会对技术文件进行评审。</w:t>
      </w:r>
    </w:p>
    <w:p>
      <w:pPr>
        <w:snapToGrid w:val="0"/>
        <w:spacing w:line="360" w:lineRule="auto"/>
        <w:ind w:firstLine="480" w:firstLineChars="200"/>
        <w:rPr>
          <w:rFonts w:ascii="宋体" w:hAnsi="宋体" w:cs="宋体"/>
          <w:sz w:val="24"/>
        </w:rPr>
      </w:pPr>
      <w:r>
        <w:rPr>
          <w:rFonts w:ascii="宋体" w:hAnsi="宋体" w:cs="宋体"/>
          <w:sz w:val="24"/>
        </w:rPr>
        <w:t>4、技术文件评审完成后，主持人宣告技术文件评审无效投标人名称及理由，公布经技术文件评审符合采购需求的投标人名单以及技术文件得分情况。</w:t>
      </w:r>
    </w:p>
    <w:p>
      <w:pPr>
        <w:snapToGrid w:val="0"/>
        <w:spacing w:line="360" w:lineRule="auto"/>
        <w:ind w:firstLine="480" w:firstLineChars="200"/>
        <w:rPr>
          <w:rFonts w:ascii="宋体" w:hAnsi="宋体" w:cs="宋体"/>
          <w:sz w:val="24"/>
        </w:rPr>
      </w:pPr>
      <w:r>
        <w:rPr>
          <w:rFonts w:ascii="宋体" w:hAnsi="宋体" w:cs="宋体"/>
          <w:sz w:val="24"/>
        </w:rPr>
        <w:t>5、开启各投标人</w:t>
      </w:r>
      <w:r>
        <w:rPr>
          <w:rFonts w:hint="eastAsia" w:ascii="宋体" w:hAnsi="宋体" w:cs="宋体"/>
          <w:sz w:val="24"/>
        </w:rPr>
        <w:t>商务</w:t>
      </w:r>
      <w:r>
        <w:rPr>
          <w:rFonts w:ascii="宋体" w:hAnsi="宋体" w:cs="宋体"/>
          <w:sz w:val="24"/>
        </w:rPr>
        <w:t>文件。</w:t>
      </w:r>
    </w:p>
    <w:p>
      <w:pPr>
        <w:snapToGrid w:val="0"/>
        <w:spacing w:line="360" w:lineRule="auto"/>
        <w:ind w:firstLine="480" w:firstLineChars="200"/>
        <w:rPr>
          <w:rFonts w:ascii="宋体" w:hAnsi="宋体" w:cs="宋体"/>
          <w:sz w:val="24"/>
          <w:lang w:val="zh-CN"/>
        </w:rPr>
      </w:pPr>
      <w:r>
        <w:rPr>
          <w:rFonts w:ascii="宋体" w:hAnsi="宋体" w:cs="宋体"/>
          <w:sz w:val="24"/>
        </w:rPr>
        <w:t>6、当场制作并打印开标记录表，由记录人、监督人当场签字确认。唱标结束后，由评标委员会对报价的合理性、准确性等进行审查核实。</w:t>
      </w:r>
    </w:p>
    <w:p>
      <w:pPr>
        <w:snapToGrid w:val="0"/>
        <w:spacing w:line="360" w:lineRule="auto"/>
        <w:ind w:firstLine="480" w:firstLineChars="200"/>
        <w:rPr>
          <w:rFonts w:ascii="宋体" w:hAnsi="宋体" w:cs="宋体"/>
          <w:sz w:val="24"/>
        </w:rPr>
      </w:pPr>
      <w:r>
        <w:rPr>
          <w:rFonts w:ascii="宋体" w:hAnsi="宋体" w:cs="宋体"/>
          <w:sz w:val="24"/>
        </w:rPr>
        <w:t>7、评标结束后，主持人公布投标</w:t>
      </w:r>
      <w:r>
        <w:rPr>
          <w:rFonts w:hint="eastAsia" w:ascii="宋体" w:hAnsi="宋体" w:cs="宋体"/>
          <w:sz w:val="24"/>
        </w:rPr>
        <w:t>商务</w:t>
      </w:r>
      <w:r>
        <w:rPr>
          <w:rFonts w:ascii="宋体" w:hAnsi="宋体" w:cs="宋体"/>
          <w:sz w:val="24"/>
        </w:rPr>
        <w:t>得分、综合得分以及推荐中标候选人排序名单。</w:t>
      </w:r>
    </w:p>
    <w:p>
      <w:pPr>
        <w:snapToGrid w:val="0"/>
        <w:spacing w:line="360" w:lineRule="auto"/>
        <w:ind w:firstLine="480" w:firstLineChars="200"/>
        <w:rPr>
          <w:rFonts w:ascii="宋体" w:hAnsi="宋体" w:cs="宋体"/>
          <w:sz w:val="24"/>
        </w:rPr>
      </w:pPr>
      <w:r>
        <w:rPr>
          <w:rFonts w:ascii="宋体" w:hAnsi="宋体" w:cs="宋体"/>
          <w:sz w:val="24"/>
        </w:rPr>
        <w:t>8、开标会议结束。</w:t>
      </w:r>
    </w:p>
    <w:p>
      <w:pPr>
        <w:snapToGrid w:val="0"/>
        <w:spacing w:line="360" w:lineRule="auto"/>
        <w:ind w:firstLine="480" w:firstLineChars="200"/>
        <w:rPr>
          <w:rFonts w:ascii="宋体" w:hAnsi="宋体" w:cs="宋体"/>
          <w:sz w:val="24"/>
        </w:rPr>
      </w:pPr>
      <w:r>
        <w:rPr>
          <w:rFonts w:ascii="宋体" w:hAnsi="宋体" w:cs="宋体"/>
          <w:sz w:val="24"/>
        </w:rPr>
        <w:t>9、其他注意事项：</w:t>
      </w:r>
    </w:p>
    <w:p>
      <w:pPr>
        <w:snapToGrid w:val="0"/>
        <w:spacing w:line="360" w:lineRule="auto"/>
        <w:ind w:firstLine="480" w:firstLineChars="200"/>
        <w:rPr>
          <w:rFonts w:ascii="宋体" w:hAnsi="宋体" w:cs="宋体"/>
          <w:sz w:val="24"/>
        </w:rPr>
      </w:pPr>
      <w:r>
        <w:rPr>
          <w:rFonts w:hint="eastAsia" w:ascii="宋体" w:hAnsi="宋体" w:cs="宋体"/>
          <w:sz w:val="24"/>
        </w:rPr>
        <w:t xml:space="preserve">1）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pPr>
        <w:snapToGrid w:val="0"/>
        <w:spacing w:line="360" w:lineRule="auto"/>
        <w:ind w:firstLine="480" w:firstLineChars="200"/>
        <w:rPr>
          <w:rFonts w:ascii="宋体" w:hAnsi="宋体" w:cs="宋体"/>
          <w:sz w:val="24"/>
        </w:rPr>
      </w:pPr>
      <w:r>
        <w:rPr>
          <w:rFonts w:hint="eastAsia" w:ascii="宋体" w:hAnsi="宋体" w:cs="宋体"/>
          <w:sz w:val="24"/>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pPr>
        <w:snapToGrid w:val="0"/>
        <w:spacing w:line="360" w:lineRule="auto"/>
        <w:ind w:firstLine="480" w:firstLineChars="200"/>
        <w:rPr>
          <w:rFonts w:ascii="宋体" w:hAnsi="宋体" w:cs="宋体"/>
          <w:sz w:val="24"/>
        </w:rPr>
      </w:pPr>
      <w:r>
        <w:rPr>
          <w:rFonts w:hint="eastAsia" w:ascii="宋体" w:hAnsi="宋体" w:cs="宋体"/>
          <w:sz w:val="24"/>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autoSpaceDE w:val="0"/>
        <w:autoSpaceDN w:val="0"/>
        <w:adjustRightInd w:val="0"/>
        <w:spacing w:line="360" w:lineRule="auto"/>
        <w:ind w:right="-14"/>
        <w:jc w:val="left"/>
        <w:rPr>
          <w:rFonts w:ascii="宋体" w:hAnsi="宋体"/>
          <w:b/>
          <w:sz w:val="24"/>
        </w:rPr>
      </w:pPr>
      <w:r>
        <w:rPr>
          <w:rFonts w:hint="eastAsia" w:ascii="宋体" w:hAnsi="宋体"/>
          <w:b/>
          <w:sz w:val="24"/>
        </w:rPr>
        <w:t>重要事项说明：</w:t>
      </w:r>
    </w:p>
    <w:p>
      <w:pPr>
        <w:snapToGrid w:val="0"/>
        <w:spacing w:line="360" w:lineRule="auto"/>
        <w:ind w:firstLine="480" w:firstLineChars="200"/>
        <w:rPr>
          <w:rFonts w:ascii="宋体" w:hAnsi="宋体" w:cs="宋体"/>
          <w:sz w:val="24"/>
        </w:rPr>
      </w:pPr>
      <w:r>
        <w:rPr>
          <w:rFonts w:hint="eastAsia" w:ascii="宋体" w:hAnsi="宋体" w:cs="宋体"/>
          <w:sz w:val="24"/>
        </w:rPr>
        <w:t>（1）开标项目的时间均以国家授时中心发布的时间为准。</w:t>
      </w:r>
    </w:p>
    <w:p>
      <w:pPr>
        <w:snapToGrid w:val="0"/>
        <w:spacing w:line="360" w:lineRule="auto"/>
        <w:ind w:firstLine="480" w:firstLineChars="200"/>
        <w:rPr>
          <w:rFonts w:ascii="宋体" w:hAnsi="宋体" w:cs="宋体"/>
          <w:sz w:val="24"/>
        </w:rPr>
      </w:pPr>
      <w:r>
        <w:rPr>
          <w:rFonts w:hint="eastAsia" w:ascii="宋体" w:hAnsi="宋体" w:cs="宋体"/>
          <w:sz w:val="24"/>
        </w:rPr>
        <w:t>（2）若投标人已申请多把CA锁，请注意使用差别。因ca锁使用错误引发的问题，由投标人自己负责。</w:t>
      </w:r>
    </w:p>
    <w:p>
      <w:pPr>
        <w:snapToGrid w:val="0"/>
        <w:spacing w:line="360" w:lineRule="auto"/>
        <w:ind w:firstLine="480" w:firstLineChars="200"/>
        <w:rPr>
          <w:rFonts w:hAnsi="宋体"/>
          <w:bCs/>
        </w:rPr>
      </w:pPr>
      <w:r>
        <w:rPr>
          <w:rFonts w:hint="eastAsia" w:ascii="宋体" w:hAnsi="宋体" w:cs="宋体"/>
          <w:sz w:val="24"/>
        </w:rPr>
        <w:t>（3）如有疑问，请咨询平台技术服务电话：蔡先生，13454667697；王女士，13757680207。QQ “台州湾新区小额工程交易平台交流”（群号：435057190），进行业务咨询。此群也作为不见面开标的备用远程交互群。</w:t>
      </w:r>
    </w:p>
    <w:p>
      <w:pPr>
        <w:snapToGrid w:val="0"/>
        <w:spacing w:line="360" w:lineRule="auto"/>
        <w:ind w:firstLine="723" w:firstLineChars="300"/>
        <w:jc w:val="left"/>
        <w:rPr>
          <w:rFonts w:ascii="宋体" w:hAnsi="宋体"/>
          <w:b/>
          <w:kern w:val="0"/>
          <w:sz w:val="24"/>
        </w:rPr>
      </w:pPr>
      <w:r>
        <w:rPr>
          <w:rFonts w:hint="eastAsia" w:ascii="宋体" w:hAnsi="宋体"/>
          <w:b/>
          <w:kern w:val="0"/>
          <w:sz w:val="24"/>
        </w:rPr>
        <w:t>（三） 异常情况处理：</w:t>
      </w:r>
    </w:p>
    <w:p>
      <w:pPr>
        <w:snapToGrid w:val="0"/>
        <w:spacing w:line="360" w:lineRule="auto"/>
        <w:ind w:firstLine="480" w:firstLineChars="200"/>
        <w:rPr>
          <w:rFonts w:ascii="宋体" w:hAnsi="宋体"/>
          <w:sz w:val="24"/>
        </w:rPr>
      </w:pPr>
      <w:r>
        <w:rPr>
          <w:rFonts w:hint="eastAsia" w:ascii="宋体" w:hAnsi="宋体"/>
          <w:sz w:val="24"/>
        </w:rPr>
        <w:t>采购过程中出现以下情形，导致电子交易平台无法正常运行，或者无法保证电子交易的公平、公正和安全时，采购组织机构可中止电子交易活动：</w:t>
      </w:r>
    </w:p>
    <w:p>
      <w:pPr>
        <w:snapToGrid w:val="0"/>
        <w:spacing w:line="360" w:lineRule="auto"/>
        <w:ind w:firstLine="480" w:firstLineChars="200"/>
        <w:rPr>
          <w:rFonts w:ascii="宋体" w:hAnsi="宋体"/>
          <w:sz w:val="24"/>
        </w:rPr>
      </w:pPr>
      <w:r>
        <w:rPr>
          <w:rFonts w:hint="eastAsia" w:ascii="宋体" w:hAnsi="宋体"/>
          <w:sz w:val="24"/>
        </w:rPr>
        <w:t>1、电子交易平台发生故障而无法登录访问的；</w:t>
      </w:r>
    </w:p>
    <w:p>
      <w:pPr>
        <w:snapToGrid w:val="0"/>
        <w:spacing w:line="360" w:lineRule="auto"/>
        <w:ind w:firstLine="480" w:firstLineChars="200"/>
        <w:rPr>
          <w:rFonts w:ascii="宋体" w:hAnsi="宋体"/>
          <w:sz w:val="24"/>
        </w:rPr>
      </w:pPr>
      <w:r>
        <w:rPr>
          <w:rFonts w:hint="eastAsia" w:ascii="宋体" w:hAnsi="宋体"/>
          <w:sz w:val="24"/>
        </w:rPr>
        <w:t>2、电子交易平台应用或数据库出现错误，不能进行正常操作的；</w:t>
      </w:r>
    </w:p>
    <w:p>
      <w:pPr>
        <w:snapToGrid w:val="0"/>
        <w:spacing w:line="360" w:lineRule="auto"/>
        <w:ind w:firstLine="480" w:firstLineChars="200"/>
        <w:rPr>
          <w:rFonts w:ascii="宋体" w:hAnsi="宋体"/>
          <w:sz w:val="24"/>
        </w:rPr>
      </w:pPr>
      <w:r>
        <w:rPr>
          <w:rFonts w:hint="eastAsia" w:ascii="宋体" w:hAnsi="宋体"/>
          <w:sz w:val="24"/>
        </w:rPr>
        <w:t>3、电子交易平台发现严重安全漏洞，有潜在泄密危险的；</w:t>
      </w:r>
    </w:p>
    <w:p>
      <w:pPr>
        <w:snapToGrid w:val="0"/>
        <w:spacing w:line="360" w:lineRule="auto"/>
        <w:ind w:firstLine="480" w:firstLineChars="200"/>
        <w:rPr>
          <w:rFonts w:ascii="宋体" w:hAnsi="宋体"/>
          <w:sz w:val="24"/>
        </w:rPr>
      </w:pPr>
      <w:r>
        <w:rPr>
          <w:rFonts w:hint="eastAsia" w:ascii="宋体" w:hAnsi="宋体"/>
          <w:sz w:val="24"/>
        </w:rPr>
        <w:t>4、病毒发作导致不能进行正常操作的；</w:t>
      </w:r>
    </w:p>
    <w:p>
      <w:pPr>
        <w:snapToGrid w:val="0"/>
        <w:spacing w:line="360" w:lineRule="auto"/>
        <w:ind w:firstLine="480" w:firstLineChars="200"/>
        <w:rPr>
          <w:rFonts w:ascii="宋体" w:hAnsi="宋体"/>
          <w:sz w:val="24"/>
        </w:rPr>
      </w:pPr>
      <w:r>
        <w:rPr>
          <w:rFonts w:hint="eastAsia" w:ascii="宋体" w:hAnsi="宋体"/>
          <w:sz w:val="24"/>
        </w:rPr>
        <w:t>5、其他无法保证电子交易的公平、公正和安全的情况。</w:t>
      </w:r>
    </w:p>
    <w:p>
      <w:pPr>
        <w:pStyle w:val="6"/>
        <w:spacing w:line="360" w:lineRule="auto"/>
        <w:ind w:firstLine="480" w:firstLineChars="200"/>
        <w:rPr>
          <w:rFonts w:ascii="宋体" w:hAnsi="宋体"/>
          <w:sz w:val="24"/>
        </w:rPr>
      </w:pPr>
      <w:r>
        <w:rPr>
          <w:rFonts w:hint="eastAsia" w:ascii="宋体" w:hAnsi="宋体"/>
          <w:sz w:val="24"/>
        </w:rPr>
        <w:t>出现前款规定情形，不影响采购公平、公正性的，采购组织机构可以待上述情形消除后继续组织电子交易活动。</w:t>
      </w:r>
    </w:p>
    <w:p>
      <w:pPr>
        <w:pStyle w:val="6"/>
        <w:spacing w:line="360" w:lineRule="auto"/>
        <w:ind w:firstLine="723" w:firstLineChars="300"/>
        <w:rPr>
          <w:b/>
          <w:bCs/>
          <w:sz w:val="24"/>
          <w:szCs w:val="22"/>
        </w:rPr>
      </w:pPr>
      <w:r>
        <w:rPr>
          <w:rFonts w:hint="eastAsia"/>
          <w:b/>
          <w:bCs/>
          <w:sz w:val="24"/>
          <w:szCs w:val="22"/>
        </w:rPr>
        <w:t>（四）开标异议</w:t>
      </w:r>
    </w:p>
    <w:p>
      <w:pPr>
        <w:pStyle w:val="6"/>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6"/>
        <w:spacing w:line="360" w:lineRule="auto"/>
        <w:ind w:firstLine="723" w:firstLineChars="300"/>
        <w:rPr>
          <w:sz w:val="24"/>
          <w:szCs w:val="22"/>
        </w:rPr>
      </w:pPr>
      <w:r>
        <w:rPr>
          <w:rFonts w:hint="eastAsia"/>
          <w:b/>
          <w:bCs/>
          <w:sz w:val="24"/>
          <w:szCs w:val="22"/>
        </w:rPr>
        <w:t>（五）</w:t>
      </w:r>
      <w:r>
        <w:rPr>
          <w:rFonts w:hint="eastAsia"/>
          <w:sz w:val="24"/>
          <w:szCs w:val="22"/>
        </w:rPr>
        <w:t>投标人不足三家，不得开标。</w:t>
      </w:r>
    </w:p>
    <w:p>
      <w:pPr>
        <w:pStyle w:val="13"/>
        <w:snapToGrid w:val="0"/>
        <w:spacing w:line="360" w:lineRule="auto"/>
        <w:ind w:firstLine="482" w:firstLineChars="200"/>
        <w:rPr>
          <w:rFonts w:asciiTheme="minorEastAsia" w:hAnsiTheme="minorEastAsia"/>
          <w:b/>
          <w:sz w:val="24"/>
        </w:rPr>
      </w:pPr>
      <w:r>
        <w:rPr>
          <w:rFonts w:hint="eastAsia" w:asciiTheme="minorEastAsia" w:hAnsiTheme="minorEastAsia" w:eastAsiaTheme="minorEastAsia"/>
          <w:b/>
          <w:sz w:val="24"/>
        </w:rPr>
        <w:t>五、评标（详见第四章）</w:t>
      </w:r>
    </w:p>
    <w:p>
      <w:pPr>
        <w:pStyle w:val="20"/>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六、定标</w:t>
      </w:r>
    </w:p>
    <w:p>
      <w:pPr>
        <w:spacing w:line="360" w:lineRule="auto"/>
        <w:ind w:firstLine="482" w:firstLineChars="200"/>
        <w:rPr>
          <w:rFonts w:ascii="宋体" w:hAnsi="宋体"/>
          <w:b/>
          <w:bCs/>
          <w:kern w:val="0"/>
          <w:sz w:val="24"/>
        </w:rPr>
      </w:pPr>
      <w:r>
        <w:rPr>
          <w:rFonts w:hint="eastAsia" w:asciiTheme="minorEastAsia" w:hAnsiTheme="minorEastAsia" w:eastAsiaTheme="minorEastAsia"/>
          <w:b/>
          <w:bCs/>
          <w:sz w:val="24"/>
        </w:rPr>
        <w:t>（一）</w:t>
      </w:r>
      <w:r>
        <w:rPr>
          <w:rFonts w:hint="eastAsia" w:ascii="宋体" w:hAnsi="宋体"/>
          <w:b/>
          <w:bCs/>
          <w:kern w:val="0"/>
          <w:sz w:val="24"/>
        </w:rPr>
        <w:t>发布</w:t>
      </w:r>
      <w:r>
        <w:rPr>
          <w:b/>
          <w:bCs/>
          <w:sz w:val="24"/>
        </w:rPr>
        <w:t>中标</w:t>
      </w:r>
      <w:r>
        <w:rPr>
          <w:rFonts w:hint="eastAsia" w:ascii="宋体" w:hAnsi="宋体"/>
          <w:b/>
          <w:bCs/>
          <w:kern w:val="0"/>
          <w:sz w:val="24"/>
        </w:rPr>
        <w:t>结果公示</w:t>
      </w:r>
    </w:p>
    <w:p>
      <w:pPr>
        <w:spacing w:line="360" w:lineRule="auto"/>
        <w:ind w:firstLine="480" w:firstLineChars="200"/>
        <w:rPr>
          <w:rFonts w:ascii="宋体" w:hAnsi="宋体"/>
          <w:kern w:val="0"/>
          <w:sz w:val="24"/>
        </w:rPr>
      </w:pPr>
      <w:r>
        <w:rPr>
          <w:rFonts w:hint="eastAsia" w:ascii="宋体" w:hAnsi="宋体"/>
          <w:kern w:val="0"/>
          <w:sz w:val="24"/>
        </w:rPr>
        <w:t>评标委员会推荐综合得分从高到低排名第一的为第一中标候选人，综合得分从高到低排名第二的为第二中标候选人，如综合得分相同的，按技术标得分</w:t>
      </w:r>
      <w:r>
        <w:rPr>
          <w:rFonts w:hint="eastAsia" w:ascii="宋体" w:hAnsi="宋体"/>
          <w:kern w:val="0"/>
          <w:sz w:val="24"/>
          <w:lang w:eastAsia="zh-CN"/>
        </w:rPr>
        <w:t>高者为先，</w:t>
      </w:r>
      <w:r>
        <w:rPr>
          <w:rFonts w:hint="eastAsia" w:ascii="宋体" w:hAnsi="宋体"/>
          <w:kern w:val="0"/>
          <w:sz w:val="24"/>
          <w:lang w:val="zh-CN"/>
        </w:rPr>
        <w:t>如均相同的</w:t>
      </w:r>
      <w:r>
        <w:rPr>
          <w:rFonts w:hint="eastAsia" w:ascii="宋体" w:hAnsi="宋体"/>
          <w:kern w:val="0"/>
          <w:sz w:val="24"/>
        </w:rPr>
        <w:t>则抽签确定。</w:t>
      </w:r>
    </w:p>
    <w:p>
      <w:pPr>
        <w:pStyle w:val="20"/>
        <w:spacing w:before="0" w:beforeAutospacing="0" w:after="0" w:afterAutospacing="0" w:line="360" w:lineRule="auto"/>
        <w:ind w:firstLine="480" w:firstLineChars="200"/>
        <w:jc w:val="both"/>
        <w:rPr>
          <w:rFonts w:hint="default"/>
        </w:rPr>
      </w:pPr>
      <w:r>
        <w:t>采购组织机构自中标候选人确定之日起3个工作日内，在浙江省政府采购网和</w:t>
      </w:r>
      <w:r>
        <w:rPr>
          <w:rFonts w:cs="宋体"/>
        </w:rPr>
        <w:t>台州湾新区小额工程电子交易平台</w:t>
      </w:r>
      <w:r>
        <w:t>公告中标结果，中标结果公示期为3日。</w:t>
      </w:r>
    </w:p>
    <w:p>
      <w:pPr>
        <w:pStyle w:val="20"/>
        <w:spacing w:before="0" w:beforeAutospacing="0" w:after="0" w:afterAutospacing="0" w:line="360" w:lineRule="auto"/>
        <w:ind w:firstLine="482" w:firstLineChars="200"/>
        <w:jc w:val="both"/>
        <w:rPr>
          <w:rFonts w:hint="default"/>
          <w:b/>
          <w:bCs/>
        </w:rPr>
      </w:pPr>
      <w:r>
        <w:rPr>
          <w:rFonts w:asciiTheme="minorEastAsia" w:hAnsiTheme="minorEastAsia" w:eastAsiaTheme="minorEastAsia"/>
          <w:b/>
          <w:bCs/>
        </w:rPr>
        <w:t>（二）</w:t>
      </w:r>
      <w:r>
        <w:rPr>
          <w:b/>
          <w:bCs/>
        </w:rPr>
        <w:t>确定中标人</w:t>
      </w:r>
    </w:p>
    <w:p>
      <w:pPr>
        <w:spacing w:line="360" w:lineRule="auto"/>
        <w:ind w:firstLine="480" w:firstLineChars="200"/>
        <w:rPr>
          <w:rFonts w:ascii="宋体" w:hAnsi="宋体"/>
          <w:kern w:val="0"/>
          <w:sz w:val="24"/>
        </w:rPr>
      </w:pPr>
      <w:r>
        <w:rPr>
          <w:rFonts w:hint="eastAsia" w:ascii="宋体" w:hAnsi="宋体"/>
          <w:kern w:val="0"/>
          <w:sz w:val="24"/>
        </w:rPr>
        <w:t>本项目</w:t>
      </w:r>
      <w:r>
        <w:rPr>
          <w:rFonts w:hint="eastAsia" w:ascii="宋体" w:hAnsi="宋体"/>
          <w:kern w:val="0"/>
          <w:sz w:val="24"/>
          <w:highlight w:val="none"/>
        </w:rPr>
        <w:t>确定一名中</w:t>
      </w:r>
      <w:r>
        <w:rPr>
          <w:rFonts w:hint="eastAsia" w:ascii="宋体" w:hAnsi="宋体"/>
          <w:kern w:val="0"/>
          <w:sz w:val="24"/>
        </w:rPr>
        <w:t>标人，公示期满后，采购人应确定本项目第一中标候选人为本项目中标人。</w:t>
      </w:r>
    </w:p>
    <w:p>
      <w:pPr>
        <w:pStyle w:val="9"/>
        <w:numPr>
          <w:ilvl w:val="0"/>
          <w:numId w:val="8"/>
        </w:numPr>
        <w:spacing w:line="360" w:lineRule="auto"/>
        <w:ind w:firstLine="482" w:firstLineChars="200"/>
        <w:jc w:val="both"/>
        <w:rPr>
          <w:b/>
          <w:bCs/>
          <w:sz w:val="24"/>
        </w:rPr>
      </w:pPr>
      <w:r>
        <w:rPr>
          <w:rFonts w:hint="eastAsia"/>
          <w:b/>
          <w:bCs/>
          <w:sz w:val="24"/>
        </w:rPr>
        <w:t>发放中标通知书</w:t>
      </w:r>
    </w:p>
    <w:p>
      <w:pPr>
        <w:pStyle w:val="10"/>
        <w:tabs>
          <w:tab w:val="left" w:pos="574"/>
        </w:tabs>
        <w:spacing w:line="400" w:lineRule="exact"/>
        <w:ind w:firstLine="480" w:firstLineChars="200"/>
      </w:pPr>
      <w:r>
        <w:rPr>
          <w:rFonts w:hint="eastAsia"/>
          <w:szCs w:val="32"/>
        </w:rPr>
        <w:t>采购人应当确定第一中标候选人为中标人。如涉及第二中标候选人和其他投标人资格无效的，评标结果不作调整。</w:t>
      </w:r>
    </w:p>
    <w:p>
      <w:pPr>
        <w:pStyle w:val="10"/>
        <w:tabs>
          <w:tab w:val="left" w:pos="574"/>
        </w:tabs>
        <w:spacing w:line="400" w:lineRule="exact"/>
        <w:ind w:firstLine="480" w:firstLineChars="200"/>
      </w:pPr>
      <w:r>
        <w:rPr>
          <w:rFonts w:hint="eastAsia"/>
          <w:szCs w:val="32"/>
        </w:rPr>
        <w:t>第一中标候选人放弃中标，或者因不可抗力提出不能履行合同，或者因违反规定造成其资格无效的，招标人可以确定第二中标候选人为中标人。如涉及其他投标人资格无效的，评标结果不作调整。如第二中标候选人存在上述同样情形的，本次招标失败，重新组织招标。</w:t>
      </w:r>
    </w:p>
    <w:p>
      <w:pPr>
        <w:pStyle w:val="10"/>
        <w:tabs>
          <w:tab w:val="left" w:pos="574"/>
        </w:tabs>
        <w:spacing w:line="400" w:lineRule="exact"/>
        <w:ind w:firstLine="480" w:firstLineChars="200"/>
      </w:pPr>
      <w:r>
        <w:rPr>
          <w:rFonts w:hint="eastAsia"/>
          <w:szCs w:val="32"/>
        </w:rPr>
        <w:t>中标人确定后，采购人应当向中标人发出《中标通知书》。</w:t>
      </w:r>
    </w:p>
    <w:p>
      <w:pPr>
        <w:pStyle w:val="10"/>
        <w:tabs>
          <w:tab w:val="left" w:pos="574"/>
        </w:tabs>
        <w:spacing w:line="400" w:lineRule="exact"/>
        <w:ind w:firstLine="480" w:firstLineChars="200"/>
        <w:rPr>
          <w:szCs w:val="32"/>
        </w:rPr>
      </w:pPr>
      <w:r>
        <w:rPr>
          <w:rFonts w:hint="eastAsia"/>
          <w:szCs w:val="32"/>
        </w:rPr>
        <w:t>采购人在发出《中标通知书》的同时，应当将中标结果在交易场所（发布招标公告的媒体上）通知所有未中标的投标人。</w:t>
      </w:r>
    </w:p>
    <w:p>
      <w:pPr>
        <w:pStyle w:val="10"/>
        <w:tabs>
          <w:tab w:val="left" w:pos="574"/>
        </w:tabs>
        <w:spacing w:line="400" w:lineRule="exact"/>
        <w:ind w:firstLine="480" w:firstLineChars="200"/>
        <w:rPr>
          <w:szCs w:val="32"/>
        </w:rPr>
      </w:pPr>
      <w:r>
        <w:rPr>
          <w:rFonts w:hint="eastAsia"/>
          <w:szCs w:val="32"/>
        </w:rPr>
        <w:t>《中标通知书》对采购人和中标人具有法律约束力。《中标通知书》发出后，如中标人因违反法律法规规定而中标无效的，应承担相应的法律责任，本次招标失败，应重新组织招标。</w:t>
      </w:r>
    </w:p>
    <w:p>
      <w:pPr>
        <w:spacing w:line="360" w:lineRule="auto"/>
        <w:ind w:firstLine="482" w:firstLineChars="200"/>
        <w:rPr>
          <w:rFonts w:ascii="宋体" w:hAnsi="宋体"/>
          <w:kern w:val="0"/>
          <w:sz w:val="24"/>
        </w:rPr>
      </w:pPr>
      <w:r>
        <w:rPr>
          <w:rFonts w:hint="eastAsia" w:asciiTheme="minorEastAsia" w:hAnsiTheme="minorEastAsia" w:eastAsiaTheme="minorEastAsia"/>
          <w:b/>
          <w:sz w:val="24"/>
        </w:rPr>
        <w:t>七</w:t>
      </w:r>
      <w:r>
        <w:rPr>
          <w:rFonts w:asciiTheme="minorEastAsia" w:hAnsiTheme="minorEastAsia" w:eastAsiaTheme="minorEastAsia"/>
          <w:b/>
          <w:sz w:val="24"/>
        </w:rPr>
        <w:t>、</w:t>
      </w:r>
      <w:r>
        <w:rPr>
          <w:rFonts w:hint="eastAsia" w:ascii="宋体" w:hAnsi="宋体"/>
          <w:b/>
          <w:kern w:val="0"/>
          <w:sz w:val="24"/>
        </w:rPr>
        <w:t>合同签订</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20"/>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pPr>
        <w:pStyle w:val="20"/>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2.采购人不得向中标人提出任何不合理的要求作为签订合同的条件。</w:t>
      </w:r>
    </w:p>
    <w:p>
      <w:pPr>
        <w:pStyle w:val="20"/>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3.中标人无故拖延、拒签合同的，将取消中标资格。</w:t>
      </w:r>
    </w:p>
    <w:p>
      <w:pPr>
        <w:pStyle w:val="20"/>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4.中标人拒绝与采购人签订合同的，采购人可</w:t>
      </w:r>
      <w:r>
        <w:rPr>
          <w:rFonts w:asciiTheme="minorEastAsia" w:hAnsiTheme="minorEastAsia" w:eastAsiaTheme="minorEastAsia" w:cstheme="minorEastAsia"/>
          <w:highlight w:val="none"/>
        </w:rPr>
        <w:t>以按照评标报告推荐的中标候选人名单排序，确定下一候选人为中标人，也可以重新开展政府采购活动。同时，拒绝与采购人签订合同的中标人，由同级财政部门依法作出处理。</w:t>
      </w:r>
    </w:p>
    <w:p>
      <w:pPr>
        <w:pStyle w:val="20"/>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5.询问或者质疑事项可能影响中标结果的，采购人应当暂停签订合同，已经签订合同的，应当中止履行合同。</w:t>
      </w:r>
    </w:p>
    <w:p>
      <w:pPr>
        <w:pStyle w:val="9"/>
        <w:spacing w:line="360" w:lineRule="auto"/>
        <w:ind w:firstLine="482" w:firstLineChars="200"/>
        <w:jc w:val="both"/>
        <w:rPr>
          <w:rFonts w:ascii="宋体" w:hAnsi="宋体"/>
          <w:b/>
          <w:bCs/>
          <w:sz w:val="24"/>
        </w:rPr>
      </w:pPr>
      <w:r>
        <w:rPr>
          <w:rFonts w:hint="eastAsia" w:ascii="宋体" w:hAnsi="宋体"/>
          <w:b/>
          <w:bCs/>
          <w:sz w:val="24"/>
        </w:rPr>
        <w:t>八、询问、质疑与投诉</w:t>
      </w:r>
    </w:p>
    <w:p>
      <w:pPr>
        <w:pStyle w:val="9"/>
        <w:spacing w:line="360" w:lineRule="auto"/>
        <w:ind w:firstLine="482" w:firstLineChars="200"/>
        <w:jc w:val="both"/>
        <w:rPr>
          <w:rFonts w:ascii="宋体" w:hAnsi="宋体"/>
          <w:b/>
          <w:bCs/>
          <w:sz w:val="24"/>
        </w:rPr>
      </w:pPr>
      <w:r>
        <w:rPr>
          <w:rFonts w:hint="eastAsia" w:ascii="宋体" w:hAnsi="宋体"/>
          <w:b/>
          <w:bCs/>
          <w:sz w:val="24"/>
        </w:rPr>
        <w:t>（一）询问</w:t>
      </w:r>
    </w:p>
    <w:p>
      <w:pPr>
        <w:pStyle w:val="9"/>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pPr>
        <w:pStyle w:val="9"/>
        <w:spacing w:line="360" w:lineRule="auto"/>
        <w:ind w:firstLine="482" w:firstLineChars="200"/>
        <w:jc w:val="both"/>
        <w:rPr>
          <w:rFonts w:ascii="宋体" w:hAnsi="宋体"/>
          <w:b/>
          <w:bCs/>
          <w:sz w:val="24"/>
        </w:rPr>
      </w:pPr>
      <w:r>
        <w:rPr>
          <w:rFonts w:hint="eastAsia" w:ascii="宋体" w:hAnsi="宋体"/>
          <w:b/>
          <w:bCs/>
          <w:sz w:val="24"/>
        </w:rPr>
        <w:t>（二）质疑</w:t>
      </w:r>
    </w:p>
    <w:p>
      <w:pPr>
        <w:pStyle w:val="9"/>
        <w:spacing w:line="360" w:lineRule="auto"/>
        <w:ind w:firstLine="480" w:firstLineChars="200"/>
        <w:jc w:val="both"/>
        <w:rPr>
          <w:rFonts w:ascii="宋体" w:hAnsi="宋体"/>
          <w:sz w:val="24"/>
        </w:rPr>
      </w:pPr>
      <w:r>
        <w:rPr>
          <w:rFonts w:hint="eastAsia" w:ascii="宋体" w:hAnsi="宋体"/>
          <w:sz w:val="24"/>
        </w:rPr>
        <w:t>1.报名本项目的投标人认为招标文件、采购过程和中标结果使自己的权益受到损害的，通过书面形式一次性向采购人或采购组织机构提出质疑：</w:t>
      </w:r>
    </w:p>
    <w:p>
      <w:pPr>
        <w:pStyle w:val="9"/>
        <w:spacing w:line="360" w:lineRule="auto"/>
        <w:ind w:firstLine="480" w:firstLineChars="200"/>
        <w:jc w:val="both"/>
        <w:rPr>
          <w:rFonts w:ascii="宋体" w:hAnsi="宋体"/>
          <w:sz w:val="24"/>
        </w:rPr>
      </w:pPr>
      <w:r>
        <w:rPr>
          <w:rFonts w:hint="eastAsia" w:ascii="宋体" w:hAnsi="宋体"/>
          <w:sz w:val="24"/>
        </w:rPr>
        <w:t>（1）投标人认为招标文件的内容损害其权益的，应当自获取之日起（获取截止日之后收到招标文件的，以获取截止日为准）7个工作日内提出质疑；</w:t>
      </w:r>
    </w:p>
    <w:p>
      <w:pPr>
        <w:pStyle w:val="9"/>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pPr>
        <w:pStyle w:val="9"/>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pPr>
        <w:pStyle w:val="9"/>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2.采购人或采购组织机构在收到投标人的书面质疑后7个工作日内作出答复，并以书面形式回复质疑投标人和其他有关投标人，但答复内容不涉及商业秘密。</w:t>
      </w:r>
    </w:p>
    <w:p>
      <w:pPr>
        <w:pStyle w:val="9"/>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9"/>
        <w:spacing w:line="360" w:lineRule="auto"/>
        <w:ind w:firstLine="482" w:firstLineChars="200"/>
        <w:jc w:val="both"/>
        <w:rPr>
          <w:rFonts w:ascii="宋体" w:hAnsi="宋体"/>
          <w:b/>
          <w:bCs/>
          <w:sz w:val="24"/>
        </w:rPr>
      </w:pPr>
      <w:r>
        <w:rPr>
          <w:rFonts w:hint="eastAsia" w:ascii="宋体" w:hAnsi="宋体"/>
          <w:b/>
          <w:bCs/>
          <w:sz w:val="24"/>
        </w:rPr>
        <w:t>（三）投诉</w:t>
      </w:r>
    </w:p>
    <w:p>
      <w:pPr>
        <w:pStyle w:val="9"/>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pPr>
        <w:pStyle w:val="9"/>
        <w:spacing w:line="360" w:lineRule="auto"/>
        <w:ind w:firstLine="480" w:firstLineChars="200"/>
        <w:jc w:val="both"/>
        <w:rPr>
          <w:rFonts w:asciiTheme="minorEastAsia" w:hAnsiTheme="minorEastAsia" w:eastAsiaTheme="minorEastAsia"/>
          <w:b/>
          <w:sz w:val="36"/>
          <w:szCs w:val="36"/>
        </w:rPr>
      </w:pPr>
      <w:r>
        <w:rPr>
          <w:rFonts w:hint="eastAsia" w:ascii="宋体" w:hAnsi="宋体"/>
          <w:sz w:val="24"/>
        </w:rPr>
        <w:br w:type="page"/>
      </w:r>
    </w:p>
    <w:p>
      <w:pPr>
        <w:numPr>
          <w:ilvl w:val="0"/>
          <w:numId w:val="6"/>
        </w:numPr>
        <w:spacing w:line="360" w:lineRule="auto"/>
        <w:jc w:val="center"/>
        <w:rPr>
          <w:rFonts w:asciiTheme="minorEastAsia" w:hAnsiTheme="minorEastAsia" w:eastAsiaTheme="minorEastAsia"/>
          <w:b/>
          <w:sz w:val="36"/>
          <w:szCs w:val="36"/>
        </w:rPr>
      </w:pPr>
      <w:bookmarkStart w:id="36" w:name="_Toc13072_WPSOffice_Level1"/>
      <w:r>
        <w:rPr>
          <w:rFonts w:hint="eastAsia" w:asciiTheme="minorEastAsia" w:hAnsiTheme="minorEastAsia" w:eastAsiaTheme="minorEastAsia"/>
          <w:b/>
          <w:sz w:val="36"/>
          <w:szCs w:val="36"/>
        </w:rPr>
        <w:t>招标需求</w:t>
      </w:r>
      <w:bookmarkEnd w:id="36"/>
    </w:p>
    <w:p>
      <w:pPr>
        <w:tabs>
          <w:tab w:val="left" w:pos="8280"/>
        </w:tabs>
        <w:autoSpaceDE w:val="0"/>
        <w:autoSpaceDN w:val="0"/>
        <w:adjustRightInd w:val="0"/>
        <w:spacing w:line="360" w:lineRule="auto"/>
        <w:ind w:right="25"/>
        <w:rPr>
          <w:sz w:val="24"/>
        </w:rPr>
      </w:pPr>
      <w:r>
        <w:rPr>
          <w:rFonts w:hint="eastAsia"/>
          <w:b/>
          <w:sz w:val="24"/>
        </w:rPr>
        <w:t>一、招标项目一览表</w:t>
      </w:r>
    </w:p>
    <w:p>
      <w:pPr>
        <w:tabs>
          <w:tab w:val="left" w:pos="8280"/>
        </w:tabs>
        <w:autoSpaceDE w:val="0"/>
        <w:autoSpaceDN w:val="0"/>
        <w:adjustRightInd w:val="0"/>
        <w:spacing w:line="360" w:lineRule="auto"/>
        <w:ind w:right="25" w:firstLine="280"/>
        <w:rPr>
          <w:sz w:val="24"/>
        </w:rPr>
      </w:pPr>
      <w:r>
        <w:rPr>
          <w:rFonts w:hint="eastAsia"/>
          <w:sz w:val="24"/>
        </w:rPr>
        <w:t>本次招标共</w:t>
      </w:r>
      <w:r>
        <w:rPr>
          <w:rFonts w:hint="eastAsia"/>
          <w:sz w:val="24"/>
          <w:u w:val="single"/>
        </w:rPr>
        <w:t xml:space="preserve"> 1 </w:t>
      </w:r>
      <w:r>
        <w:rPr>
          <w:rFonts w:hint="eastAsia"/>
          <w:sz w:val="24"/>
        </w:rPr>
        <w:t>个标段，具体内容如下表：</w:t>
      </w:r>
    </w:p>
    <w:tbl>
      <w:tblPr>
        <w:tblStyle w:val="25"/>
        <w:tblpPr w:leftFromText="181" w:rightFromText="181" w:bottomFromText="170" w:vertAnchor="text" w:tblpXSpec="center" w:tblpY="1"/>
        <w:tblOverlap w:val="never"/>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3578"/>
        <w:gridCol w:w="630"/>
        <w:gridCol w:w="809"/>
        <w:gridCol w:w="1206"/>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044"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标项号</w:t>
            </w:r>
          </w:p>
        </w:tc>
        <w:tc>
          <w:tcPr>
            <w:tcW w:w="3578" w:type="dxa"/>
            <w:vAlign w:val="center"/>
          </w:tcPr>
          <w:p>
            <w:pPr>
              <w:tabs>
                <w:tab w:val="left" w:pos="8280"/>
              </w:tabs>
              <w:autoSpaceDE w:val="0"/>
              <w:autoSpaceDN w:val="0"/>
              <w:adjustRightInd w:val="0"/>
              <w:ind w:firstLine="105" w:firstLineChars="50"/>
              <w:jc w:val="center"/>
              <w:rPr>
                <w:rFonts w:ascii="宋体" w:hAnsi="宋体" w:cs="宋体"/>
                <w:b/>
                <w:szCs w:val="21"/>
              </w:rPr>
            </w:pPr>
            <w:r>
              <w:rPr>
                <w:rFonts w:hint="eastAsia" w:ascii="宋体" w:hAnsi="宋体" w:cs="宋体"/>
                <w:b/>
                <w:szCs w:val="21"/>
              </w:rPr>
              <w:t>标项名称</w:t>
            </w:r>
          </w:p>
        </w:tc>
        <w:tc>
          <w:tcPr>
            <w:tcW w:w="630"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kern w:val="0"/>
                <w:szCs w:val="21"/>
              </w:rPr>
              <w:t>数量</w:t>
            </w:r>
          </w:p>
        </w:tc>
        <w:tc>
          <w:tcPr>
            <w:tcW w:w="809"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单位</w:t>
            </w:r>
          </w:p>
        </w:tc>
        <w:tc>
          <w:tcPr>
            <w:tcW w:w="1206"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预算</w:t>
            </w:r>
          </w:p>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（万元）</w:t>
            </w:r>
          </w:p>
        </w:tc>
        <w:tc>
          <w:tcPr>
            <w:tcW w:w="1390" w:type="dxa"/>
            <w:vAlign w:val="center"/>
          </w:tcPr>
          <w:p>
            <w:pPr>
              <w:jc w:val="center"/>
              <w:rPr>
                <w:rFonts w:ascii="宋体" w:hAnsi="宋体" w:cs="宋体"/>
                <w:b/>
                <w:szCs w:val="21"/>
              </w:rPr>
            </w:pPr>
            <w:r>
              <w:rPr>
                <w:rFonts w:hint="eastAsia" w:ascii="宋体" w:hAnsi="宋体" w:cs="宋体"/>
                <w:b/>
                <w:szCs w:val="21"/>
              </w:rPr>
              <w:t>最高限价</w:t>
            </w:r>
          </w:p>
          <w:p>
            <w:pPr>
              <w:jc w:val="center"/>
              <w:rPr>
                <w:rFonts w:ascii="宋体" w:hAnsi="宋体" w:cs="宋体"/>
                <w:b/>
                <w:szCs w:val="21"/>
              </w:rPr>
            </w:pPr>
            <w:r>
              <w:rPr>
                <w:rFonts w:hint="eastAsia" w:ascii="宋体" w:hAnsi="宋体" w:cs="宋体"/>
                <w:b/>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1044" w:type="dxa"/>
            <w:vAlign w:val="center"/>
          </w:tcPr>
          <w:p>
            <w:pPr>
              <w:tabs>
                <w:tab w:val="left" w:pos="8280"/>
              </w:tabs>
              <w:autoSpaceDE w:val="0"/>
              <w:autoSpaceDN w:val="0"/>
              <w:adjustRightInd w:val="0"/>
              <w:jc w:val="center"/>
              <w:rPr>
                <w:rFonts w:ascii="宋体" w:hAnsi="宋体" w:cs="宋体"/>
                <w:b w:val="0"/>
                <w:bCs/>
                <w:szCs w:val="21"/>
              </w:rPr>
            </w:pPr>
            <w:r>
              <w:rPr>
                <w:rFonts w:hint="eastAsia" w:ascii="宋体" w:hAnsi="宋体" w:cs="宋体"/>
                <w:b w:val="0"/>
                <w:bCs/>
                <w:szCs w:val="21"/>
              </w:rPr>
              <w:t>1</w:t>
            </w:r>
          </w:p>
        </w:tc>
        <w:tc>
          <w:tcPr>
            <w:tcW w:w="3578" w:type="dxa"/>
            <w:vAlign w:val="center"/>
          </w:tcPr>
          <w:p>
            <w:pPr>
              <w:tabs>
                <w:tab w:val="left" w:pos="8280"/>
              </w:tabs>
              <w:autoSpaceDE w:val="0"/>
              <w:autoSpaceDN w:val="0"/>
              <w:adjustRightInd w:val="0"/>
              <w:jc w:val="center"/>
              <w:rPr>
                <w:rFonts w:ascii="宋体" w:hAnsi="宋体" w:cs="宋体"/>
                <w:b w:val="0"/>
                <w:bCs/>
                <w:szCs w:val="21"/>
              </w:rPr>
            </w:pPr>
            <w:r>
              <w:rPr>
                <w:rFonts w:hint="eastAsia" w:ascii="宋体" w:hAnsi="宋体" w:cs="宋体"/>
                <w:b w:val="0"/>
                <w:bCs/>
                <w:szCs w:val="21"/>
                <w:lang w:eastAsia="zh-CN"/>
              </w:rPr>
              <w:t>云湖小学智慧上放学交通系统项目</w:t>
            </w:r>
          </w:p>
        </w:tc>
        <w:tc>
          <w:tcPr>
            <w:tcW w:w="630" w:type="dxa"/>
            <w:vAlign w:val="center"/>
          </w:tcPr>
          <w:p>
            <w:pPr>
              <w:tabs>
                <w:tab w:val="left" w:pos="8280"/>
              </w:tabs>
              <w:autoSpaceDE w:val="0"/>
              <w:autoSpaceDN w:val="0"/>
              <w:adjustRightInd w:val="0"/>
              <w:jc w:val="center"/>
              <w:rPr>
                <w:rFonts w:hint="eastAsia" w:ascii="宋体" w:hAnsi="宋体" w:eastAsia="宋体" w:cs="宋体"/>
                <w:b w:val="0"/>
                <w:bCs/>
                <w:szCs w:val="21"/>
                <w:lang w:val="en-US" w:eastAsia="zh-CN"/>
              </w:rPr>
            </w:pPr>
            <w:r>
              <w:rPr>
                <w:rFonts w:hint="eastAsia" w:ascii="宋体" w:hAnsi="宋体" w:cs="宋体"/>
                <w:b w:val="0"/>
                <w:bCs/>
                <w:szCs w:val="21"/>
                <w:lang w:val="en-US" w:eastAsia="zh-CN"/>
              </w:rPr>
              <w:t>1</w:t>
            </w:r>
          </w:p>
        </w:tc>
        <w:tc>
          <w:tcPr>
            <w:tcW w:w="809" w:type="dxa"/>
            <w:vAlign w:val="center"/>
          </w:tcPr>
          <w:p>
            <w:pPr>
              <w:tabs>
                <w:tab w:val="left" w:pos="8280"/>
              </w:tabs>
              <w:autoSpaceDE w:val="0"/>
              <w:autoSpaceDN w:val="0"/>
              <w:adjustRightInd w:val="0"/>
              <w:jc w:val="center"/>
              <w:rPr>
                <w:rFonts w:hint="eastAsia" w:ascii="宋体" w:hAnsi="宋体" w:eastAsia="宋体" w:cs="宋体"/>
                <w:b w:val="0"/>
                <w:bCs/>
                <w:szCs w:val="21"/>
                <w:lang w:eastAsia="zh-CN"/>
              </w:rPr>
            </w:pPr>
            <w:r>
              <w:rPr>
                <w:rFonts w:hint="eastAsia" w:ascii="宋体" w:hAnsi="宋体" w:cs="宋体"/>
                <w:b w:val="0"/>
                <w:bCs/>
                <w:szCs w:val="21"/>
                <w:lang w:eastAsia="zh-CN"/>
              </w:rPr>
              <w:t>项</w:t>
            </w:r>
          </w:p>
        </w:tc>
        <w:tc>
          <w:tcPr>
            <w:tcW w:w="1206" w:type="dxa"/>
            <w:vAlign w:val="center"/>
          </w:tcPr>
          <w:p>
            <w:pPr>
              <w:tabs>
                <w:tab w:val="left" w:pos="8280"/>
              </w:tabs>
              <w:autoSpaceDE w:val="0"/>
              <w:autoSpaceDN w:val="0"/>
              <w:adjustRightInd w:val="0"/>
              <w:jc w:val="center"/>
              <w:rPr>
                <w:rFonts w:hint="default" w:ascii="宋体" w:hAnsi="宋体" w:eastAsia="宋体" w:cs="宋体"/>
                <w:b w:val="0"/>
                <w:bCs/>
                <w:szCs w:val="21"/>
                <w:lang w:val="en-US" w:eastAsia="zh-CN"/>
              </w:rPr>
            </w:pPr>
            <w:r>
              <w:rPr>
                <w:rFonts w:hint="eastAsia" w:ascii="宋体" w:hAnsi="宋体" w:cs="宋体"/>
                <w:b w:val="0"/>
                <w:bCs/>
                <w:szCs w:val="21"/>
                <w:lang w:val="en-US" w:eastAsia="zh-CN"/>
              </w:rPr>
              <w:t>39.8</w:t>
            </w:r>
          </w:p>
        </w:tc>
        <w:tc>
          <w:tcPr>
            <w:tcW w:w="1390" w:type="dxa"/>
            <w:vAlign w:val="center"/>
          </w:tcPr>
          <w:p>
            <w:pPr>
              <w:tabs>
                <w:tab w:val="left" w:pos="8280"/>
              </w:tabs>
              <w:autoSpaceDE w:val="0"/>
              <w:autoSpaceDN w:val="0"/>
              <w:adjustRightInd w:val="0"/>
              <w:jc w:val="center"/>
              <w:rPr>
                <w:rStyle w:val="67"/>
                <w:rFonts w:hint="default" w:ascii="宋体" w:hAnsi="宋体" w:eastAsia="宋体"/>
                <w:b w:val="0"/>
                <w:bCs/>
                <w:szCs w:val="21"/>
                <w:lang w:val="en-US" w:eastAsia="zh-CN"/>
              </w:rPr>
            </w:pPr>
            <w:r>
              <w:rPr>
                <w:rStyle w:val="67"/>
                <w:rFonts w:hint="eastAsia" w:ascii="宋体" w:hAnsi="宋体"/>
                <w:b w:val="0"/>
                <w:bCs/>
                <w:szCs w:val="21"/>
                <w:lang w:val="en-US" w:eastAsia="zh-CN"/>
              </w:rPr>
              <w:t>39.8</w:t>
            </w:r>
          </w:p>
        </w:tc>
      </w:tr>
    </w:tbl>
    <w:p>
      <w:pPr>
        <w:keepNext w:val="0"/>
        <w:keepLines w:val="0"/>
        <w:pageBreakBefore w:val="0"/>
        <w:widowControl w:val="0"/>
        <w:tabs>
          <w:tab w:val="left" w:pos="8280"/>
        </w:tabs>
        <w:kinsoku/>
        <w:wordWrap/>
        <w:overflowPunct/>
        <w:topLinePunct w:val="0"/>
        <w:autoSpaceDE w:val="0"/>
        <w:autoSpaceDN w:val="0"/>
        <w:bidi w:val="0"/>
        <w:adjustRightInd w:val="0"/>
        <w:snapToGrid w:val="0"/>
        <w:spacing w:line="360" w:lineRule="auto"/>
        <w:ind w:right="25"/>
        <w:textAlignment w:val="auto"/>
        <w:rPr>
          <w:b/>
          <w:sz w:val="24"/>
          <w:szCs w:val="24"/>
        </w:rPr>
      </w:pPr>
      <w:r>
        <w:rPr>
          <w:rFonts w:hint="eastAsia"/>
          <w:b/>
          <w:sz w:val="24"/>
          <w:szCs w:val="24"/>
        </w:rPr>
        <w:t>二、项目背景</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sz w:val="24"/>
          <w:szCs w:val="24"/>
          <w:lang w:val="en-US" w:eastAsia="zh-CN"/>
        </w:rPr>
      </w:pPr>
      <w:bookmarkStart w:id="37" w:name="_Toc37599085"/>
      <w:r>
        <w:rPr>
          <w:rFonts w:hint="eastAsia"/>
          <w:sz w:val="24"/>
          <w:szCs w:val="24"/>
          <w:lang w:val="en-US" w:eastAsia="zh-CN"/>
        </w:rPr>
        <w:drawing>
          <wp:anchor distT="0" distB="0" distL="114300" distR="114300" simplePos="0" relativeHeight="251659264" behindDoc="0" locked="0" layoutInCell="1" allowOverlap="1">
            <wp:simplePos x="0" y="0"/>
            <wp:positionH relativeFrom="column">
              <wp:posOffset>10166985</wp:posOffset>
            </wp:positionH>
            <wp:positionV relativeFrom="paragraph">
              <wp:posOffset>1596390</wp:posOffset>
            </wp:positionV>
            <wp:extent cx="5486400" cy="4087495"/>
            <wp:effectExtent l="0" t="0" r="0" b="1206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2"/>
                    <a:stretch>
                      <a:fillRect/>
                    </a:stretch>
                  </pic:blipFill>
                  <pic:spPr>
                    <a:xfrm>
                      <a:off x="0" y="0"/>
                      <a:ext cx="5486400" cy="4087495"/>
                    </a:xfrm>
                    <a:prstGeom prst="rect">
                      <a:avLst/>
                    </a:prstGeom>
                    <a:noFill/>
                    <a:ln>
                      <a:noFill/>
                    </a:ln>
                  </pic:spPr>
                </pic:pic>
              </a:graphicData>
            </a:graphic>
          </wp:anchor>
        </w:drawing>
      </w:r>
      <w:r>
        <w:rPr>
          <w:rFonts w:hint="eastAsia"/>
          <w:sz w:val="24"/>
          <w:szCs w:val="24"/>
          <w:lang w:val="en-US" w:eastAsia="zh-CN"/>
        </w:rPr>
        <w:t>随着城市的进程加剧，在城市中的学校接送问题日趋严重。城市中的学校，每临到接送学生时段，学校周边的交通就会变得拥挤不堪。人，非机动车，机动车混杂在一起，把本就狭窄的城市道路变得水泄不通。接送学生效率极其低下，带来了巨大的安全隐患。</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sz w:val="24"/>
          <w:szCs w:val="24"/>
          <w:lang w:val="en-US" w:eastAsia="zh-CN"/>
        </w:rPr>
      </w:pPr>
      <w:r>
        <w:rPr>
          <w:rFonts w:hint="eastAsia"/>
          <w:sz w:val="24"/>
          <w:szCs w:val="24"/>
          <w:lang w:val="en-US" w:eastAsia="zh-CN"/>
        </w:rPr>
        <w:t>接送现状：常规中小学放学，基本耗时近一个多小时；大量家长提前在学校周边道路进行等待；家长与学生间存在信息不对称，家长为接送孩子往往提前到达校门口，担心未能及时接到孩子。</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ascii="宋体" w:hAnsi="宋体" w:cs="宋体"/>
          <w:sz w:val="24"/>
          <w:szCs w:val="24"/>
        </w:rPr>
      </w:pPr>
      <w:r>
        <w:rPr>
          <w:rFonts w:hint="eastAsia"/>
          <w:sz w:val="24"/>
          <w:szCs w:val="24"/>
          <w:lang w:val="en-US" w:eastAsia="zh-CN"/>
        </w:rPr>
        <w:t>本次项目主体为云湖小学，开学将产生一定的人、车交通流量和停车需求，从而对周边交通系统产生一定的影响。本项目利用学校人防地下车库系统，引入智能化接送平台，引导家长车辆安全、按时、快速、有序进出校园地下车库，高效率完成学生接送。</w:t>
      </w:r>
    </w:p>
    <w:p>
      <w:pPr>
        <w:keepNext w:val="0"/>
        <w:keepLines w:val="0"/>
        <w:pageBreakBefore w:val="0"/>
        <w:widowControl w:val="0"/>
        <w:tabs>
          <w:tab w:val="left" w:pos="8280"/>
        </w:tabs>
        <w:kinsoku/>
        <w:wordWrap/>
        <w:overflowPunct/>
        <w:topLinePunct w:val="0"/>
        <w:autoSpaceDE w:val="0"/>
        <w:autoSpaceDN w:val="0"/>
        <w:bidi w:val="0"/>
        <w:adjustRightInd w:val="0"/>
        <w:snapToGrid w:val="0"/>
        <w:spacing w:line="360" w:lineRule="auto"/>
        <w:ind w:right="25"/>
        <w:textAlignment w:val="auto"/>
        <w:rPr>
          <w:rFonts w:hint="eastAsia" w:ascii="宋体" w:hAnsi="宋体" w:eastAsia="宋体" w:cs="宋体"/>
          <w:sz w:val="24"/>
          <w:lang w:eastAsia="zh-CN"/>
        </w:rPr>
      </w:pPr>
      <w:r>
        <w:rPr>
          <w:rFonts w:hint="eastAsia"/>
          <w:b/>
          <w:sz w:val="24"/>
        </w:rPr>
        <w:t>三、</w:t>
      </w:r>
      <w:bookmarkEnd w:id="37"/>
      <w:r>
        <w:rPr>
          <w:rFonts w:hint="eastAsia"/>
          <w:b/>
          <w:sz w:val="24"/>
          <w:lang w:eastAsia="zh-CN"/>
        </w:rPr>
        <w:t>技术要求</w:t>
      </w:r>
    </w:p>
    <w:tbl>
      <w:tblPr>
        <w:tblStyle w:val="25"/>
        <w:tblW w:w="85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15"/>
        <w:gridCol w:w="5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exact"/>
        </w:trPr>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exact"/>
        </w:trPr>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5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bookmarkStart w:id="38" w:name="_Toc143390688"/>
            <w:bookmarkStart w:id="39" w:name="_Toc27205"/>
            <w:r>
              <w:rPr>
                <w:rFonts w:hint="eastAsia" w:ascii="宋体" w:hAnsi="宋体" w:eastAsia="宋体" w:cs="宋体"/>
                <w:i w:val="0"/>
                <w:iCs w:val="0"/>
                <w:color w:val="000000"/>
                <w:kern w:val="0"/>
                <w:sz w:val="22"/>
                <w:szCs w:val="22"/>
                <w:u w:val="none"/>
                <w:lang w:val="en-US" w:eastAsia="zh-CN" w:bidi="ar"/>
              </w:rPr>
              <w:t>接送平台管理系统</w:t>
            </w:r>
            <w:bookmarkEnd w:id="38"/>
            <w:bookmarkEnd w:id="3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exact"/>
        </w:trPr>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上放学交通系统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exact"/>
        </w:trPr>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5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道路交通组织方案标识系统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exact"/>
        </w:trPr>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平台连接网络</w:t>
            </w:r>
          </w:p>
        </w:tc>
      </w:tr>
    </w:tbl>
    <w:p>
      <w:pPr>
        <w:spacing w:line="360" w:lineRule="auto"/>
        <w:rPr>
          <w:rFonts w:hint="eastAsia" w:ascii="宋体" w:hAnsi="宋体" w:eastAsia="宋体" w:cs="宋体"/>
          <w:b/>
          <w:bCs/>
          <w:kern w:val="2"/>
          <w:sz w:val="24"/>
          <w:szCs w:val="24"/>
          <w:lang w:val="en-US" w:eastAsia="zh-CN" w:bidi="ar-SA"/>
        </w:rPr>
      </w:pPr>
    </w:p>
    <w:p>
      <w:pPr>
        <w:spacing w:line="360" w:lineRule="auto"/>
        <w:rPr>
          <w:rFonts w:hint="eastAsia" w:ascii="宋体" w:hAnsi="宋体" w:eastAsia="宋体" w:cs="宋体"/>
          <w:b/>
          <w:bCs/>
          <w:kern w:val="2"/>
          <w:sz w:val="24"/>
          <w:szCs w:val="24"/>
          <w:lang w:val="en-US" w:eastAsia="zh-CN" w:bidi="ar-SA"/>
        </w:rPr>
      </w:pPr>
    </w:p>
    <w:p>
      <w:pPr>
        <w:spacing w:line="360" w:lineRule="auto"/>
        <w:rPr>
          <w:rFonts w:hint="eastAsia" w:ascii="宋体" w:hAnsi="宋体" w:eastAsia="宋体" w:cs="宋体"/>
          <w:b/>
          <w:bCs/>
          <w:kern w:val="2"/>
          <w:sz w:val="24"/>
          <w:szCs w:val="24"/>
          <w:lang w:val="en-US" w:eastAsia="zh-CN" w:bidi="ar-SA"/>
        </w:rPr>
      </w:pP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kern w:val="2"/>
          <w:sz w:val="24"/>
          <w:szCs w:val="24"/>
          <w:lang w:val="en-US" w:eastAsia="zh-CN" w:bidi="ar-SA"/>
        </w:rPr>
        <w:t>1、接送平台管理系统</w:t>
      </w:r>
    </w:p>
    <w:tbl>
      <w:tblPr>
        <w:tblStyle w:val="25"/>
        <w:tblW w:w="85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4"/>
        <w:gridCol w:w="2060"/>
        <w:gridCol w:w="4148"/>
        <w:gridCol w:w="776"/>
        <w:gridCol w:w="7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6" w:hRule="atLeast"/>
        </w:trPr>
        <w:tc>
          <w:tcPr>
            <w:tcW w:w="77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0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414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实现功能</w:t>
            </w:r>
          </w:p>
        </w:tc>
        <w:tc>
          <w:tcPr>
            <w:tcW w:w="77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单位</w:t>
            </w:r>
          </w:p>
        </w:tc>
        <w:tc>
          <w:tcPr>
            <w:tcW w:w="77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9"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AI智慧接送管理软件平台</w:t>
            </w:r>
          </w:p>
        </w:tc>
        <w:tc>
          <w:tcPr>
            <w:tcW w:w="4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智视智慧接送主模块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数据链接中台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人员信息管理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通知消息功能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接送流量调度管理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家校沟通信息通道管理</w:t>
            </w: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2"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w:t>
            </w:r>
          </w:p>
        </w:tc>
        <w:tc>
          <w:tcPr>
            <w:tcW w:w="20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AI车牌识别接送管理模块</w:t>
            </w:r>
          </w:p>
        </w:tc>
        <w:tc>
          <w:tcPr>
            <w:tcW w:w="4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AI车牌识别接送管理模块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车控系统对接智慧校园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车牌识别系统消息链接模块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接送泊位调度管理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车牌识别终端配置管理模块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车辆通道管理配置模块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综合权限管理模块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车牌识别记录查询管理</w:t>
            </w: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7"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0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AI人脸识别接送管理模块</w:t>
            </w:r>
          </w:p>
        </w:tc>
        <w:tc>
          <w:tcPr>
            <w:tcW w:w="4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AI人脸识别接送管理模块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AI人脸系统对接智慧校园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人脸系统消息链接模块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接送泊位调度管理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AI 通道管理配置模块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综合权限管理模块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人脸识别数据查询管理</w:t>
            </w: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2"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AI智慧屏显调度模块</w:t>
            </w:r>
          </w:p>
        </w:tc>
        <w:tc>
          <w:tcPr>
            <w:tcW w:w="4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AI智慧屏显调度管理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屏显数据调度管理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泊位屏数据管理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综合屏数据管理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其它信息屏显调度管理</w:t>
            </w: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系统实施费</w:t>
            </w:r>
          </w:p>
        </w:tc>
        <w:tc>
          <w:tcPr>
            <w:tcW w:w="4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系统安装调试实施服务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识别终端配置安装调试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管理软件安装配置调试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系统实施，培训，维护服务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系统远程支持服务一年，5*8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系统功能模块升级</w:t>
            </w: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bl>
    <w:p>
      <w:pPr>
        <w:pStyle w:val="10"/>
        <w:numPr>
          <w:ilvl w:val="0"/>
          <w:numId w:val="0"/>
        </w:numP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2、上放学交通系统</w:t>
      </w:r>
    </w:p>
    <w:tbl>
      <w:tblPr>
        <w:tblStyle w:val="25"/>
        <w:tblW w:w="85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70"/>
        <w:gridCol w:w="2076"/>
        <w:gridCol w:w="4152"/>
        <w:gridCol w:w="756"/>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8534" w:type="dxa"/>
            <w:gridSpan w:val="5"/>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一、非机动车等候区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序号</w:t>
            </w:r>
          </w:p>
        </w:tc>
        <w:tc>
          <w:tcPr>
            <w:tcW w:w="207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名称</w:t>
            </w:r>
          </w:p>
        </w:tc>
        <w:tc>
          <w:tcPr>
            <w:tcW w:w="4152" w:type="dxa"/>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sz w:val="20"/>
                <w:szCs w:val="20"/>
                <w:u w:val="none"/>
                <w:lang w:val="en-US"/>
              </w:rPr>
            </w:pPr>
            <w:r>
              <w:rPr>
                <w:rFonts w:hint="eastAsia" w:asciiTheme="minorEastAsia" w:hAnsiTheme="minorEastAsia" w:cstheme="minorEastAsia"/>
                <w:b/>
                <w:bCs/>
                <w:i w:val="0"/>
                <w:iCs w:val="0"/>
                <w:color w:val="000000"/>
                <w:kern w:val="0"/>
                <w:sz w:val="20"/>
                <w:szCs w:val="20"/>
                <w:u w:val="none"/>
                <w:lang w:val="en-US" w:eastAsia="zh-CN" w:bidi="ar"/>
              </w:rPr>
              <w:t>技术参数要求</w:t>
            </w:r>
          </w:p>
        </w:tc>
        <w:tc>
          <w:tcPr>
            <w:tcW w:w="75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数量</w:t>
            </w:r>
          </w:p>
        </w:tc>
        <w:tc>
          <w:tcPr>
            <w:tcW w:w="7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2076"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地面放学管理终端</w:t>
            </w:r>
          </w:p>
        </w:tc>
        <w:tc>
          <w:tcPr>
            <w:tcW w:w="415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地面放学管理终端</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 终端参数：采用21寸LCD触摸显示屏，8GB内存，128GB SSD；</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 班级办学管理软件系统</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 通讯方式：采用标准网口设计，上下行通讯为TCP/IP；</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 设备接口：LAN*1，USB*2；</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 工作电压： DC 12V/3A，；</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 使用环境：室内外；</w:t>
            </w:r>
          </w:p>
        </w:tc>
        <w:tc>
          <w:tcPr>
            <w:tcW w:w="756"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78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trPr>
        <w:tc>
          <w:tcPr>
            <w:tcW w:w="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2076"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等候区综合屏</w:t>
            </w:r>
          </w:p>
        </w:tc>
        <w:tc>
          <w:tcPr>
            <w:tcW w:w="415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等候区综合屏</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- 65" LCD</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 HDMI*1，4K</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- 60HZ，2160P</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- 16：9</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- 1.5GB+8GB</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 吊装支架</w:t>
            </w:r>
          </w:p>
        </w:tc>
        <w:tc>
          <w:tcPr>
            <w:tcW w:w="756"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w:t>
            </w:r>
          </w:p>
        </w:tc>
        <w:tc>
          <w:tcPr>
            <w:tcW w:w="78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2076"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显示驱动控制器</w:t>
            </w:r>
          </w:p>
        </w:tc>
        <w:tc>
          <w:tcPr>
            <w:tcW w:w="415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显示驱动控制器</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 嵌入式处理器、8GB、64GB SSD</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 HDMI *1</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 断电自启</w:t>
            </w:r>
          </w:p>
        </w:tc>
        <w:tc>
          <w:tcPr>
            <w:tcW w:w="756"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w:t>
            </w:r>
          </w:p>
        </w:tc>
        <w:tc>
          <w:tcPr>
            <w:tcW w:w="78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w:t>
            </w:r>
          </w:p>
        </w:tc>
        <w:tc>
          <w:tcPr>
            <w:tcW w:w="2076"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感应摆闸</w:t>
            </w:r>
          </w:p>
        </w:tc>
        <w:tc>
          <w:tcPr>
            <w:tcW w:w="415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双向自动控制感应人行摆闸，不锈钢，双红外探测，80-100cm</w:t>
            </w:r>
          </w:p>
        </w:tc>
        <w:tc>
          <w:tcPr>
            <w:tcW w:w="756"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78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70" w:type="dxa"/>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2076"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二维码识别终端</w:t>
            </w:r>
          </w:p>
        </w:tc>
        <w:tc>
          <w:tcPr>
            <w:tcW w:w="415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二维码识别终端</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 设备参数：抗逆光二维码；200万像素宽动态摄像头；面部识别距离0.3m-3m；</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 设备容量：支持20000张人脸白名单，1：N人脸比对时间≤0.5S/人；</w:t>
            </w:r>
          </w:p>
        </w:tc>
        <w:tc>
          <w:tcPr>
            <w:tcW w:w="756"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w:t>
            </w:r>
          </w:p>
        </w:tc>
        <w:tc>
          <w:tcPr>
            <w:tcW w:w="78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34" w:type="dxa"/>
            <w:gridSpan w:val="5"/>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二、授权区通道系统硬件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序号</w:t>
            </w:r>
          </w:p>
        </w:tc>
        <w:tc>
          <w:tcPr>
            <w:tcW w:w="207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名称</w:t>
            </w:r>
          </w:p>
        </w:tc>
        <w:tc>
          <w:tcPr>
            <w:tcW w:w="415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说明</w:t>
            </w:r>
          </w:p>
        </w:tc>
        <w:tc>
          <w:tcPr>
            <w:tcW w:w="75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数量</w:t>
            </w:r>
          </w:p>
        </w:tc>
        <w:tc>
          <w:tcPr>
            <w:tcW w:w="7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2076"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人脸识别终端</w:t>
            </w:r>
          </w:p>
        </w:tc>
        <w:tc>
          <w:tcPr>
            <w:tcW w:w="415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人脸识别终端（含安装立杆）</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 设备外观：采用节能LCD显示屏；补光灯亮度自动调节；200万像素宽动态摄像头；面部识别距离0.3m-3m；</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 设备容量：支持20000张人脸白名单，1：N人脸比对时间≤0.5S/人；</w:t>
            </w:r>
          </w:p>
        </w:tc>
        <w:tc>
          <w:tcPr>
            <w:tcW w:w="75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78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微软雅黑" w:hAnsi="微软雅黑" w:eastAsia="微软雅黑" w:cs="微软雅黑"/>
                <w:i w:val="0"/>
                <w:iCs w:val="0"/>
                <w:color w:val="000000"/>
                <w:kern w:val="0"/>
                <w:sz w:val="18"/>
                <w:szCs w:val="18"/>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2076"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落地伸缩立柱</w:t>
            </w:r>
          </w:p>
        </w:tc>
        <w:tc>
          <w:tcPr>
            <w:tcW w:w="415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铝合金伸缩落地立柱</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- 0.7-1.3米伸缩可调</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 底座 300mm，6.6KG</w:t>
            </w:r>
          </w:p>
        </w:tc>
        <w:tc>
          <w:tcPr>
            <w:tcW w:w="75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78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微软雅黑" w:hAnsi="微软雅黑" w:eastAsia="微软雅黑" w:cs="微软雅黑"/>
                <w:i w:val="0"/>
                <w:iCs w:val="0"/>
                <w:color w:val="000000"/>
                <w:kern w:val="0"/>
                <w:sz w:val="18"/>
                <w:szCs w:val="18"/>
                <w:u w:val="none"/>
                <w:lang w:val="en-US" w:eastAsia="zh-CN" w:bidi="ar"/>
              </w:rPr>
              <w:t>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34" w:type="dxa"/>
            <w:gridSpan w:val="5"/>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三、等候区通道系统硬件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序号</w:t>
            </w:r>
          </w:p>
        </w:tc>
        <w:tc>
          <w:tcPr>
            <w:tcW w:w="207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名称</w:t>
            </w:r>
          </w:p>
        </w:tc>
        <w:tc>
          <w:tcPr>
            <w:tcW w:w="415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说明</w:t>
            </w:r>
          </w:p>
        </w:tc>
        <w:tc>
          <w:tcPr>
            <w:tcW w:w="75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数量</w:t>
            </w:r>
          </w:p>
        </w:tc>
        <w:tc>
          <w:tcPr>
            <w:tcW w:w="7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2076"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前置车辆识别相机</w:t>
            </w:r>
          </w:p>
        </w:tc>
        <w:tc>
          <w:tcPr>
            <w:tcW w:w="415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定制款一体化高清车牌识别器</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 视频触发识别（非线圈式）</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 云接口通讯模式</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 高性能SSD芯片定制</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- 200W像素，识别率达99%，识别时间≤500mS</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 高速缓存定制</w:t>
            </w:r>
          </w:p>
        </w:tc>
        <w:tc>
          <w:tcPr>
            <w:tcW w:w="75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78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2076"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等候区综合屏</w:t>
            </w:r>
          </w:p>
        </w:tc>
        <w:tc>
          <w:tcPr>
            <w:tcW w:w="415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等候区综合屏</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- 65" LCD</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 HDMI*1，4K</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- 60HZ，2160P</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- 16：9</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- 1.5GB+8GB</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 吊装支架</w:t>
            </w:r>
          </w:p>
        </w:tc>
        <w:tc>
          <w:tcPr>
            <w:tcW w:w="75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78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2076"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等候区通道屏</w:t>
            </w:r>
          </w:p>
        </w:tc>
        <w:tc>
          <w:tcPr>
            <w:tcW w:w="415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55寸电视（含支架）</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- 55英寸 LCD</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 HDMI*1，4K</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- 60HZ，2160P</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- 16：9</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- 1.5GB+8GB</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 吊装支架</w:t>
            </w:r>
          </w:p>
        </w:tc>
        <w:tc>
          <w:tcPr>
            <w:tcW w:w="75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78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w:t>
            </w:r>
          </w:p>
        </w:tc>
        <w:tc>
          <w:tcPr>
            <w:tcW w:w="2076"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显示驱动控制器</w:t>
            </w:r>
          </w:p>
        </w:tc>
        <w:tc>
          <w:tcPr>
            <w:tcW w:w="415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显示驱动控制器</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 嵌入式处理器、8GB、64GB SSD</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 HDMI *1</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 断电自启</w:t>
            </w:r>
          </w:p>
        </w:tc>
        <w:tc>
          <w:tcPr>
            <w:tcW w:w="75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微软雅黑" w:hAnsi="微软雅黑" w:eastAsia="微软雅黑" w:cs="微软雅黑"/>
                <w:i w:val="0"/>
                <w:iCs w:val="0"/>
                <w:color w:val="000000"/>
                <w:kern w:val="0"/>
                <w:sz w:val="18"/>
                <w:szCs w:val="18"/>
                <w:u w:val="none"/>
                <w:lang w:val="en-US" w:eastAsia="zh-CN" w:bidi="ar"/>
              </w:rPr>
              <w:t>8</w:t>
            </w:r>
          </w:p>
        </w:tc>
        <w:tc>
          <w:tcPr>
            <w:tcW w:w="78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2076"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感应摆闸</w:t>
            </w:r>
          </w:p>
        </w:tc>
        <w:tc>
          <w:tcPr>
            <w:tcW w:w="415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双向自动控制感应人行摆闸，不锈钢，双红外探测，80-100cm</w:t>
            </w:r>
          </w:p>
        </w:tc>
        <w:tc>
          <w:tcPr>
            <w:tcW w:w="75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78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34" w:type="dxa"/>
            <w:gridSpan w:val="5"/>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四、出入口车库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序号</w:t>
            </w:r>
          </w:p>
        </w:tc>
        <w:tc>
          <w:tcPr>
            <w:tcW w:w="207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名称</w:t>
            </w:r>
          </w:p>
        </w:tc>
        <w:tc>
          <w:tcPr>
            <w:tcW w:w="415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说明</w:t>
            </w:r>
          </w:p>
        </w:tc>
        <w:tc>
          <w:tcPr>
            <w:tcW w:w="75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数量</w:t>
            </w:r>
          </w:p>
        </w:tc>
        <w:tc>
          <w:tcPr>
            <w:tcW w:w="7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2076"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车辆识别相机</w:t>
            </w:r>
          </w:p>
        </w:tc>
        <w:tc>
          <w:tcPr>
            <w:tcW w:w="415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定制款一体化高清车牌识别器</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 视频触发识别（非线圈式）</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 云接口通讯模式</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 高性能SSD芯片定制</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- 200W像素，识别率达99%，识别时间≤500mS</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 高速缓存定制</w:t>
            </w:r>
          </w:p>
        </w:tc>
        <w:tc>
          <w:tcPr>
            <w:tcW w:w="75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78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2076"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车库入口显示屏</w:t>
            </w:r>
          </w:p>
        </w:tc>
        <w:tc>
          <w:tcPr>
            <w:tcW w:w="415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户外LED屏</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- 60*30cm</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-2*2显示模组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-网络控制卡</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- 1.5米立柱，全防水</w:t>
            </w:r>
          </w:p>
        </w:tc>
        <w:tc>
          <w:tcPr>
            <w:tcW w:w="75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78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34" w:type="dxa"/>
            <w:gridSpan w:val="5"/>
            <w:shd w:val="clear" w:color="auto" w:fill="auto"/>
            <w:vAlign w:val="center"/>
          </w:tcPr>
          <w:p>
            <w:pPr>
              <w:jc w:val="both"/>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五、接送平台硬件系统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序号</w:t>
            </w:r>
          </w:p>
        </w:tc>
        <w:tc>
          <w:tcPr>
            <w:tcW w:w="207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名称</w:t>
            </w:r>
          </w:p>
        </w:tc>
        <w:tc>
          <w:tcPr>
            <w:tcW w:w="415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说明</w:t>
            </w:r>
          </w:p>
        </w:tc>
        <w:tc>
          <w:tcPr>
            <w:tcW w:w="75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数量</w:t>
            </w:r>
          </w:p>
        </w:tc>
        <w:tc>
          <w:tcPr>
            <w:tcW w:w="7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2076"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接送平台一体机</w:t>
            </w:r>
          </w:p>
        </w:tc>
        <w:tc>
          <w:tcPr>
            <w:tcW w:w="415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接送平台一体机 嵌入式高性能处理器/64G/1T *2/550w单/2U</w:t>
            </w:r>
          </w:p>
        </w:tc>
        <w:tc>
          <w:tcPr>
            <w:tcW w:w="75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78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54" w:type="dxa"/>
            <w:gridSpan w:val="4"/>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六、网络</w:t>
            </w:r>
          </w:p>
        </w:tc>
        <w:tc>
          <w:tcPr>
            <w:tcW w:w="780" w:type="dxa"/>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序号</w:t>
            </w:r>
          </w:p>
        </w:tc>
        <w:tc>
          <w:tcPr>
            <w:tcW w:w="207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名称</w:t>
            </w:r>
          </w:p>
        </w:tc>
        <w:tc>
          <w:tcPr>
            <w:tcW w:w="415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说明</w:t>
            </w:r>
          </w:p>
        </w:tc>
        <w:tc>
          <w:tcPr>
            <w:tcW w:w="75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数量</w:t>
            </w:r>
          </w:p>
        </w:tc>
        <w:tc>
          <w:tcPr>
            <w:tcW w:w="78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2076"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交换机千兆24口</w:t>
            </w:r>
          </w:p>
        </w:tc>
        <w:tc>
          <w:tcPr>
            <w:tcW w:w="415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24千兆以太网网络交换机</w:t>
            </w:r>
          </w:p>
        </w:tc>
        <w:tc>
          <w:tcPr>
            <w:tcW w:w="75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78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2076"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交换机千兆8口</w:t>
            </w:r>
          </w:p>
        </w:tc>
        <w:tc>
          <w:tcPr>
            <w:tcW w:w="415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8口网络交换机</w:t>
            </w:r>
          </w:p>
        </w:tc>
        <w:tc>
          <w:tcPr>
            <w:tcW w:w="75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78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34" w:type="dxa"/>
            <w:gridSpan w:val="5"/>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七、网络布线及安装服务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序号</w:t>
            </w:r>
          </w:p>
        </w:tc>
        <w:tc>
          <w:tcPr>
            <w:tcW w:w="207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名称</w:t>
            </w:r>
          </w:p>
        </w:tc>
        <w:tc>
          <w:tcPr>
            <w:tcW w:w="415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规格</w:t>
            </w:r>
          </w:p>
        </w:tc>
        <w:tc>
          <w:tcPr>
            <w:tcW w:w="75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单位</w:t>
            </w:r>
          </w:p>
        </w:tc>
        <w:tc>
          <w:tcPr>
            <w:tcW w:w="78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2076"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9U壁柜</w:t>
            </w:r>
          </w:p>
        </w:tc>
        <w:tc>
          <w:tcPr>
            <w:tcW w:w="4152"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756"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只</w:t>
            </w:r>
          </w:p>
        </w:tc>
        <w:tc>
          <w:tcPr>
            <w:tcW w:w="78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2076"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空开箱</w:t>
            </w:r>
          </w:p>
        </w:tc>
        <w:tc>
          <w:tcPr>
            <w:tcW w:w="4152"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756"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c>
          <w:tcPr>
            <w:tcW w:w="78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shd w:val="clear" w:color="auto" w:fill="auto"/>
            <w:noWrap/>
            <w:vAlign w:val="center"/>
          </w:tcPr>
          <w:p>
            <w:pPr>
              <w:keepNext w:val="0"/>
              <w:keepLines w:val="0"/>
              <w:widowControl/>
              <w:suppressLineNumbers w:val="0"/>
              <w:jc w:val="center"/>
              <w:textAlignment w:val="center"/>
              <w:rPr>
                <w:rFonts w:hint="default" w:asciiTheme="minorEastAsia" w:hAnsiTheme="minorEastAsia" w:cstheme="minorEastAsia"/>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0"/>
                <w:szCs w:val="20"/>
                <w:u w:val="none"/>
                <w:lang w:val="en-US" w:eastAsia="zh-CN" w:bidi="ar"/>
              </w:rPr>
              <w:t>3</w:t>
            </w:r>
          </w:p>
        </w:tc>
        <w:tc>
          <w:tcPr>
            <w:tcW w:w="2076"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栅栏</w:t>
            </w:r>
          </w:p>
        </w:tc>
        <w:tc>
          <w:tcPr>
            <w:tcW w:w="4152"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756"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米</w:t>
            </w:r>
          </w:p>
        </w:tc>
        <w:tc>
          <w:tcPr>
            <w:tcW w:w="78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shd w:val="clear" w:color="auto" w:fill="auto"/>
            <w:noWrap/>
            <w:vAlign w:val="center"/>
          </w:tcPr>
          <w:p>
            <w:pPr>
              <w:keepNext w:val="0"/>
              <w:keepLines w:val="0"/>
              <w:widowControl/>
              <w:suppressLineNumbers w:val="0"/>
              <w:jc w:val="center"/>
              <w:textAlignment w:val="center"/>
              <w:rPr>
                <w:rFonts w:hint="default" w:asciiTheme="minorEastAsia" w:hAnsiTheme="minorEastAsia" w:cstheme="minorEastAsia"/>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0"/>
                <w:szCs w:val="20"/>
                <w:u w:val="none"/>
                <w:lang w:val="en-US" w:eastAsia="zh-CN" w:bidi="ar"/>
              </w:rPr>
              <w:t>4</w:t>
            </w:r>
          </w:p>
        </w:tc>
        <w:tc>
          <w:tcPr>
            <w:tcW w:w="2076"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电视机支架</w:t>
            </w:r>
          </w:p>
        </w:tc>
        <w:tc>
          <w:tcPr>
            <w:tcW w:w="4152"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65寸</w:t>
            </w:r>
          </w:p>
        </w:tc>
        <w:tc>
          <w:tcPr>
            <w:tcW w:w="756"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c>
          <w:tcPr>
            <w:tcW w:w="78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shd w:val="clear" w:color="auto" w:fill="auto"/>
            <w:noWrap/>
            <w:vAlign w:val="center"/>
          </w:tcPr>
          <w:p>
            <w:pPr>
              <w:keepNext w:val="0"/>
              <w:keepLines w:val="0"/>
              <w:widowControl/>
              <w:suppressLineNumbers w:val="0"/>
              <w:jc w:val="center"/>
              <w:textAlignment w:val="center"/>
              <w:rPr>
                <w:rFonts w:hint="default" w:asciiTheme="minorEastAsia" w:hAnsiTheme="minorEastAsia" w:cstheme="minorEastAsia"/>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0"/>
                <w:szCs w:val="20"/>
                <w:u w:val="none"/>
                <w:lang w:val="en-US" w:eastAsia="zh-CN" w:bidi="ar"/>
              </w:rPr>
              <w:t>5</w:t>
            </w:r>
          </w:p>
        </w:tc>
        <w:tc>
          <w:tcPr>
            <w:tcW w:w="2076"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电视机支架</w:t>
            </w:r>
          </w:p>
        </w:tc>
        <w:tc>
          <w:tcPr>
            <w:tcW w:w="4152"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32寸</w:t>
            </w:r>
          </w:p>
        </w:tc>
        <w:tc>
          <w:tcPr>
            <w:tcW w:w="756"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c>
          <w:tcPr>
            <w:tcW w:w="78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shd w:val="clear" w:color="auto" w:fill="auto"/>
            <w:noWrap/>
            <w:vAlign w:val="center"/>
          </w:tcPr>
          <w:p>
            <w:pPr>
              <w:keepNext w:val="0"/>
              <w:keepLines w:val="0"/>
              <w:widowControl/>
              <w:suppressLineNumbers w:val="0"/>
              <w:jc w:val="center"/>
              <w:textAlignment w:val="center"/>
              <w:rPr>
                <w:rFonts w:hint="default" w:asciiTheme="minorEastAsia" w:hAnsiTheme="minorEastAsia" w:cstheme="minorEastAsia"/>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0"/>
                <w:szCs w:val="20"/>
                <w:u w:val="none"/>
                <w:lang w:val="en-US" w:eastAsia="zh-CN" w:bidi="ar"/>
              </w:rPr>
              <w:t>6</w:t>
            </w:r>
          </w:p>
        </w:tc>
        <w:tc>
          <w:tcPr>
            <w:tcW w:w="2076"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安全岛</w:t>
            </w:r>
          </w:p>
        </w:tc>
        <w:tc>
          <w:tcPr>
            <w:tcW w:w="4152"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500mm*1500mm*150mm</w:t>
            </w:r>
          </w:p>
        </w:tc>
        <w:tc>
          <w:tcPr>
            <w:tcW w:w="756"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c>
          <w:tcPr>
            <w:tcW w:w="78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shd w:val="clear" w:color="auto" w:fill="auto"/>
            <w:noWrap/>
            <w:vAlign w:val="center"/>
          </w:tcPr>
          <w:p>
            <w:pPr>
              <w:keepNext w:val="0"/>
              <w:keepLines w:val="0"/>
              <w:widowControl/>
              <w:suppressLineNumbers w:val="0"/>
              <w:jc w:val="center"/>
              <w:textAlignment w:val="center"/>
              <w:rPr>
                <w:rFonts w:hint="default" w:asciiTheme="minorEastAsia" w:hAnsiTheme="minorEastAsia" w:cstheme="minorEastAsia"/>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0"/>
                <w:szCs w:val="20"/>
                <w:u w:val="none"/>
                <w:lang w:val="en-US" w:eastAsia="zh-CN" w:bidi="ar"/>
              </w:rPr>
              <w:t>7</w:t>
            </w:r>
          </w:p>
        </w:tc>
        <w:tc>
          <w:tcPr>
            <w:tcW w:w="2076" w:type="dxa"/>
            <w:shd w:val="clear" w:color="auto" w:fill="auto"/>
            <w:noWrap/>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车牌识别移机</w:t>
            </w:r>
          </w:p>
        </w:tc>
        <w:tc>
          <w:tcPr>
            <w:tcW w:w="4152"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756"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c>
          <w:tcPr>
            <w:tcW w:w="78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shd w:val="clear" w:color="auto" w:fill="auto"/>
            <w:noWrap/>
            <w:vAlign w:val="center"/>
          </w:tcPr>
          <w:p>
            <w:pPr>
              <w:keepNext w:val="0"/>
              <w:keepLines w:val="0"/>
              <w:widowControl/>
              <w:suppressLineNumbers w:val="0"/>
              <w:jc w:val="center"/>
              <w:textAlignment w:val="center"/>
              <w:rPr>
                <w:rFonts w:hint="default" w:asciiTheme="minorEastAsia" w:hAnsiTheme="minorEastAsia" w:cstheme="minorEastAsia"/>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0"/>
                <w:szCs w:val="20"/>
                <w:u w:val="none"/>
                <w:lang w:val="en-US" w:eastAsia="zh-CN" w:bidi="ar"/>
              </w:rPr>
              <w:t>8</w:t>
            </w:r>
          </w:p>
        </w:tc>
        <w:tc>
          <w:tcPr>
            <w:tcW w:w="2076" w:type="dxa"/>
            <w:shd w:val="clear" w:color="auto" w:fill="auto"/>
            <w:noWrap/>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配套辅材</w:t>
            </w:r>
          </w:p>
        </w:tc>
        <w:tc>
          <w:tcPr>
            <w:tcW w:w="4152" w:type="dxa"/>
            <w:shd w:val="clear" w:color="auto" w:fill="auto"/>
            <w:noWrap/>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电线、光纤、网线</w:t>
            </w:r>
          </w:p>
        </w:tc>
        <w:tc>
          <w:tcPr>
            <w:tcW w:w="756" w:type="dxa"/>
            <w:shd w:val="clear" w:color="auto" w:fill="auto"/>
            <w:noWrap/>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c>
          <w:tcPr>
            <w:tcW w:w="780" w:type="dxa"/>
            <w:shd w:val="clear" w:color="auto" w:fill="auto"/>
            <w:noWrap/>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r>
    </w:tbl>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3、道路交通组织方案标识系统</w:t>
      </w:r>
    </w:p>
    <w:tbl>
      <w:tblPr>
        <w:tblStyle w:val="25"/>
        <w:tblW w:w="8532"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2064"/>
        <w:gridCol w:w="4164"/>
        <w:gridCol w:w="756"/>
        <w:gridCol w:w="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导向牌（小）1.0厚镀锌铁皮+反光膜</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1.2*0.4</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临时停车线</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5.7*2.5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插地式导向牌铝制道路指示牌</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0.6*0.9</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地下车库提示语室外写真+0.5cmPVC板</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0.6*1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平方米</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箭头（白色）即时贴</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0.15*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米</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导向牌补丁室外写真背黑胶</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0.30618*0.4</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平方米</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新增导向牌（大）1.0厚镀锌铁皮+反光膜</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2.4*0.4</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出入口即时贴</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*0.18</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米</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可移A3展架铝合金展架</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警示标识室外写真背胶</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0.3*0.3</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平方米</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出口禁入、接送入口室外写真背胶</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*0.3</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m</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12</w:t>
            </w:r>
          </w:p>
        </w:tc>
      </w:tr>
    </w:tbl>
    <w:p>
      <w:pPr>
        <w:pStyle w:val="10"/>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ascii="宋体" w:hAnsi="宋体" w:eastAsia="宋体" w:cs="宋体"/>
          <w:b/>
          <w:bCs/>
          <w:kern w:val="2"/>
          <w:sz w:val="24"/>
          <w:szCs w:val="24"/>
          <w:lang w:val="en-US" w:eastAsia="zh-CN" w:bidi="ar-SA"/>
        </w:rPr>
      </w:pPr>
      <w:bookmarkStart w:id="40" w:name="_Toc525049748"/>
      <w:r>
        <w:rPr>
          <w:rFonts w:hint="eastAsia" w:ascii="宋体" w:hAnsi="宋体" w:eastAsia="宋体" w:cs="宋体"/>
          <w:b/>
          <w:bCs/>
          <w:kern w:val="2"/>
          <w:sz w:val="24"/>
          <w:szCs w:val="24"/>
          <w:lang w:val="en-US" w:eastAsia="zh-CN" w:bidi="ar-SA"/>
        </w:rPr>
        <w:t>平台连接网络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100M上下行对称宽带。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 w:val="24"/>
          <w:szCs w:val="24"/>
          <w:highlight w:val="none"/>
          <w:lang w:val="en-US" w:eastAsia="zh-CN"/>
        </w:rPr>
      </w:pPr>
      <w:r>
        <w:rPr>
          <w:rFonts w:hint="eastAsia" w:ascii="宋体" w:hAnsi="宋体" w:eastAsia="宋体" w:cs="宋体"/>
          <w:b/>
          <w:bCs/>
          <w:sz w:val="24"/>
          <w:szCs w:val="24"/>
          <w:highlight w:val="none"/>
          <w:lang w:eastAsia="zh-CN"/>
        </w:rPr>
        <w:t>注：</w:t>
      </w:r>
      <w:r>
        <w:rPr>
          <w:rFonts w:cs="宋体"/>
          <w:highlight w:val="none"/>
        </w:rPr>
        <w:t>▲</w:t>
      </w:r>
      <w:r>
        <w:rPr>
          <w:rFonts w:hint="eastAsia" w:ascii="宋体" w:hAnsi="宋体" w:cs="宋体"/>
          <w:b/>
          <w:bCs/>
          <w:sz w:val="24"/>
          <w:szCs w:val="24"/>
          <w:highlight w:val="none"/>
          <w:lang w:val="en-US" w:eastAsia="zh-CN"/>
        </w:rPr>
        <w:t>1.以上设备清单（标准、数量）及系统是本项目服务的最低工程量，中标后，中标人的设备清单及系统工程量不得低于以上工程量。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lang w:eastAsia="zh-CN"/>
        </w:rPr>
      </w:pPr>
      <w:r>
        <w:rPr>
          <w:rFonts w:cs="宋体"/>
          <w:highlight w:val="none"/>
        </w:rPr>
        <w:t>▲</w:t>
      </w:r>
      <w:r>
        <w:rPr>
          <w:rFonts w:hint="eastAsia" w:ascii="宋体" w:hAnsi="宋体" w:cs="宋体"/>
          <w:b/>
          <w:bCs/>
          <w:sz w:val="24"/>
          <w:szCs w:val="24"/>
          <w:highlight w:val="none"/>
          <w:lang w:val="en-US" w:eastAsia="zh-CN"/>
        </w:rPr>
        <w:t>2.</w:t>
      </w:r>
      <w:r>
        <w:rPr>
          <w:rFonts w:hint="eastAsia" w:ascii="宋体" w:hAnsi="宋体" w:eastAsia="宋体" w:cs="宋体"/>
          <w:b/>
          <w:bCs/>
          <w:sz w:val="24"/>
          <w:szCs w:val="24"/>
          <w:highlight w:val="none"/>
        </w:rPr>
        <w:t>服务期</w:t>
      </w:r>
      <w:r>
        <w:rPr>
          <w:rFonts w:hint="eastAsia" w:ascii="宋体" w:hAnsi="宋体" w:eastAsia="宋体" w:cs="宋体"/>
          <w:b/>
          <w:bCs/>
          <w:sz w:val="24"/>
          <w:szCs w:val="24"/>
          <w:highlight w:val="none"/>
          <w:lang w:eastAsia="zh-CN"/>
        </w:rPr>
        <w:t>及运维期</w:t>
      </w:r>
      <w:r>
        <w:rPr>
          <w:rFonts w:hint="eastAsia" w:ascii="宋体" w:hAnsi="宋体" w:eastAsia="宋体" w:cs="宋体"/>
          <w:b/>
          <w:bCs/>
          <w:sz w:val="24"/>
          <w:szCs w:val="24"/>
          <w:highlight w:val="none"/>
        </w:rPr>
        <w:t>结束后，本项目</w:t>
      </w:r>
      <w:r>
        <w:rPr>
          <w:rFonts w:hint="eastAsia" w:ascii="宋体" w:hAnsi="宋体" w:eastAsia="宋体" w:cs="宋体"/>
          <w:b/>
          <w:bCs/>
          <w:sz w:val="24"/>
          <w:szCs w:val="24"/>
          <w:highlight w:val="none"/>
          <w:lang w:eastAsia="zh-CN"/>
        </w:rPr>
        <w:t>所有中标人</w:t>
      </w:r>
      <w:r>
        <w:rPr>
          <w:rFonts w:hint="eastAsia" w:ascii="宋体" w:hAnsi="宋体" w:eastAsia="宋体" w:cs="宋体"/>
          <w:b/>
          <w:bCs/>
          <w:sz w:val="24"/>
          <w:szCs w:val="24"/>
          <w:highlight w:val="none"/>
        </w:rPr>
        <w:t>投资的设备，全部归</w:t>
      </w:r>
      <w:r>
        <w:rPr>
          <w:rFonts w:hint="eastAsia" w:ascii="宋体" w:hAnsi="宋体" w:eastAsia="宋体" w:cs="宋体"/>
          <w:b/>
          <w:bCs/>
          <w:sz w:val="24"/>
          <w:szCs w:val="24"/>
          <w:highlight w:val="none"/>
          <w:lang w:eastAsia="zh-CN"/>
        </w:rPr>
        <w:t>采购人</w:t>
      </w:r>
      <w:r>
        <w:rPr>
          <w:rFonts w:hint="eastAsia" w:ascii="宋体" w:hAnsi="宋体" w:eastAsia="宋体" w:cs="宋体"/>
          <w:b/>
          <w:bCs/>
          <w:sz w:val="24"/>
          <w:szCs w:val="24"/>
          <w:highlight w:val="none"/>
        </w:rPr>
        <w:t>所有，不属于</w:t>
      </w:r>
      <w:r>
        <w:rPr>
          <w:rFonts w:hint="eastAsia" w:ascii="宋体" w:hAnsi="宋体" w:eastAsia="宋体" w:cs="宋体"/>
          <w:b/>
          <w:bCs/>
          <w:sz w:val="24"/>
          <w:szCs w:val="24"/>
          <w:highlight w:val="none"/>
          <w:lang w:eastAsia="zh-CN"/>
        </w:rPr>
        <w:t>中标人。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kern w:val="0"/>
          <w:sz w:val="24"/>
          <w:highlight w:val="none"/>
          <w:lang w:eastAsia="zh-CN" w:bidi="ar"/>
        </w:rPr>
      </w:pPr>
      <w:r>
        <w:rPr>
          <w:rFonts w:cs="宋体"/>
          <w:highlight w:val="none"/>
        </w:rPr>
        <w:t>▲</w:t>
      </w:r>
      <w:r>
        <w:rPr>
          <w:rFonts w:hint="eastAsia" w:ascii="宋体" w:hAnsi="宋体" w:cs="宋体"/>
          <w:b/>
          <w:kern w:val="0"/>
          <w:sz w:val="24"/>
          <w:highlight w:val="none"/>
          <w:lang w:eastAsia="zh-CN" w:bidi="ar"/>
        </w:rPr>
        <w:t>四、商务要求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kern w:val="0"/>
          <w:sz w:val="24"/>
          <w:highlight w:val="none"/>
          <w:lang w:eastAsia="zh-CN" w:bidi="ar"/>
        </w:rPr>
      </w:pPr>
      <w:r>
        <w:rPr>
          <w:rFonts w:hint="eastAsia" w:ascii="宋体" w:hAnsi="宋体" w:cs="宋体"/>
          <w:b/>
          <w:kern w:val="0"/>
          <w:sz w:val="24"/>
          <w:highlight w:val="none"/>
          <w:lang w:val="en-US" w:eastAsia="zh-CN" w:bidi="ar"/>
        </w:rPr>
        <w:t>1、</w:t>
      </w:r>
      <w:r>
        <w:rPr>
          <w:rFonts w:hint="eastAsia" w:ascii="宋体" w:hAnsi="宋体" w:cs="宋体"/>
          <w:b/>
          <w:kern w:val="0"/>
          <w:sz w:val="24"/>
          <w:highlight w:val="none"/>
          <w:lang w:eastAsia="zh-CN" w:bidi="ar"/>
        </w:rPr>
        <w:t>服务地点：</w:t>
      </w:r>
      <w:r>
        <w:rPr>
          <w:rFonts w:hint="eastAsia" w:ascii="宋体" w:hAnsi="宋体" w:cs="宋体"/>
          <w:sz w:val="24"/>
          <w:szCs w:val="24"/>
          <w:highlight w:val="none"/>
          <w:lang w:eastAsia="zh-CN"/>
        </w:rPr>
        <w:t>台州市云湖小学</w:t>
      </w:r>
      <w:r>
        <w:rPr>
          <w:rFonts w:hint="eastAsia" w:ascii="宋体" w:hAnsi="宋体" w:eastAsia="宋体" w:cs="宋体"/>
          <w:sz w:val="24"/>
          <w:szCs w:val="24"/>
          <w:highlight w:val="none"/>
          <w:lang w:val="en-US" w:eastAsia="zh-CN"/>
        </w:rPr>
        <w:t>。</w:t>
      </w:r>
    </w:p>
    <w:bookmarkEnd w:id="40"/>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kern w:val="0"/>
          <w:sz w:val="24"/>
          <w:szCs w:val="24"/>
          <w:highlight w:val="none"/>
          <w:lang w:eastAsia="zh-CN" w:bidi="ar"/>
        </w:rPr>
      </w:pPr>
      <w:r>
        <w:rPr>
          <w:rFonts w:hint="eastAsia" w:ascii="宋体" w:hAnsi="宋体" w:cs="宋体"/>
          <w:b/>
          <w:kern w:val="0"/>
          <w:sz w:val="24"/>
          <w:szCs w:val="24"/>
          <w:highlight w:val="none"/>
          <w:lang w:val="en-US" w:eastAsia="zh-CN" w:bidi="ar"/>
        </w:rPr>
        <w:t>2、</w:t>
      </w:r>
      <w:r>
        <w:rPr>
          <w:rFonts w:hint="eastAsia" w:ascii="宋体" w:hAnsi="宋体" w:eastAsia="宋体" w:cs="宋体"/>
          <w:b/>
          <w:kern w:val="0"/>
          <w:sz w:val="24"/>
          <w:szCs w:val="24"/>
          <w:highlight w:val="none"/>
          <w:lang w:eastAsia="zh-CN" w:bidi="ar"/>
        </w:rPr>
        <w:t>建设服务期限与运维服务期限</w:t>
      </w:r>
      <w:r>
        <w:rPr>
          <w:rFonts w:hint="eastAsia" w:ascii="宋体" w:hAnsi="宋体" w:cs="宋体"/>
          <w:b/>
          <w:kern w:val="0"/>
          <w:sz w:val="24"/>
          <w:szCs w:val="24"/>
          <w:highlight w:val="none"/>
          <w:lang w:eastAsia="zh-CN" w:bidi="ar"/>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接到采购人通知</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天内完成系统</w:t>
      </w:r>
      <w:r>
        <w:rPr>
          <w:rFonts w:hint="eastAsia" w:ascii="宋体" w:hAnsi="宋体" w:eastAsia="宋体" w:cs="宋体"/>
          <w:sz w:val="24"/>
          <w:szCs w:val="24"/>
          <w:highlight w:val="none"/>
          <w:lang w:eastAsia="zh-CN"/>
        </w:rPr>
        <w:t>和平台建设</w:t>
      </w:r>
      <w:r>
        <w:rPr>
          <w:rFonts w:hint="eastAsia" w:ascii="宋体" w:hAnsi="宋体" w:eastAsia="宋体" w:cs="宋体"/>
          <w:sz w:val="24"/>
          <w:szCs w:val="24"/>
          <w:highlight w:val="none"/>
        </w:rPr>
        <w:t>、安装、运行</w:t>
      </w:r>
      <w:r>
        <w:rPr>
          <w:rFonts w:hint="eastAsia" w:ascii="宋体" w:hAnsi="宋体" w:eastAsia="宋体" w:cs="宋体"/>
          <w:sz w:val="24"/>
          <w:szCs w:val="24"/>
          <w:highlight w:val="none"/>
          <w:lang w:eastAsia="zh-CN"/>
        </w:rPr>
        <w:t>及对接</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kern w:val="0"/>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eastAsia="zh-CN"/>
        </w:rPr>
        <w:t>系统及平台</w:t>
      </w:r>
      <w:r>
        <w:rPr>
          <w:rFonts w:hint="eastAsia" w:ascii="宋体" w:hAnsi="宋体" w:eastAsia="宋体" w:cs="宋体"/>
          <w:sz w:val="24"/>
          <w:szCs w:val="24"/>
          <w:highlight w:val="none"/>
        </w:rPr>
        <w:t>服务运维服务期：</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年（验收合格后之日起算）。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bookmarkStart w:id="41" w:name="_Toc525049753"/>
      <w:r>
        <w:rPr>
          <w:rFonts w:hint="eastAsia" w:ascii="宋体" w:hAnsi="宋体" w:cs="宋体"/>
          <w:b/>
          <w:kern w:val="0"/>
          <w:sz w:val="24"/>
          <w:highlight w:val="none"/>
          <w:lang w:val="en-US" w:eastAsia="zh-CN" w:bidi="ar"/>
        </w:rPr>
        <w:t>3</w:t>
      </w:r>
      <w:r>
        <w:rPr>
          <w:rFonts w:hint="eastAsia" w:ascii="宋体" w:hAnsi="宋体" w:cs="宋体"/>
          <w:b/>
          <w:kern w:val="0"/>
          <w:sz w:val="24"/>
          <w:highlight w:val="none"/>
          <w:lang w:bidi="ar"/>
        </w:rPr>
        <w:t>、付款方式</w:t>
      </w:r>
      <w:bookmarkEnd w:id="41"/>
      <w:r>
        <w:rPr>
          <w:rFonts w:hint="eastAsia" w:ascii="宋体" w:hAnsi="宋体" w:cs="宋体"/>
          <w:b/>
          <w:kern w:val="0"/>
          <w:sz w:val="24"/>
          <w:highlight w:val="none"/>
          <w:lang w:eastAsia="zh-CN" w:bidi="ar"/>
        </w:rPr>
        <w:t>：</w:t>
      </w:r>
      <w:r>
        <w:rPr>
          <w:rFonts w:hint="eastAsia" w:ascii="宋体" w:hAnsi="宋体" w:cs="宋体"/>
          <w:b w:val="0"/>
          <w:bCs/>
          <w:kern w:val="0"/>
          <w:sz w:val="24"/>
          <w:highlight w:val="none"/>
          <w:lang w:eastAsia="zh-CN" w:bidi="ar"/>
        </w:rPr>
        <w:t>完成所有</w:t>
      </w:r>
      <w:r>
        <w:rPr>
          <w:rFonts w:hint="eastAsia" w:ascii="宋体" w:hAnsi="宋体" w:cs="宋体"/>
          <w:b w:val="0"/>
          <w:bCs/>
          <w:kern w:val="0"/>
          <w:sz w:val="24"/>
          <w:highlight w:val="none"/>
          <w:lang w:val="en-US" w:eastAsia="zh-CN" w:bidi="ar"/>
        </w:rPr>
        <w:t>系统</w:t>
      </w:r>
      <w:r>
        <w:rPr>
          <w:rFonts w:hint="eastAsia" w:ascii="宋体" w:hAnsi="宋体" w:cs="宋体"/>
          <w:b w:val="0"/>
          <w:bCs/>
          <w:kern w:val="0"/>
          <w:sz w:val="24"/>
          <w:highlight w:val="none"/>
          <w:lang w:eastAsia="zh-CN" w:bidi="ar"/>
        </w:rPr>
        <w:t>的建设、安装、运行及对接且验收合格后</w:t>
      </w:r>
      <w:r>
        <w:rPr>
          <w:rFonts w:hint="eastAsia" w:ascii="宋体" w:hAnsi="宋体" w:cs="宋体"/>
          <w:b w:val="0"/>
          <w:bCs/>
          <w:kern w:val="0"/>
          <w:sz w:val="24"/>
          <w:highlight w:val="none"/>
          <w:lang w:val="en-US" w:eastAsia="zh-CN" w:bidi="ar"/>
        </w:rPr>
        <w:t>30</w:t>
      </w:r>
      <w:r>
        <w:rPr>
          <w:rFonts w:hint="eastAsia" w:ascii="宋体" w:hAnsi="宋体" w:cs="宋体"/>
          <w:b w:val="0"/>
          <w:bCs/>
          <w:kern w:val="0"/>
          <w:sz w:val="24"/>
          <w:highlight w:val="none"/>
          <w:lang w:eastAsia="zh-CN" w:bidi="ar"/>
        </w:rPr>
        <w:t>日内</w:t>
      </w:r>
      <w:r>
        <w:rPr>
          <w:rFonts w:hint="eastAsia" w:ascii="宋体" w:hAnsi="宋体" w:cs="宋体"/>
          <w:b w:val="0"/>
          <w:bCs/>
          <w:kern w:val="0"/>
          <w:sz w:val="24"/>
          <w:highlight w:val="none"/>
          <w:lang w:val="en-US" w:eastAsia="zh-CN" w:bidi="ar"/>
        </w:rPr>
        <w:t>付清。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highlight w:val="none"/>
          <w:lang w:val="en-US" w:eastAsia="zh-CN"/>
        </w:rPr>
        <w:t>4、履约保证金：</w:t>
      </w:r>
      <w:r>
        <w:rPr>
          <w:rFonts w:hint="eastAsia" w:ascii="宋体" w:hAnsi="宋体" w:eastAsia="宋体" w:cs="宋体"/>
          <w:sz w:val="24"/>
          <w:szCs w:val="24"/>
          <w:highlight w:val="none"/>
        </w:rPr>
        <w:t>合同价的</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%，可采用银行独立保函、保险机构独立保函、保兑支票</w:t>
      </w:r>
      <w:r>
        <w:rPr>
          <w:rFonts w:hint="eastAsia" w:ascii="宋体" w:hAnsi="宋体" w:eastAsia="宋体" w:cs="宋体"/>
          <w:sz w:val="24"/>
          <w:szCs w:val="24"/>
        </w:rPr>
        <w:t>、银行汇票或现金支票（若为转账，则完成</w:t>
      </w:r>
      <w:r>
        <w:rPr>
          <w:rFonts w:hint="eastAsia" w:ascii="宋体" w:hAnsi="宋体" w:eastAsia="宋体" w:cs="宋体"/>
          <w:sz w:val="24"/>
          <w:szCs w:val="24"/>
          <w:lang w:eastAsia="zh-CN"/>
        </w:rPr>
        <w:t>建设</w:t>
      </w:r>
      <w:r>
        <w:rPr>
          <w:rFonts w:hint="eastAsia" w:ascii="宋体" w:hAnsi="宋体" w:eastAsia="宋体" w:cs="宋体"/>
          <w:sz w:val="24"/>
          <w:szCs w:val="24"/>
        </w:rPr>
        <w:t>、安装、运行</w:t>
      </w:r>
      <w:r>
        <w:rPr>
          <w:rFonts w:hint="eastAsia" w:ascii="宋体" w:hAnsi="宋体" w:eastAsia="宋体" w:cs="宋体"/>
          <w:sz w:val="24"/>
          <w:szCs w:val="24"/>
          <w:lang w:eastAsia="zh-CN"/>
        </w:rPr>
        <w:t>、对接</w:t>
      </w:r>
      <w:r>
        <w:rPr>
          <w:rFonts w:hint="eastAsia" w:ascii="宋体" w:hAnsi="宋体" w:eastAsia="宋体" w:cs="宋体"/>
          <w:sz w:val="24"/>
          <w:szCs w:val="24"/>
        </w:rPr>
        <w:t>且经验收合格后10个工作日内无息退还剩余部分，若为保单保函的则担保有效期截止日须为所有工作完成且验收合格之日）。</w:t>
      </w:r>
    </w:p>
    <w:p>
      <w:pPr>
        <w:snapToGrid w:val="0"/>
        <w:spacing w:line="360" w:lineRule="auto"/>
        <w:ind w:firstLine="354" w:firstLineChars="169"/>
        <w:jc w:val="left"/>
      </w:pPr>
    </w:p>
    <w:p>
      <w:pPr>
        <w:pStyle w:val="31"/>
        <w:ind w:firstLine="0" w:firstLineChars="0"/>
      </w:pPr>
    </w:p>
    <w:p>
      <w:pPr>
        <w:pStyle w:val="31"/>
        <w:ind w:firstLine="0" w:firstLineChars="0"/>
      </w:pPr>
    </w:p>
    <w:p>
      <w:pPr>
        <w:pStyle w:val="31"/>
        <w:ind w:firstLine="0" w:firstLineChars="0"/>
      </w:pPr>
    </w:p>
    <w:p>
      <w:pPr>
        <w:pStyle w:val="31"/>
        <w:ind w:firstLine="0" w:firstLineChars="0"/>
      </w:pPr>
    </w:p>
    <w:p>
      <w:pPr>
        <w:pStyle w:val="31"/>
        <w:ind w:firstLine="0" w:firstLineChars="0"/>
      </w:pPr>
    </w:p>
    <w:p>
      <w:pPr>
        <w:pStyle w:val="31"/>
        <w:ind w:firstLine="0" w:firstLineChars="0"/>
      </w:pPr>
    </w:p>
    <w:p>
      <w:pPr>
        <w:pStyle w:val="31"/>
        <w:ind w:firstLine="0" w:firstLineChars="0"/>
      </w:pPr>
    </w:p>
    <w:p>
      <w:pPr>
        <w:pStyle w:val="31"/>
        <w:ind w:firstLine="0" w:firstLineChars="0"/>
      </w:pPr>
    </w:p>
    <w:p>
      <w:pPr>
        <w:pStyle w:val="31"/>
        <w:ind w:firstLine="0" w:firstLineChars="0"/>
      </w:pPr>
    </w:p>
    <w:p>
      <w:pPr>
        <w:pStyle w:val="31"/>
        <w:ind w:firstLine="0" w:firstLineChars="0"/>
      </w:pPr>
    </w:p>
    <w:p>
      <w:pPr>
        <w:pStyle w:val="31"/>
        <w:ind w:firstLine="0" w:firstLineChars="0"/>
      </w:pPr>
    </w:p>
    <w:p>
      <w:pPr>
        <w:pStyle w:val="31"/>
        <w:ind w:firstLine="0" w:firstLineChars="0"/>
      </w:pPr>
    </w:p>
    <w:p>
      <w:pPr>
        <w:pStyle w:val="31"/>
        <w:ind w:firstLine="0" w:firstLineChars="0"/>
      </w:pPr>
    </w:p>
    <w:p>
      <w:pPr>
        <w:pStyle w:val="31"/>
        <w:ind w:firstLine="0" w:firstLineChars="0"/>
      </w:pPr>
    </w:p>
    <w:p>
      <w:pPr>
        <w:pStyle w:val="31"/>
        <w:ind w:firstLine="0" w:firstLineChars="0"/>
      </w:pPr>
    </w:p>
    <w:p>
      <w:pPr>
        <w:pStyle w:val="31"/>
        <w:ind w:firstLine="0" w:firstLineChars="0"/>
      </w:pPr>
    </w:p>
    <w:p>
      <w:pPr>
        <w:numPr>
          <w:ilvl w:val="0"/>
          <w:numId w:val="6"/>
        </w:numPr>
        <w:spacing w:line="360" w:lineRule="auto"/>
        <w:jc w:val="center"/>
        <w:rPr>
          <w:rFonts w:asciiTheme="minorEastAsia" w:hAnsiTheme="minorEastAsia" w:eastAsiaTheme="minorEastAsia"/>
          <w:b/>
          <w:sz w:val="36"/>
          <w:szCs w:val="36"/>
        </w:rPr>
      </w:pPr>
      <w:bookmarkStart w:id="42" w:name="_Toc31173_WPSOffice_Level1"/>
      <w:r>
        <w:rPr>
          <w:rFonts w:hint="eastAsia" w:asciiTheme="minorEastAsia" w:hAnsiTheme="minorEastAsia" w:eastAsiaTheme="minorEastAsia"/>
          <w:b/>
          <w:sz w:val="36"/>
          <w:szCs w:val="36"/>
        </w:rPr>
        <w:t>评标</w:t>
      </w:r>
      <w:bookmarkEnd w:id="42"/>
    </w:p>
    <w:p>
      <w:pPr>
        <w:spacing w:line="360" w:lineRule="auto"/>
        <w:ind w:firstLine="482" w:firstLineChars="200"/>
        <w:rPr>
          <w:rFonts w:ascii="宋体" w:hAnsi="宋体" w:cs="宋体"/>
          <w:b/>
          <w:bCs/>
          <w:sz w:val="24"/>
        </w:rPr>
      </w:pPr>
      <w:r>
        <w:rPr>
          <w:rFonts w:hint="eastAsia" w:ascii="宋体" w:hAnsi="宋体" w:cs="宋体"/>
          <w:b/>
          <w:bCs/>
          <w:sz w:val="24"/>
        </w:rPr>
        <w:t>一、评标原则</w:t>
      </w:r>
    </w:p>
    <w:p>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sz w:val="24"/>
        </w:rPr>
      </w:pPr>
      <w:r>
        <w:rPr>
          <w:rFonts w:hint="eastAsia" w:ascii="宋体" w:hAnsi="宋体" w:cs="宋体"/>
          <w:b/>
          <w:bCs/>
          <w:sz w:val="24"/>
        </w:rPr>
        <w:t>二、评标方法</w:t>
      </w:r>
    </w:p>
    <w:p>
      <w:pPr>
        <w:spacing w:line="360" w:lineRule="auto"/>
        <w:ind w:firstLine="480" w:firstLineChars="200"/>
      </w:pPr>
      <w:r>
        <w:rPr>
          <w:rFonts w:hint="eastAsia" w:ascii="宋体" w:hAnsi="宋体" w:cs="宋体"/>
          <w:sz w:val="24"/>
        </w:rPr>
        <w:t>综合评分法，是指投标文件满足招标文件全部实质性要求，且按照评审因素的量化指标评审得分最高的投标人为中标候选人的评标方法。</w:t>
      </w:r>
    </w:p>
    <w:p>
      <w:pPr>
        <w:pStyle w:val="24"/>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（三）评标委员会负责具体评标事务，并独立履行下列职责：</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6.法律法规规定的其他职责。</w:t>
      </w:r>
    </w:p>
    <w:p>
      <w:pPr>
        <w:pStyle w:val="20"/>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（一）在资格标或技术标中出现投标报价的，或者报价文件中报价的服务跟商务与技术文件中的投标服务出现重大偏差的；</w:t>
      </w:r>
    </w:p>
    <w:p>
      <w:pPr>
        <w:pStyle w:val="20"/>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r>
        <w:rPr>
          <w:rFonts w:hint="default" w:asciiTheme="minorEastAsia" w:hAnsiTheme="minorEastAsia" w:eastAsiaTheme="minorEastAsia"/>
        </w:rPr>
        <w:tab/>
      </w:r>
    </w:p>
    <w:p>
      <w:pPr>
        <w:pStyle w:val="20"/>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pPr>
        <w:pStyle w:val="9"/>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pPr>
        <w:pStyle w:val="20"/>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（五）报价超过招标文件中规定的预算金额/最高限价或未填写投标报价的；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（六）投标参数未如实填写，完全复制粘贴招标参数的；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（七）投标文件存在虚假材料的；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（八）有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pPr>
        <w:pStyle w:val="20"/>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（九）</w:t>
      </w:r>
      <w:r>
        <w:rPr>
          <w:rFonts w:cs="宋体"/>
        </w:rPr>
        <w:t>实质性要求（招标文件中打“▲”内容）不响应的；</w:t>
      </w:r>
    </w:p>
    <w:p>
      <w:pPr>
        <w:pStyle w:val="6"/>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（十）商务条款不响应的；</w:t>
      </w:r>
    </w:p>
    <w:p>
      <w:pPr>
        <w:pStyle w:val="6"/>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（十一）投标文件有效期不足的；</w:t>
      </w:r>
    </w:p>
    <w:p>
      <w:pPr>
        <w:pStyle w:val="6"/>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（十二）逾期或未按要求提交投标文件的；</w:t>
      </w:r>
    </w:p>
    <w:p>
      <w:pPr>
        <w:pStyle w:val="6"/>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（十三）两家或两家以上投标单位上传投标文件的ip地址（或工程清单锁地址）相同，视为串标行为，取消评标资格。</w:t>
      </w:r>
    </w:p>
    <w:p>
      <w:pPr>
        <w:pStyle w:val="6"/>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（十四）被拒绝的投标文件为无效。</w:t>
      </w:r>
    </w:p>
    <w:p>
      <w:pPr>
        <w:pStyle w:val="6"/>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（十五）其他不符合法律法规相关规定的。</w:t>
      </w:r>
    </w:p>
    <w:p>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pPr>
        <w:pStyle w:val="20"/>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pPr>
        <w:pStyle w:val="20"/>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pPr>
        <w:pStyle w:val="20"/>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pPr>
        <w:pStyle w:val="20"/>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pPr>
        <w:autoSpaceDE w:val="0"/>
        <w:autoSpaceDN w:val="0"/>
        <w:adjustRightInd w:val="0"/>
        <w:spacing w:line="360" w:lineRule="auto"/>
        <w:ind w:firstLine="482" w:firstLineChars="200"/>
        <w:rPr>
          <w:rFonts w:ascii="宋体" w:hAnsi="宋体" w:cs="宋体"/>
          <w:b/>
          <w:kern w:val="0"/>
          <w:sz w:val="24"/>
        </w:rPr>
      </w:pPr>
      <w:r>
        <w:rPr>
          <w:rFonts w:hint="eastAsia" w:ascii="宋体" w:hAnsi="宋体" w:cs="宋体"/>
          <w:b/>
          <w:kern w:val="0"/>
          <w:sz w:val="24"/>
        </w:rPr>
        <w:t>六、投标人有下列情形之一的，投标保证金将不予退还</w:t>
      </w:r>
    </w:p>
    <w:p>
      <w:pPr>
        <w:snapToGrid w:val="0"/>
        <w:spacing w:line="400" w:lineRule="exact"/>
        <w:ind w:firstLine="470" w:firstLineChars="196"/>
        <w:jc w:val="left"/>
        <w:rPr>
          <w:rFonts w:ascii="宋体" w:hAnsi="宋体"/>
          <w:sz w:val="24"/>
        </w:rPr>
      </w:pPr>
      <w:r>
        <w:rPr>
          <w:rFonts w:hint="eastAsia" w:ascii="宋体" w:hAnsi="宋体"/>
          <w:sz w:val="24"/>
        </w:rPr>
        <w:t>（一）投标人在投标有效期内撤回投标文件的；</w:t>
      </w:r>
    </w:p>
    <w:p>
      <w:pPr>
        <w:snapToGrid w:val="0"/>
        <w:spacing w:line="400" w:lineRule="exact"/>
        <w:ind w:firstLine="470" w:firstLineChars="196"/>
        <w:jc w:val="left"/>
        <w:rPr>
          <w:rFonts w:ascii="宋体" w:hAnsi="宋体"/>
          <w:sz w:val="24"/>
        </w:rPr>
      </w:pPr>
      <w:r>
        <w:rPr>
          <w:rFonts w:hint="eastAsia" w:ascii="宋体" w:hAnsi="宋体"/>
          <w:sz w:val="24"/>
        </w:rPr>
        <w:t>（二）未按规定提交履约保证金的；</w:t>
      </w:r>
    </w:p>
    <w:p>
      <w:pPr>
        <w:snapToGrid w:val="0"/>
        <w:spacing w:line="400" w:lineRule="exact"/>
        <w:ind w:firstLine="470" w:firstLineChars="196"/>
        <w:jc w:val="left"/>
        <w:rPr>
          <w:rFonts w:ascii="宋体" w:hAnsi="宋体"/>
          <w:sz w:val="24"/>
        </w:rPr>
      </w:pPr>
      <w:r>
        <w:rPr>
          <w:rFonts w:hint="eastAsia" w:ascii="宋体" w:hAnsi="宋体"/>
          <w:sz w:val="24"/>
        </w:rPr>
        <w:t>（三）投标人在投标过程中弄虚作假，提供虚假材料的；</w:t>
      </w:r>
    </w:p>
    <w:p>
      <w:pPr>
        <w:snapToGrid w:val="0"/>
        <w:spacing w:line="400" w:lineRule="exact"/>
        <w:ind w:firstLine="470" w:firstLineChars="196"/>
        <w:rPr>
          <w:rFonts w:ascii="宋体" w:hAnsi="宋体"/>
          <w:sz w:val="24"/>
        </w:rPr>
      </w:pPr>
      <w:r>
        <w:rPr>
          <w:rFonts w:hint="eastAsia" w:ascii="宋体" w:hAnsi="宋体"/>
          <w:sz w:val="24"/>
        </w:rPr>
        <w:t>（四）中标人无正当理由不与采购单位签订合同的；</w:t>
      </w:r>
    </w:p>
    <w:p>
      <w:pPr>
        <w:snapToGrid w:val="0"/>
        <w:spacing w:line="400" w:lineRule="exact"/>
        <w:ind w:firstLine="470" w:firstLineChars="196"/>
        <w:rPr>
          <w:rFonts w:ascii="宋体" w:hAnsi="宋体"/>
          <w:sz w:val="24"/>
        </w:rPr>
      </w:pPr>
      <w:r>
        <w:rPr>
          <w:rFonts w:hint="eastAsia" w:ascii="宋体" w:hAnsi="宋体"/>
          <w:sz w:val="24"/>
        </w:rPr>
        <w:t>（五）</w:t>
      </w:r>
      <w:r>
        <w:rPr>
          <w:rFonts w:hint="eastAsia" w:ascii="宋体" w:hAnsi="宋体"/>
          <w:bCs/>
          <w:sz w:val="24"/>
        </w:rPr>
        <w:t>将中标项目转让给他人或者在投标文件中未说明且未经招标人同意，将中标项目分包给他人的；</w:t>
      </w:r>
    </w:p>
    <w:p>
      <w:pPr>
        <w:snapToGrid w:val="0"/>
        <w:spacing w:line="400" w:lineRule="exact"/>
        <w:ind w:firstLine="480" w:firstLineChars="200"/>
        <w:rPr>
          <w:rFonts w:ascii="宋体" w:hAnsi="宋体"/>
          <w:sz w:val="24"/>
        </w:rPr>
      </w:pPr>
      <w:r>
        <w:rPr>
          <w:rFonts w:hint="eastAsia" w:ascii="宋体" w:hAnsi="宋体"/>
          <w:sz w:val="24"/>
        </w:rPr>
        <w:t>（六）拒绝履行合同义务的；</w:t>
      </w:r>
    </w:p>
    <w:p>
      <w:pPr>
        <w:autoSpaceDE w:val="0"/>
        <w:autoSpaceDN w:val="0"/>
        <w:adjustRightInd w:val="0"/>
        <w:spacing w:line="360" w:lineRule="auto"/>
        <w:ind w:firstLine="482" w:firstLineChars="200"/>
        <w:rPr>
          <w:rFonts w:ascii="宋体" w:hAnsi="宋体" w:cs="宋体"/>
          <w:b/>
          <w:kern w:val="0"/>
          <w:sz w:val="24"/>
        </w:rPr>
      </w:pPr>
      <w:r>
        <w:rPr>
          <w:rFonts w:hint="eastAsia" w:ascii="宋体" w:hAnsi="宋体" w:cs="宋体"/>
          <w:b/>
          <w:kern w:val="0"/>
          <w:sz w:val="24"/>
        </w:rPr>
        <w:t>七、评标过程的监控</w:t>
      </w:r>
    </w:p>
    <w:p>
      <w:pPr>
        <w:pStyle w:val="20"/>
        <w:spacing w:before="0" w:beforeAutospacing="0" w:after="0" w:afterAutospacing="0" w:line="360" w:lineRule="auto"/>
        <w:ind w:firstLine="480" w:firstLineChars="200"/>
        <w:jc w:val="both"/>
        <w:rPr>
          <w:rFonts w:hint="default"/>
        </w:rPr>
      </w:pPr>
      <w:r>
        <w:t>本项目评标过程实行全程录音、录像监控，投标人在评标过程中所进行的试图影响评标结果的不公正活动，可能导致其投标被拒绝。</w:t>
      </w:r>
    </w:p>
    <w:p>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bCs/>
          <w:sz w:val="24"/>
        </w:rPr>
        <w:t>八、</w:t>
      </w:r>
      <w:r>
        <w:rPr>
          <w:rFonts w:asciiTheme="minorEastAsia" w:hAnsiTheme="minorEastAsia" w:eastAsiaTheme="minorEastAsia"/>
          <w:b/>
          <w:bCs/>
          <w:sz w:val="24"/>
        </w:rPr>
        <w:t>评标程序</w:t>
      </w:r>
    </w:p>
    <w:p>
      <w:pPr>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（一）资格</w:t>
      </w:r>
      <w:r>
        <w:rPr>
          <w:rFonts w:asciiTheme="minorEastAsia" w:hAnsiTheme="minorEastAsia" w:eastAsiaTheme="minorEastAsia"/>
          <w:b/>
          <w:bCs/>
          <w:sz w:val="24"/>
        </w:rPr>
        <w:t>审查</w:t>
      </w:r>
    </w:p>
    <w:p>
      <w:pPr>
        <w:pStyle w:val="9"/>
        <w:spacing w:line="360" w:lineRule="auto"/>
        <w:ind w:firstLine="480" w:firstLineChars="200"/>
        <w:jc w:val="both"/>
        <w:rPr>
          <w:rFonts w:asciiTheme="minorEastAsia" w:hAnsiTheme="minorEastAsia" w:eastAsiaTheme="minorEastAsia"/>
          <w:sz w:val="24"/>
        </w:rPr>
      </w:pPr>
      <w:r>
        <w:rPr>
          <w:rFonts w:hint="eastAsia" w:ascii="宋体" w:hAnsi="宋体" w:cs="宋体"/>
          <w:sz w:val="24"/>
        </w:rPr>
        <w:t>投标文件解密后</w:t>
      </w:r>
      <w:r>
        <w:rPr>
          <w:rFonts w:asciiTheme="minorEastAsia" w:hAnsiTheme="minorEastAsia" w:eastAsiaTheme="minorEastAsia"/>
          <w:sz w:val="24"/>
        </w:rPr>
        <w:t>，采购人或采购组织机构依法对投标人的资格进行审查，对审查发现无效的进行必要的</w:t>
      </w:r>
      <w:r>
        <w:rPr>
          <w:rFonts w:hint="eastAsia" w:ascii="宋体" w:hAnsi="宋体" w:cs="宋体"/>
          <w:sz w:val="24"/>
        </w:rPr>
        <w:t>询问</w:t>
      </w:r>
      <w:r>
        <w:rPr>
          <w:rFonts w:asciiTheme="minorEastAsia" w:hAnsiTheme="minorEastAsia" w:eastAsiaTheme="minorEastAsia"/>
          <w:sz w:val="24"/>
        </w:rPr>
        <w:t>，</w:t>
      </w:r>
      <w:r>
        <w:rPr>
          <w:rFonts w:hint="eastAsia"/>
          <w:sz w:val="24"/>
        </w:rPr>
        <w:t>在</w:t>
      </w:r>
      <w:r>
        <w:rPr>
          <w:rFonts w:hint="eastAsia" w:ascii="宋体" w:hAnsi="宋体" w:cs="宋体"/>
          <w:sz w:val="24"/>
        </w:rPr>
        <w:t>台州湾新区小额工程电子交易平台</w:t>
      </w:r>
      <w:r>
        <w:rPr>
          <w:rFonts w:hint="eastAsia"/>
          <w:sz w:val="24"/>
        </w:rPr>
        <w:t>公布</w:t>
      </w:r>
      <w:r>
        <w:rPr>
          <w:rFonts w:asciiTheme="minorEastAsia" w:hAnsiTheme="minorEastAsia" w:eastAsiaTheme="minorEastAsia"/>
          <w:sz w:val="24"/>
        </w:rPr>
        <w:t>无效投标的投标人名单、投标无效的原因。</w:t>
      </w:r>
    </w:p>
    <w:tbl>
      <w:tblPr>
        <w:tblStyle w:val="25"/>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3"/>
              <w:spacing w:before="1" w:line="300" w:lineRule="auto"/>
              <w:ind w:right="3" w:hanging="10"/>
              <w:jc w:val="center"/>
              <w:rPr>
                <w:szCs w:val="21"/>
              </w:rPr>
            </w:pPr>
            <w:r>
              <w:rPr>
                <w:rFonts w:hint="eastAsia"/>
                <w:szCs w:val="21"/>
              </w:rPr>
              <w:t>具有独立承担民事责任的能力</w:t>
            </w:r>
          </w:p>
        </w:tc>
        <w:tc>
          <w:tcPr>
            <w:tcW w:w="7092" w:type="dxa"/>
            <w:tcMar>
              <w:top w:w="57" w:type="dxa"/>
              <w:left w:w="108" w:type="dxa"/>
              <w:bottom w:w="0" w:type="dxa"/>
              <w:right w:w="108" w:type="dxa"/>
            </w:tcMar>
            <w:vAlign w:val="center"/>
          </w:tcPr>
          <w:p>
            <w:pPr>
              <w:pStyle w:val="53"/>
              <w:spacing w:line="300" w:lineRule="auto"/>
              <w:ind w:left="15" w:leftChars="7" w:right="-17" w:rightChars="-8" w:firstLine="403" w:firstLineChars="192"/>
              <w:rPr>
                <w:szCs w:val="21"/>
              </w:rPr>
            </w:pPr>
            <w:r>
              <w:rPr>
                <w:rFonts w:hint="eastAsia"/>
                <w:szCs w:val="21"/>
              </w:rPr>
              <w:t>在中华人民共和国境内注册的法人或其他组织，投标时提交有效的营业执照（或事业法人登记证等相关证明）扫描件（以联合体形式投标时，联合体各方均须满足该条款）。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pStyle w:val="53"/>
              <w:spacing w:before="1" w:line="300" w:lineRule="auto"/>
              <w:ind w:right="3" w:hanging="10"/>
              <w:jc w:val="center"/>
              <w:rPr>
                <w:szCs w:val="21"/>
              </w:rPr>
            </w:pPr>
            <w:r>
              <w:rPr>
                <w:rFonts w:hint="eastAsia"/>
                <w:szCs w:val="21"/>
              </w:rPr>
              <w:t>有依法缴纳税收和社会保障资金的良好记录</w:t>
            </w:r>
          </w:p>
        </w:tc>
        <w:tc>
          <w:tcPr>
            <w:tcW w:w="7092" w:type="dxa"/>
            <w:shd w:val="clear" w:color="auto" w:fill="F6F6F6"/>
            <w:tcMar>
              <w:top w:w="57" w:type="dxa"/>
              <w:left w:w="108" w:type="dxa"/>
              <w:bottom w:w="0" w:type="dxa"/>
              <w:right w:w="108" w:type="dxa"/>
            </w:tcMar>
            <w:vAlign w:val="center"/>
          </w:tcPr>
          <w:p>
            <w:pPr>
              <w:pStyle w:val="53"/>
              <w:spacing w:line="300" w:lineRule="auto"/>
              <w:ind w:left="15" w:leftChars="7" w:right="-17" w:rightChars="-8" w:firstLine="403" w:firstLineChars="192"/>
              <w:rPr>
                <w:szCs w:val="21"/>
              </w:rPr>
            </w:pPr>
            <w:r>
              <w:rPr>
                <w:rFonts w:hint="eastAsia"/>
                <w:szCs w:val="21"/>
              </w:rPr>
              <w:t>提供具有依法缴纳税收和社会保障资金证明的承诺函。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3"/>
              <w:spacing w:before="1" w:line="300" w:lineRule="auto"/>
              <w:ind w:right="3" w:hanging="10"/>
              <w:jc w:val="center"/>
              <w:rPr>
                <w:szCs w:val="21"/>
              </w:rPr>
            </w:pPr>
            <w:r>
              <w:rPr>
                <w:rFonts w:hint="eastAsia"/>
                <w:szCs w:val="21"/>
              </w:rPr>
              <w:t>具有良好的商业信誉和健全的财务会计制度</w:t>
            </w:r>
          </w:p>
        </w:tc>
        <w:tc>
          <w:tcPr>
            <w:tcW w:w="7092" w:type="dxa"/>
            <w:tcMar>
              <w:top w:w="57" w:type="dxa"/>
              <w:left w:w="108" w:type="dxa"/>
              <w:bottom w:w="0" w:type="dxa"/>
              <w:right w:w="108" w:type="dxa"/>
            </w:tcMar>
            <w:vAlign w:val="center"/>
          </w:tcPr>
          <w:p>
            <w:pPr>
              <w:pStyle w:val="53"/>
              <w:spacing w:before="117" w:line="300" w:lineRule="auto"/>
              <w:ind w:left="15" w:leftChars="7" w:right="-17" w:rightChars="-8" w:firstLine="403" w:firstLineChars="192"/>
              <w:rPr>
                <w:szCs w:val="21"/>
              </w:rPr>
            </w:pPr>
            <w:r>
              <w:rPr>
                <w:rFonts w:hint="eastAsia"/>
                <w:szCs w:val="21"/>
              </w:rPr>
              <w:t>提供具有良好的商业信誉和健全的财务会计制度的承诺函。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pStyle w:val="53"/>
              <w:spacing w:before="1" w:line="300" w:lineRule="auto"/>
              <w:ind w:right="3" w:hanging="10"/>
              <w:jc w:val="center"/>
              <w:rPr>
                <w:szCs w:val="21"/>
              </w:rPr>
            </w:pPr>
            <w:r>
              <w:rPr>
                <w:rFonts w:hint="eastAsia"/>
                <w:szCs w:val="21"/>
              </w:rPr>
              <w:t>履行合同所必需的设备和专业技术能力</w:t>
            </w:r>
          </w:p>
        </w:tc>
        <w:tc>
          <w:tcPr>
            <w:tcW w:w="7092" w:type="dxa"/>
            <w:shd w:val="clear" w:color="auto" w:fill="F6F6F6"/>
            <w:tcMar>
              <w:top w:w="57" w:type="dxa"/>
              <w:left w:w="108" w:type="dxa"/>
              <w:bottom w:w="0" w:type="dxa"/>
              <w:right w:w="108" w:type="dxa"/>
            </w:tcMar>
            <w:vAlign w:val="center"/>
          </w:tcPr>
          <w:p>
            <w:pPr>
              <w:pStyle w:val="53"/>
              <w:spacing w:before="1" w:line="300" w:lineRule="auto"/>
              <w:ind w:left="15" w:leftChars="7" w:right="-17" w:rightChars="-8" w:firstLine="403" w:firstLineChars="192"/>
              <w:rPr>
                <w:szCs w:val="21"/>
              </w:rPr>
            </w:pPr>
            <w:r>
              <w:rPr>
                <w:rFonts w:hint="eastAsia"/>
                <w:szCs w:val="21"/>
              </w:rPr>
              <w:t>提供具有履行合同所必须的设备和专业技术能力的承诺函。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3"/>
              <w:spacing w:line="300" w:lineRule="auto"/>
              <w:ind w:right="3" w:hanging="10"/>
              <w:jc w:val="center"/>
              <w:rPr>
                <w:szCs w:val="21"/>
              </w:rPr>
            </w:pPr>
            <w:r>
              <w:rPr>
                <w:rFonts w:hint="eastAsia"/>
                <w:szCs w:val="21"/>
              </w:rPr>
              <w:t>参加采购活动前3年内，在经营活动中没有重大违法记录</w:t>
            </w:r>
          </w:p>
        </w:tc>
        <w:tc>
          <w:tcPr>
            <w:tcW w:w="7092" w:type="dxa"/>
            <w:tcMar>
              <w:top w:w="57" w:type="dxa"/>
              <w:left w:w="108" w:type="dxa"/>
              <w:bottom w:w="0" w:type="dxa"/>
              <w:right w:w="108" w:type="dxa"/>
            </w:tcMar>
            <w:vAlign w:val="center"/>
          </w:tcPr>
          <w:p>
            <w:pPr>
              <w:pStyle w:val="53"/>
              <w:spacing w:before="48" w:line="300" w:lineRule="auto"/>
              <w:ind w:left="15" w:leftChars="7" w:right="-17" w:rightChars="-8" w:firstLine="403" w:firstLineChars="192"/>
              <w:rPr>
                <w:szCs w:val="21"/>
              </w:rPr>
            </w:pPr>
            <w:r>
              <w:rPr>
                <w:rFonts w:hint="eastAsia"/>
                <w:szCs w:val="21"/>
              </w:rPr>
              <w:t>参照投标声明书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pStyle w:val="53"/>
              <w:spacing w:line="300" w:lineRule="auto"/>
              <w:ind w:right="3" w:hanging="10"/>
              <w:jc w:val="center"/>
              <w:rPr>
                <w:szCs w:val="21"/>
              </w:rPr>
            </w:pPr>
            <w:r>
              <w:rPr>
                <w:rFonts w:hint="eastAsia"/>
                <w:szCs w:val="21"/>
              </w:rPr>
              <w:t>信用记录</w:t>
            </w:r>
          </w:p>
        </w:tc>
        <w:tc>
          <w:tcPr>
            <w:tcW w:w="7092" w:type="dxa"/>
            <w:shd w:val="clear" w:color="auto" w:fill="F6F6F6"/>
            <w:tcMar>
              <w:top w:w="57" w:type="dxa"/>
              <w:left w:w="108" w:type="dxa"/>
              <w:bottom w:w="0" w:type="dxa"/>
              <w:right w:w="108" w:type="dxa"/>
            </w:tcMar>
            <w:vAlign w:val="center"/>
          </w:tcPr>
          <w:p>
            <w:pPr>
              <w:spacing w:line="300" w:lineRule="auto"/>
              <w:ind w:left="15" w:leftChars="7" w:right="-17" w:rightChars="-8" w:firstLine="403" w:firstLineChars="192"/>
              <w:rPr>
                <w:rFonts w:ascii="宋体" w:hAnsi="宋体" w:cs="宋体"/>
                <w:szCs w:val="21"/>
              </w:rPr>
            </w:pPr>
            <w:r>
              <w:rPr>
                <w:rFonts w:hint="eastAsia" w:ascii="宋体" w:hAnsi="宋体" w:cs="宋体"/>
              </w:rPr>
              <w:t>1.截止时点：开标后评标前。</w:t>
            </w:r>
          </w:p>
          <w:p>
            <w:pPr>
              <w:spacing w:line="300" w:lineRule="auto"/>
              <w:ind w:left="15" w:leftChars="7" w:right="-17" w:rightChars="-8" w:firstLine="403" w:firstLineChars="192"/>
              <w:rPr>
                <w:rFonts w:ascii="宋体" w:hAnsi="宋体" w:cs="宋体"/>
                <w:szCs w:val="21"/>
              </w:rPr>
            </w:pPr>
            <w:r>
              <w:rPr>
                <w:rFonts w:hint="eastAsia" w:ascii="宋体" w:hAnsi="宋体" w:cs="宋体"/>
              </w:rPr>
              <w:t>2.使用规则：投标人未被列入“信用中国”失信被执行人或重大税收违法案件当事人名单；未处于“中国政府采购网”政府采购严重违法失信行为信息记录中的禁止参加政府采购活动期间（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3"/>
              <w:spacing w:line="300" w:lineRule="auto"/>
              <w:ind w:right="3" w:hanging="10"/>
              <w:jc w:val="center"/>
              <w:rPr>
                <w:szCs w:val="21"/>
              </w:rPr>
            </w:pPr>
            <w:r>
              <w:rPr>
                <w:rFonts w:hint="eastAsia"/>
                <w:szCs w:val="21"/>
              </w:rPr>
              <w:t>必须符合法律、行政法规规定的其他条件</w:t>
            </w:r>
          </w:p>
        </w:tc>
        <w:tc>
          <w:tcPr>
            <w:tcW w:w="7092" w:type="dxa"/>
            <w:tcMar>
              <w:top w:w="57" w:type="dxa"/>
              <w:left w:w="108" w:type="dxa"/>
              <w:bottom w:w="0" w:type="dxa"/>
              <w:right w:w="108" w:type="dxa"/>
            </w:tcMar>
            <w:vAlign w:val="center"/>
          </w:tcPr>
          <w:p>
            <w:pPr>
              <w:pStyle w:val="53"/>
              <w:spacing w:before="48" w:line="300" w:lineRule="auto"/>
              <w:ind w:left="15" w:leftChars="7" w:right="-17" w:rightChars="-8" w:firstLine="403" w:firstLineChars="192"/>
              <w:rPr>
                <w:szCs w:val="21"/>
              </w:rPr>
            </w:pPr>
            <w:r>
              <w:rPr>
                <w:rFonts w:hint="eastAsia"/>
                <w:szCs w:val="21"/>
              </w:rPr>
              <w:t>1.单位负责人为同一人或者存在直接控股、管理关系的不同供应商，不得同时参加本项目投标。</w:t>
            </w:r>
          </w:p>
          <w:p>
            <w:pPr>
              <w:pStyle w:val="53"/>
              <w:spacing w:before="48" w:line="300" w:lineRule="auto"/>
              <w:ind w:left="15" w:leftChars="7" w:right="-17" w:rightChars="-8" w:firstLine="403" w:firstLineChars="192"/>
              <w:rPr>
                <w:szCs w:val="21"/>
              </w:rPr>
            </w:pPr>
            <w:r>
              <w:rPr>
                <w:rFonts w:hint="eastAsia"/>
                <w:szCs w:val="21"/>
              </w:rPr>
              <w:t>2.为本项目提供整体设计、规范编制或者项目管理、监理、检测等服务的供应商，不得再参与本项目投标。</w:t>
            </w:r>
          </w:p>
          <w:p>
            <w:pPr>
              <w:pStyle w:val="53"/>
              <w:spacing w:before="48" w:line="300" w:lineRule="auto"/>
              <w:ind w:left="15" w:leftChars="7" w:right="-17" w:rightChars="-8" w:firstLine="403" w:firstLineChars="192"/>
              <w:rPr>
                <w:szCs w:val="21"/>
              </w:rPr>
            </w:pPr>
            <w:r>
              <w:rPr>
                <w:rFonts w:hint="eastAsia"/>
                <w:szCs w:val="21"/>
              </w:rPr>
              <w:t>3.投标（报价）文件相关承诺要求内容（以联合体形式投标时，联合体各方均须满足该条款）。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pStyle w:val="53"/>
              <w:spacing w:before="48" w:line="300" w:lineRule="auto"/>
              <w:ind w:right="3" w:hanging="10"/>
              <w:jc w:val="center"/>
              <w:rPr>
                <w:szCs w:val="21"/>
              </w:rPr>
            </w:pPr>
            <w:r>
              <w:rPr>
                <w:rFonts w:hint="eastAsia"/>
                <w:szCs w:val="21"/>
              </w:rPr>
              <w:t>联合体投标</w:t>
            </w:r>
          </w:p>
        </w:tc>
        <w:tc>
          <w:tcPr>
            <w:tcW w:w="7092" w:type="dxa"/>
            <w:shd w:val="clear" w:color="auto" w:fill="F6F6F6"/>
            <w:tcMar>
              <w:top w:w="57" w:type="dxa"/>
              <w:left w:w="108" w:type="dxa"/>
              <w:bottom w:w="0" w:type="dxa"/>
              <w:right w:w="108" w:type="dxa"/>
            </w:tcMar>
            <w:vAlign w:val="center"/>
          </w:tcPr>
          <w:p>
            <w:pPr>
              <w:pStyle w:val="53"/>
              <w:spacing w:before="48" w:line="300" w:lineRule="auto"/>
              <w:ind w:left="15" w:leftChars="7" w:right="-17" w:rightChars="-8" w:firstLine="403" w:firstLineChars="192"/>
              <w:rPr>
                <w:szCs w:val="21"/>
              </w:rPr>
            </w:pPr>
            <w:r>
              <w:rPr>
                <w:rFonts w:hint="eastAsia"/>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3"/>
              <w:spacing w:line="300" w:lineRule="auto"/>
              <w:ind w:right="3" w:hanging="10"/>
              <w:jc w:val="center"/>
              <w:rPr>
                <w:szCs w:val="21"/>
              </w:rPr>
            </w:pPr>
            <w:r>
              <w:rPr>
                <w:rFonts w:hint="eastAsia"/>
                <w:szCs w:val="21"/>
              </w:rPr>
              <w:t>资质</w:t>
            </w:r>
          </w:p>
        </w:tc>
        <w:tc>
          <w:tcPr>
            <w:tcW w:w="7092" w:type="dxa"/>
            <w:tcMar>
              <w:top w:w="57" w:type="dxa"/>
              <w:left w:w="108" w:type="dxa"/>
              <w:bottom w:w="0" w:type="dxa"/>
              <w:right w:w="108" w:type="dxa"/>
            </w:tcMar>
            <w:vAlign w:val="center"/>
          </w:tcPr>
          <w:p>
            <w:pPr>
              <w:pStyle w:val="53"/>
              <w:spacing w:before="48" w:line="300" w:lineRule="auto"/>
              <w:ind w:left="15" w:leftChars="7" w:right="-17" w:rightChars="-8" w:firstLine="403" w:firstLineChars="192"/>
              <w:rPr>
                <w:szCs w:val="21"/>
              </w:rPr>
            </w:pPr>
            <w:r>
              <w:rPr>
                <w:rFonts w:hint="eastAsia"/>
                <w:szCs w:val="21"/>
              </w:rPr>
              <w:t>无</w:t>
            </w:r>
          </w:p>
        </w:tc>
      </w:tr>
    </w:tbl>
    <w:p>
      <w:pPr>
        <w:pStyle w:val="9"/>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pPr>
        <w:pStyle w:val="9"/>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sz w:val="24"/>
        </w:rPr>
        <w:t>询问</w:t>
      </w:r>
      <w:r>
        <w:rPr>
          <w:rFonts w:asciiTheme="minorEastAsia" w:hAnsiTheme="minorEastAsia" w:eastAsiaTheme="minorEastAsia"/>
          <w:sz w:val="24"/>
        </w:rPr>
        <w:t>，</w:t>
      </w:r>
      <w:r>
        <w:rPr>
          <w:rFonts w:hint="eastAsia" w:ascii="宋体" w:hAnsi="宋体" w:cs="宋体"/>
          <w:sz w:val="24"/>
        </w:rPr>
        <w:t>在台州湾新区小额工程电子交易平台公布无效投标的投标人名单、投标无效的原因</w:t>
      </w:r>
      <w:r>
        <w:rPr>
          <w:rFonts w:hint="eastAsia" w:asciiTheme="minorEastAsia" w:hAnsiTheme="minorEastAsia" w:eastAsiaTheme="minorEastAsia"/>
          <w:sz w:val="24"/>
        </w:rPr>
        <w:t>。</w:t>
      </w:r>
    </w:p>
    <w:tbl>
      <w:tblPr>
        <w:tblStyle w:val="25"/>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3"/>
              <w:spacing w:line="300" w:lineRule="auto"/>
              <w:ind w:right="3" w:hanging="10"/>
              <w:jc w:val="center"/>
              <w:rPr>
                <w:szCs w:val="21"/>
              </w:rPr>
            </w:pPr>
            <w:r>
              <w:rPr>
                <w:rFonts w:hint="eastAsia"/>
                <w:szCs w:val="21"/>
              </w:rPr>
              <w:t>投标文件</w:t>
            </w:r>
          </w:p>
        </w:tc>
        <w:tc>
          <w:tcPr>
            <w:tcW w:w="7183" w:type="dxa"/>
            <w:tcMar>
              <w:top w:w="57" w:type="dxa"/>
              <w:left w:w="108" w:type="dxa"/>
              <w:bottom w:w="0" w:type="dxa"/>
              <w:right w:w="108" w:type="dxa"/>
            </w:tcMar>
            <w:vAlign w:val="center"/>
          </w:tcPr>
          <w:p>
            <w:pPr>
              <w:pStyle w:val="9"/>
              <w:spacing w:line="300" w:lineRule="auto"/>
              <w:ind w:left="15" w:leftChars="7" w:right="-17" w:rightChars="-8" w:firstLine="403" w:firstLineChars="192"/>
              <w:jc w:val="both"/>
            </w:pPr>
            <w:r>
              <w:rPr>
                <w:rFonts w:hint="eastAsia"/>
              </w:rPr>
              <w:t>投标文件完整且编排有序，投标内容基本完整，无重大错漏，并按要求签署、盖章。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53"/>
              <w:spacing w:line="300" w:lineRule="auto"/>
              <w:ind w:right="3" w:hanging="10"/>
              <w:jc w:val="center"/>
              <w:rPr>
                <w:szCs w:val="21"/>
              </w:rPr>
            </w:pPr>
            <w:r>
              <w:rPr>
                <w:rFonts w:hint="eastAsia"/>
                <w:szCs w:val="21"/>
              </w:rPr>
              <w:t>法定代表人/负责人授权委托书</w:t>
            </w:r>
          </w:p>
        </w:tc>
        <w:tc>
          <w:tcPr>
            <w:tcW w:w="7183" w:type="dxa"/>
            <w:shd w:val="clear" w:color="auto" w:fill="F6F6F6"/>
            <w:tcMar>
              <w:top w:w="57" w:type="dxa"/>
              <w:left w:w="108" w:type="dxa"/>
              <w:bottom w:w="0" w:type="dxa"/>
              <w:right w:w="108" w:type="dxa"/>
            </w:tcMar>
            <w:vAlign w:val="center"/>
          </w:tcPr>
          <w:p>
            <w:pPr>
              <w:pStyle w:val="9"/>
              <w:spacing w:line="300" w:lineRule="auto"/>
              <w:ind w:left="15" w:leftChars="7" w:right="-17" w:rightChars="-8" w:firstLine="403" w:firstLineChars="192"/>
              <w:jc w:val="both"/>
            </w:pPr>
            <w:r>
              <w:rPr>
                <w:rFonts w:hint="eastAsia"/>
              </w:rPr>
              <w:t>法定代表人/负责人授权委托书，按对应格式文件签署、盖章。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3"/>
              <w:spacing w:line="300" w:lineRule="auto"/>
              <w:ind w:right="3" w:hanging="10"/>
              <w:jc w:val="center"/>
              <w:rPr>
                <w:szCs w:val="21"/>
              </w:rPr>
            </w:pPr>
            <w:r>
              <w:rPr>
                <w:rFonts w:hint="eastAsia"/>
                <w:szCs w:val="21"/>
              </w:rPr>
              <w:t>“▲”实质性条款</w:t>
            </w:r>
          </w:p>
        </w:tc>
        <w:tc>
          <w:tcPr>
            <w:tcW w:w="7183" w:type="dxa"/>
            <w:tcMar>
              <w:top w:w="57" w:type="dxa"/>
              <w:left w:w="108" w:type="dxa"/>
              <w:bottom w:w="0" w:type="dxa"/>
              <w:right w:w="108" w:type="dxa"/>
            </w:tcMar>
            <w:vAlign w:val="center"/>
          </w:tcPr>
          <w:p>
            <w:pPr>
              <w:pStyle w:val="9"/>
              <w:spacing w:line="300" w:lineRule="auto"/>
              <w:ind w:left="15" w:leftChars="7" w:right="-17" w:rightChars="-8" w:firstLine="403" w:firstLineChars="192"/>
              <w:jc w:val="both"/>
            </w:pPr>
            <w:r>
              <w:rPr>
                <w:rFonts w:hint="eastAsia"/>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53"/>
              <w:spacing w:line="300" w:lineRule="auto"/>
              <w:ind w:right="3" w:hanging="10"/>
              <w:jc w:val="center"/>
              <w:rPr>
                <w:szCs w:val="21"/>
              </w:rPr>
            </w:pPr>
            <w:r>
              <w:rPr>
                <w:rFonts w:hint="eastAsia"/>
                <w:szCs w:val="21"/>
              </w:rPr>
              <w:t>串通投标</w:t>
            </w:r>
          </w:p>
        </w:tc>
        <w:tc>
          <w:tcPr>
            <w:tcW w:w="7183" w:type="dxa"/>
            <w:shd w:val="clear" w:color="auto" w:fill="F6F6F6"/>
            <w:tcMar>
              <w:top w:w="57" w:type="dxa"/>
              <w:left w:w="108" w:type="dxa"/>
              <w:bottom w:w="0" w:type="dxa"/>
              <w:right w:w="108" w:type="dxa"/>
            </w:tcMar>
            <w:vAlign w:val="center"/>
          </w:tcPr>
          <w:p>
            <w:pPr>
              <w:pStyle w:val="9"/>
              <w:spacing w:line="300" w:lineRule="auto"/>
              <w:ind w:left="15" w:leftChars="7" w:right="-17" w:rightChars="-8" w:firstLine="403" w:firstLineChars="192"/>
              <w:jc w:val="both"/>
            </w:pPr>
            <w:r>
              <w:rPr>
                <w:rFonts w:hint="eastAsia"/>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3"/>
              <w:spacing w:line="300" w:lineRule="auto"/>
              <w:ind w:right="3" w:hanging="10"/>
              <w:jc w:val="center"/>
              <w:rPr>
                <w:szCs w:val="21"/>
              </w:rPr>
            </w:pPr>
            <w:r>
              <w:rPr>
                <w:rFonts w:hint="eastAsia"/>
                <w:szCs w:val="21"/>
              </w:rPr>
              <w:t>附加条件</w:t>
            </w:r>
          </w:p>
        </w:tc>
        <w:tc>
          <w:tcPr>
            <w:tcW w:w="7183" w:type="dxa"/>
            <w:tcMar>
              <w:top w:w="57" w:type="dxa"/>
              <w:left w:w="108" w:type="dxa"/>
              <w:bottom w:w="0" w:type="dxa"/>
              <w:right w:w="108" w:type="dxa"/>
            </w:tcMar>
            <w:vAlign w:val="center"/>
          </w:tcPr>
          <w:p>
            <w:pPr>
              <w:pStyle w:val="9"/>
              <w:spacing w:line="300" w:lineRule="auto"/>
              <w:ind w:left="15" w:leftChars="7" w:right="-17" w:rightChars="-8" w:firstLine="403" w:firstLineChars="192"/>
              <w:jc w:val="both"/>
            </w:pPr>
            <w:r>
              <w:rPr>
                <w:rFonts w:hint="eastAsia"/>
              </w:rPr>
              <w:t>投标文件未含有采购人不可接受的附加条件。</w:t>
            </w:r>
          </w:p>
        </w:tc>
      </w:tr>
    </w:tbl>
    <w:p>
      <w:pPr>
        <w:pStyle w:val="20"/>
        <w:spacing w:before="0" w:beforeAutospacing="0" w:after="0" w:afterAutospacing="0" w:line="360" w:lineRule="auto"/>
        <w:jc w:val="both"/>
        <w:rPr>
          <w:rFonts w:hint="default" w:asciiTheme="minorEastAsia" w:hAnsiTheme="minorEastAsia" w:eastAsiaTheme="minorEastAsia"/>
          <w:b/>
          <w:bCs/>
        </w:rPr>
      </w:pPr>
    </w:p>
    <w:p>
      <w:pPr>
        <w:pStyle w:val="20"/>
        <w:spacing w:before="0" w:beforeAutospacing="0" w:after="0" w:afterAutospacing="0" w:line="360" w:lineRule="auto"/>
        <w:ind w:firstLine="482" w:firstLineChars="200"/>
        <w:jc w:val="both"/>
        <w:rPr>
          <w:rFonts w:hint="default" w:asciiTheme="minorEastAsia" w:hAnsiTheme="minorEastAsia" w:eastAsiaTheme="minorEastAsia"/>
          <w:b/>
          <w:bCs/>
        </w:rPr>
      </w:pPr>
    </w:p>
    <w:p>
      <w:pPr>
        <w:pStyle w:val="20"/>
        <w:spacing w:before="0" w:beforeAutospacing="0" w:after="0" w:afterAutospacing="0" w:line="360" w:lineRule="auto"/>
        <w:jc w:val="both"/>
        <w:rPr>
          <w:rFonts w:hint="default" w:asciiTheme="minorEastAsia" w:hAnsiTheme="minorEastAsia" w:eastAsiaTheme="minorEastAsia"/>
          <w:b/>
          <w:bCs/>
        </w:rPr>
      </w:pPr>
    </w:p>
    <w:p>
      <w:pPr>
        <w:pStyle w:val="20"/>
        <w:spacing w:before="0" w:beforeAutospacing="0" w:after="0" w:afterAutospacing="0" w:line="360" w:lineRule="auto"/>
        <w:jc w:val="both"/>
        <w:rPr>
          <w:rFonts w:hint="default" w:asciiTheme="minorEastAsia" w:hAnsiTheme="minorEastAsia" w:eastAsiaTheme="minorEastAsia"/>
          <w:b/>
          <w:bCs/>
        </w:rPr>
      </w:pPr>
    </w:p>
    <w:p>
      <w:pPr>
        <w:pStyle w:val="20"/>
        <w:spacing w:before="0" w:beforeAutospacing="0" w:after="0" w:afterAutospacing="0" w:line="360" w:lineRule="auto"/>
        <w:jc w:val="both"/>
        <w:rPr>
          <w:rFonts w:hint="default" w:asciiTheme="minorEastAsia" w:hAnsiTheme="minorEastAsia" w:eastAsiaTheme="minorEastAsia"/>
          <w:b/>
          <w:bCs/>
        </w:rPr>
      </w:pPr>
    </w:p>
    <w:p>
      <w:pPr>
        <w:pStyle w:val="20"/>
        <w:spacing w:before="0" w:beforeAutospacing="0" w:after="0" w:afterAutospacing="0" w:line="360" w:lineRule="auto"/>
        <w:ind w:firstLine="482" w:firstLineChars="200"/>
        <w:jc w:val="both"/>
        <w:rPr>
          <w:rFonts w:hint="default" w:asciiTheme="minorEastAsia" w:hAnsiTheme="minorEastAsia" w:eastAsiaTheme="minorEastAsia"/>
        </w:rPr>
      </w:pPr>
      <w:r>
        <w:rPr>
          <w:rFonts w:asciiTheme="minorEastAsia" w:hAnsiTheme="minorEastAsia" w:eastAsiaTheme="minorEastAsia"/>
          <w:b/>
          <w:bCs/>
        </w:rPr>
        <w:t>（三）</w:t>
      </w:r>
      <w:r>
        <w:rPr>
          <w:rFonts w:ascii="Arial" w:hAnsi="Arial" w:cs="Arial" w:eastAsiaTheme="minorEastAsia"/>
          <w:b/>
          <w:bCs/>
        </w:rPr>
        <w:t>技术标及商务标评审</w:t>
      </w:r>
      <w:bookmarkStart w:id="78" w:name="_GoBack"/>
      <w:bookmarkEnd w:id="78"/>
    </w:p>
    <w:p>
      <w:pPr>
        <w:autoSpaceDE w:val="0"/>
        <w:autoSpaceDN w:val="0"/>
        <w:adjustRightInd w:val="0"/>
        <w:spacing w:line="360" w:lineRule="auto"/>
        <w:ind w:right="85" w:firstLine="240" w:firstLineChars="100"/>
        <w:rPr>
          <w:rFonts w:hint="eastAsia"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项目评标方法为综合评分法，总计100分，评标按以下标准及要求进行：</w:t>
      </w:r>
    </w:p>
    <w:p>
      <w:pPr>
        <w:autoSpaceDE w:val="0"/>
        <w:autoSpaceDN w:val="0"/>
        <w:adjustRightInd w:val="0"/>
        <w:spacing w:line="360" w:lineRule="auto"/>
        <w:ind w:right="85" w:firstLine="241" w:firstLineChars="100"/>
        <w:rPr>
          <w:highlight w:val="none"/>
        </w:rPr>
      </w:pPr>
      <w:r>
        <w:rPr>
          <w:rFonts w:hint="eastAsia" w:ascii="宋体"/>
          <w:b/>
          <w:bCs/>
          <w:sz w:val="24"/>
          <w:highlight w:val="none"/>
        </w:rPr>
        <w:t>1、评分标准</w:t>
      </w:r>
    </w:p>
    <w:tbl>
      <w:tblPr>
        <w:tblStyle w:val="25"/>
        <w:tblW w:w="51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125"/>
        <w:gridCol w:w="6885"/>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07" w:type="dxa"/>
            <w:vAlign w:val="center"/>
          </w:tcPr>
          <w:p>
            <w:pPr>
              <w:keepNext w:val="0"/>
              <w:keepLines w:val="0"/>
              <w:pageBreakBefore w:val="0"/>
              <w:kinsoku/>
              <w:wordWrap/>
              <w:overflowPunct/>
              <w:topLinePunct w:val="0"/>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lang w:eastAsia="zh-CN"/>
              </w:rPr>
              <w:t>评分</w:t>
            </w:r>
            <w:r>
              <w:rPr>
                <w:rFonts w:hint="eastAsia" w:ascii="宋体" w:hAnsi="宋体" w:eastAsia="宋体" w:cs="宋体"/>
                <w:sz w:val="21"/>
                <w:szCs w:val="21"/>
              </w:rPr>
              <w:t>项目</w:t>
            </w:r>
          </w:p>
        </w:tc>
        <w:tc>
          <w:tcPr>
            <w:tcW w:w="1125" w:type="dxa"/>
            <w:vAlign w:val="center"/>
          </w:tcPr>
          <w:p>
            <w:pPr>
              <w:keepNext w:val="0"/>
              <w:keepLines w:val="0"/>
              <w:pageBreakBefore w:val="0"/>
              <w:kinsoku/>
              <w:wordWrap/>
              <w:overflowPunct/>
              <w:topLinePunct w:val="0"/>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评审内容</w:t>
            </w:r>
          </w:p>
        </w:tc>
        <w:tc>
          <w:tcPr>
            <w:tcW w:w="6885" w:type="dxa"/>
            <w:vAlign w:val="center"/>
          </w:tcPr>
          <w:p>
            <w:pPr>
              <w:keepNext w:val="0"/>
              <w:keepLines w:val="0"/>
              <w:pageBreakBefore w:val="0"/>
              <w:kinsoku/>
              <w:wordWrap/>
              <w:overflowPunct/>
              <w:topLinePunct w:val="0"/>
              <w:bidi w:val="0"/>
              <w:adjustRightInd/>
              <w:snapToGrid/>
              <w:spacing w:line="240" w:lineRule="auto"/>
              <w:jc w:val="center"/>
              <w:rPr>
                <w:rFonts w:hint="eastAsia" w:ascii="宋体" w:hAnsi="宋体" w:eastAsia="宋体" w:cs="宋体"/>
                <w:b/>
                <w:bCs/>
                <w:sz w:val="21"/>
                <w:szCs w:val="21"/>
              </w:rPr>
            </w:pPr>
            <w:r>
              <w:rPr>
                <w:rFonts w:hint="eastAsia" w:ascii="宋体" w:hAnsi="宋体" w:eastAsia="宋体" w:cs="宋体"/>
                <w:sz w:val="21"/>
                <w:szCs w:val="21"/>
              </w:rPr>
              <w:t>评分标准</w:t>
            </w:r>
          </w:p>
        </w:tc>
        <w:tc>
          <w:tcPr>
            <w:tcW w:w="790" w:type="dxa"/>
            <w:vAlign w:val="center"/>
          </w:tcPr>
          <w:p>
            <w:pPr>
              <w:keepNext w:val="0"/>
              <w:keepLines w:val="0"/>
              <w:pageBreakBefore w:val="0"/>
              <w:kinsoku/>
              <w:wordWrap/>
              <w:overflowPunct/>
              <w:topLinePunct w:val="0"/>
              <w:bidi w:val="0"/>
              <w:adjustRightInd/>
              <w:snapToGrid/>
              <w:spacing w:line="240" w:lineRule="auto"/>
              <w:jc w:val="center"/>
              <w:rPr>
                <w:rFonts w:hint="eastAsia" w:ascii="宋体" w:hAnsi="宋体" w:eastAsia="宋体" w:cs="宋体"/>
                <w:b/>
                <w:bCs/>
                <w:sz w:val="21"/>
                <w:szCs w:val="21"/>
                <w:lang w:eastAsia="zh-CN"/>
              </w:rPr>
            </w:pPr>
            <w:r>
              <w:rPr>
                <w:rFonts w:hint="eastAsia" w:ascii="宋体" w:hAnsi="宋体" w:eastAsia="宋体" w:cs="宋体"/>
                <w:b w:val="0"/>
                <w:bCs w:val="0"/>
                <w:sz w:val="21"/>
                <w:szCs w:val="21"/>
                <w:lang w:eastAsia="zh-CN"/>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807" w:type="dxa"/>
            <w:vMerge w:val="restart"/>
            <w:vAlign w:val="center"/>
          </w:tcPr>
          <w:p>
            <w:pPr>
              <w:keepNext w:val="0"/>
              <w:keepLines w:val="0"/>
              <w:pageBreakBefore w:val="0"/>
              <w:widowControl/>
              <w:kinsoku/>
              <w:wordWrap/>
              <w:overflowPunct/>
              <w:topLinePunct w:val="0"/>
              <w:bidi w:val="0"/>
              <w:adjustRightInd/>
              <w:snapToGrid/>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技术分（</w:t>
            </w:r>
            <w:r>
              <w:rPr>
                <w:rFonts w:hint="eastAsia" w:ascii="宋体" w:hAnsi="宋体" w:eastAsia="宋体" w:cs="宋体"/>
                <w:sz w:val="21"/>
                <w:szCs w:val="21"/>
                <w:lang w:val="en-US" w:eastAsia="zh-CN"/>
              </w:rPr>
              <w:t>70分</w:t>
            </w:r>
            <w:r>
              <w:rPr>
                <w:rFonts w:hint="eastAsia" w:ascii="宋体" w:hAnsi="宋体" w:eastAsia="宋体" w:cs="宋体"/>
                <w:sz w:val="21"/>
                <w:szCs w:val="21"/>
                <w:lang w:eastAsia="zh-CN"/>
              </w:rPr>
              <w:t>）</w:t>
            </w:r>
          </w:p>
        </w:tc>
        <w:tc>
          <w:tcPr>
            <w:tcW w:w="1125" w:type="dxa"/>
            <w:vAlign w:val="center"/>
          </w:tcPr>
          <w:p>
            <w:pPr>
              <w:keepNext w:val="0"/>
              <w:keepLines w:val="0"/>
              <w:pageBreakBefore w:val="0"/>
              <w:widowControl/>
              <w:kinsoku/>
              <w:wordWrap/>
              <w:overflowPunct/>
              <w:topLinePunct w:val="0"/>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企业综合实力</w:t>
            </w:r>
          </w:p>
        </w:tc>
        <w:tc>
          <w:tcPr>
            <w:tcW w:w="6885" w:type="dxa"/>
            <w:vAlign w:val="center"/>
          </w:tcPr>
          <w:p>
            <w:pPr>
              <w:keepNext w:val="0"/>
              <w:keepLines w:val="0"/>
              <w:pageBreakBefore w:val="0"/>
              <w:kinsoku/>
              <w:wordWrap/>
              <w:overflowPunct/>
              <w:topLinePunct w:val="0"/>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投标人具有质量管理体系认证、环境管理体系认证、职业健康安全管理体系认证的每项得</w:t>
            </w:r>
            <w:r>
              <w:rPr>
                <w:rFonts w:hint="eastAsia" w:ascii="宋体" w:hAnsi="宋体" w:eastAsia="宋体" w:cs="宋体"/>
                <w:sz w:val="21"/>
                <w:szCs w:val="21"/>
                <w:lang w:val="en-US" w:eastAsia="zh-CN"/>
              </w:rPr>
              <w:t>2</w:t>
            </w:r>
            <w:r>
              <w:rPr>
                <w:rFonts w:hint="eastAsia" w:ascii="宋体" w:hAnsi="宋体" w:eastAsia="宋体" w:cs="宋体"/>
                <w:sz w:val="21"/>
                <w:szCs w:val="21"/>
              </w:rPr>
              <w:t>分，本项最高得</w:t>
            </w:r>
            <w:r>
              <w:rPr>
                <w:rFonts w:hint="eastAsia" w:ascii="宋体" w:hAnsi="宋体" w:eastAsia="宋体" w:cs="宋体"/>
                <w:sz w:val="21"/>
                <w:szCs w:val="21"/>
                <w:lang w:val="en-US" w:eastAsia="zh-CN"/>
              </w:rPr>
              <w:t>6</w:t>
            </w:r>
            <w:r>
              <w:rPr>
                <w:rFonts w:hint="eastAsia" w:ascii="宋体" w:hAnsi="宋体" w:eastAsia="宋体" w:cs="宋体"/>
                <w:sz w:val="21"/>
                <w:szCs w:val="21"/>
              </w:rPr>
              <w:t>分。</w:t>
            </w:r>
          </w:p>
          <w:p>
            <w:pPr>
              <w:keepNext w:val="0"/>
              <w:keepLines w:val="0"/>
              <w:pageBreakBefore w:val="0"/>
              <w:kinsoku/>
              <w:wordWrap/>
              <w:overflowPunct/>
              <w:topLinePunct w:val="0"/>
              <w:bidi w:val="0"/>
              <w:adjustRightInd/>
              <w:snapToGrid/>
              <w:spacing w:line="240" w:lineRule="auto"/>
              <w:rPr>
                <w:rFonts w:hint="eastAsia" w:ascii="宋体" w:hAnsi="宋体" w:eastAsia="宋体" w:cs="宋体"/>
                <w:b/>
                <w:bCs/>
                <w:sz w:val="21"/>
                <w:szCs w:val="21"/>
              </w:rPr>
            </w:pPr>
            <w:r>
              <w:rPr>
                <w:rFonts w:hint="eastAsia" w:ascii="宋体" w:hAnsi="宋体" w:eastAsia="宋体" w:cs="宋体"/>
                <w:b/>
                <w:bCs/>
                <w:sz w:val="21"/>
                <w:szCs w:val="21"/>
              </w:rPr>
              <w:t>注：须提供有效的证书</w:t>
            </w:r>
            <w:r>
              <w:rPr>
                <w:rFonts w:hint="eastAsia" w:ascii="宋体" w:hAnsi="宋体" w:eastAsia="宋体" w:cs="宋体"/>
                <w:b/>
                <w:bCs/>
                <w:sz w:val="21"/>
                <w:szCs w:val="21"/>
                <w:lang w:eastAsia="zh-CN"/>
              </w:rPr>
              <w:t>扫描件</w:t>
            </w:r>
            <w:r>
              <w:rPr>
                <w:rFonts w:hint="eastAsia" w:ascii="宋体" w:hAnsi="宋体" w:eastAsia="宋体" w:cs="宋体"/>
                <w:b/>
                <w:bCs/>
                <w:sz w:val="21"/>
                <w:szCs w:val="21"/>
              </w:rPr>
              <w:t>，否则不得分。</w:t>
            </w:r>
          </w:p>
        </w:tc>
        <w:tc>
          <w:tcPr>
            <w:tcW w:w="790" w:type="dxa"/>
            <w:vAlign w:val="center"/>
          </w:tcPr>
          <w:p>
            <w:pPr>
              <w:keepNext w:val="0"/>
              <w:keepLines w:val="0"/>
              <w:pageBreakBefore w:val="0"/>
              <w:kinsoku/>
              <w:wordWrap/>
              <w:overflowPunct/>
              <w:topLinePunct w:val="0"/>
              <w:bidi w:val="0"/>
              <w:adjustRightInd/>
              <w:snapToGrid/>
              <w:spacing w:line="240" w:lineRule="auto"/>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6</w:t>
            </w:r>
            <w:r>
              <w:rPr>
                <w:rFonts w:hint="eastAsia" w:ascii="宋体" w:hAnsi="宋体" w:eastAsia="宋体" w:cs="宋体"/>
                <w:b w:val="0"/>
                <w:bCs w:val="0"/>
                <w:sz w:val="21"/>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07" w:type="dxa"/>
            <w:vMerge w:val="continue"/>
            <w:vAlign w:val="center"/>
          </w:tcPr>
          <w:p>
            <w:pPr>
              <w:keepNext w:val="0"/>
              <w:keepLines w:val="0"/>
              <w:pageBreakBefore w:val="0"/>
              <w:widowControl/>
              <w:kinsoku/>
              <w:wordWrap/>
              <w:overflowPunct/>
              <w:topLinePunct w:val="0"/>
              <w:bidi w:val="0"/>
              <w:adjustRightInd/>
              <w:snapToGrid/>
              <w:spacing w:line="240" w:lineRule="auto"/>
              <w:jc w:val="center"/>
              <w:rPr>
                <w:rFonts w:hint="eastAsia" w:ascii="宋体" w:hAnsi="宋体" w:eastAsia="宋体" w:cs="宋体"/>
                <w:sz w:val="21"/>
                <w:szCs w:val="21"/>
              </w:rPr>
            </w:pPr>
          </w:p>
        </w:tc>
        <w:tc>
          <w:tcPr>
            <w:tcW w:w="1125" w:type="dxa"/>
            <w:vAlign w:val="center"/>
          </w:tcPr>
          <w:p>
            <w:pPr>
              <w:keepNext w:val="0"/>
              <w:keepLines w:val="0"/>
              <w:pageBreakBefore w:val="0"/>
              <w:widowControl/>
              <w:kinsoku/>
              <w:wordWrap/>
              <w:overflowPunct/>
              <w:topLinePunct w:val="0"/>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企业业绩</w:t>
            </w:r>
          </w:p>
          <w:p>
            <w:pPr>
              <w:keepNext w:val="0"/>
              <w:keepLines w:val="0"/>
              <w:pageBreakBefore w:val="0"/>
              <w:widowControl/>
              <w:kinsoku/>
              <w:wordWrap/>
              <w:overflowPunct/>
              <w:topLinePunct w:val="0"/>
              <w:bidi w:val="0"/>
              <w:adjustRightInd/>
              <w:snapToGrid/>
              <w:spacing w:line="240" w:lineRule="auto"/>
              <w:jc w:val="center"/>
              <w:rPr>
                <w:rFonts w:hint="eastAsia" w:ascii="宋体" w:hAnsi="宋体" w:eastAsia="宋体" w:cs="宋体"/>
                <w:sz w:val="21"/>
                <w:szCs w:val="21"/>
              </w:rPr>
            </w:pPr>
          </w:p>
        </w:tc>
        <w:tc>
          <w:tcPr>
            <w:tcW w:w="6885" w:type="dxa"/>
            <w:vAlign w:val="center"/>
          </w:tcPr>
          <w:p>
            <w:pPr>
              <w:keepNext w:val="0"/>
              <w:keepLines w:val="0"/>
              <w:pageBreakBefore w:val="0"/>
              <w:kinsoku/>
              <w:wordWrap/>
              <w:overflowPunct/>
              <w:topLinePunct w:val="0"/>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lang w:eastAsia="zh-CN"/>
              </w:rPr>
              <w:t>投标人</w:t>
            </w:r>
            <w:r>
              <w:rPr>
                <w:rFonts w:hint="eastAsia" w:ascii="宋体" w:hAnsi="宋体" w:eastAsia="宋体" w:cs="宋体"/>
                <w:sz w:val="21"/>
                <w:szCs w:val="21"/>
              </w:rPr>
              <w:t>自20</w:t>
            </w:r>
            <w:r>
              <w:rPr>
                <w:rFonts w:hint="eastAsia" w:ascii="宋体" w:hAnsi="宋体" w:eastAsia="宋体" w:cs="宋体"/>
                <w:sz w:val="21"/>
                <w:szCs w:val="21"/>
                <w:lang w:val="en-US" w:eastAsia="zh-CN"/>
              </w:rPr>
              <w:t>20</w:t>
            </w:r>
            <w:r>
              <w:rPr>
                <w:rFonts w:hint="eastAsia" w:ascii="宋体" w:hAnsi="宋体" w:eastAsia="宋体" w:cs="宋体"/>
                <w:sz w:val="21"/>
                <w:szCs w:val="21"/>
              </w:rPr>
              <w:t>年1月1日以来（时间以签订合同日期为准）承接过相关</w:t>
            </w:r>
            <w:r>
              <w:rPr>
                <w:rFonts w:hint="eastAsia" w:ascii="宋体" w:hAnsi="宋体" w:eastAsia="宋体" w:cs="宋体"/>
                <w:sz w:val="21"/>
                <w:szCs w:val="21"/>
                <w:lang w:eastAsia="zh-CN"/>
              </w:rPr>
              <w:t>监控系统集成类</w:t>
            </w:r>
            <w:r>
              <w:rPr>
                <w:rFonts w:hint="eastAsia" w:ascii="宋体" w:hAnsi="宋体" w:eastAsia="宋体" w:cs="宋体"/>
                <w:sz w:val="21"/>
                <w:szCs w:val="21"/>
              </w:rPr>
              <w:t>项目业绩的，每提供1个得2分，本项最高得2分。</w:t>
            </w:r>
          </w:p>
          <w:p>
            <w:pPr>
              <w:keepNext w:val="0"/>
              <w:keepLines w:val="0"/>
              <w:pageBreakBefore w:val="0"/>
              <w:widowControl/>
              <w:kinsoku/>
              <w:wordWrap/>
              <w:overflowPunct/>
              <w:topLinePunct w:val="0"/>
              <w:bidi w:val="0"/>
              <w:adjustRightInd/>
              <w:snapToGrid/>
              <w:spacing w:line="240" w:lineRule="auto"/>
              <w:rPr>
                <w:rFonts w:hint="eastAsia" w:ascii="宋体" w:hAnsi="宋体" w:eastAsia="宋体" w:cs="宋体"/>
                <w:sz w:val="21"/>
                <w:szCs w:val="21"/>
              </w:rPr>
            </w:pPr>
            <w:r>
              <w:rPr>
                <w:rFonts w:hint="eastAsia" w:ascii="宋体" w:hAnsi="宋体" w:eastAsia="宋体" w:cs="宋体"/>
                <w:b/>
                <w:bCs/>
                <w:sz w:val="21"/>
                <w:szCs w:val="21"/>
              </w:rPr>
              <w:t>注：须提供合同</w:t>
            </w:r>
            <w:r>
              <w:rPr>
                <w:rFonts w:hint="eastAsia" w:ascii="宋体" w:hAnsi="宋体" w:eastAsia="宋体" w:cs="宋体"/>
                <w:b/>
                <w:bCs/>
                <w:sz w:val="21"/>
                <w:szCs w:val="21"/>
                <w:lang w:eastAsia="zh-CN"/>
              </w:rPr>
              <w:t>扫描件</w:t>
            </w:r>
            <w:r>
              <w:rPr>
                <w:rFonts w:hint="eastAsia" w:ascii="宋体" w:hAnsi="宋体" w:eastAsia="宋体" w:cs="宋体"/>
                <w:b/>
                <w:bCs/>
                <w:sz w:val="21"/>
                <w:szCs w:val="21"/>
              </w:rPr>
              <w:t>，否则不得分。</w:t>
            </w:r>
          </w:p>
        </w:tc>
        <w:tc>
          <w:tcPr>
            <w:tcW w:w="790" w:type="dxa"/>
            <w:vAlign w:val="center"/>
          </w:tcPr>
          <w:p>
            <w:pPr>
              <w:keepNext w:val="0"/>
              <w:keepLines w:val="0"/>
              <w:pageBreakBefore w:val="0"/>
              <w:widowControl/>
              <w:kinsoku/>
              <w:wordWrap/>
              <w:overflowPunct/>
              <w:topLinePunct w:val="0"/>
              <w:bidi w:val="0"/>
              <w:adjustRightInd/>
              <w:snapToGrid/>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80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center"/>
              <w:rPr>
                <w:rFonts w:hint="eastAsia" w:ascii="宋体" w:hAnsi="宋体" w:eastAsia="宋体" w:cs="宋体"/>
                <w:sz w:val="21"/>
                <w:szCs w:val="21"/>
              </w:rPr>
            </w:pPr>
          </w:p>
        </w:tc>
        <w:tc>
          <w:tcPr>
            <w:tcW w:w="1125" w:type="dxa"/>
            <w:vMerge w:val="restart"/>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投入本项目的项目技术力量和人员配置情况</w:t>
            </w:r>
          </w:p>
          <w:p>
            <w:pPr>
              <w:keepNext w:val="0"/>
              <w:keepLines w:val="0"/>
              <w:pageBreakBefore w:val="0"/>
              <w:widowControl/>
              <w:kinsoku/>
              <w:wordWrap/>
              <w:overflowPunct/>
              <w:topLinePunct w:val="0"/>
              <w:autoSpaceDE w:val="0"/>
              <w:autoSpaceDN w:val="0"/>
              <w:bidi w:val="0"/>
              <w:adjustRightInd/>
              <w:snapToGrid/>
              <w:spacing w:line="240" w:lineRule="auto"/>
              <w:jc w:val="center"/>
              <w:textAlignment w:val="center"/>
              <w:rPr>
                <w:rFonts w:hint="eastAsia" w:ascii="宋体" w:hAnsi="宋体" w:eastAsia="宋体" w:cs="宋体"/>
                <w:sz w:val="21"/>
                <w:szCs w:val="21"/>
              </w:rPr>
            </w:pPr>
          </w:p>
        </w:tc>
        <w:tc>
          <w:tcPr>
            <w:tcW w:w="6885" w:type="dxa"/>
            <w:vAlign w:val="center"/>
          </w:tcPr>
          <w:p>
            <w:pPr>
              <w:keepNext w:val="0"/>
              <w:keepLines w:val="0"/>
              <w:pageBreakBefore w:val="0"/>
              <w:widowControl/>
              <w:kinsoku/>
              <w:wordWrap/>
              <w:overflowPunct/>
              <w:topLinePunct w:val="0"/>
              <w:autoSpaceDE w:val="0"/>
              <w:autoSpaceDN w:val="0"/>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项目负责人具有智能化系统集成项目经理（高级）、注册信息安全工程师（CISE）、CDPSE-数据隐私解决方案工程师，每提供一个得2分，本项最高得</w:t>
            </w:r>
            <w:r>
              <w:rPr>
                <w:rFonts w:hint="eastAsia" w:ascii="宋体" w:hAnsi="宋体" w:eastAsia="宋体" w:cs="宋体"/>
                <w:sz w:val="21"/>
                <w:szCs w:val="21"/>
                <w:lang w:val="en-US" w:eastAsia="zh-CN"/>
              </w:rPr>
              <w:t>6</w:t>
            </w:r>
            <w:r>
              <w:rPr>
                <w:rFonts w:hint="eastAsia" w:ascii="宋体" w:hAnsi="宋体" w:eastAsia="宋体" w:cs="宋体"/>
                <w:sz w:val="21"/>
                <w:szCs w:val="21"/>
              </w:rPr>
              <w:t>分。</w:t>
            </w:r>
          </w:p>
          <w:p>
            <w:pPr>
              <w:keepNext w:val="0"/>
              <w:keepLines w:val="0"/>
              <w:pageBreakBefore w:val="0"/>
              <w:widowControl/>
              <w:kinsoku/>
              <w:wordWrap/>
              <w:overflowPunct/>
              <w:topLinePunct w:val="0"/>
              <w:autoSpaceDE w:val="0"/>
              <w:autoSpaceDN w:val="0"/>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b/>
                <w:bCs/>
                <w:sz w:val="21"/>
                <w:szCs w:val="21"/>
              </w:rPr>
              <w:t>注：须同时提供相关</w:t>
            </w:r>
            <w:r>
              <w:rPr>
                <w:rFonts w:hint="eastAsia" w:ascii="宋体" w:hAnsi="宋体" w:eastAsia="宋体" w:cs="宋体"/>
                <w:b/>
                <w:bCs/>
                <w:sz w:val="21"/>
                <w:szCs w:val="21"/>
                <w:lang w:eastAsia="zh-CN"/>
              </w:rPr>
              <w:t>有效</w:t>
            </w:r>
            <w:r>
              <w:rPr>
                <w:rFonts w:hint="eastAsia" w:ascii="宋体" w:hAnsi="宋体" w:eastAsia="宋体" w:cs="宋体"/>
                <w:b/>
                <w:bCs/>
                <w:sz w:val="21"/>
                <w:szCs w:val="21"/>
              </w:rPr>
              <w:t>证书</w:t>
            </w:r>
            <w:r>
              <w:rPr>
                <w:rFonts w:hint="eastAsia" w:ascii="宋体" w:hAnsi="宋体" w:eastAsia="宋体" w:cs="宋体"/>
                <w:b/>
                <w:bCs/>
                <w:sz w:val="21"/>
                <w:szCs w:val="21"/>
                <w:lang w:eastAsia="zh-CN"/>
              </w:rPr>
              <w:t>扫描件</w:t>
            </w:r>
            <w:r>
              <w:rPr>
                <w:rFonts w:hint="eastAsia" w:ascii="宋体" w:hAnsi="宋体" w:eastAsia="宋体" w:cs="宋体"/>
                <w:b/>
                <w:bCs/>
                <w:sz w:val="21"/>
                <w:szCs w:val="21"/>
              </w:rPr>
              <w:t>和近三个月</w:t>
            </w:r>
            <w:r>
              <w:rPr>
                <w:rFonts w:hint="eastAsia" w:ascii="宋体" w:hAnsi="宋体" w:eastAsia="宋体" w:cs="宋体"/>
                <w:b/>
                <w:bCs/>
                <w:sz w:val="21"/>
                <w:szCs w:val="21"/>
                <w:lang w:eastAsia="zh-CN"/>
              </w:rPr>
              <w:t>内的其中一个月</w:t>
            </w:r>
            <w:r>
              <w:rPr>
                <w:rFonts w:hint="eastAsia" w:ascii="宋体" w:hAnsi="宋体" w:eastAsia="宋体" w:cs="宋体"/>
                <w:b/>
                <w:bCs/>
                <w:sz w:val="21"/>
                <w:szCs w:val="21"/>
              </w:rPr>
              <w:t>在本单位缴纳的社保证明材料，否则不得分。</w:t>
            </w:r>
          </w:p>
        </w:tc>
        <w:tc>
          <w:tcPr>
            <w:tcW w:w="790" w:type="dxa"/>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80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center"/>
              <w:rPr>
                <w:rFonts w:hint="eastAsia" w:ascii="宋体" w:hAnsi="宋体" w:eastAsia="宋体" w:cs="宋体"/>
                <w:sz w:val="21"/>
                <w:szCs w:val="21"/>
              </w:rPr>
            </w:pPr>
          </w:p>
        </w:tc>
        <w:tc>
          <w:tcPr>
            <w:tcW w:w="112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center"/>
              <w:rPr>
                <w:rFonts w:hint="eastAsia" w:ascii="宋体" w:hAnsi="宋体" w:eastAsia="宋体" w:cs="宋体"/>
                <w:sz w:val="21"/>
                <w:szCs w:val="21"/>
              </w:rPr>
            </w:pPr>
          </w:p>
        </w:tc>
        <w:tc>
          <w:tcPr>
            <w:tcW w:w="6885" w:type="dxa"/>
            <w:vAlign w:val="center"/>
          </w:tcPr>
          <w:p>
            <w:pPr>
              <w:keepNext w:val="0"/>
              <w:keepLines w:val="0"/>
              <w:pageBreakBefore w:val="0"/>
              <w:widowControl/>
              <w:kinsoku/>
              <w:wordWrap/>
              <w:overflowPunct/>
              <w:topLinePunct w:val="0"/>
              <w:autoSpaceDE w:val="0"/>
              <w:autoSpaceDN w:val="0"/>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项目技术负责人具有注册信息安全工程师（CISE）、智能化系统工程师（高级）、网络规划设计师、安防系统工程师(高级)、信息安全工程师，每提供一个得</w:t>
            </w:r>
            <w:r>
              <w:rPr>
                <w:rFonts w:hint="eastAsia" w:ascii="宋体" w:hAnsi="宋体" w:eastAsia="宋体" w:cs="宋体"/>
                <w:sz w:val="21"/>
                <w:szCs w:val="21"/>
                <w:lang w:val="en-US" w:eastAsia="zh-CN"/>
              </w:rPr>
              <w:t>1</w:t>
            </w:r>
            <w:r>
              <w:rPr>
                <w:rFonts w:hint="eastAsia" w:ascii="宋体" w:hAnsi="宋体" w:eastAsia="宋体" w:cs="宋体"/>
                <w:sz w:val="21"/>
                <w:szCs w:val="21"/>
              </w:rPr>
              <w:t>分，本项最高得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p>
            <w:pPr>
              <w:keepNext w:val="0"/>
              <w:keepLines w:val="0"/>
              <w:pageBreakBefore w:val="0"/>
              <w:widowControl/>
              <w:kinsoku/>
              <w:wordWrap/>
              <w:overflowPunct/>
              <w:topLinePunct w:val="0"/>
              <w:autoSpaceDE w:val="0"/>
              <w:autoSpaceDN w:val="0"/>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b/>
                <w:bCs/>
                <w:sz w:val="21"/>
                <w:szCs w:val="21"/>
              </w:rPr>
              <w:t>注：须同时提供相关</w:t>
            </w:r>
            <w:r>
              <w:rPr>
                <w:rFonts w:hint="eastAsia" w:ascii="宋体" w:hAnsi="宋体" w:eastAsia="宋体" w:cs="宋体"/>
                <w:b/>
                <w:bCs/>
                <w:sz w:val="21"/>
                <w:szCs w:val="21"/>
                <w:lang w:eastAsia="zh-CN"/>
              </w:rPr>
              <w:t>有效</w:t>
            </w:r>
            <w:r>
              <w:rPr>
                <w:rFonts w:hint="eastAsia" w:ascii="宋体" w:hAnsi="宋体" w:eastAsia="宋体" w:cs="宋体"/>
                <w:b/>
                <w:bCs/>
                <w:sz w:val="21"/>
                <w:szCs w:val="21"/>
              </w:rPr>
              <w:t>证书</w:t>
            </w:r>
            <w:r>
              <w:rPr>
                <w:rFonts w:hint="eastAsia" w:ascii="宋体" w:hAnsi="宋体" w:eastAsia="宋体" w:cs="宋体"/>
                <w:b/>
                <w:bCs/>
                <w:sz w:val="21"/>
                <w:szCs w:val="21"/>
                <w:lang w:eastAsia="zh-CN"/>
              </w:rPr>
              <w:t>扫描件</w:t>
            </w:r>
            <w:r>
              <w:rPr>
                <w:rFonts w:hint="eastAsia" w:ascii="宋体" w:hAnsi="宋体" w:eastAsia="宋体" w:cs="宋体"/>
                <w:b/>
                <w:bCs/>
                <w:sz w:val="21"/>
                <w:szCs w:val="21"/>
              </w:rPr>
              <w:t>和近三个月</w:t>
            </w:r>
            <w:r>
              <w:rPr>
                <w:rFonts w:hint="eastAsia" w:ascii="宋体" w:hAnsi="宋体" w:eastAsia="宋体" w:cs="宋体"/>
                <w:b/>
                <w:bCs/>
                <w:sz w:val="21"/>
                <w:szCs w:val="21"/>
                <w:lang w:eastAsia="zh-CN"/>
              </w:rPr>
              <w:t>内的其中一个月</w:t>
            </w:r>
            <w:r>
              <w:rPr>
                <w:rFonts w:hint="eastAsia" w:ascii="宋体" w:hAnsi="宋体" w:eastAsia="宋体" w:cs="宋体"/>
                <w:b/>
                <w:bCs/>
                <w:sz w:val="21"/>
                <w:szCs w:val="21"/>
              </w:rPr>
              <w:t>在本单位缴纳的社保证明材料，否则不得分。</w:t>
            </w:r>
          </w:p>
        </w:tc>
        <w:tc>
          <w:tcPr>
            <w:tcW w:w="790" w:type="dxa"/>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center"/>
              <w:rPr>
                <w:rFonts w:hint="eastAsia" w:ascii="宋体" w:hAnsi="宋体" w:eastAsia="宋体" w:cs="宋体"/>
                <w:sz w:val="21"/>
                <w:szCs w:val="21"/>
              </w:rPr>
            </w:pPr>
          </w:p>
        </w:tc>
        <w:tc>
          <w:tcPr>
            <w:tcW w:w="112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center"/>
              <w:rPr>
                <w:rFonts w:hint="eastAsia" w:ascii="宋体" w:hAnsi="宋体" w:eastAsia="宋体" w:cs="宋体"/>
                <w:sz w:val="21"/>
                <w:szCs w:val="21"/>
              </w:rPr>
            </w:pPr>
          </w:p>
        </w:tc>
        <w:tc>
          <w:tcPr>
            <w:tcW w:w="6885" w:type="dxa"/>
            <w:vAlign w:val="center"/>
          </w:tcPr>
          <w:p>
            <w:pPr>
              <w:keepNext w:val="0"/>
              <w:keepLines w:val="0"/>
              <w:pageBreakBefore w:val="0"/>
              <w:kinsoku/>
              <w:wordWrap/>
              <w:overflowPunct/>
              <w:topLinePunct w:val="0"/>
              <w:bidi w:val="0"/>
              <w:adjustRightInd/>
              <w:snapToGrid/>
              <w:spacing w:line="240" w:lineRule="auto"/>
              <w:jc w:val="left"/>
              <w:rPr>
                <w:rFonts w:hint="eastAsia" w:ascii="宋体" w:hAnsi="宋体" w:eastAsia="宋体" w:cs="宋体"/>
                <w:sz w:val="21"/>
                <w:szCs w:val="21"/>
              </w:rPr>
            </w:pPr>
            <w:r>
              <w:rPr>
                <w:rFonts w:hint="eastAsia" w:ascii="宋体" w:hAnsi="宋体" w:eastAsia="宋体" w:cs="宋体"/>
                <w:sz w:val="21"/>
                <w:szCs w:val="21"/>
              </w:rPr>
              <w:t>项目组其他成员（除项目负责人、项目技术负责人外）中配备高级工程师证书、网络工程师证书、高级软件技术开发工程师证书、CISP证书（信息安全工程师证书）、信息系统项目管理师证书、中级工程师的得</w:t>
            </w:r>
            <w:r>
              <w:rPr>
                <w:rFonts w:hint="eastAsia" w:ascii="宋体" w:hAnsi="宋体" w:eastAsia="宋体" w:cs="宋体"/>
                <w:sz w:val="21"/>
                <w:szCs w:val="21"/>
                <w:lang w:val="en-US" w:eastAsia="zh-CN"/>
              </w:rPr>
              <w:t>2</w:t>
            </w:r>
            <w:r>
              <w:rPr>
                <w:rFonts w:hint="eastAsia" w:ascii="宋体" w:hAnsi="宋体" w:eastAsia="宋体" w:cs="宋体"/>
                <w:sz w:val="21"/>
                <w:szCs w:val="21"/>
              </w:rPr>
              <w:t>分，缺少任意一本,每本扣</w:t>
            </w:r>
            <w:r>
              <w:rPr>
                <w:rFonts w:hint="eastAsia" w:ascii="宋体" w:hAnsi="宋体" w:eastAsia="宋体" w:cs="宋体"/>
                <w:sz w:val="21"/>
                <w:szCs w:val="21"/>
                <w:lang w:val="en-US" w:eastAsia="zh-CN"/>
              </w:rPr>
              <w:t>0.5</w:t>
            </w:r>
            <w:r>
              <w:rPr>
                <w:rFonts w:hint="eastAsia" w:ascii="宋体" w:hAnsi="宋体" w:eastAsia="宋体" w:cs="宋体"/>
                <w:sz w:val="21"/>
                <w:szCs w:val="21"/>
              </w:rPr>
              <w:t>分，扣完为止。本项最高得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p>
            <w:pPr>
              <w:keepNext w:val="0"/>
              <w:keepLines w:val="0"/>
              <w:pageBreakBefore w:val="0"/>
              <w:widowControl/>
              <w:kinsoku/>
              <w:wordWrap/>
              <w:overflowPunct/>
              <w:topLinePunct w:val="0"/>
              <w:autoSpaceDE w:val="0"/>
              <w:autoSpaceDN w:val="0"/>
              <w:bidi w:val="0"/>
              <w:adjustRightInd/>
              <w:snapToGrid/>
              <w:spacing w:line="240" w:lineRule="auto"/>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注：须同时提供相关</w:t>
            </w:r>
            <w:r>
              <w:rPr>
                <w:rFonts w:hint="eastAsia" w:ascii="宋体" w:hAnsi="宋体" w:eastAsia="宋体" w:cs="宋体"/>
                <w:b/>
                <w:bCs/>
                <w:sz w:val="21"/>
                <w:szCs w:val="21"/>
                <w:lang w:eastAsia="zh-CN"/>
              </w:rPr>
              <w:t>有效</w:t>
            </w:r>
            <w:r>
              <w:rPr>
                <w:rFonts w:hint="eastAsia" w:ascii="宋体" w:hAnsi="宋体" w:eastAsia="宋体" w:cs="宋体"/>
                <w:b/>
                <w:bCs/>
                <w:sz w:val="21"/>
                <w:szCs w:val="21"/>
              </w:rPr>
              <w:t>证书</w:t>
            </w:r>
            <w:r>
              <w:rPr>
                <w:rFonts w:hint="eastAsia" w:ascii="宋体" w:hAnsi="宋体" w:eastAsia="宋体" w:cs="宋体"/>
                <w:b/>
                <w:bCs/>
                <w:sz w:val="21"/>
                <w:szCs w:val="21"/>
                <w:lang w:eastAsia="zh-CN"/>
              </w:rPr>
              <w:t>扫描件</w:t>
            </w:r>
            <w:r>
              <w:rPr>
                <w:rFonts w:hint="eastAsia" w:ascii="宋体" w:hAnsi="宋体" w:eastAsia="宋体" w:cs="宋体"/>
                <w:b/>
                <w:bCs/>
                <w:sz w:val="21"/>
                <w:szCs w:val="21"/>
              </w:rPr>
              <w:t>和近三个月</w:t>
            </w:r>
            <w:r>
              <w:rPr>
                <w:rFonts w:hint="eastAsia" w:ascii="宋体" w:hAnsi="宋体" w:eastAsia="宋体" w:cs="宋体"/>
                <w:b/>
                <w:bCs/>
                <w:sz w:val="21"/>
                <w:szCs w:val="21"/>
                <w:lang w:eastAsia="zh-CN"/>
              </w:rPr>
              <w:t>内的其中一个月</w:t>
            </w:r>
            <w:r>
              <w:rPr>
                <w:rFonts w:hint="eastAsia" w:ascii="宋体" w:hAnsi="宋体" w:eastAsia="宋体" w:cs="宋体"/>
                <w:b/>
                <w:bCs/>
                <w:sz w:val="21"/>
                <w:szCs w:val="21"/>
              </w:rPr>
              <w:t>在本单位缴纳的社保证明材料，否则不得分。</w:t>
            </w:r>
          </w:p>
        </w:tc>
        <w:tc>
          <w:tcPr>
            <w:tcW w:w="790" w:type="dxa"/>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jc w:val="center"/>
        </w:trPr>
        <w:tc>
          <w:tcPr>
            <w:tcW w:w="807" w:type="dxa"/>
            <w:vMerge w:val="continue"/>
            <w:vAlign w:val="center"/>
          </w:tcPr>
          <w:p>
            <w:pPr>
              <w:keepNext w:val="0"/>
              <w:keepLines w:val="0"/>
              <w:pageBreakBefore w:val="0"/>
              <w:widowControl/>
              <w:kinsoku/>
              <w:wordWrap/>
              <w:overflowPunct/>
              <w:topLinePunct w:val="0"/>
              <w:bidi w:val="0"/>
              <w:adjustRightInd/>
              <w:snapToGrid/>
              <w:spacing w:line="240" w:lineRule="auto"/>
              <w:jc w:val="center"/>
              <w:rPr>
                <w:rFonts w:hint="eastAsia" w:ascii="宋体" w:hAnsi="宋体" w:eastAsia="宋体" w:cs="宋体"/>
                <w:color w:val="auto"/>
                <w:kern w:val="0"/>
                <w:sz w:val="21"/>
                <w:szCs w:val="21"/>
                <w:highlight w:val="none"/>
              </w:rPr>
            </w:pPr>
          </w:p>
        </w:tc>
        <w:tc>
          <w:tcPr>
            <w:tcW w:w="1125" w:type="dxa"/>
            <w:vAlign w:val="center"/>
          </w:tcPr>
          <w:p>
            <w:pPr>
              <w:keepNext w:val="0"/>
              <w:keepLines w:val="0"/>
              <w:pageBreakBefore w:val="0"/>
              <w:widowControl/>
              <w:kinsoku/>
              <w:wordWrap/>
              <w:overflowPunct/>
              <w:topLinePunct w:val="0"/>
              <w:bidi w:val="0"/>
              <w:adjustRightInd/>
              <w:snapToGrid/>
              <w:spacing w:line="240" w:lineRule="auto"/>
              <w:jc w:val="center"/>
              <w:rPr>
                <w:rFonts w:hint="eastAsia" w:ascii="宋体" w:hAnsi="宋体" w:eastAsia="宋体" w:cs="宋体"/>
                <w:sz w:val="21"/>
                <w:szCs w:val="21"/>
                <w:lang w:eastAsia="zh-CN"/>
              </w:rPr>
            </w:pPr>
            <w:r>
              <w:rPr>
                <w:rFonts w:hint="eastAsia" w:ascii="宋体" w:hAnsi="宋体" w:eastAsia="宋体" w:cs="宋体"/>
                <w:color w:val="auto"/>
                <w:kern w:val="0"/>
                <w:sz w:val="21"/>
                <w:szCs w:val="21"/>
                <w:highlight w:val="none"/>
              </w:rPr>
              <w:t>项目理解和设计方案</w:t>
            </w:r>
          </w:p>
        </w:tc>
        <w:tc>
          <w:tcPr>
            <w:tcW w:w="6885" w:type="dxa"/>
            <w:vAlign w:val="center"/>
          </w:tcPr>
          <w:p>
            <w:pPr>
              <w:keepNext w:val="0"/>
              <w:keepLines w:val="0"/>
              <w:pageBreakBefore w:val="0"/>
              <w:widowControl/>
              <w:kinsoku/>
              <w:wordWrap/>
              <w:overflowPunct/>
              <w:topLinePunct w:val="0"/>
              <w:bidi w:val="0"/>
              <w:adjustRightInd/>
              <w:snapToGrid/>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根据投标人对用户需求的理解程度</w:t>
            </w:r>
            <w:r>
              <w:rPr>
                <w:rFonts w:hint="eastAsia" w:ascii="宋体" w:hAnsi="宋体" w:eastAsia="宋体" w:cs="宋体"/>
                <w:color w:val="auto"/>
                <w:kern w:val="0"/>
                <w:sz w:val="21"/>
                <w:szCs w:val="21"/>
                <w:highlight w:val="none"/>
                <w:lang w:eastAsia="zh-CN"/>
              </w:rPr>
              <w:t>和设计</w:t>
            </w:r>
            <w:r>
              <w:rPr>
                <w:rFonts w:hint="eastAsia" w:ascii="宋体" w:hAnsi="宋体" w:eastAsia="宋体" w:cs="宋体"/>
                <w:color w:val="auto"/>
                <w:kern w:val="0"/>
                <w:sz w:val="21"/>
                <w:szCs w:val="21"/>
                <w:highlight w:val="none"/>
              </w:rPr>
              <w:t>方案的科学性、先进性、可靠性、成熟性、合理性、完整性和扩展性进行打分。</w:t>
            </w:r>
          </w:p>
          <w:p>
            <w:pPr>
              <w:keepNext w:val="0"/>
              <w:keepLines w:val="0"/>
              <w:pageBreakBefore w:val="0"/>
              <w:widowControl/>
              <w:kinsoku/>
              <w:wordWrap/>
              <w:overflowPunct/>
              <w:topLinePunct w:val="0"/>
              <w:bidi w:val="0"/>
              <w:adjustRightInd/>
              <w:snapToGrid/>
              <w:spacing w:line="24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1、方案内容</w:t>
            </w:r>
            <w:r>
              <w:rPr>
                <w:rFonts w:hint="eastAsia" w:ascii="宋体" w:hAnsi="宋体" w:eastAsia="宋体" w:cs="宋体"/>
                <w:color w:val="auto"/>
                <w:kern w:val="0"/>
                <w:sz w:val="21"/>
                <w:szCs w:val="21"/>
                <w:highlight w:val="none"/>
              </w:rPr>
              <w:t>科学性、先进性、可靠性、成熟性、合理性、完整性和扩展性</w:t>
            </w:r>
            <w:r>
              <w:rPr>
                <w:rFonts w:hint="eastAsia" w:ascii="宋体" w:hAnsi="宋体" w:eastAsia="宋体" w:cs="宋体"/>
                <w:color w:val="auto"/>
                <w:kern w:val="0"/>
                <w:sz w:val="21"/>
                <w:szCs w:val="21"/>
                <w:highlight w:val="none"/>
                <w:lang w:eastAsia="zh-CN"/>
              </w:rPr>
              <w:t>好的得</w:t>
            </w:r>
            <w:r>
              <w:rPr>
                <w:rFonts w:hint="eastAsia" w:ascii="宋体" w:hAnsi="宋体" w:eastAsia="宋体" w:cs="宋体"/>
                <w:color w:val="auto"/>
                <w:kern w:val="0"/>
                <w:sz w:val="21"/>
                <w:szCs w:val="21"/>
                <w:highlight w:val="none"/>
                <w:lang w:val="en-US" w:eastAsia="zh-CN"/>
              </w:rPr>
              <w:t>6.1-8分；</w:t>
            </w:r>
          </w:p>
          <w:p>
            <w:pPr>
              <w:pStyle w:val="24"/>
              <w:keepNext w:val="0"/>
              <w:keepLines w:val="0"/>
              <w:pageBreakBefore w:val="0"/>
              <w:kinsoku/>
              <w:wordWrap/>
              <w:overflowPunct/>
              <w:topLinePunct w:val="0"/>
              <w:bidi w:val="0"/>
              <w:adjustRightInd/>
              <w:snapToGrid/>
              <w:spacing w:after="0" w:line="240" w:lineRule="auto"/>
              <w:ind w:left="0" w:leftChars="0" w:firstLine="0"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2、方案内容</w:t>
            </w:r>
            <w:r>
              <w:rPr>
                <w:rFonts w:hint="eastAsia" w:ascii="宋体" w:hAnsi="宋体" w:eastAsia="宋体" w:cs="宋体"/>
                <w:color w:val="auto"/>
                <w:kern w:val="0"/>
                <w:sz w:val="21"/>
                <w:szCs w:val="21"/>
                <w:highlight w:val="none"/>
              </w:rPr>
              <w:t>科学性、先进性、可靠性、成熟性、合理性、完整性和扩展性</w:t>
            </w:r>
            <w:r>
              <w:rPr>
                <w:rFonts w:hint="eastAsia" w:ascii="宋体" w:hAnsi="宋体" w:eastAsia="宋体" w:cs="宋体"/>
                <w:color w:val="auto"/>
                <w:kern w:val="0"/>
                <w:sz w:val="21"/>
                <w:szCs w:val="21"/>
                <w:highlight w:val="none"/>
                <w:lang w:eastAsia="zh-CN"/>
              </w:rPr>
              <w:t>一般的得</w:t>
            </w:r>
            <w:r>
              <w:rPr>
                <w:rFonts w:hint="eastAsia" w:ascii="宋体" w:hAnsi="宋体" w:eastAsia="宋体" w:cs="宋体"/>
                <w:color w:val="auto"/>
                <w:kern w:val="0"/>
                <w:sz w:val="21"/>
                <w:szCs w:val="21"/>
                <w:highlight w:val="none"/>
                <w:lang w:val="en-US" w:eastAsia="zh-CN"/>
              </w:rPr>
              <w:t>3.1-6分；</w:t>
            </w:r>
          </w:p>
          <w:p>
            <w:pPr>
              <w:keepNext w:val="0"/>
              <w:keepLines w:val="0"/>
              <w:pageBreakBefore w:val="0"/>
              <w:kinsoku/>
              <w:wordWrap/>
              <w:overflowPunct/>
              <w:topLinePunct w:val="0"/>
              <w:bidi w:val="0"/>
              <w:adjustRightInd/>
              <w:snapToGrid/>
              <w:spacing w:line="240" w:lineRule="auto"/>
              <w:rPr>
                <w:rFonts w:hint="eastAsia" w:ascii="宋体" w:hAnsi="宋体" w:eastAsia="宋体" w:cs="宋体"/>
                <w:sz w:val="21"/>
                <w:szCs w:val="21"/>
                <w:lang w:val="en-US" w:eastAsia="zh-CN"/>
              </w:rPr>
            </w:pPr>
            <w:r>
              <w:rPr>
                <w:rFonts w:hint="eastAsia" w:ascii="宋体" w:hAnsi="宋体" w:eastAsia="宋体" w:cs="宋体"/>
                <w:color w:val="auto"/>
                <w:kern w:val="0"/>
                <w:sz w:val="21"/>
                <w:szCs w:val="21"/>
                <w:highlight w:val="none"/>
                <w:lang w:val="en-US" w:eastAsia="zh-CN"/>
              </w:rPr>
              <w:t>3、方案内容</w:t>
            </w:r>
            <w:r>
              <w:rPr>
                <w:rFonts w:hint="eastAsia" w:ascii="宋体" w:hAnsi="宋体" w:eastAsia="宋体" w:cs="宋体"/>
                <w:color w:val="auto"/>
                <w:kern w:val="0"/>
                <w:sz w:val="21"/>
                <w:szCs w:val="21"/>
                <w:highlight w:val="none"/>
              </w:rPr>
              <w:t>科学性、先进性、可靠性、成熟性、合理性、完整性和扩展性</w:t>
            </w:r>
            <w:r>
              <w:rPr>
                <w:rFonts w:hint="eastAsia" w:ascii="宋体" w:hAnsi="宋体" w:eastAsia="宋体" w:cs="宋体"/>
                <w:color w:val="auto"/>
                <w:kern w:val="0"/>
                <w:sz w:val="21"/>
                <w:szCs w:val="21"/>
                <w:highlight w:val="none"/>
                <w:lang w:eastAsia="zh-CN"/>
              </w:rPr>
              <w:t>差的得</w:t>
            </w:r>
            <w:r>
              <w:rPr>
                <w:rFonts w:hint="eastAsia" w:ascii="宋体" w:hAnsi="宋体" w:eastAsia="宋体" w:cs="宋体"/>
                <w:color w:val="auto"/>
                <w:kern w:val="0"/>
                <w:sz w:val="21"/>
                <w:szCs w:val="21"/>
                <w:highlight w:val="none"/>
                <w:lang w:val="en-US" w:eastAsia="zh-CN"/>
              </w:rPr>
              <w:t>0-3分。</w:t>
            </w:r>
          </w:p>
        </w:tc>
        <w:tc>
          <w:tcPr>
            <w:tcW w:w="790" w:type="dxa"/>
            <w:vAlign w:val="center"/>
          </w:tcPr>
          <w:p>
            <w:pPr>
              <w:keepNext w:val="0"/>
              <w:keepLines w:val="0"/>
              <w:pageBreakBefore w:val="0"/>
              <w:widowControl/>
              <w:kinsoku/>
              <w:wordWrap/>
              <w:overflowPunct/>
              <w:topLinePunct w:val="0"/>
              <w:bidi w:val="0"/>
              <w:adjustRightInd/>
              <w:snapToGrid/>
              <w:spacing w:line="240" w:lineRule="auto"/>
              <w:jc w:val="center"/>
              <w:rPr>
                <w:rFonts w:hint="eastAsia" w:ascii="宋体" w:hAnsi="宋体" w:eastAsia="宋体" w:cs="宋体"/>
                <w:b/>
                <w:bCs/>
                <w:sz w:val="21"/>
                <w:szCs w:val="21"/>
                <w:lang w:val="en-US"/>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b w:val="0"/>
                <w:bCs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jc w:val="center"/>
        </w:trPr>
        <w:tc>
          <w:tcPr>
            <w:tcW w:w="807" w:type="dxa"/>
            <w:vMerge w:val="continue"/>
            <w:vAlign w:val="center"/>
          </w:tcPr>
          <w:p>
            <w:pPr>
              <w:keepNext w:val="0"/>
              <w:keepLines w:val="0"/>
              <w:pageBreakBefore w:val="0"/>
              <w:widowControl/>
              <w:kinsoku/>
              <w:wordWrap/>
              <w:overflowPunct/>
              <w:topLinePunct w:val="0"/>
              <w:bidi w:val="0"/>
              <w:adjustRightInd/>
              <w:snapToGrid/>
              <w:spacing w:line="240" w:lineRule="auto"/>
              <w:jc w:val="center"/>
              <w:rPr>
                <w:rFonts w:hint="eastAsia" w:ascii="宋体" w:hAnsi="宋体" w:eastAsia="宋体" w:cs="宋体"/>
                <w:color w:val="auto"/>
                <w:kern w:val="0"/>
                <w:sz w:val="21"/>
                <w:szCs w:val="21"/>
                <w:highlight w:val="none"/>
              </w:rPr>
            </w:pPr>
          </w:p>
        </w:tc>
        <w:tc>
          <w:tcPr>
            <w:tcW w:w="1125" w:type="dxa"/>
            <w:vAlign w:val="center"/>
          </w:tcPr>
          <w:p>
            <w:pPr>
              <w:keepNext w:val="0"/>
              <w:keepLines w:val="0"/>
              <w:pageBreakBefore w:val="0"/>
              <w:widowControl/>
              <w:kinsoku/>
              <w:wordWrap/>
              <w:overflowPunct/>
              <w:topLinePunct w:val="0"/>
              <w:bidi w:val="0"/>
              <w:adjustRightInd/>
              <w:snapToGrid/>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w:t>
            </w:r>
            <w:r>
              <w:rPr>
                <w:rFonts w:hint="eastAsia" w:ascii="宋体" w:hAnsi="宋体" w:eastAsia="宋体" w:cs="宋体"/>
                <w:color w:val="auto"/>
                <w:kern w:val="0"/>
                <w:sz w:val="21"/>
                <w:szCs w:val="21"/>
                <w:highlight w:val="none"/>
                <w:lang w:eastAsia="zh-CN"/>
              </w:rPr>
              <w:t>实施方案</w:t>
            </w:r>
          </w:p>
        </w:tc>
        <w:tc>
          <w:tcPr>
            <w:tcW w:w="6885" w:type="dxa"/>
            <w:vAlign w:val="center"/>
          </w:tcPr>
          <w:p>
            <w:pPr>
              <w:keepNext w:val="0"/>
              <w:keepLines w:val="0"/>
              <w:pageBreakBefore w:val="0"/>
              <w:widowControl/>
              <w:kinsoku/>
              <w:wordWrap/>
              <w:overflowPunct/>
              <w:topLinePunct w:val="0"/>
              <w:bidi w:val="0"/>
              <w:adjustRightInd/>
              <w:snapToGrid/>
              <w:spacing w:line="24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根据</w:t>
            </w:r>
            <w:r>
              <w:rPr>
                <w:rFonts w:hint="eastAsia" w:ascii="宋体" w:hAnsi="宋体" w:eastAsia="宋体" w:cs="宋体"/>
                <w:color w:val="auto"/>
                <w:kern w:val="0"/>
                <w:sz w:val="21"/>
                <w:szCs w:val="21"/>
                <w:highlight w:val="none"/>
              </w:rPr>
              <w:t>投标人组织实施方案的科学性、合理性、规范性和可操作性，包括产品供货、验货、安装调试、测试、调优、维护等内容，以及组织机构、工作时间进度表、工作程序和步骤、管理和协调方法、关键步骤的思路和要点等进行综合打分</w:t>
            </w:r>
            <w:r>
              <w:rPr>
                <w:rFonts w:hint="eastAsia" w:ascii="宋体" w:hAnsi="宋体" w:eastAsia="宋体" w:cs="宋体"/>
                <w:color w:val="auto"/>
                <w:kern w:val="0"/>
                <w:sz w:val="21"/>
                <w:szCs w:val="21"/>
                <w:highlight w:val="none"/>
                <w:lang w:eastAsia="zh-CN"/>
              </w:rPr>
              <w:t>。</w:t>
            </w:r>
          </w:p>
          <w:p>
            <w:pPr>
              <w:pStyle w:val="24"/>
              <w:keepNext w:val="0"/>
              <w:keepLines w:val="0"/>
              <w:pageBreakBefore w:val="0"/>
              <w:kinsoku/>
              <w:wordWrap/>
              <w:overflowPunct/>
              <w:topLinePunct w:val="0"/>
              <w:bidi w:val="0"/>
              <w:adjustRightInd/>
              <w:snapToGrid/>
              <w:spacing w:after="0" w:line="240" w:lineRule="auto"/>
              <w:ind w:left="0" w:leftChars="0" w:firstLine="0"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实施方案</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rPr>
              <w:t>科学性、合理性、规范性和可操作性</w:t>
            </w:r>
            <w:r>
              <w:rPr>
                <w:rFonts w:hint="eastAsia" w:ascii="宋体" w:hAnsi="宋体" w:eastAsia="宋体" w:cs="宋体"/>
                <w:color w:val="auto"/>
                <w:kern w:val="0"/>
                <w:sz w:val="21"/>
                <w:szCs w:val="21"/>
                <w:highlight w:val="none"/>
                <w:lang w:eastAsia="zh-CN"/>
              </w:rPr>
              <w:t>好的得</w:t>
            </w:r>
            <w:r>
              <w:rPr>
                <w:rFonts w:hint="eastAsia" w:ascii="宋体" w:hAnsi="宋体" w:eastAsia="宋体" w:cs="宋体"/>
                <w:color w:val="auto"/>
                <w:kern w:val="0"/>
                <w:sz w:val="21"/>
                <w:szCs w:val="21"/>
                <w:highlight w:val="none"/>
                <w:lang w:val="en-US" w:eastAsia="zh-CN"/>
              </w:rPr>
              <w:t>6.1-8分</w:t>
            </w:r>
          </w:p>
          <w:p>
            <w:pPr>
              <w:keepNext w:val="0"/>
              <w:keepLines w:val="0"/>
              <w:pageBreakBefore w:val="0"/>
              <w:kinsoku/>
              <w:wordWrap/>
              <w:overflowPunct/>
              <w:topLinePunct w:val="0"/>
              <w:bidi w:val="0"/>
              <w:adjustRightInd/>
              <w:snapToGrid/>
              <w:spacing w:line="24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实施方案</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rPr>
              <w:t>科学性、合理性、规范性和可操作性</w:t>
            </w:r>
            <w:r>
              <w:rPr>
                <w:rFonts w:hint="eastAsia" w:ascii="宋体" w:hAnsi="宋体" w:eastAsia="宋体" w:cs="宋体"/>
                <w:color w:val="auto"/>
                <w:kern w:val="0"/>
                <w:sz w:val="21"/>
                <w:szCs w:val="21"/>
                <w:highlight w:val="none"/>
                <w:lang w:eastAsia="zh-CN"/>
              </w:rPr>
              <w:t>一般的得</w:t>
            </w:r>
            <w:r>
              <w:rPr>
                <w:rFonts w:hint="eastAsia" w:ascii="宋体" w:hAnsi="宋体" w:eastAsia="宋体" w:cs="宋体"/>
                <w:color w:val="auto"/>
                <w:kern w:val="0"/>
                <w:sz w:val="21"/>
                <w:szCs w:val="21"/>
                <w:highlight w:val="none"/>
                <w:lang w:val="en-US" w:eastAsia="zh-CN"/>
              </w:rPr>
              <w:t>3.1-6分</w:t>
            </w:r>
          </w:p>
          <w:p>
            <w:pPr>
              <w:pStyle w:val="24"/>
              <w:keepNext w:val="0"/>
              <w:keepLines w:val="0"/>
              <w:pageBreakBefore w:val="0"/>
              <w:kinsoku/>
              <w:wordWrap/>
              <w:overflowPunct/>
              <w:topLinePunct w:val="0"/>
              <w:bidi w:val="0"/>
              <w:adjustRightInd/>
              <w:snapToGrid/>
              <w:spacing w:after="0" w:line="240" w:lineRule="auto"/>
              <w:ind w:left="0" w:leftChars="0" w:firstLine="0" w:firstLineChars="0"/>
              <w:rPr>
                <w:rFonts w:hint="eastAsia" w:ascii="宋体" w:hAnsi="宋体" w:eastAsia="宋体" w:cs="宋体"/>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实施方案</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rPr>
              <w:t>科学性、合理性、规范性和可操作性</w:t>
            </w:r>
            <w:r>
              <w:rPr>
                <w:rFonts w:hint="eastAsia" w:ascii="宋体" w:hAnsi="宋体" w:eastAsia="宋体" w:cs="宋体"/>
                <w:color w:val="auto"/>
                <w:kern w:val="0"/>
                <w:sz w:val="21"/>
                <w:szCs w:val="21"/>
                <w:highlight w:val="none"/>
                <w:lang w:eastAsia="zh-CN"/>
              </w:rPr>
              <w:t>差的得</w:t>
            </w:r>
            <w:r>
              <w:rPr>
                <w:rFonts w:hint="eastAsia" w:ascii="宋体" w:hAnsi="宋体" w:eastAsia="宋体" w:cs="宋体"/>
                <w:color w:val="auto"/>
                <w:kern w:val="0"/>
                <w:sz w:val="21"/>
                <w:szCs w:val="21"/>
                <w:highlight w:val="none"/>
                <w:lang w:val="en-US" w:eastAsia="zh-CN"/>
              </w:rPr>
              <w:t>0-3分</w:t>
            </w:r>
          </w:p>
        </w:tc>
        <w:tc>
          <w:tcPr>
            <w:tcW w:w="790" w:type="dxa"/>
            <w:vAlign w:val="center"/>
          </w:tcPr>
          <w:p>
            <w:pPr>
              <w:keepNext w:val="0"/>
              <w:keepLines w:val="0"/>
              <w:pageBreakBefore w:val="0"/>
              <w:widowControl/>
              <w:kinsoku/>
              <w:wordWrap/>
              <w:overflowPunct/>
              <w:topLinePunct w:val="0"/>
              <w:bidi w:val="0"/>
              <w:adjustRightInd/>
              <w:snapToGrid/>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b w:val="0"/>
                <w:bCs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807" w:type="dxa"/>
            <w:vMerge w:val="continue"/>
            <w:vAlign w:val="center"/>
          </w:tcPr>
          <w:p>
            <w:pPr>
              <w:keepNext w:val="0"/>
              <w:keepLines w:val="0"/>
              <w:pageBreakBefore w:val="0"/>
              <w:widowControl/>
              <w:kinsoku/>
              <w:wordWrap/>
              <w:overflowPunct/>
              <w:topLinePunct w:val="0"/>
              <w:bidi w:val="0"/>
              <w:adjustRightInd/>
              <w:snapToGrid/>
              <w:spacing w:line="240" w:lineRule="auto"/>
              <w:ind w:left="0" w:leftChars="0" w:firstLine="0" w:firstLineChars="0"/>
              <w:jc w:val="center"/>
              <w:rPr>
                <w:rFonts w:hint="eastAsia" w:ascii="宋体" w:hAnsi="宋体" w:eastAsia="宋体" w:cs="宋体"/>
                <w:kern w:val="0"/>
                <w:sz w:val="21"/>
                <w:szCs w:val="21"/>
                <w:highlight w:val="none"/>
              </w:rPr>
            </w:pPr>
          </w:p>
        </w:tc>
        <w:tc>
          <w:tcPr>
            <w:tcW w:w="1125" w:type="dxa"/>
            <w:vAlign w:val="center"/>
          </w:tcPr>
          <w:p>
            <w:pPr>
              <w:keepNext w:val="0"/>
              <w:keepLines w:val="0"/>
              <w:pageBreakBefore w:val="0"/>
              <w:widowControl/>
              <w:kinsoku/>
              <w:wordWrap/>
              <w:overflowPunct/>
              <w:topLinePunct w:val="0"/>
              <w:bidi w:val="0"/>
              <w:adjustRightInd/>
              <w:snapToGrid/>
              <w:spacing w:line="24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kern w:val="0"/>
                <w:sz w:val="21"/>
                <w:szCs w:val="21"/>
                <w:highlight w:val="none"/>
              </w:rPr>
              <w:t>质量保证措施</w:t>
            </w:r>
          </w:p>
        </w:tc>
        <w:tc>
          <w:tcPr>
            <w:tcW w:w="6885" w:type="dxa"/>
            <w:vAlign w:val="center"/>
          </w:tcPr>
          <w:p>
            <w:pPr>
              <w:pStyle w:val="11"/>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根据投标人针对本项目的质量保证措施方案</w:t>
            </w:r>
            <w:r>
              <w:rPr>
                <w:rFonts w:hint="eastAsia" w:ascii="宋体" w:hAnsi="宋体" w:cs="宋体"/>
                <w:color w:val="auto"/>
                <w:kern w:val="2"/>
                <w:sz w:val="21"/>
                <w:szCs w:val="21"/>
                <w:highlight w:val="none"/>
                <w:lang w:val="en-US" w:eastAsia="zh-CN"/>
              </w:rPr>
              <w:t>（含偏离情况）</w:t>
            </w:r>
            <w:r>
              <w:rPr>
                <w:rFonts w:hint="eastAsia" w:ascii="宋体" w:hAnsi="宋体" w:eastAsia="宋体" w:cs="宋体"/>
                <w:color w:val="auto"/>
                <w:kern w:val="2"/>
                <w:sz w:val="21"/>
                <w:szCs w:val="21"/>
                <w:highlight w:val="none"/>
                <w:lang w:val="en-US" w:eastAsia="zh-CN"/>
              </w:rPr>
              <w:t>进行打分：</w:t>
            </w:r>
          </w:p>
          <w:p>
            <w:pPr>
              <w:pStyle w:val="11"/>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rPr>
              <w:t>质量保证措施方案</w:t>
            </w:r>
            <w:r>
              <w:rPr>
                <w:rFonts w:hint="eastAsia" w:ascii="宋体" w:hAnsi="宋体" w:eastAsia="宋体" w:cs="宋体"/>
                <w:color w:val="auto"/>
                <w:kern w:val="2"/>
                <w:sz w:val="21"/>
                <w:szCs w:val="21"/>
                <w:highlight w:val="none"/>
                <w:lang w:val="en-US" w:eastAsia="zh-CN" w:bidi="ar-SA"/>
              </w:rPr>
              <w:t>内容清晰、完整、合理的得4.1-6分；</w:t>
            </w:r>
          </w:p>
          <w:p>
            <w:pPr>
              <w:pStyle w:val="11"/>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line="240" w:lineRule="auto"/>
              <w:ind w:left="0" w:leftChars="0" w:right="-164" w:rightChars="-78"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rPr>
              <w:t>质量保证措施方案</w:t>
            </w:r>
            <w:r>
              <w:rPr>
                <w:rFonts w:hint="eastAsia" w:ascii="宋体" w:hAnsi="宋体" w:eastAsia="宋体" w:cs="宋体"/>
                <w:color w:val="auto"/>
                <w:kern w:val="2"/>
                <w:sz w:val="21"/>
                <w:szCs w:val="21"/>
                <w:highlight w:val="none"/>
                <w:lang w:val="en-US" w:eastAsia="zh-CN" w:bidi="ar-SA"/>
              </w:rPr>
              <w:t>内容一般，基本满足项目实际需求的得2.1-4分；</w:t>
            </w:r>
          </w:p>
          <w:p>
            <w:pPr>
              <w:keepNext w:val="0"/>
              <w:keepLines w:val="0"/>
              <w:pageBreakBefore w:val="0"/>
              <w:widowControl/>
              <w:kinsoku/>
              <w:wordWrap/>
              <w:overflowPunct/>
              <w:topLinePunct w:val="0"/>
              <w:bidi w:val="0"/>
              <w:adjustRightInd/>
              <w:snapToGrid/>
              <w:spacing w:line="240" w:lineRule="auto"/>
              <w:ind w:left="0" w:leftChars="0" w:firstLine="0" w:firstLineChars="0"/>
              <w:rPr>
                <w:rFonts w:hint="eastAsia" w:ascii="宋体" w:hAnsi="宋体" w:eastAsia="宋体" w:cs="宋体"/>
                <w:b/>
                <w:bCs/>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rPr>
              <w:t>质量保证措施方案</w:t>
            </w:r>
            <w:r>
              <w:rPr>
                <w:rFonts w:hint="eastAsia" w:ascii="宋体" w:hAnsi="宋体" w:eastAsia="宋体" w:cs="宋体"/>
                <w:color w:val="auto"/>
                <w:kern w:val="2"/>
                <w:sz w:val="21"/>
                <w:szCs w:val="21"/>
                <w:highlight w:val="none"/>
                <w:lang w:val="en-US" w:eastAsia="zh-CN" w:bidi="ar-SA"/>
              </w:rPr>
              <w:t>内容简陋、缺失的得0-2分。</w:t>
            </w:r>
          </w:p>
        </w:tc>
        <w:tc>
          <w:tcPr>
            <w:tcW w:w="790" w:type="dxa"/>
            <w:vAlign w:val="center"/>
          </w:tcPr>
          <w:p>
            <w:pPr>
              <w:keepNext w:val="0"/>
              <w:keepLines w:val="0"/>
              <w:pageBreakBefore w:val="0"/>
              <w:widowControl/>
              <w:kinsoku/>
              <w:wordWrap/>
              <w:overflowPunct/>
              <w:topLinePunct w:val="0"/>
              <w:bidi w:val="0"/>
              <w:adjustRightInd/>
              <w:snapToGrid/>
              <w:spacing w:line="240" w:lineRule="auto"/>
              <w:ind w:left="0" w:leftChars="0" w:firstLine="0" w:firstLineChars="0"/>
              <w:jc w:val="center"/>
              <w:rPr>
                <w:rFonts w:hint="eastAsia" w:ascii="宋体" w:hAnsi="宋体" w:eastAsia="宋体" w:cs="宋体"/>
                <w:b/>
                <w:bCs/>
                <w:sz w:val="21"/>
                <w:szCs w:val="21"/>
                <w:lang w:eastAsia="zh-CN"/>
              </w:rPr>
            </w:pPr>
            <w:r>
              <w:rPr>
                <w:rFonts w:hint="eastAsia" w:ascii="宋体" w:hAnsi="宋体" w:eastAsia="宋体" w:cs="宋体"/>
                <w:kern w:val="0"/>
                <w:sz w:val="21"/>
                <w:szCs w:val="21"/>
                <w:highlight w:val="none"/>
                <w:lang w:val="en-US" w:eastAsia="zh-CN"/>
              </w:rPr>
              <w:t>6</w:t>
            </w:r>
            <w:r>
              <w:rPr>
                <w:rFonts w:hint="eastAsia" w:ascii="宋体" w:hAnsi="宋体" w:eastAsia="宋体" w:cs="宋体"/>
                <w:b w:val="0"/>
                <w:bCs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807" w:type="dxa"/>
            <w:vMerge w:val="continue"/>
            <w:vAlign w:val="center"/>
          </w:tcPr>
          <w:p>
            <w:pPr>
              <w:keepNext w:val="0"/>
              <w:keepLines w:val="0"/>
              <w:pageBreakBefore w:val="0"/>
              <w:widowControl/>
              <w:kinsoku/>
              <w:wordWrap/>
              <w:overflowPunct/>
              <w:topLinePunct w:val="0"/>
              <w:bidi w:val="0"/>
              <w:adjustRightInd/>
              <w:snapToGrid/>
              <w:spacing w:line="240" w:lineRule="auto"/>
              <w:jc w:val="center"/>
              <w:rPr>
                <w:rFonts w:hint="eastAsia" w:ascii="宋体" w:hAnsi="宋体" w:eastAsia="宋体" w:cs="宋体"/>
                <w:color w:val="auto"/>
                <w:kern w:val="0"/>
                <w:sz w:val="21"/>
                <w:szCs w:val="21"/>
                <w:highlight w:val="none"/>
              </w:rPr>
            </w:pPr>
          </w:p>
        </w:tc>
        <w:tc>
          <w:tcPr>
            <w:tcW w:w="1125" w:type="dxa"/>
            <w:vAlign w:val="center"/>
          </w:tcPr>
          <w:p>
            <w:pPr>
              <w:keepNext w:val="0"/>
              <w:keepLines w:val="0"/>
              <w:pageBreakBefore w:val="0"/>
              <w:widowControl/>
              <w:kinsoku/>
              <w:wordWrap/>
              <w:overflowPunct/>
              <w:topLinePunct w:val="0"/>
              <w:bidi w:val="0"/>
              <w:adjustRightInd/>
              <w:snapToGrid/>
              <w:spacing w:line="24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应急响应措施</w:t>
            </w:r>
          </w:p>
        </w:tc>
        <w:tc>
          <w:tcPr>
            <w:tcW w:w="6885"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根据</w:t>
            </w:r>
            <w:r>
              <w:rPr>
                <w:rFonts w:hint="eastAsia" w:ascii="宋体" w:hAnsi="宋体" w:eastAsia="宋体" w:cs="宋体"/>
                <w:color w:val="auto"/>
                <w:kern w:val="0"/>
                <w:sz w:val="21"/>
                <w:szCs w:val="21"/>
                <w:highlight w:val="none"/>
              </w:rPr>
              <w:t>投标人是否建立完善的应急响应方案，故障处理流程、应急响应预案</w:t>
            </w:r>
            <w:r>
              <w:rPr>
                <w:rFonts w:hint="eastAsia" w:ascii="宋体" w:hAnsi="宋体" w:eastAsia="宋体" w:cs="宋体"/>
                <w:color w:val="auto"/>
                <w:kern w:val="0"/>
                <w:sz w:val="21"/>
                <w:szCs w:val="21"/>
                <w:highlight w:val="none"/>
                <w:lang w:eastAsia="zh-CN"/>
              </w:rPr>
              <w:t>等</w:t>
            </w:r>
            <w:r>
              <w:rPr>
                <w:rFonts w:hint="eastAsia" w:ascii="宋体" w:hAnsi="宋体" w:eastAsia="宋体" w:cs="宋体"/>
                <w:color w:val="auto"/>
                <w:kern w:val="0"/>
                <w:sz w:val="21"/>
                <w:szCs w:val="21"/>
                <w:highlight w:val="none"/>
              </w:rPr>
              <w:t>应急响应</w:t>
            </w:r>
            <w:r>
              <w:rPr>
                <w:rFonts w:hint="eastAsia" w:ascii="宋体" w:hAnsi="宋体" w:eastAsia="宋体" w:cs="宋体"/>
                <w:color w:val="auto"/>
                <w:kern w:val="0"/>
                <w:sz w:val="21"/>
                <w:szCs w:val="21"/>
                <w:highlight w:val="none"/>
                <w:lang w:eastAsia="zh-CN"/>
              </w:rPr>
              <w:t>措施进行综合打分</w:t>
            </w:r>
            <w:r>
              <w:rPr>
                <w:rFonts w:hint="eastAsia" w:ascii="宋体" w:hAnsi="宋体" w:eastAsia="宋体" w:cs="宋体"/>
                <w:color w:val="auto"/>
                <w:kern w:val="0"/>
                <w:sz w:val="21"/>
                <w:szCs w:val="21"/>
                <w:highlight w:val="none"/>
              </w:rPr>
              <w:t>。</w:t>
            </w:r>
          </w:p>
          <w:p>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应急响应</w:t>
            </w:r>
            <w:r>
              <w:rPr>
                <w:rFonts w:hint="eastAsia" w:ascii="宋体" w:hAnsi="宋体" w:eastAsia="宋体" w:cs="宋体"/>
                <w:color w:val="auto"/>
                <w:kern w:val="0"/>
                <w:sz w:val="21"/>
                <w:szCs w:val="21"/>
                <w:highlight w:val="none"/>
                <w:lang w:eastAsia="zh-CN"/>
              </w:rPr>
              <w:t>措施完善、合理、科学的得</w:t>
            </w:r>
            <w:r>
              <w:rPr>
                <w:rFonts w:hint="eastAsia" w:ascii="宋体" w:hAnsi="宋体" w:eastAsia="宋体" w:cs="宋体"/>
                <w:color w:val="auto"/>
                <w:kern w:val="0"/>
                <w:sz w:val="21"/>
                <w:szCs w:val="21"/>
                <w:highlight w:val="none"/>
                <w:lang w:val="en-US" w:eastAsia="zh-CN"/>
              </w:rPr>
              <w:t>4.1-6分；</w:t>
            </w:r>
          </w:p>
          <w:p>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应急响应</w:t>
            </w:r>
            <w:r>
              <w:rPr>
                <w:rFonts w:hint="eastAsia" w:ascii="宋体" w:hAnsi="宋体" w:eastAsia="宋体" w:cs="宋体"/>
                <w:color w:val="auto"/>
                <w:kern w:val="0"/>
                <w:sz w:val="21"/>
                <w:szCs w:val="21"/>
                <w:highlight w:val="none"/>
                <w:lang w:eastAsia="zh-CN"/>
              </w:rPr>
              <w:t>措施完善、合理、科学的得</w:t>
            </w:r>
            <w:r>
              <w:rPr>
                <w:rFonts w:hint="eastAsia" w:ascii="宋体" w:hAnsi="宋体" w:eastAsia="宋体" w:cs="宋体"/>
                <w:color w:val="auto"/>
                <w:kern w:val="0"/>
                <w:sz w:val="21"/>
                <w:szCs w:val="21"/>
                <w:highlight w:val="none"/>
                <w:lang w:val="en-US" w:eastAsia="zh-CN"/>
              </w:rPr>
              <w:t>2.1-4分；</w:t>
            </w:r>
          </w:p>
          <w:p>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应急响应</w:t>
            </w:r>
            <w:r>
              <w:rPr>
                <w:rFonts w:hint="eastAsia" w:ascii="宋体" w:hAnsi="宋体" w:eastAsia="宋体" w:cs="宋体"/>
                <w:color w:val="auto"/>
                <w:kern w:val="0"/>
                <w:sz w:val="21"/>
                <w:szCs w:val="21"/>
                <w:highlight w:val="none"/>
                <w:lang w:eastAsia="zh-CN"/>
              </w:rPr>
              <w:t>措施完善、合理、科学的得</w:t>
            </w:r>
            <w:r>
              <w:rPr>
                <w:rFonts w:hint="eastAsia" w:ascii="宋体" w:hAnsi="宋体" w:eastAsia="宋体" w:cs="宋体"/>
                <w:color w:val="auto"/>
                <w:kern w:val="0"/>
                <w:sz w:val="21"/>
                <w:szCs w:val="21"/>
                <w:highlight w:val="none"/>
                <w:lang w:val="en-US" w:eastAsia="zh-CN"/>
              </w:rPr>
              <w:t>0-2分。</w:t>
            </w:r>
          </w:p>
        </w:tc>
        <w:tc>
          <w:tcPr>
            <w:tcW w:w="790" w:type="dxa"/>
            <w:vAlign w:val="center"/>
          </w:tcPr>
          <w:p>
            <w:pPr>
              <w:keepNext w:val="0"/>
              <w:keepLines w:val="0"/>
              <w:pageBreakBefore w:val="0"/>
              <w:widowControl/>
              <w:kinsoku/>
              <w:wordWrap/>
              <w:overflowPunct/>
              <w:topLinePunct w:val="0"/>
              <w:bidi w:val="0"/>
              <w:adjustRightInd/>
              <w:snapToGrid/>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b w:val="0"/>
                <w:bCs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atLeast"/>
          <w:jc w:val="center"/>
        </w:trPr>
        <w:tc>
          <w:tcPr>
            <w:tcW w:w="807" w:type="dxa"/>
            <w:vMerge w:val="continue"/>
            <w:vAlign w:val="center"/>
          </w:tcPr>
          <w:p>
            <w:pPr>
              <w:keepNext w:val="0"/>
              <w:keepLines w:val="0"/>
              <w:pageBreakBefore w:val="0"/>
              <w:widowControl/>
              <w:kinsoku/>
              <w:wordWrap/>
              <w:overflowPunct/>
              <w:topLinePunct w:val="0"/>
              <w:bidi w:val="0"/>
              <w:adjustRightInd/>
              <w:snapToGrid/>
              <w:spacing w:line="240" w:lineRule="auto"/>
              <w:ind w:left="0" w:leftChars="0" w:firstLine="0" w:firstLineChars="0"/>
              <w:jc w:val="center"/>
              <w:rPr>
                <w:rFonts w:hint="eastAsia" w:ascii="宋体" w:hAnsi="宋体" w:eastAsia="宋体" w:cs="宋体"/>
                <w:kern w:val="0"/>
                <w:sz w:val="21"/>
                <w:szCs w:val="21"/>
                <w:highlight w:val="none"/>
              </w:rPr>
            </w:pPr>
          </w:p>
        </w:tc>
        <w:tc>
          <w:tcPr>
            <w:tcW w:w="1125" w:type="dxa"/>
            <w:vAlign w:val="center"/>
          </w:tcPr>
          <w:p>
            <w:pPr>
              <w:keepNext w:val="0"/>
              <w:keepLines w:val="0"/>
              <w:pageBreakBefore w:val="0"/>
              <w:widowControl/>
              <w:kinsoku/>
              <w:wordWrap/>
              <w:overflowPunct/>
              <w:topLinePunct w:val="0"/>
              <w:bidi w:val="0"/>
              <w:adjustRightInd/>
              <w:snapToGrid/>
              <w:spacing w:line="240" w:lineRule="auto"/>
              <w:ind w:left="0" w:leftChars="0"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kern w:val="0"/>
                <w:sz w:val="21"/>
                <w:szCs w:val="21"/>
                <w:highlight w:val="none"/>
              </w:rPr>
              <w:t>安装调试与验收</w:t>
            </w:r>
          </w:p>
        </w:tc>
        <w:tc>
          <w:tcPr>
            <w:tcW w:w="6885" w:type="dxa"/>
            <w:vAlign w:val="center"/>
          </w:tcPr>
          <w:p>
            <w:pPr>
              <w:keepNext w:val="0"/>
              <w:keepLines w:val="0"/>
              <w:pageBreakBefore w:val="0"/>
              <w:widowControl/>
              <w:kinsoku/>
              <w:wordWrap/>
              <w:overflowPunct/>
              <w:topLinePunct w:val="0"/>
              <w:bidi w:val="0"/>
              <w:adjustRightInd/>
              <w:snapToGrid/>
              <w:spacing w:line="240" w:lineRule="auto"/>
              <w:ind w:left="0" w:leftChars="0"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根据投标人提供的安装调试及验收方案，对项目现场情况是否充分认识和考虑，是否有利于项目实施等情况进行综合打分。</w:t>
            </w:r>
          </w:p>
          <w:p>
            <w:pPr>
              <w:pStyle w:val="2"/>
              <w:keepNext w:val="0"/>
              <w:keepLines w:val="0"/>
              <w:pageBreakBefore w:val="0"/>
              <w:kinsoku/>
              <w:wordWrap/>
              <w:overflowPunct/>
              <w:topLinePunct w:val="0"/>
              <w:bidi w:val="0"/>
              <w:adjustRightInd/>
              <w:snapToGrid/>
              <w:spacing w:line="240" w:lineRule="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方案</w:t>
            </w:r>
          </w:p>
          <w:p>
            <w:pPr>
              <w:keepNext w:val="0"/>
              <w:keepLines w:val="0"/>
              <w:pageBreakBefore w:val="0"/>
              <w:kinsoku/>
              <w:wordWrap/>
              <w:overflowPunct/>
              <w:topLinePunct w:val="0"/>
              <w:bidi w:val="0"/>
              <w:adjustRightInd/>
              <w:snapToGrid/>
              <w:spacing w:line="240" w:lineRule="auto"/>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内容</w:t>
            </w:r>
            <w:r>
              <w:rPr>
                <w:rFonts w:hint="eastAsia" w:ascii="宋体" w:hAnsi="宋体" w:eastAsia="宋体" w:cs="宋体"/>
                <w:sz w:val="21"/>
                <w:szCs w:val="21"/>
              </w:rPr>
              <w:t>完整</w:t>
            </w:r>
            <w:r>
              <w:rPr>
                <w:rFonts w:hint="eastAsia" w:ascii="宋体" w:hAnsi="宋体" w:eastAsia="宋体" w:cs="宋体"/>
                <w:sz w:val="21"/>
                <w:szCs w:val="21"/>
                <w:lang w:eastAsia="zh-CN"/>
              </w:rPr>
              <w:t>、</w:t>
            </w:r>
            <w:r>
              <w:rPr>
                <w:rFonts w:hint="eastAsia" w:ascii="宋体" w:hAnsi="宋体" w:eastAsia="宋体" w:cs="宋体"/>
                <w:sz w:val="21"/>
                <w:szCs w:val="21"/>
              </w:rPr>
              <w:t>清晰</w:t>
            </w:r>
            <w:r>
              <w:rPr>
                <w:rFonts w:hint="eastAsia" w:ascii="宋体" w:hAnsi="宋体" w:eastAsia="宋体" w:cs="宋体"/>
                <w:sz w:val="21"/>
                <w:szCs w:val="21"/>
                <w:lang w:eastAsia="zh-CN"/>
              </w:rPr>
              <w:t>，合理、</w:t>
            </w:r>
            <w:r>
              <w:rPr>
                <w:rFonts w:hint="eastAsia" w:ascii="宋体" w:hAnsi="宋体" w:eastAsia="宋体" w:cs="宋体"/>
                <w:sz w:val="21"/>
                <w:szCs w:val="21"/>
              </w:rPr>
              <w:t>可行的得</w:t>
            </w:r>
            <w:r>
              <w:rPr>
                <w:rFonts w:hint="eastAsia" w:ascii="宋体" w:hAnsi="宋体" w:eastAsia="宋体" w:cs="宋体"/>
                <w:sz w:val="21"/>
                <w:szCs w:val="21"/>
                <w:lang w:val="en-US" w:eastAsia="zh-CN"/>
              </w:rPr>
              <w:t>6.1-</w:t>
            </w:r>
            <w:r>
              <w:rPr>
                <w:rFonts w:hint="eastAsia" w:ascii="宋体" w:hAnsi="宋体" w:cs="宋体"/>
                <w:sz w:val="21"/>
                <w:szCs w:val="21"/>
                <w:lang w:val="en-US" w:eastAsia="zh-CN"/>
              </w:rPr>
              <w:t>9</w:t>
            </w:r>
            <w:r>
              <w:rPr>
                <w:rFonts w:hint="eastAsia" w:ascii="宋体" w:hAnsi="宋体" w:eastAsia="宋体" w:cs="宋体"/>
                <w:sz w:val="21"/>
                <w:szCs w:val="21"/>
              </w:rPr>
              <w:t>分；</w:t>
            </w:r>
          </w:p>
          <w:p>
            <w:pPr>
              <w:keepNext w:val="0"/>
              <w:keepLines w:val="0"/>
              <w:pageBreakBefore w:val="0"/>
              <w:kinsoku/>
              <w:wordWrap/>
              <w:overflowPunct/>
              <w:topLinePunct w:val="0"/>
              <w:bidi w:val="0"/>
              <w:adjustRightInd/>
              <w:snapToGrid/>
              <w:spacing w:line="240" w:lineRule="auto"/>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内容基本</w:t>
            </w:r>
            <w:r>
              <w:rPr>
                <w:rFonts w:hint="eastAsia" w:ascii="宋体" w:hAnsi="宋体" w:eastAsia="宋体" w:cs="宋体"/>
                <w:sz w:val="21"/>
                <w:szCs w:val="21"/>
              </w:rPr>
              <w:t>完整</w:t>
            </w:r>
            <w:r>
              <w:rPr>
                <w:rFonts w:hint="eastAsia" w:ascii="宋体" w:hAnsi="宋体" w:eastAsia="宋体" w:cs="宋体"/>
                <w:sz w:val="21"/>
                <w:szCs w:val="21"/>
                <w:lang w:eastAsia="zh-CN"/>
              </w:rPr>
              <w:t>、</w:t>
            </w:r>
            <w:r>
              <w:rPr>
                <w:rFonts w:hint="eastAsia" w:ascii="宋体" w:hAnsi="宋体" w:eastAsia="宋体" w:cs="宋体"/>
                <w:sz w:val="21"/>
                <w:szCs w:val="21"/>
              </w:rPr>
              <w:t>清晰</w:t>
            </w:r>
            <w:r>
              <w:rPr>
                <w:rFonts w:hint="eastAsia" w:ascii="宋体" w:hAnsi="宋体" w:eastAsia="宋体" w:cs="宋体"/>
                <w:sz w:val="21"/>
                <w:szCs w:val="21"/>
                <w:lang w:eastAsia="zh-CN"/>
              </w:rPr>
              <w:t>，基本合理、</w:t>
            </w:r>
            <w:r>
              <w:rPr>
                <w:rFonts w:hint="eastAsia" w:ascii="宋体" w:hAnsi="宋体" w:eastAsia="宋体" w:cs="宋体"/>
                <w:sz w:val="21"/>
                <w:szCs w:val="21"/>
              </w:rPr>
              <w:t>可行的得</w:t>
            </w:r>
            <w:r>
              <w:rPr>
                <w:rFonts w:hint="eastAsia" w:ascii="宋体" w:hAnsi="宋体" w:eastAsia="宋体" w:cs="宋体"/>
                <w:sz w:val="21"/>
                <w:szCs w:val="21"/>
                <w:lang w:val="en-US" w:eastAsia="zh-CN"/>
              </w:rPr>
              <w:t>3.1-6</w:t>
            </w:r>
            <w:r>
              <w:rPr>
                <w:rFonts w:hint="eastAsia" w:ascii="宋体" w:hAnsi="宋体" w:eastAsia="宋体" w:cs="宋体"/>
                <w:sz w:val="21"/>
                <w:szCs w:val="21"/>
              </w:rPr>
              <w:t>分；</w:t>
            </w:r>
          </w:p>
          <w:p>
            <w:pPr>
              <w:keepNext w:val="0"/>
              <w:keepLines w:val="0"/>
              <w:pageBreakBefore w:val="0"/>
              <w:kinsoku/>
              <w:wordWrap/>
              <w:overflowPunct/>
              <w:topLinePunct w:val="0"/>
              <w:bidi w:val="0"/>
              <w:adjustRightInd/>
              <w:snapToGrid/>
              <w:spacing w:line="240" w:lineRule="auto"/>
              <w:textAlignment w:val="baseline"/>
              <w:rPr>
                <w:rFonts w:hint="eastAsia" w:ascii="宋体" w:hAnsi="宋体" w:eastAsia="宋体" w:cs="宋体"/>
                <w:kern w:val="0"/>
                <w:sz w:val="21"/>
                <w:szCs w:val="21"/>
                <w:highlight w:val="none"/>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内容不够完整，阐述模糊，不够合理的</w:t>
            </w:r>
            <w:r>
              <w:rPr>
                <w:rFonts w:hint="eastAsia" w:ascii="宋体" w:hAnsi="宋体" w:eastAsia="宋体" w:cs="宋体"/>
                <w:sz w:val="21"/>
                <w:szCs w:val="21"/>
              </w:rPr>
              <w:t>得</w:t>
            </w:r>
            <w:r>
              <w:rPr>
                <w:rFonts w:hint="eastAsia" w:ascii="宋体" w:hAnsi="宋体" w:eastAsia="宋体" w:cs="宋体"/>
                <w:sz w:val="21"/>
                <w:szCs w:val="21"/>
                <w:lang w:val="en-US" w:eastAsia="zh-CN"/>
              </w:rPr>
              <w:t>0-3</w:t>
            </w:r>
            <w:r>
              <w:rPr>
                <w:rFonts w:hint="eastAsia" w:ascii="宋体" w:hAnsi="宋体" w:eastAsia="宋体" w:cs="宋体"/>
                <w:sz w:val="21"/>
                <w:szCs w:val="21"/>
              </w:rPr>
              <w:t>分</w:t>
            </w:r>
            <w:r>
              <w:rPr>
                <w:rFonts w:hint="eastAsia" w:ascii="宋体" w:hAnsi="宋体" w:eastAsia="宋体" w:cs="宋体"/>
                <w:sz w:val="21"/>
                <w:szCs w:val="21"/>
                <w:lang w:eastAsia="zh-CN"/>
              </w:rPr>
              <w:t>。</w:t>
            </w:r>
          </w:p>
        </w:tc>
        <w:tc>
          <w:tcPr>
            <w:tcW w:w="790" w:type="dxa"/>
            <w:vAlign w:val="center"/>
          </w:tcPr>
          <w:p>
            <w:pPr>
              <w:keepNext w:val="0"/>
              <w:keepLines w:val="0"/>
              <w:pageBreakBefore w:val="0"/>
              <w:widowControl/>
              <w:kinsoku/>
              <w:wordWrap/>
              <w:overflowPunct/>
              <w:topLinePunct w:val="0"/>
              <w:bidi w:val="0"/>
              <w:adjustRightInd/>
              <w:snapToGrid/>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b w:val="0"/>
                <w:bCs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jc w:val="center"/>
        </w:trPr>
        <w:tc>
          <w:tcPr>
            <w:tcW w:w="807" w:type="dxa"/>
            <w:vMerge w:val="continue"/>
            <w:vAlign w:val="center"/>
          </w:tcPr>
          <w:p>
            <w:pPr>
              <w:keepNext w:val="0"/>
              <w:keepLines w:val="0"/>
              <w:pageBreakBefore w:val="0"/>
              <w:widowControl/>
              <w:kinsoku/>
              <w:wordWrap/>
              <w:overflowPunct/>
              <w:topLinePunct w:val="0"/>
              <w:bidi w:val="0"/>
              <w:adjustRightInd/>
              <w:snapToGrid/>
              <w:spacing w:line="240" w:lineRule="auto"/>
              <w:ind w:left="0" w:leftChars="0" w:firstLine="0" w:firstLineChars="0"/>
              <w:jc w:val="center"/>
              <w:rPr>
                <w:rFonts w:hint="eastAsia" w:ascii="宋体" w:hAnsi="宋体" w:eastAsia="宋体" w:cs="宋体"/>
                <w:kern w:val="0"/>
                <w:sz w:val="21"/>
                <w:szCs w:val="21"/>
                <w:highlight w:val="none"/>
              </w:rPr>
            </w:pPr>
          </w:p>
        </w:tc>
        <w:tc>
          <w:tcPr>
            <w:tcW w:w="1125" w:type="dxa"/>
            <w:vAlign w:val="center"/>
          </w:tcPr>
          <w:p>
            <w:pPr>
              <w:keepNext w:val="0"/>
              <w:keepLines w:val="0"/>
              <w:pageBreakBefore w:val="0"/>
              <w:widowControl/>
              <w:kinsoku/>
              <w:wordWrap/>
              <w:overflowPunct/>
              <w:topLinePunct w:val="0"/>
              <w:bidi w:val="0"/>
              <w:adjustRightInd/>
              <w:snapToGrid/>
              <w:spacing w:line="240" w:lineRule="auto"/>
              <w:ind w:left="0" w:leftChars="0" w:firstLine="0" w:firstLineChars="0"/>
              <w:jc w:val="center"/>
              <w:rPr>
                <w:rFonts w:hint="eastAsia" w:ascii="宋体" w:hAnsi="宋体" w:eastAsia="宋体" w:cs="宋体"/>
                <w:kern w:val="0"/>
                <w:sz w:val="21"/>
                <w:szCs w:val="21"/>
                <w:highlight w:val="none"/>
              </w:rPr>
            </w:pPr>
            <w:r>
              <w:rPr>
                <w:rFonts w:hint="eastAsia" w:ascii="宋体" w:hAnsi="宋体" w:eastAsia="宋体" w:cs="宋体"/>
                <w:spacing w:val="11"/>
                <w:sz w:val="21"/>
                <w:szCs w:val="21"/>
              </w:rPr>
              <w:t>运维方案</w:t>
            </w:r>
          </w:p>
        </w:tc>
        <w:tc>
          <w:tcPr>
            <w:tcW w:w="6885" w:type="dxa"/>
            <w:vAlign w:val="center"/>
          </w:tcPr>
          <w:p>
            <w:pPr>
              <w:pStyle w:val="82"/>
              <w:keepNext w:val="0"/>
              <w:keepLines w:val="0"/>
              <w:pageBreakBefore w:val="0"/>
              <w:kinsoku/>
              <w:wordWrap/>
              <w:overflowPunct/>
              <w:topLinePunct w:val="0"/>
              <w:bidi w:val="0"/>
              <w:adjustRightInd/>
              <w:snapToGrid/>
              <w:spacing w:line="240" w:lineRule="auto"/>
              <w:jc w:val="both"/>
              <w:rPr>
                <w:rFonts w:hint="eastAsia" w:ascii="宋体" w:hAnsi="宋体" w:eastAsia="宋体" w:cs="宋体"/>
                <w:kern w:val="2"/>
                <w:sz w:val="21"/>
                <w:szCs w:val="21"/>
              </w:rPr>
            </w:pPr>
            <w:r>
              <w:rPr>
                <w:rFonts w:hint="eastAsia" w:ascii="宋体" w:hAnsi="宋体" w:eastAsia="宋体" w:cs="宋体"/>
                <w:kern w:val="2"/>
                <w:sz w:val="21"/>
                <w:szCs w:val="21"/>
              </w:rPr>
              <w:t>根据投标人的</w:t>
            </w:r>
            <w:r>
              <w:rPr>
                <w:rFonts w:hint="eastAsia" w:ascii="宋体" w:hAnsi="宋体" w:eastAsia="宋体" w:cs="宋体"/>
                <w:spacing w:val="11"/>
                <w:sz w:val="21"/>
                <w:szCs w:val="21"/>
              </w:rPr>
              <w:t>运维</w:t>
            </w:r>
            <w:r>
              <w:rPr>
                <w:rFonts w:hint="eastAsia" w:ascii="宋体" w:hAnsi="宋体" w:eastAsia="宋体" w:cs="宋体"/>
                <w:kern w:val="2"/>
                <w:sz w:val="21"/>
                <w:szCs w:val="21"/>
              </w:rPr>
              <w:t>方案进行综合评分</w:t>
            </w:r>
          </w:p>
          <w:p>
            <w:pPr>
              <w:pStyle w:val="82"/>
              <w:keepNext w:val="0"/>
              <w:keepLines w:val="0"/>
              <w:pageBreakBefore w:val="0"/>
              <w:kinsoku/>
              <w:wordWrap/>
              <w:overflowPunct/>
              <w:topLinePunct w:val="0"/>
              <w:bidi w:val="0"/>
              <w:adjustRightInd/>
              <w:snapToGrid/>
              <w:spacing w:line="240" w:lineRule="auto"/>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1、</w:t>
            </w:r>
            <w:r>
              <w:rPr>
                <w:rFonts w:hint="eastAsia" w:ascii="宋体" w:hAnsi="宋体" w:eastAsia="宋体" w:cs="宋体"/>
                <w:kern w:val="2"/>
                <w:sz w:val="21"/>
                <w:szCs w:val="21"/>
              </w:rPr>
              <w:t>对</w:t>
            </w:r>
            <w:r>
              <w:rPr>
                <w:rFonts w:hint="eastAsia" w:ascii="宋体" w:hAnsi="宋体" w:eastAsia="宋体" w:cs="宋体"/>
                <w:spacing w:val="11"/>
                <w:sz w:val="21"/>
                <w:szCs w:val="21"/>
              </w:rPr>
              <w:t>运维</w:t>
            </w:r>
            <w:r>
              <w:rPr>
                <w:rFonts w:hint="eastAsia" w:ascii="宋体" w:hAnsi="宋体" w:eastAsia="宋体" w:cs="宋体"/>
                <w:kern w:val="2"/>
                <w:sz w:val="21"/>
                <w:szCs w:val="21"/>
              </w:rPr>
              <w:t>重点部位、重点内容阐述正确、具体，维修、更换时间迅速，且有切实可行措施的得</w:t>
            </w:r>
            <w:r>
              <w:rPr>
                <w:rFonts w:hint="eastAsia" w:ascii="宋体" w:hAnsi="宋体" w:eastAsia="宋体" w:cs="宋体"/>
                <w:kern w:val="2"/>
                <w:sz w:val="21"/>
                <w:szCs w:val="21"/>
                <w:lang w:val="en-US" w:eastAsia="zh-CN"/>
              </w:rPr>
              <w:t>6.1-8</w:t>
            </w:r>
            <w:r>
              <w:rPr>
                <w:rFonts w:hint="eastAsia" w:ascii="宋体" w:hAnsi="宋体" w:eastAsia="宋体" w:cs="宋体"/>
                <w:kern w:val="2"/>
                <w:sz w:val="21"/>
                <w:szCs w:val="21"/>
              </w:rPr>
              <w:t>分；</w:t>
            </w:r>
          </w:p>
          <w:p>
            <w:pPr>
              <w:pStyle w:val="82"/>
              <w:keepNext w:val="0"/>
              <w:keepLines w:val="0"/>
              <w:pageBreakBefore w:val="0"/>
              <w:kinsoku/>
              <w:wordWrap/>
              <w:overflowPunct/>
              <w:topLinePunct w:val="0"/>
              <w:bidi w:val="0"/>
              <w:adjustRightInd/>
              <w:snapToGrid/>
              <w:spacing w:line="240" w:lineRule="auto"/>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2、</w:t>
            </w:r>
            <w:r>
              <w:rPr>
                <w:rFonts w:hint="eastAsia" w:ascii="宋体" w:hAnsi="宋体" w:eastAsia="宋体" w:cs="宋体"/>
                <w:kern w:val="2"/>
                <w:sz w:val="21"/>
                <w:szCs w:val="21"/>
              </w:rPr>
              <w:t>对</w:t>
            </w:r>
            <w:r>
              <w:rPr>
                <w:rFonts w:hint="eastAsia" w:ascii="宋体" w:hAnsi="宋体" w:eastAsia="宋体" w:cs="宋体"/>
                <w:spacing w:val="11"/>
                <w:sz w:val="21"/>
                <w:szCs w:val="21"/>
              </w:rPr>
              <w:t>运维</w:t>
            </w:r>
            <w:r>
              <w:rPr>
                <w:rFonts w:hint="eastAsia" w:ascii="宋体" w:hAnsi="宋体" w:eastAsia="宋体" w:cs="宋体"/>
                <w:kern w:val="2"/>
                <w:sz w:val="21"/>
                <w:szCs w:val="21"/>
              </w:rPr>
              <w:t>重点部位、重点内容阐述</w:t>
            </w:r>
            <w:r>
              <w:rPr>
                <w:rFonts w:hint="eastAsia" w:ascii="宋体" w:hAnsi="宋体" w:eastAsia="宋体" w:cs="宋体"/>
                <w:kern w:val="2"/>
                <w:sz w:val="21"/>
                <w:szCs w:val="21"/>
                <w:lang w:eastAsia="zh-CN"/>
              </w:rPr>
              <w:t>较为</w:t>
            </w:r>
            <w:r>
              <w:rPr>
                <w:rFonts w:hint="eastAsia" w:ascii="宋体" w:hAnsi="宋体" w:eastAsia="宋体" w:cs="宋体"/>
                <w:kern w:val="2"/>
                <w:sz w:val="21"/>
                <w:szCs w:val="21"/>
              </w:rPr>
              <w:t>正确、具体，维修、更换时间</w:t>
            </w:r>
            <w:r>
              <w:rPr>
                <w:rFonts w:hint="eastAsia" w:ascii="宋体" w:hAnsi="宋体" w:eastAsia="宋体" w:cs="宋体"/>
                <w:kern w:val="2"/>
                <w:sz w:val="21"/>
                <w:szCs w:val="21"/>
                <w:lang w:eastAsia="zh-CN"/>
              </w:rPr>
              <w:t>较为</w:t>
            </w:r>
            <w:r>
              <w:rPr>
                <w:rFonts w:hint="eastAsia" w:ascii="宋体" w:hAnsi="宋体" w:eastAsia="宋体" w:cs="宋体"/>
                <w:kern w:val="2"/>
                <w:sz w:val="21"/>
                <w:szCs w:val="21"/>
              </w:rPr>
              <w:t>迅速，且有切实可行措施的得</w:t>
            </w:r>
            <w:r>
              <w:rPr>
                <w:rFonts w:hint="eastAsia" w:ascii="宋体" w:hAnsi="宋体" w:eastAsia="宋体" w:cs="宋体"/>
                <w:kern w:val="2"/>
                <w:sz w:val="21"/>
                <w:szCs w:val="21"/>
                <w:lang w:val="en-US" w:eastAsia="zh-CN"/>
              </w:rPr>
              <w:t>3.1-6</w:t>
            </w:r>
            <w:r>
              <w:rPr>
                <w:rFonts w:hint="eastAsia" w:ascii="宋体" w:hAnsi="宋体" w:eastAsia="宋体" w:cs="宋体"/>
                <w:kern w:val="2"/>
                <w:sz w:val="21"/>
                <w:szCs w:val="21"/>
              </w:rPr>
              <w:t>分</w:t>
            </w:r>
          </w:p>
          <w:p>
            <w:pPr>
              <w:pStyle w:val="2"/>
              <w:keepNext w:val="0"/>
              <w:keepLines w:val="0"/>
              <w:pageBreakBefore w:val="0"/>
              <w:kinsoku/>
              <w:wordWrap/>
              <w:overflowPunct/>
              <w:topLinePunct w:val="0"/>
              <w:bidi w:val="0"/>
              <w:adjustRightInd/>
              <w:snapToGrid/>
              <w:spacing w:line="240" w:lineRule="auto"/>
              <w:rPr>
                <w:rFonts w:hint="eastAsia" w:ascii="宋体" w:hAnsi="宋体" w:eastAsia="宋体" w:cs="宋体"/>
                <w:kern w:val="0"/>
                <w:sz w:val="21"/>
                <w:szCs w:val="21"/>
                <w:highlight w:val="none"/>
              </w:rPr>
            </w:pPr>
            <w:r>
              <w:rPr>
                <w:rFonts w:hint="eastAsia" w:ascii="宋体" w:hAnsi="宋体" w:eastAsia="宋体" w:cs="宋体"/>
                <w:kern w:val="2"/>
                <w:sz w:val="21"/>
                <w:szCs w:val="21"/>
                <w:lang w:val="en-US" w:eastAsia="zh-CN"/>
              </w:rPr>
              <w:t>3、</w:t>
            </w:r>
            <w:r>
              <w:rPr>
                <w:rFonts w:hint="eastAsia" w:ascii="宋体" w:hAnsi="宋体" w:eastAsia="宋体" w:cs="宋体"/>
                <w:kern w:val="2"/>
                <w:sz w:val="21"/>
                <w:szCs w:val="21"/>
              </w:rPr>
              <w:t>对</w:t>
            </w:r>
            <w:r>
              <w:rPr>
                <w:rFonts w:hint="eastAsia" w:ascii="宋体" w:hAnsi="宋体" w:eastAsia="宋体" w:cs="宋体"/>
                <w:spacing w:val="11"/>
                <w:sz w:val="21"/>
                <w:szCs w:val="21"/>
              </w:rPr>
              <w:t>运维</w:t>
            </w:r>
            <w:r>
              <w:rPr>
                <w:rFonts w:hint="eastAsia" w:ascii="宋体" w:hAnsi="宋体" w:eastAsia="宋体" w:cs="宋体"/>
                <w:kern w:val="2"/>
                <w:sz w:val="21"/>
                <w:szCs w:val="21"/>
              </w:rPr>
              <w:t>重点部位、重点内容阐述有缺陷，维修、更换时间尚可，但无切实可行措施的得</w:t>
            </w:r>
            <w:r>
              <w:rPr>
                <w:rFonts w:hint="eastAsia" w:ascii="宋体" w:hAnsi="宋体" w:eastAsia="宋体" w:cs="宋体"/>
                <w:kern w:val="2"/>
                <w:sz w:val="21"/>
                <w:szCs w:val="21"/>
                <w:lang w:val="en-US" w:eastAsia="zh-CN"/>
              </w:rPr>
              <w:t>0-3</w:t>
            </w:r>
            <w:r>
              <w:rPr>
                <w:rFonts w:hint="eastAsia" w:ascii="宋体" w:hAnsi="宋体" w:eastAsia="宋体" w:cs="宋体"/>
                <w:kern w:val="2"/>
                <w:sz w:val="21"/>
                <w:szCs w:val="21"/>
              </w:rPr>
              <w:t>分。</w:t>
            </w:r>
          </w:p>
        </w:tc>
        <w:tc>
          <w:tcPr>
            <w:tcW w:w="790" w:type="dxa"/>
            <w:vAlign w:val="center"/>
          </w:tcPr>
          <w:p>
            <w:pPr>
              <w:keepNext w:val="0"/>
              <w:keepLines w:val="0"/>
              <w:pageBreakBefore w:val="0"/>
              <w:widowControl/>
              <w:kinsoku/>
              <w:wordWrap/>
              <w:overflowPunct/>
              <w:topLinePunct w:val="0"/>
              <w:bidi w:val="0"/>
              <w:adjustRightInd/>
              <w:snapToGrid/>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b w:val="0"/>
                <w:bCs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807" w:type="dxa"/>
            <w:vMerge w:val="continue"/>
            <w:vAlign w:val="center"/>
          </w:tcPr>
          <w:p>
            <w:pPr>
              <w:keepNext w:val="0"/>
              <w:keepLines w:val="0"/>
              <w:pageBreakBefore w:val="0"/>
              <w:widowControl/>
              <w:kinsoku/>
              <w:wordWrap/>
              <w:overflowPunct/>
              <w:topLinePunct w:val="0"/>
              <w:bidi w:val="0"/>
              <w:adjustRightInd/>
              <w:snapToGrid/>
              <w:spacing w:line="240" w:lineRule="auto"/>
              <w:ind w:left="0" w:leftChars="0" w:firstLine="0" w:firstLineChars="0"/>
              <w:jc w:val="left"/>
              <w:rPr>
                <w:rFonts w:hint="eastAsia" w:ascii="宋体" w:hAnsi="宋体" w:eastAsia="宋体" w:cs="宋体"/>
                <w:kern w:val="0"/>
                <w:sz w:val="21"/>
                <w:szCs w:val="21"/>
                <w:highlight w:val="none"/>
              </w:rPr>
            </w:pPr>
          </w:p>
        </w:tc>
        <w:tc>
          <w:tcPr>
            <w:tcW w:w="1125" w:type="dxa"/>
            <w:vAlign w:val="center"/>
          </w:tcPr>
          <w:p>
            <w:pPr>
              <w:keepNext w:val="0"/>
              <w:keepLines w:val="0"/>
              <w:pageBreakBefore w:val="0"/>
              <w:widowControl/>
              <w:kinsoku/>
              <w:wordWrap/>
              <w:overflowPunct/>
              <w:topLinePunct w:val="0"/>
              <w:bidi w:val="0"/>
              <w:adjustRightInd/>
              <w:snapToGrid/>
              <w:spacing w:line="240" w:lineRule="auto"/>
              <w:ind w:left="0" w:leftChars="0"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eastAsia="宋体" w:cs="宋体"/>
                <w:kern w:val="0"/>
                <w:sz w:val="21"/>
                <w:szCs w:val="21"/>
                <w:highlight w:val="none"/>
              </w:rPr>
              <w:t>培训方案</w:t>
            </w:r>
          </w:p>
        </w:tc>
        <w:tc>
          <w:tcPr>
            <w:tcW w:w="6885" w:type="dxa"/>
            <w:vAlign w:val="center"/>
          </w:tcPr>
          <w:p>
            <w:pPr>
              <w:keepNext w:val="0"/>
              <w:keepLines w:val="0"/>
              <w:pageBreakBefore w:val="0"/>
              <w:widowControl/>
              <w:kinsoku/>
              <w:wordWrap/>
              <w:overflowPunct/>
              <w:topLinePunct w:val="0"/>
              <w:bidi w:val="0"/>
              <w:adjustRightInd/>
              <w:snapToGrid/>
              <w:spacing w:line="240" w:lineRule="auto"/>
              <w:ind w:left="0" w:leftChars="0" w:firstLine="0" w:firstLineChars="0"/>
              <w:rPr>
                <w:rFonts w:hint="eastAsia" w:ascii="宋体" w:hAnsi="宋体" w:eastAsia="宋体" w:cs="宋体"/>
                <w:color w:val="auto"/>
                <w:kern w:val="0"/>
                <w:sz w:val="21"/>
                <w:szCs w:val="21"/>
                <w:highlight w:val="none"/>
              </w:rPr>
            </w:pPr>
            <w:r>
              <w:rPr>
                <w:rFonts w:hint="eastAsia" w:ascii="宋体" w:hAnsi="宋体" w:eastAsia="宋体" w:cs="宋体"/>
                <w:kern w:val="0"/>
                <w:sz w:val="21"/>
                <w:szCs w:val="21"/>
                <w:highlight w:val="none"/>
              </w:rPr>
              <w:t>根据投标人提出</w:t>
            </w:r>
            <w:r>
              <w:rPr>
                <w:rFonts w:hint="eastAsia" w:ascii="宋体" w:hAnsi="宋体" w:eastAsia="宋体" w:cs="宋体"/>
                <w:kern w:val="0"/>
                <w:sz w:val="21"/>
                <w:szCs w:val="21"/>
                <w:highlight w:val="none"/>
                <w:lang w:eastAsia="zh-CN"/>
              </w:rPr>
              <w:t>的</w:t>
            </w:r>
            <w:r>
              <w:rPr>
                <w:rFonts w:hint="eastAsia" w:ascii="宋体" w:hAnsi="宋体" w:eastAsia="宋体" w:cs="宋体"/>
                <w:kern w:val="0"/>
                <w:sz w:val="21"/>
                <w:szCs w:val="21"/>
                <w:highlight w:val="none"/>
              </w:rPr>
              <w:t>培训计划、地点、组织、人员配备、软硬件资料等</w:t>
            </w:r>
            <w:r>
              <w:rPr>
                <w:rFonts w:hint="eastAsia" w:ascii="宋体" w:hAnsi="宋体" w:eastAsia="宋体" w:cs="宋体"/>
                <w:kern w:val="0"/>
                <w:sz w:val="21"/>
                <w:szCs w:val="21"/>
                <w:highlight w:val="none"/>
                <w:lang w:eastAsia="zh-CN"/>
              </w:rPr>
              <w:t>方案</w:t>
            </w:r>
            <w:r>
              <w:rPr>
                <w:rFonts w:hint="eastAsia" w:ascii="宋体" w:hAnsi="宋体" w:eastAsia="宋体" w:cs="宋体"/>
                <w:kern w:val="0"/>
                <w:sz w:val="21"/>
                <w:szCs w:val="21"/>
                <w:highlight w:val="none"/>
              </w:rPr>
              <w:t>内容是否完整、</w:t>
            </w:r>
            <w:r>
              <w:rPr>
                <w:rFonts w:hint="eastAsia" w:ascii="宋体" w:hAnsi="宋体" w:eastAsia="宋体" w:cs="宋体"/>
                <w:color w:val="auto"/>
                <w:kern w:val="0"/>
                <w:sz w:val="21"/>
                <w:szCs w:val="21"/>
                <w:highlight w:val="none"/>
              </w:rPr>
              <w:t>科学合理综合打分。</w:t>
            </w:r>
          </w:p>
          <w:p>
            <w:pPr>
              <w:pStyle w:val="2"/>
              <w:keepNext w:val="0"/>
              <w:keepLines w:val="0"/>
              <w:pageBreakBefore w:val="0"/>
              <w:kinsoku/>
              <w:wordWrap/>
              <w:overflowPunct/>
              <w:topLinePunct w:val="0"/>
              <w:bidi w:val="0"/>
              <w:adjustRightInd/>
              <w:snapToGrid/>
              <w:spacing w:line="24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方案内容完整、科学的得</w:t>
            </w:r>
            <w:r>
              <w:rPr>
                <w:rFonts w:hint="eastAsia" w:ascii="宋体" w:hAnsi="宋体" w:eastAsia="宋体" w:cs="宋体"/>
                <w:color w:val="auto"/>
                <w:kern w:val="0"/>
                <w:sz w:val="21"/>
                <w:szCs w:val="21"/>
                <w:highlight w:val="none"/>
                <w:lang w:val="en-US" w:eastAsia="zh-CN"/>
              </w:rPr>
              <w:t>2.1-3分；</w:t>
            </w:r>
          </w:p>
          <w:p>
            <w:pPr>
              <w:pStyle w:val="2"/>
              <w:keepNext w:val="0"/>
              <w:keepLines w:val="0"/>
              <w:pageBreakBefore w:val="0"/>
              <w:kinsoku/>
              <w:wordWrap/>
              <w:overflowPunct/>
              <w:topLinePunct w:val="0"/>
              <w:bidi w:val="0"/>
              <w:adjustRightInd/>
              <w:snapToGrid/>
              <w:spacing w:line="24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方案内容完整、科学的得</w:t>
            </w:r>
            <w:r>
              <w:rPr>
                <w:rFonts w:hint="eastAsia" w:ascii="宋体" w:hAnsi="宋体" w:eastAsia="宋体" w:cs="宋体"/>
                <w:color w:val="auto"/>
                <w:kern w:val="0"/>
                <w:sz w:val="21"/>
                <w:szCs w:val="21"/>
                <w:highlight w:val="none"/>
                <w:lang w:val="en-US" w:eastAsia="zh-CN"/>
              </w:rPr>
              <w:t>1.1-2分；</w:t>
            </w:r>
          </w:p>
          <w:p>
            <w:pPr>
              <w:pStyle w:val="2"/>
              <w:keepNext w:val="0"/>
              <w:keepLines w:val="0"/>
              <w:pageBreakBefore w:val="0"/>
              <w:kinsoku/>
              <w:wordWrap/>
              <w:overflowPunct/>
              <w:topLinePunct w:val="0"/>
              <w:bidi w:val="0"/>
              <w:adjustRightInd/>
              <w:snapToGrid/>
              <w:spacing w:line="240" w:lineRule="auto"/>
              <w:rPr>
                <w:rFonts w:hint="eastAsia" w:ascii="宋体" w:hAnsi="宋体" w:eastAsia="宋体" w:cs="宋体"/>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方案内容完整、科学的得</w:t>
            </w:r>
            <w:r>
              <w:rPr>
                <w:rFonts w:hint="eastAsia" w:ascii="宋体" w:hAnsi="宋体" w:eastAsia="宋体" w:cs="宋体"/>
                <w:color w:val="auto"/>
                <w:kern w:val="0"/>
                <w:sz w:val="21"/>
                <w:szCs w:val="21"/>
                <w:highlight w:val="none"/>
                <w:lang w:val="en-US" w:eastAsia="zh-CN"/>
              </w:rPr>
              <w:t>0-1分。</w:t>
            </w:r>
          </w:p>
        </w:tc>
        <w:tc>
          <w:tcPr>
            <w:tcW w:w="790" w:type="dxa"/>
            <w:vAlign w:val="center"/>
          </w:tcPr>
          <w:p>
            <w:pPr>
              <w:keepNext w:val="0"/>
              <w:keepLines w:val="0"/>
              <w:pageBreakBefore w:val="0"/>
              <w:widowControl/>
              <w:kinsoku/>
              <w:wordWrap/>
              <w:overflowPunct/>
              <w:topLinePunct w:val="0"/>
              <w:bidi w:val="0"/>
              <w:adjustRightInd/>
              <w:snapToGrid/>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kern w:val="0"/>
                <w:sz w:val="21"/>
                <w:szCs w:val="21"/>
                <w:highlight w:val="none"/>
                <w:lang w:val="en-US" w:eastAsia="zh-CN"/>
              </w:rPr>
              <w:t>3</w:t>
            </w:r>
            <w:r>
              <w:rPr>
                <w:rFonts w:hint="eastAsia" w:ascii="宋体" w:hAnsi="宋体" w:eastAsia="宋体" w:cs="宋体"/>
                <w:b w:val="0"/>
                <w:bCs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807" w:type="dxa"/>
            <w:vMerge w:val="continue"/>
            <w:vAlign w:val="center"/>
          </w:tcPr>
          <w:p>
            <w:pPr>
              <w:keepNext w:val="0"/>
              <w:keepLines w:val="0"/>
              <w:pageBreakBefore w:val="0"/>
              <w:widowControl/>
              <w:kinsoku/>
              <w:wordWrap/>
              <w:overflowPunct/>
              <w:topLinePunct w:val="0"/>
              <w:bidi w:val="0"/>
              <w:adjustRightInd/>
              <w:snapToGrid/>
              <w:spacing w:line="240" w:lineRule="auto"/>
              <w:ind w:left="0" w:leftChars="0" w:firstLine="0" w:firstLineChars="0"/>
              <w:jc w:val="left"/>
              <w:rPr>
                <w:rFonts w:hint="eastAsia" w:ascii="宋体" w:hAnsi="宋体" w:eastAsia="宋体" w:cs="宋体"/>
                <w:kern w:val="0"/>
                <w:sz w:val="21"/>
                <w:szCs w:val="21"/>
                <w:highlight w:val="none"/>
              </w:rPr>
            </w:pPr>
          </w:p>
        </w:tc>
        <w:tc>
          <w:tcPr>
            <w:tcW w:w="1125" w:type="dxa"/>
            <w:vAlign w:val="center"/>
          </w:tcPr>
          <w:p>
            <w:pPr>
              <w:keepNext w:val="0"/>
              <w:keepLines w:val="0"/>
              <w:pageBreakBefore w:val="0"/>
              <w:widowControl/>
              <w:kinsoku/>
              <w:wordWrap/>
              <w:overflowPunct/>
              <w:topLinePunct w:val="0"/>
              <w:bidi w:val="0"/>
              <w:adjustRightInd/>
              <w:snapToGrid/>
              <w:spacing w:line="240" w:lineRule="auto"/>
              <w:ind w:left="0" w:leftChars="0" w:firstLine="0" w:firstLineChars="0"/>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售后服务</w:t>
            </w:r>
            <w:r>
              <w:rPr>
                <w:rFonts w:hint="eastAsia" w:ascii="宋体" w:hAnsi="宋体" w:eastAsia="宋体" w:cs="宋体"/>
                <w:kern w:val="0"/>
                <w:sz w:val="21"/>
                <w:szCs w:val="21"/>
                <w:highlight w:val="none"/>
                <w:lang w:eastAsia="zh-CN"/>
              </w:rPr>
              <w:t>承诺</w:t>
            </w:r>
          </w:p>
        </w:tc>
        <w:tc>
          <w:tcPr>
            <w:tcW w:w="6885" w:type="dxa"/>
            <w:vAlign w:val="center"/>
          </w:tcPr>
          <w:p>
            <w:pPr>
              <w:pStyle w:val="2"/>
              <w:keepNext w:val="0"/>
              <w:keepLines w:val="0"/>
              <w:pageBreakBefore w:val="0"/>
              <w:kinsoku/>
              <w:wordWrap/>
              <w:overflowPunct/>
              <w:topLinePunct w:val="0"/>
              <w:bidi w:val="0"/>
              <w:adjustRightInd/>
              <w:snapToGrid/>
              <w:spacing w:line="240" w:lineRule="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根据投标人</w:t>
            </w:r>
            <w:r>
              <w:rPr>
                <w:rFonts w:hint="eastAsia" w:ascii="宋体" w:hAnsi="宋体" w:eastAsia="宋体" w:cs="宋体"/>
                <w:kern w:val="0"/>
                <w:sz w:val="21"/>
                <w:szCs w:val="21"/>
                <w:highlight w:val="none"/>
                <w:lang w:eastAsia="zh-CN"/>
              </w:rPr>
              <w:t>的售后服务承诺，包括</w:t>
            </w:r>
            <w:r>
              <w:rPr>
                <w:rFonts w:hint="eastAsia" w:ascii="宋体" w:hAnsi="宋体" w:eastAsia="宋体" w:cs="宋体"/>
                <w:kern w:val="0"/>
                <w:sz w:val="21"/>
                <w:szCs w:val="21"/>
                <w:highlight w:val="none"/>
              </w:rPr>
              <w:t>响应及时性、到达现场的时间、项目运维期间配合服务</w:t>
            </w:r>
            <w:r>
              <w:rPr>
                <w:rFonts w:hint="eastAsia" w:ascii="宋体" w:hAnsi="宋体" w:eastAsia="宋体" w:cs="宋体"/>
                <w:kern w:val="0"/>
                <w:sz w:val="21"/>
                <w:szCs w:val="21"/>
                <w:highlight w:val="none"/>
                <w:lang w:eastAsia="zh-CN"/>
              </w:rPr>
              <w:t>程度</w:t>
            </w:r>
            <w:r>
              <w:rPr>
                <w:rFonts w:hint="eastAsia" w:ascii="宋体" w:hAnsi="宋体" w:eastAsia="宋体" w:cs="宋体"/>
                <w:kern w:val="0"/>
                <w:sz w:val="21"/>
                <w:szCs w:val="21"/>
                <w:highlight w:val="none"/>
              </w:rPr>
              <w:t>、人员</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设备</w:t>
            </w:r>
            <w:r>
              <w:rPr>
                <w:rFonts w:hint="eastAsia" w:ascii="宋体" w:hAnsi="宋体" w:eastAsia="宋体" w:cs="宋体"/>
                <w:kern w:val="0"/>
                <w:sz w:val="21"/>
                <w:szCs w:val="21"/>
                <w:highlight w:val="none"/>
                <w:lang w:eastAsia="zh-CN"/>
              </w:rPr>
              <w:t>及备品备件</w:t>
            </w:r>
            <w:r>
              <w:rPr>
                <w:rFonts w:hint="eastAsia" w:ascii="宋体" w:hAnsi="宋体" w:eastAsia="宋体" w:cs="宋体"/>
                <w:kern w:val="0"/>
                <w:sz w:val="21"/>
                <w:szCs w:val="21"/>
                <w:highlight w:val="none"/>
              </w:rPr>
              <w:t>等方面进行</w:t>
            </w:r>
            <w:r>
              <w:rPr>
                <w:rFonts w:hint="eastAsia" w:ascii="宋体" w:hAnsi="宋体" w:eastAsia="宋体" w:cs="宋体"/>
                <w:kern w:val="0"/>
                <w:sz w:val="21"/>
                <w:szCs w:val="21"/>
                <w:highlight w:val="none"/>
                <w:lang w:eastAsia="zh-CN"/>
              </w:rPr>
              <w:t>综合打分。</w:t>
            </w:r>
          </w:p>
          <w:p>
            <w:pPr>
              <w:pStyle w:val="2"/>
              <w:keepNext w:val="0"/>
              <w:keepLines w:val="0"/>
              <w:pageBreakBefore w:val="0"/>
              <w:kinsoku/>
              <w:wordWrap/>
              <w:overflowPunct/>
              <w:topLinePunct w:val="0"/>
              <w:bidi w:val="0"/>
              <w:adjustRightInd/>
              <w:snapToGrid/>
              <w:spacing w:line="240" w:lineRule="auto"/>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1、承诺响应及时、到达时间短、</w:t>
            </w:r>
            <w:r>
              <w:rPr>
                <w:rFonts w:hint="eastAsia" w:ascii="宋体" w:hAnsi="宋体" w:eastAsia="宋体" w:cs="宋体"/>
                <w:kern w:val="0"/>
                <w:sz w:val="21"/>
                <w:szCs w:val="21"/>
                <w:highlight w:val="none"/>
              </w:rPr>
              <w:t>运维期间</w:t>
            </w:r>
            <w:r>
              <w:rPr>
                <w:rFonts w:hint="eastAsia" w:ascii="宋体" w:hAnsi="宋体" w:eastAsia="宋体" w:cs="宋体"/>
                <w:kern w:val="0"/>
                <w:sz w:val="21"/>
                <w:szCs w:val="21"/>
                <w:highlight w:val="none"/>
                <w:lang w:eastAsia="zh-CN"/>
              </w:rPr>
              <w:t>积极</w:t>
            </w:r>
            <w:r>
              <w:rPr>
                <w:rFonts w:hint="eastAsia" w:ascii="宋体" w:hAnsi="宋体" w:eastAsia="宋体" w:cs="宋体"/>
                <w:kern w:val="0"/>
                <w:sz w:val="21"/>
                <w:szCs w:val="21"/>
                <w:highlight w:val="none"/>
              </w:rPr>
              <w:t>配合</w:t>
            </w:r>
            <w:r>
              <w:rPr>
                <w:rFonts w:hint="eastAsia" w:ascii="宋体" w:hAnsi="宋体" w:eastAsia="宋体" w:cs="宋体"/>
                <w:kern w:val="0"/>
                <w:sz w:val="21"/>
                <w:szCs w:val="21"/>
                <w:highlight w:val="none"/>
                <w:lang w:eastAsia="zh-CN"/>
              </w:rPr>
              <w:t>，人员及备品备件充足的得</w:t>
            </w:r>
            <w:r>
              <w:rPr>
                <w:rFonts w:hint="eastAsia" w:ascii="宋体" w:hAnsi="宋体" w:eastAsia="宋体" w:cs="宋体"/>
                <w:kern w:val="0"/>
                <w:sz w:val="21"/>
                <w:szCs w:val="21"/>
                <w:highlight w:val="none"/>
                <w:lang w:val="en-US" w:eastAsia="zh-CN"/>
              </w:rPr>
              <w:t>2.1-3分；</w:t>
            </w:r>
          </w:p>
          <w:p>
            <w:pPr>
              <w:pStyle w:val="2"/>
              <w:keepNext w:val="0"/>
              <w:keepLines w:val="0"/>
              <w:pageBreakBefore w:val="0"/>
              <w:kinsoku/>
              <w:wordWrap/>
              <w:overflowPunct/>
              <w:topLinePunct w:val="0"/>
              <w:bidi w:val="0"/>
              <w:adjustRightInd/>
              <w:snapToGrid/>
              <w:spacing w:line="240" w:lineRule="auto"/>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2、承诺响应比较及时、到达时间较短、</w:t>
            </w:r>
            <w:r>
              <w:rPr>
                <w:rFonts w:hint="eastAsia" w:ascii="宋体" w:hAnsi="宋体" w:eastAsia="宋体" w:cs="宋体"/>
                <w:kern w:val="0"/>
                <w:sz w:val="21"/>
                <w:szCs w:val="21"/>
                <w:highlight w:val="none"/>
              </w:rPr>
              <w:t>运维期间</w:t>
            </w:r>
            <w:r>
              <w:rPr>
                <w:rFonts w:hint="eastAsia" w:ascii="宋体" w:hAnsi="宋体" w:eastAsia="宋体" w:cs="宋体"/>
                <w:kern w:val="0"/>
                <w:sz w:val="21"/>
                <w:szCs w:val="21"/>
                <w:highlight w:val="none"/>
                <w:lang w:eastAsia="zh-CN"/>
              </w:rPr>
              <w:t>较为积极</w:t>
            </w:r>
            <w:r>
              <w:rPr>
                <w:rFonts w:hint="eastAsia" w:ascii="宋体" w:hAnsi="宋体" w:eastAsia="宋体" w:cs="宋体"/>
                <w:kern w:val="0"/>
                <w:sz w:val="21"/>
                <w:szCs w:val="21"/>
                <w:highlight w:val="none"/>
              </w:rPr>
              <w:t>配合</w:t>
            </w:r>
            <w:r>
              <w:rPr>
                <w:rFonts w:hint="eastAsia" w:ascii="宋体" w:hAnsi="宋体" w:eastAsia="宋体" w:cs="宋体"/>
                <w:kern w:val="0"/>
                <w:sz w:val="21"/>
                <w:szCs w:val="21"/>
                <w:highlight w:val="none"/>
                <w:lang w:eastAsia="zh-CN"/>
              </w:rPr>
              <w:t>，人员及备品备件较为充足的得</w:t>
            </w:r>
            <w:r>
              <w:rPr>
                <w:rFonts w:hint="eastAsia" w:ascii="宋体" w:hAnsi="宋体" w:eastAsia="宋体" w:cs="宋体"/>
                <w:kern w:val="0"/>
                <w:sz w:val="21"/>
                <w:szCs w:val="21"/>
                <w:highlight w:val="none"/>
                <w:lang w:val="en-US" w:eastAsia="zh-CN"/>
              </w:rPr>
              <w:t>1.1-2分；</w:t>
            </w:r>
          </w:p>
          <w:p>
            <w:pPr>
              <w:pStyle w:val="2"/>
              <w:keepNext w:val="0"/>
              <w:keepLines w:val="0"/>
              <w:pageBreakBefore w:val="0"/>
              <w:kinsoku/>
              <w:wordWrap/>
              <w:overflowPunct/>
              <w:topLinePunct w:val="0"/>
              <w:bidi w:val="0"/>
              <w:adjustRightInd/>
              <w:snapToGrid/>
              <w:spacing w:line="240" w:lineRule="auto"/>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3、承诺响应时间、到达时间长、</w:t>
            </w:r>
            <w:r>
              <w:rPr>
                <w:rFonts w:hint="eastAsia" w:ascii="宋体" w:hAnsi="宋体" w:eastAsia="宋体" w:cs="宋体"/>
                <w:kern w:val="0"/>
                <w:sz w:val="21"/>
                <w:szCs w:val="21"/>
                <w:highlight w:val="none"/>
              </w:rPr>
              <w:t>运维期间配合</w:t>
            </w:r>
            <w:r>
              <w:rPr>
                <w:rFonts w:hint="eastAsia" w:ascii="宋体" w:hAnsi="宋体" w:eastAsia="宋体" w:cs="宋体"/>
                <w:kern w:val="0"/>
                <w:sz w:val="21"/>
                <w:szCs w:val="21"/>
                <w:highlight w:val="none"/>
                <w:lang w:eastAsia="zh-CN"/>
              </w:rPr>
              <w:t>性差，人员及备品备件不够充足的得</w:t>
            </w:r>
            <w:r>
              <w:rPr>
                <w:rFonts w:hint="eastAsia" w:ascii="宋体" w:hAnsi="宋体" w:eastAsia="宋体" w:cs="宋体"/>
                <w:kern w:val="0"/>
                <w:sz w:val="21"/>
                <w:szCs w:val="21"/>
                <w:highlight w:val="none"/>
                <w:lang w:val="en-US" w:eastAsia="zh-CN"/>
              </w:rPr>
              <w:t>0-1分。</w:t>
            </w:r>
          </w:p>
        </w:tc>
        <w:tc>
          <w:tcPr>
            <w:tcW w:w="790" w:type="dxa"/>
            <w:vAlign w:val="center"/>
          </w:tcPr>
          <w:p>
            <w:pPr>
              <w:keepNext w:val="0"/>
              <w:keepLines w:val="0"/>
              <w:pageBreakBefore w:val="0"/>
              <w:widowControl/>
              <w:kinsoku/>
              <w:wordWrap/>
              <w:overflowPunct/>
              <w:topLinePunct w:val="0"/>
              <w:bidi w:val="0"/>
              <w:adjustRightInd/>
              <w:snapToGrid/>
              <w:spacing w:line="240" w:lineRule="auto"/>
              <w:ind w:left="0" w:leftChars="0" w:firstLine="0" w:firstLineChars="0"/>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1932" w:type="dxa"/>
            <w:gridSpan w:val="2"/>
            <w:vAlign w:val="center"/>
          </w:tcPr>
          <w:p>
            <w:pPr>
              <w:keepNext w:val="0"/>
              <w:keepLines w:val="0"/>
              <w:pageBreakBefore w:val="0"/>
              <w:widowControl/>
              <w:kinsoku/>
              <w:wordWrap/>
              <w:overflowPunct/>
              <w:topLinePunct w:val="0"/>
              <w:bidi w:val="0"/>
              <w:adjustRightInd/>
              <w:snapToGrid/>
              <w:spacing w:line="240" w:lineRule="auto"/>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价格分</w:t>
            </w:r>
          </w:p>
          <w:p>
            <w:pPr>
              <w:keepNext w:val="0"/>
              <w:keepLines w:val="0"/>
              <w:pageBreakBefore w:val="0"/>
              <w:widowControl/>
              <w:kinsoku/>
              <w:wordWrap/>
              <w:overflowPunct/>
              <w:topLinePunct w:val="0"/>
              <w:bidi w:val="0"/>
              <w:adjustRightInd/>
              <w:snapToGrid/>
              <w:spacing w:line="240" w:lineRule="auto"/>
              <w:jc w:val="center"/>
              <w:rPr>
                <w:rFonts w:hint="eastAsia" w:hAnsi="宋体" w:cs="宋体"/>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（30分）</w:t>
            </w:r>
          </w:p>
        </w:tc>
        <w:tc>
          <w:tcPr>
            <w:tcW w:w="6885" w:type="dxa"/>
            <w:vAlign w:val="center"/>
          </w:tcPr>
          <w:p>
            <w:pPr>
              <w:keepNext w:val="0"/>
              <w:keepLines w:val="0"/>
              <w:pageBreakBefore w:val="0"/>
              <w:kinsoku/>
              <w:wordWrap/>
              <w:overflowPunct/>
              <w:topLinePunct w:val="0"/>
              <w:bidi w:val="0"/>
              <w:adjustRightInd/>
              <w:snapToGrid/>
              <w:spacing w:line="240" w:lineRule="auto"/>
              <w:rPr>
                <w:rFonts w:hint="eastAsia" w:hAnsi="宋体" w:cs="宋体"/>
                <w:kern w:val="0"/>
                <w:sz w:val="21"/>
                <w:szCs w:val="21"/>
                <w:highlight w:val="none"/>
              </w:rPr>
            </w:pPr>
            <w:r>
              <w:rPr>
                <w:rFonts w:hint="eastAsia" w:asciiTheme="minorEastAsia" w:hAnsiTheme="minorEastAsia" w:eastAsiaTheme="minorEastAsia" w:cstheme="minorEastAsia"/>
                <w:color w:val="auto"/>
                <w:sz w:val="21"/>
                <w:szCs w:val="21"/>
                <w:highlight w:val="none"/>
              </w:rPr>
              <w:t>取投标合格供应商的投标最终报价最低价</w:t>
            </w:r>
            <w:r>
              <w:rPr>
                <w:rFonts w:hint="eastAsia" w:asciiTheme="minorEastAsia" w:hAnsiTheme="minorEastAsia" w:eastAsiaTheme="minorEastAsia" w:cstheme="minorEastAsia"/>
                <w:color w:val="auto"/>
                <w:sz w:val="21"/>
                <w:szCs w:val="21"/>
                <w:highlight w:val="none"/>
                <w:lang w:val="zh-CN"/>
              </w:rPr>
              <w:t>为评标基准价，</w:t>
            </w:r>
            <w:r>
              <w:rPr>
                <w:rFonts w:hint="eastAsia" w:asciiTheme="minorEastAsia" w:hAnsiTheme="minorEastAsia" w:eastAsiaTheme="minorEastAsia" w:cstheme="minorEastAsia"/>
                <w:color w:val="auto"/>
                <w:sz w:val="21"/>
                <w:szCs w:val="21"/>
                <w:highlight w:val="none"/>
              </w:rPr>
              <w:t>基准价为</w:t>
            </w:r>
            <w:r>
              <w:rPr>
                <w:rFonts w:hint="eastAsia" w:asciiTheme="minorEastAsia" w:hAnsiTheme="minorEastAsia" w:eastAsiaTheme="minorEastAsia" w:cstheme="minorEastAsia"/>
                <w:color w:val="auto"/>
                <w:sz w:val="21"/>
                <w:szCs w:val="21"/>
                <w:highlight w:val="none"/>
                <w:lang w:val="en-US" w:eastAsia="zh-CN"/>
              </w:rPr>
              <w:t>30</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val="zh-CN"/>
              </w:rPr>
              <w:t>。投标报价得分=(评标基准价／投标报价)×</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0</w:t>
            </w:r>
            <w:r>
              <w:rPr>
                <w:rFonts w:hint="eastAsia" w:asciiTheme="minorEastAsia" w:hAnsiTheme="minorEastAsia" w:eastAsiaTheme="minorEastAsia" w:cstheme="minorEastAsia"/>
                <w:color w:val="auto"/>
                <w:sz w:val="21"/>
                <w:szCs w:val="21"/>
                <w:highlight w:val="none"/>
                <w:lang w:val="zh-CN"/>
              </w:rPr>
              <w:t>%×100 。（</w:t>
            </w:r>
            <w:r>
              <w:rPr>
                <w:rFonts w:hint="eastAsia" w:asciiTheme="minorEastAsia" w:hAnsiTheme="minorEastAsia" w:eastAsiaTheme="minorEastAsia" w:cstheme="minorEastAsia"/>
                <w:color w:val="auto"/>
                <w:sz w:val="21"/>
                <w:szCs w:val="21"/>
                <w:highlight w:val="none"/>
              </w:rPr>
              <w:t>小数点后保留2位小数</w:t>
            </w:r>
            <w:r>
              <w:rPr>
                <w:rFonts w:hint="eastAsia" w:asciiTheme="minorEastAsia" w:hAnsiTheme="minorEastAsia" w:eastAsiaTheme="minorEastAsia" w:cstheme="minorEastAsia"/>
                <w:color w:val="auto"/>
                <w:sz w:val="21"/>
                <w:szCs w:val="21"/>
                <w:highlight w:val="none"/>
                <w:lang w:val="zh-CN"/>
              </w:rPr>
              <w:t>）。</w:t>
            </w:r>
          </w:p>
        </w:tc>
        <w:tc>
          <w:tcPr>
            <w:tcW w:w="790" w:type="dxa"/>
            <w:vAlign w:val="center"/>
          </w:tcPr>
          <w:p>
            <w:pPr>
              <w:keepNext w:val="0"/>
              <w:keepLines w:val="0"/>
              <w:pageBreakBefore w:val="0"/>
              <w:widowControl/>
              <w:kinsoku/>
              <w:wordWrap/>
              <w:overflowPunct/>
              <w:topLinePunct w:val="0"/>
              <w:bidi w:val="0"/>
              <w:adjustRightInd/>
              <w:snapToGrid/>
              <w:spacing w:line="240" w:lineRule="auto"/>
              <w:jc w:val="center"/>
              <w:rPr>
                <w:rFonts w:hint="default" w:hAnsi="宋体" w:cs="宋体" w:eastAsiaTheme="minorEastAsia"/>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30</w:t>
            </w:r>
          </w:p>
        </w:tc>
      </w:tr>
    </w:tbl>
    <w:p>
      <w:pPr>
        <w:spacing w:line="360" w:lineRule="auto"/>
      </w:pPr>
      <w:r>
        <w:rPr>
          <w:rFonts w:hint="eastAsia"/>
          <w:b/>
          <w:bCs/>
        </w:rPr>
        <w:t>注</w:t>
      </w:r>
      <w:r>
        <w:rPr>
          <w:rFonts w:hint="eastAsia"/>
        </w:rPr>
        <w:t>：①请扫描上传合同、证书、报告及其他相关证明材料的</w:t>
      </w:r>
      <w:r>
        <w:rPr>
          <w:rFonts w:hint="eastAsia"/>
          <w:lang w:val="en-US" w:eastAsia="zh-CN"/>
        </w:rPr>
        <w:t>扫描件</w:t>
      </w:r>
      <w:r>
        <w:rPr>
          <w:rFonts w:hint="eastAsia"/>
        </w:rPr>
        <w:t>至投标文件，并加盖公章。</w:t>
      </w:r>
    </w:p>
    <w:p>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2.评审要求</w:t>
      </w:r>
    </w:p>
    <w:p>
      <w:pPr>
        <w:spacing w:line="360" w:lineRule="auto"/>
        <w:ind w:firstLine="480" w:firstLineChars="200"/>
        <w:rPr>
          <w:rFonts w:ascii="宋体" w:hAnsi="宋体" w:cs="宋体"/>
          <w:sz w:val="24"/>
        </w:rPr>
      </w:pPr>
      <w:r>
        <w:rPr>
          <w:rFonts w:hint="eastAsia" w:ascii="宋体" w:hAnsi="宋体" w:cs="宋体"/>
          <w:sz w:val="24"/>
        </w:rPr>
        <w:t>（1）评标委员会应当按照招标文件中规定的评标方法和标准，对符合性审查合格的投标文件的商务部分和技术部分进行综合比较与评价，其中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pPr>
        <w:spacing w:line="360" w:lineRule="auto"/>
        <w:ind w:firstLine="482" w:firstLineChars="200"/>
        <w:rPr>
          <w:rFonts w:ascii="宋体" w:hAnsi="宋体" w:cs="宋体"/>
          <w:b/>
          <w:bCs/>
          <w:sz w:val="24"/>
        </w:rPr>
      </w:pPr>
      <w:r>
        <w:rPr>
          <w:rFonts w:hint="eastAsia" w:ascii="宋体" w:hAnsi="宋体" w:cs="宋体"/>
          <w:b/>
          <w:bCs/>
          <w:sz w:val="24"/>
        </w:rPr>
        <w:t>（2）对于投标文件报价出现前后不一致的，除招标文件另有规定外，按照下列规定修正：</w:t>
      </w:r>
    </w:p>
    <w:p>
      <w:pPr>
        <w:spacing w:line="360" w:lineRule="auto"/>
        <w:ind w:firstLine="482" w:firstLineChars="200"/>
        <w:rPr>
          <w:rFonts w:ascii="宋体" w:hAnsi="宋体" w:cs="宋体"/>
          <w:b/>
          <w:bCs/>
          <w:sz w:val="24"/>
        </w:rPr>
      </w:pPr>
      <w:r>
        <w:rPr>
          <w:rFonts w:hint="eastAsia" w:ascii="宋体" w:hAnsi="宋体" w:cs="宋体"/>
          <w:b/>
          <w:bCs/>
          <w:sz w:val="24"/>
        </w:rPr>
        <w:t>①“台州湾新区小额工程电子交易平台”上开启的投标报价与电子投标文件中开标一览表（报价表）内容不一致的，以电子投标文件中开标一览表（报价表）为准；</w:t>
      </w:r>
    </w:p>
    <w:p>
      <w:pPr>
        <w:spacing w:line="360" w:lineRule="auto"/>
        <w:ind w:firstLine="482" w:firstLineChars="200"/>
        <w:rPr>
          <w:rFonts w:ascii="宋体" w:hAnsi="宋体" w:cs="宋体"/>
          <w:b/>
          <w:bCs/>
          <w:sz w:val="24"/>
        </w:rPr>
      </w:pPr>
      <w:r>
        <w:rPr>
          <w:rFonts w:hint="eastAsia" w:ascii="宋体" w:hAnsi="宋体" w:cs="宋体"/>
          <w:b/>
          <w:bCs/>
          <w:sz w:val="24"/>
        </w:rPr>
        <w:t>②投标文件中开标一览表（报价表）内容与投标文件中相应内容不一致的，以开标一览表（报价表）为准；</w:t>
      </w:r>
    </w:p>
    <w:p>
      <w:pPr>
        <w:spacing w:line="360" w:lineRule="auto"/>
        <w:ind w:firstLine="482" w:firstLineChars="200"/>
        <w:rPr>
          <w:rFonts w:ascii="宋体" w:hAnsi="宋体" w:cs="宋体"/>
          <w:b/>
          <w:bCs/>
          <w:sz w:val="24"/>
        </w:rPr>
      </w:pPr>
      <w:r>
        <w:rPr>
          <w:rFonts w:hint="eastAsia" w:ascii="宋体" w:hAnsi="宋体" w:cs="宋体"/>
          <w:b/>
          <w:bCs/>
          <w:sz w:val="24"/>
        </w:rPr>
        <w:t>③大写金额和小写金额不一致的，以大写金额为准。</w:t>
      </w:r>
    </w:p>
    <w:p>
      <w:pPr>
        <w:spacing w:line="360" w:lineRule="auto"/>
        <w:ind w:firstLine="482" w:firstLineChars="200"/>
        <w:rPr>
          <w:rFonts w:ascii="宋体" w:hAnsi="宋体" w:cs="宋体"/>
          <w:b/>
          <w:bCs/>
          <w:sz w:val="24"/>
        </w:rPr>
      </w:pPr>
      <w:r>
        <w:rPr>
          <w:rFonts w:hint="eastAsia" w:ascii="宋体" w:hAnsi="宋体" w:cs="宋体"/>
          <w:b/>
          <w:bCs/>
          <w:sz w:val="24"/>
        </w:rPr>
        <w:t>同时出现两种以上不一致的，按照前款规定的顺序修正。修正应当采用询标的形式，并加盖公章。</w:t>
      </w:r>
    </w:p>
    <w:p>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sz w:val="24"/>
        </w:rPr>
      </w:pPr>
      <w:r>
        <w:rPr>
          <w:rFonts w:hint="eastAsia" w:ascii="宋体" w:hAnsi="宋体" w:cs="宋体"/>
          <w:b/>
          <w:bCs/>
          <w:sz w:val="24"/>
        </w:rPr>
        <w:t>（四）结果汇总及排序</w:t>
      </w:r>
    </w:p>
    <w:p>
      <w:pPr>
        <w:spacing w:line="360" w:lineRule="auto"/>
        <w:ind w:firstLine="480" w:firstLineChars="200"/>
        <w:rPr>
          <w:rFonts w:ascii="宋体" w:hAnsi="宋体" w:cs="宋体"/>
          <w:sz w:val="24"/>
        </w:rPr>
      </w:pPr>
      <w:r>
        <w:rPr>
          <w:rFonts w:hint="eastAsia" w:ascii="宋体" w:hAnsi="宋体" w:cs="宋体"/>
          <w:sz w:val="24"/>
        </w:rPr>
        <w:t>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投标文件满足招标文件全部实质性要求，且按照评审因素的量化指标评审得分最高的投标人为排名第一的为第一中标候选人，排名第二的为第二中标后选人。</w:t>
      </w:r>
      <w:r>
        <w:rPr>
          <w:rFonts w:hint="eastAsia" w:ascii="宋体" w:hAnsi="宋体"/>
          <w:bCs/>
          <w:sz w:val="24"/>
        </w:rPr>
        <w:t>若出现总得分相同时，按技术标得分由高到低顺序排列；若以上均相同的，则抽签确定。</w:t>
      </w:r>
    </w:p>
    <w:p>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pPr>
        <w:spacing w:line="360" w:lineRule="auto"/>
        <w:ind w:firstLine="480"/>
        <w:rPr>
          <w:rFonts w:hint="eastAsia" w:ascii="宋体" w:hAnsi="宋体" w:cs="宋体"/>
          <w:sz w:val="24"/>
        </w:rPr>
      </w:pPr>
      <w:r>
        <w:rPr>
          <w:rFonts w:hint="eastAsia" w:ascii="宋体" w:hAnsi="宋体" w:cs="宋体"/>
          <w:sz w:val="24"/>
        </w:rPr>
        <w:t>评标委员会根据全体评标成员签字的原始评标记录和评标结果编写评标报告。</w:t>
      </w:r>
    </w:p>
    <w:p>
      <w:pPr>
        <w:pStyle w:val="10"/>
        <w:rPr>
          <w:rFonts w:hint="eastAsia" w:ascii="宋体" w:hAnsi="宋体" w:cs="宋体"/>
          <w:sz w:val="24"/>
        </w:rPr>
      </w:pPr>
    </w:p>
    <w:p>
      <w:pPr>
        <w:rPr>
          <w:rFonts w:hint="eastAsia" w:ascii="宋体" w:hAnsi="宋体" w:cs="宋体"/>
          <w:sz w:val="24"/>
        </w:rPr>
      </w:pPr>
    </w:p>
    <w:p>
      <w:pPr>
        <w:pStyle w:val="10"/>
      </w:pPr>
    </w:p>
    <w:p>
      <w:pPr>
        <w:numPr>
          <w:ilvl w:val="0"/>
          <w:numId w:val="6"/>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拟签订的合同文本</w:t>
      </w:r>
    </w:p>
    <w:p>
      <w:pPr>
        <w:widowControl/>
        <w:shd w:val="clear" w:color="auto" w:fill="FFFFFF"/>
        <w:spacing w:after="150" w:line="375" w:lineRule="atLeast"/>
        <w:ind w:firstLine="480"/>
        <w:jc w:val="left"/>
        <w:rPr>
          <w:rFonts w:ascii="宋体"/>
          <w:sz w:val="24"/>
        </w:rPr>
      </w:pPr>
      <w:r>
        <w:rPr>
          <w:rFonts w:ascii="宋体"/>
          <w:sz w:val="24"/>
        </w:rPr>
        <w:t>以下为</w:t>
      </w:r>
      <w:r>
        <w:rPr>
          <w:rFonts w:hint="eastAsia" w:ascii="宋体"/>
          <w:sz w:val="24"/>
          <w:lang w:eastAsia="zh-CN"/>
        </w:rPr>
        <w:t>中标</w:t>
      </w:r>
      <w:r>
        <w:rPr>
          <w:rFonts w:ascii="宋体"/>
          <w:sz w:val="24"/>
        </w:rPr>
        <w:t>后签定本项目合同的通用条款，</w:t>
      </w:r>
      <w:r>
        <w:rPr>
          <w:rFonts w:hint="eastAsia" w:ascii="宋体"/>
          <w:sz w:val="24"/>
          <w:lang w:eastAsia="zh-CN"/>
        </w:rPr>
        <w:t>中标</w:t>
      </w:r>
      <w:r>
        <w:rPr>
          <w:rFonts w:ascii="宋体"/>
          <w:sz w:val="24"/>
        </w:rPr>
        <w:t>供应商不得提出实质性的修改，关于专用条款将由采购人与</w:t>
      </w:r>
      <w:r>
        <w:rPr>
          <w:rFonts w:hint="eastAsia" w:ascii="宋体"/>
          <w:sz w:val="24"/>
          <w:lang w:eastAsia="zh-CN"/>
        </w:rPr>
        <w:t>中标</w:t>
      </w:r>
      <w:r>
        <w:rPr>
          <w:rFonts w:ascii="宋体"/>
          <w:sz w:val="24"/>
        </w:rPr>
        <w:t>供应商结合本项目具体情况协商后签订。</w:t>
      </w:r>
    </w:p>
    <w:p>
      <w:pPr>
        <w:snapToGrid w:val="0"/>
        <w:spacing w:beforeLines="50" w:afterLines="50" w:line="360" w:lineRule="auto"/>
        <w:rPr>
          <w:rFonts w:ascii="宋体"/>
          <w:sz w:val="24"/>
        </w:rPr>
      </w:pPr>
      <w:r>
        <w:rPr>
          <w:rFonts w:ascii="宋体"/>
          <w:sz w:val="24"/>
        </w:rPr>
        <w:t>项目名称：                                       项目编号：</w:t>
      </w:r>
    </w:p>
    <w:p>
      <w:pPr>
        <w:snapToGrid w:val="0"/>
        <w:spacing w:beforeLines="50" w:afterLines="50" w:line="360" w:lineRule="auto"/>
        <w:rPr>
          <w:rFonts w:ascii="宋体"/>
          <w:sz w:val="24"/>
        </w:rPr>
      </w:pPr>
      <w:r>
        <w:rPr>
          <w:rFonts w:ascii="宋体"/>
          <w:sz w:val="24"/>
        </w:rPr>
        <w:t>甲方：（</w:t>
      </w:r>
      <w:r>
        <w:rPr>
          <w:rFonts w:hint="eastAsia" w:ascii="宋体"/>
          <w:sz w:val="24"/>
        </w:rPr>
        <w:t>采购单位</w:t>
      </w:r>
      <w:r>
        <w:rPr>
          <w:rFonts w:ascii="宋体"/>
          <w:sz w:val="24"/>
        </w:rPr>
        <w:t>）</w:t>
      </w:r>
    </w:p>
    <w:p>
      <w:pPr>
        <w:snapToGrid w:val="0"/>
        <w:spacing w:beforeLines="50" w:afterLines="50" w:line="360" w:lineRule="auto"/>
        <w:rPr>
          <w:rFonts w:ascii="宋体"/>
          <w:sz w:val="24"/>
        </w:rPr>
      </w:pPr>
      <w:r>
        <w:rPr>
          <w:rFonts w:ascii="宋体"/>
          <w:sz w:val="24"/>
        </w:rPr>
        <w:t>乙方：（</w:t>
      </w:r>
      <w:r>
        <w:rPr>
          <w:rFonts w:hint="eastAsia" w:ascii="宋体"/>
          <w:sz w:val="24"/>
        </w:rPr>
        <w:t>中标供应商</w:t>
      </w:r>
      <w:r>
        <w:rPr>
          <w:rFonts w:ascii="宋体"/>
          <w:sz w:val="24"/>
        </w:rPr>
        <w:t>）</w:t>
      </w:r>
    </w:p>
    <w:p>
      <w:pPr>
        <w:snapToGrid w:val="0"/>
        <w:spacing w:beforeLines="50" w:afterLines="50" w:line="360" w:lineRule="auto"/>
        <w:ind w:left="410" w:hanging="410" w:hangingChars="171"/>
        <w:rPr>
          <w:rFonts w:ascii="宋体"/>
          <w:sz w:val="24"/>
        </w:rPr>
      </w:pPr>
      <w:r>
        <w:rPr>
          <w:rFonts w:hint="eastAsia" w:ascii="宋体"/>
          <w:sz w:val="24"/>
        </w:rPr>
        <w:t>甲、乙双方关于</w:t>
      </w:r>
      <w:r>
        <w:rPr>
          <w:rFonts w:hint="eastAsia" w:ascii="宋体"/>
          <w:sz w:val="24"/>
          <w:u w:val="single"/>
        </w:rPr>
        <w:t xml:space="preserve"> </w:t>
      </w:r>
      <w:r>
        <w:rPr>
          <w:rFonts w:ascii="宋体"/>
          <w:sz w:val="24"/>
          <w:u w:val="single"/>
        </w:rPr>
        <w:t xml:space="preserve">                      </w:t>
      </w:r>
      <w:r>
        <w:rPr>
          <w:rFonts w:hint="eastAsia" w:ascii="宋体"/>
          <w:sz w:val="24"/>
        </w:rPr>
        <w:t>（项目名称）的结果，签署本合同</w:t>
      </w:r>
    </w:p>
    <w:p>
      <w:pPr>
        <w:snapToGrid w:val="0"/>
        <w:spacing w:beforeLines="50" w:afterLines="50" w:line="360" w:lineRule="auto"/>
      </w:pPr>
      <w:r>
        <w:rPr>
          <w:rFonts w:ascii="宋体"/>
          <w:b/>
          <w:sz w:val="24"/>
        </w:rPr>
        <w:t>一、</w:t>
      </w:r>
      <w:r>
        <w:rPr>
          <w:rFonts w:hint="eastAsia" w:ascii="宋体"/>
          <w:b/>
          <w:sz w:val="24"/>
        </w:rPr>
        <w:t>服务</w:t>
      </w:r>
      <w:r>
        <w:rPr>
          <w:rFonts w:ascii="宋体"/>
          <w:b/>
          <w:sz w:val="24"/>
        </w:rPr>
        <w:t>内容</w:t>
      </w:r>
    </w:p>
    <w:p>
      <w:pPr>
        <w:pStyle w:val="13"/>
        <w:snapToGrid w:val="0"/>
        <w:spacing w:line="360" w:lineRule="auto"/>
        <w:rPr>
          <w:rFonts w:ascii="宋体" w:hAnsi="宋体" w:eastAsia="宋体" w:cs="宋体"/>
          <w:b/>
          <w:snapToGrid w:val="0"/>
          <w:kern w:val="0"/>
          <w:sz w:val="24"/>
        </w:rPr>
      </w:pPr>
      <w:r>
        <w:rPr>
          <w:rFonts w:hint="eastAsia" w:hAnsi="宋体" w:cs="宋体"/>
          <w:sz w:val="24"/>
          <w:szCs w:val="24"/>
        </w:rPr>
        <w:t>（具体见项目</w:t>
      </w:r>
      <w:r>
        <w:rPr>
          <w:rFonts w:hint="eastAsia" w:hAnsi="宋体" w:cs="宋体"/>
          <w:sz w:val="24"/>
          <w:szCs w:val="24"/>
          <w:lang w:eastAsia="zh-CN"/>
        </w:rPr>
        <w:t>招标</w:t>
      </w:r>
      <w:r>
        <w:rPr>
          <w:rFonts w:hint="eastAsia" w:hAnsi="宋体" w:cs="宋体"/>
          <w:sz w:val="24"/>
          <w:szCs w:val="24"/>
        </w:rPr>
        <w:t>需求）</w:t>
      </w:r>
    </w:p>
    <w:p>
      <w:pPr>
        <w:snapToGrid w:val="0"/>
        <w:spacing w:beforeLines="50" w:afterLines="50"/>
        <w:rPr>
          <w:rFonts w:ascii="宋体"/>
          <w:b/>
          <w:sz w:val="24"/>
          <w:highlight w:val="none"/>
        </w:rPr>
      </w:pPr>
      <w:r>
        <w:rPr>
          <w:rFonts w:ascii="宋体"/>
          <w:b/>
          <w:sz w:val="24"/>
          <w:highlight w:val="none"/>
        </w:rPr>
        <w:t>二、合同金额</w:t>
      </w:r>
      <w:r>
        <w:rPr>
          <w:rFonts w:hint="eastAsia" w:ascii="宋体"/>
          <w:b/>
          <w:sz w:val="24"/>
          <w:highlight w:val="none"/>
        </w:rPr>
        <w:t>及</w:t>
      </w:r>
      <w:r>
        <w:rPr>
          <w:rFonts w:hint="eastAsia" w:ascii="宋体"/>
          <w:b/>
          <w:bCs/>
          <w:sz w:val="24"/>
          <w:highlight w:val="none"/>
        </w:rPr>
        <w:t>结算办法</w:t>
      </w:r>
    </w:p>
    <w:p>
      <w:pPr>
        <w:snapToGrid w:val="0"/>
        <w:spacing w:beforeLines="50" w:afterLines="50" w:line="360" w:lineRule="auto"/>
        <w:rPr>
          <w:rFonts w:hint="eastAsia" w:ascii="宋体" w:hAnsi="宋体" w:cs="宋体"/>
          <w:bCs/>
          <w:snapToGrid w:val="0"/>
          <w:kern w:val="0"/>
          <w:sz w:val="24"/>
          <w:highlight w:val="none"/>
        </w:rPr>
      </w:pPr>
      <w:r>
        <w:rPr>
          <w:rFonts w:ascii="宋体"/>
          <w:sz w:val="24"/>
        </w:rPr>
        <w:t>本合同金额为（大写）：___________元（￥_______________元）人民币。</w:t>
      </w:r>
    </w:p>
    <w:p>
      <w:pPr>
        <w:snapToGrid w:val="0"/>
        <w:spacing w:beforeLines="50" w:afterLines="50" w:line="360" w:lineRule="auto"/>
        <w:rPr>
          <w:rFonts w:ascii="宋体"/>
          <w:b/>
          <w:sz w:val="24"/>
        </w:rPr>
      </w:pPr>
      <w:r>
        <w:rPr>
          <w:rFonts w:ascii="宋体"/>
          <w:b/>
          <w:sz w:val="24"/>
        </w:rPr>
        <w:t>三、技术资料</w:t>
      </w:r>
    </w:p>
    <w:p>
      <w:pPr>
        <w:snapToGrid w:val="0"/>
        <w:spacing w:beforeLines="50" w:afterLines="50" w:line="360" w:lineRule="auto"/>
        <w:rPr>
          <w:rFonts w:ascii="宋体"/>
          <w:sz w:val="24"/>
        </w:rPr>
      </w:pPr>
      <w:r>
        <w:rPr>
          <w:rFonts w:ascii="宋体"/>
          <w:sz w:val="24"/>
        </w:rPr>
        <w:t>1</w:t>
      </w:r>
      <w:r>
        <w:rPr>
          <w:rFonts w:hint="eastAsia" w:ascii="宋体"/>
          <w:sz w:val="24"/>
        </w:rPr>
        <w:t>.</w:t>
      </w:r>
      <w:r>
        <w:rPr>
          <w:rFonts w:ascii="宋体"/>
          <w:sz w:val="24"/>
        </w:rPr>
        <w:t>乙方应按招标文件规定的时间向甲方提供有关技术资料。</w:t>
      </w:r>
    </w:p>
    <w:p>
      <w:pPr>
        <w:snapToGrid w:val="0"/>
        <w:spacing w:beforeLines="50" w:afterLines="50" w:line="360" w:lineRule="auto"/>
        <w:rPr>
          <w:rFonts w:ascii="宋体"/>
          <w:sz w:val="24"/>
        </w:rPr>
      </w:pPr>
      <w:r>
        <w:rPr>
          <w:rFonts w:ascii="宋体"/>
          <w:sz w:val="24"/>
        </w:rPr>
        <w:t>2</w:t>
      </w:r>
      <w:r>
        <w:rPr>
          <w:rFonts w:hint="eastAsia" w:ascii="宋体"/>
          <w:sz w:val="24"/>
        </w:rPr>
        <w:t>.</w:t>
      </w:r>
      <w:r>
        <w:rPr>
          <w:rFonts w:ascii="宋体"/>
          <w:sz w:val="24"/>
        </w:rPr>
        <w:t>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snapToGrid w:val="0"/>
        <w:spacing w:beforeLines="50" w:afterLines="50" w:line="360" w:lineRule="auto"/>
        <w:ind w:left="412" w:hanging="412" w:hangingChars="171"/>
        <w:rPr>
          <w:rFonts w:ascii="宋体"/>
          <w:b/>
          <w:sz w:val="24"/>
        </w:rPr>
      </w:pPr>
      <w:r>
        <w:rPr>
          <w:rFonts w:ascii="宋体"/>
          <w:b/>
          <w:sz w:val="24"/>
        </w:rPr>
        <w:t>四、知识产权</w:t>
      </w:r>
    </w:p>
    <w:p>
      <w:pPr>
        <w:keepNext w:val="0"/>
        <w:keepLines w:val="0"/>
        <w:pageBreakBefore w:val="0"/>
        <w:widowControl w:val="0"/>
        <w:kinsoku/>
        <w:wordWrap/>
        <w:overflowPunct/>
        <w:topLinePunct w:val="0"/>
        <w:autoSpaceDE/>
        <w:autoSpaceDN/>
        <w:bidi w:val="0"/>
        <w:adjustRightInd/>
        <w:snapToGrid w:val="0"/>
        <w:spacing w:beforeLines="50" w:afterLines="50" w:line="360" w:lineRule="auto"/>
        <w:ind w:left="0" w:leftChars="0" w:firstLine="480" w:firstLineChars="200"/>
        <w:textAlignment w:val="auto"/>
        <w:rPr>
          <w:rFonts w:ascii="宋体"/>
          <w:sz w:val="24"/>
        </w:rPr>
      </w:pPr>
      <w:r>
        <w:rPr>
          <w:rFonts w:hint="eastAsia" w:ascii="宋体"/>
          <w:sz w:val="24"/>
        </w:rPr>
        <w:t>乙方应保证提供服务过程中不会侵犯任何第三方的知识产权和其他权利，若侵权，应承担甲方因此造成的所有损失。</w:t>
      </w:r>
    </w:p>
    <w:p>
      <w:pPr>
        <w:tabs>
          <w:tab w:val="left" w:pos="1418"/>
        </w:tabs>
        <w:autoSpaceDE w:val="0"/>
        <w:autoSpaceDN w:val="0"/>
        <w:adjustRightInd w:val="0"/>
        <w:spacing w:line="360" w:lineRule="auto"/>
        <w:rPr>
          <w:b/>
          <w:sz w:val="24"/>
        </w:rPr>
      </w:pPr>
      <w:r>
        <w:rPr>
          <w:rFonts w:hint="eastAsia"/>
          <w:b/>
          <w:sz w:val="24"/>
        </w:rPr>
        <w:t>五</w:t>
      </w:r>
      <w:r>
        <w:rPr>
          <w:b/>
          <w:sz w:val="24"/>
        </w:rPr>
        <w:t>、履约保证金</w:t>
      </w:r>
      <w:r>
        <w:rPr>
          <w:rFonts w:hint="eastAsia"/>
          <w:b/>
          <w:sz w:val="24"/>
        </w:rPr>
        <w:t xml:space="preserve">: </w:t>
      </w:r>
    </w:p>
    <w:p>
      <w:pPr>
        <w:tabs>
          <w:tab w:val="left" w:pos="1418"/>
        </w:tabs>
        <w:autoSpaceDE w:val="0"/>
        <w:autoSpaceDN w:val="0"/>
        <w:adjustRightInd w:val="0"/>
        <w:spacing w:line="360" w:lineRule="auto"/>
        <w:ind w:firstLine="480" w:firstLineChars="200"/>
        <w:rPr>
          <w:rFonts w:ascii="宋体"/>
          <w:kern w:val="0"/>
          <w:sz w:val="24"/>
        </w:rPr>
      </w:pPr>
      <w:r>
        <w:rPr>
          <w:rFonts w:hint="eastAsia"/>
          <w:sz w:val="24"/>
        </w:rPr>
        <w:t>合同价的1%，可采用银行独立保函、保险机构独立保函、保兑支票、银行汇票或现金支票（若为转账，则完成建设、安装、运行、对接且经验收合格后10个工作日内无息退还剩余部分，若为保单保函的则担保有效期截止日须为所有工作完成且验收合格之日）。</w:t>
      </w:r>
    </w:p>
    <w:p>
      <w:pPr>
        <w:snapToGrid w:val="0"/>
        <w:spacing w:beforeLines="50" w:afterLines="50" w:line="360" w:lineRule="auto"/>
        <w:ind w:left="410" w:hanging="410" w:hangingChars="170"/>
        <w:rPr>
          <w:rFonts w:ascii="宋体"/>
          <w:b/>
          <w:sz w:val="24"/>
        </w:rPr>
      </w:pPr>
      <w:r>
        <w:rPr>
          <w:rFonts w:hint="eastAsia" w:ascii="宋体"/>
          <w:b/>
          <w:sz w:val="24"/>
        </w:rPr>
        <w:t>六、转包或分包</w:t>
      </w:r>
    </w:p>
    <w:p>
      <w:pPr>
        <w:snapToGrid w:val="0"/>
        <w:spacing w:beforeLines="50" w:afterLines="50" w:line="360" w:lineRule="auto"/>
        <w:rPr>
          <w:rFonts w:ascii="宋体"/>
          <w:sz w:val="24"/>
        </w:rPr>
      </w:pPr>
      <w:r>
        <w:rPr>
          <w:rFonts w:hint="eastAsia" w:ascii="宋体"/>
          <w:sz w:val="24"/>
        </w:rPr>
        <w:t>1.本合同范围的服务，应由乙方直接提供服务，不得转让他人提供服务；</w:t>
      </w:r>
    </w:p>
    <w:p>
      <w:pPr>
        <w:snapToGrid w:val="0"/>
        <w:spacing w:beforeLines="50" w:afterLines="50" w:line="360" w:lineRule="auto"/>
        <w:rPr>
          <w:rFonts w:ascii="宋体"/>
          <w:sz w:val="24"/>
        </w:rPr>
      </w:pPr>
      <w:r>
        <w:rPr>
          <w:rFonts w:hint="eastAsia" w:ascii="宋体"/>
          <w:sz w:val="24"/>
        </w:rPr>
        <w:t>2.除非得到甲方的书面同意，乙方不得将本合同范围的服务全部或部分分包给他人供应；</w:t>
      </w:r>
    </w:p>
    <w:p>
      <w:pPr>
        <w:snapToGrid w:val="0"/>
        <w:spacing w:beforeLines="50" w:afterLines="50" w:line="360" w:lineRule="auto"/>
        <w:ind w:right="-483" w:rightChars="-230"/>
        <w:rPr>
          <w:rFonts w:ascii="宋体"/>
          <w:sz w:val="24"/>
        </w:rPr>
      </w:pPr>
      <w:r>
        <w:rPr>
          <w:rFonts w:hint="eastAsia" w:ascii="宋体"/>
          <w:sz w:val="24"/>
        </w:rPr>
        <w:t>3.如有转让和未经甲方同意的分包行为，甲方有权解除合同，追究乙方的违约责任。</w:t>
      </w:r>
    </w:p>
    <w:p>
      <w:pPr>
        <w:snapToGrid w:val="0"/>
        <w:spacing w:beforeLines="50" w:afterLines="50" w:line="360" w:lineRule="auto"/>
        <w:rPr>
          <w:rFonts w:ascii="宋体"/>
          <w:b/>
          <w:sz w:val="24"/>
        </w:rPr>
      </w:pPr>
      <w:r>
        <w:rPr>
          <w:rFonts w:hint="eastAsia" w:ascii="宋体"/>
          <w:b/>
          <w:sz w:val="24"/>
        </w:rPr>
        <w:t>七、合同履行时间、履行方式及履行地点</w:t>
      </w:r>
    </w:p>
    <w:p>
      <w:pPr>
        <w:snapToGrid w:val="0"/>
        <w:spacing w:beforeLines="50" w:afterLines="50" w:line="360" w:lineRule="auto"/>
        <w:ind w:left="410" w:hanging="410" w:hangingChars="171"/>
        <w:rPr>
          <w:rFonts w:ascii="宋体"/>
          <w:sz w:val="24"/>
        </w:rPr>
      </w:pPr>
      <w:r>
        <w:rPr>
          <w:rFonts w:hint="eastAsia" w:ascii="宋体"/>
          <w:sz w:val="24"/>
        </w:rPr>
        <w:t>1.履行时间：</w:t>
      </w:r>
    </w:p>
    <w:p>
      <w:pPr>
        <w:snapToGrid w:val="0"/>
        <w:spacing w:beforeLines="50" w:afterLines="50" w:line="360" w:lineRule="auto"/>
        <w:ind w:left="410" w:hanging="410" w:hangingChars="171"/>
        <w:rPr>
          <w:rFonts w:ascii="宋体"/>
          <w:sz w:val="24"/>
        </w:rPr>
      </w:pPr>
      <w:r>
        <w:rPr>
          <w:rFonts w:hint="eastAsia" w:ascii="宋体"/>
          <w:sz w:val="24"/>
        </w:rPr>
        <w:t>2.履行方式：</w:t>
      </w:r>
    </w:p>
    <w:p>
      <w:pPr>
        <w:snapToGrid w:val="0"/>
        <w:spacing w:beforeLines="50" w:afterLines="50" w:line="360" w:lineRule="auto"/>
        <w:ind w:left="410" w:hanging="410" w:hangingChars="171"/>
        <w:rPr>
          <w:rFonts w:ascii="宋体"/>
          <w:sz w:val="24"/>
        </w:rPr>
      </w:pPr>
      <w:r>
        <w:rPr>
          <w:rFonts w:hint="eastAsia" w:ascii="宋体"/>
          <w:sz w:val="24"/>
        </w:rPr>
        <w:t>3.履行地点：</w:t>
      </w:r>
    </w:p>
    <w:p>
      <w:pPr>
        <w:snapToGrid w:val="0"/>
        <w:spacing w:beforeLines="50" w:afterLines="50" w:line="360" w:lineRule="auto"/>
        <w:ind w:left="412" w:hanging="412" w:hangingChars="171"/>
        <w:rPr>
          <w:rFonts w:ascii="宋体"/>
          <w:b/>
          <w:sz w:val="24"/>
        </w:rPr>
      </w:pPr>
      <w:r>
        <w:rPr>
          <w:rFonts w:hint="eastAsia" w:ascii="宋体"/>
          <w:b/>
          <w:sz w:val="24"/>
        </w:rPr>
        <w:t>八</w:t>
      </w:r>
      <w:r>
        <w:rPr>
          <w:rFonts w:ascii="宋体"/>
          <w:b/>
          <w:sz w:val="24"/>
        </w:rPr>
        <w:t>、</w:t>
      </w:r>
      <w:r>
        <w:rPr>
          <w:rFonts w:hint="eastAsia" w:ascii="宋体"/>
          <w:b/>
          <w:sz w:val="24"/>
        </w:rPr>
        <w:t>服务款</w:t>
      </w:r>
      <w:r>
        <w:rPr>
          <w:rFonts w:ascii="宋体"/>
          <w:b/>
          <w:sz w:val="24"/>
        </w:rPr>
        <w:t>支付</w:t>
      </w:r>
    </w:p>
    <w:p>
      <w:pPr>
        <w:snapToGrid w:val="0"/>
        <w:spacing w:beforeLines="50" w:afterLines="50" w:line="360" w:lineRule="auto"/>
        <w:rPr>
          <w:rFonts w:ascii="宋体"/>
          <w:bCs/>
          <w:sz w:val="24"/>
        </w:rPr>
      </w:pPr>
      <w:r>
        <w:rPr>
          <w:rFonts w:ascii="宋体"/>
          <w:bCs/>
          <w:sz w:val="24"/>
        </w:rPr>
        <w:t>1</w:t>
      </w:r>
      <w:r>
        <w:rPr>
          <w:rFonts w:hint="eastAsia" w:ascii="宋体"/>
          <w:bCs/>
          <w:sz w:val="24"/>
        </w:rPr>
        <w:t>.</w:t>
      </w:r>
      <w:r>
        <w:rPr>
          <w:rFonts w:ascii="宋体"/>
          <w:bCs/>
          <w:sz w:val="24"/>
          <w:highlight w:val="none"/>
        </w:rPr>
        <w:t>付款方式：</w:t>
      </w:r>
      <w:r>
        <w:rPr>
          <w:rFonts w:hint="eastAsia" w:ascii="宋体" w:hAnsi="宋体" w:cs="宋体"/>
          <w:b w:val="0"/>
          <w:bCs/>
          <w:kern w:val="0"/>
          <w:sz w:val="24"/>
          <w:highlight w:val="none"/>
          <w:lang w:eastAsia="zh-CN" w:bidi="ar"/>
        </w:rPr>
        <w:t>完成所有</w:t>
      </w:r>
      <w:r>
        <w:rPr>
          <w:rFonts w:hint="eastAsia" w:ascii="宋体" w:hAnsi="宋体" w:cs="宋体"/>
          <w:b w:val="0"/>
          <w:bCs/>
          <w:kern w:val="0"/>
          <w:sz w:val="24"/>
          <w:highlight w:val="none"/>
          <w:lang w:val="en-US" w:eastAsia="zh-CN" w:bidi="ar"/>
        </w:rPr>
        <w:t>系统</w:t>
      </w:r>
      <w:r>
        <w:rPr>
          <w:rFonts w:hint="eastAsia" w:ascii="宋体" w:hAnsi="宋体" w:cs="宋体"/>
          <w:b w:val="0"/>
          <w:bCs/>
          <w:kern w:val="0"/>
          <w:sz w:val="24"/>
          <w:highlight w:val="none"/>
          <w:lang w:eastAsia="zh-CN" w:bidi="ar"/>
        </w:rPr>
        <w:t>的建设、安装、运行及对接且验收合格后</w:t>
      </w:r>
      <w:r>
        <w:rPr>
          <w:rFonts w:hint="eastAsia" w:ascii="宋体" w:hAnsi="宋体" w:cs="宋体"/>
          <w:b w:val="0"/>
          <w:bCs/>
          <w:kern w:val="0"/>
          <w:sz w:val="24"/>
          <w:highlight w:val="none"/>
          <w:lang w:val="en-US" w:eastAsia="zh-CN" w:bidi="ar"/>
        </w:rPr>
        <w:t>30</w:t>
      </w:r>
      <w:r>
        <w:rPr>
          <w:rFonts w:hint="eastAsia" w:ascii="宋体" w:hAnsi="宋体" w:cs="宋体"/>
          <w:b w:val="0"/>
          <w:bCs/>
          <w:kern w:val="0"/>
          <w:sz w:val="24"/>
          <w:highlight w:val="none"/>
          <w:lang w:eastAsia="zh-CN" w:bidi="ar"/>
        </w:rPr>
        <w:t>日内</w:t>
      </w:r>
      <w:r>
        <w:rPr>
          <w:rFonts w:hint="eastAsia" w:ascii="宋体" w:hAnsi="宋体" w:cs="宋体"/>
          <w:b w:val="0"/>
          <w:bCs/>
          <w:kern w:val="0"/>
          <w:sz w:val="24"/>
          <w:highlight w:val="none"/>
          <w:lang w:val="en-US" w:eastAsia="zh-CN" w:bidi="ar"/>
        </w:rPr>
        <w:t>付清。</w:t>
      </w:r>
    </w:p>
    <w:p>
      <w:pPr>
        <w:snapToGrid w:val="0"/>
        <w:spacing w:beforeLines="50" w:afterLines="50" w:line="360" w:lineRule="auto"/>
        <w:rPr>
          <w:rFonts w:ascii="宋体"/>
          <w:b/>
          <w:sz w:val="24"/>
        </w:rPr>
      </w:pPr>
      <w:r>
        <w:rPr>
          <w:rFonts w:hint="eastAsia" w:ascii="宋体"/>
          <w:b/>
          <w:sz w:val="24"/>
        </w:rPr>
        <w:t>九、税费</w:t>
      </w:r>
    </w:p>
    <w:p>
      <w:pPr>
        <w:snapToGrid w:val="0"/>
        <w:spacing w:beforeLines="50" w:afterLines="50" w:line="360" w:lineRule="auto"/>
        <w:rPr>
          <w:rFonts w:ascii="宋体"/>
          <w:sz w:val="24"/>
        </w:rPr>
      </w:pPr>
      <w:r>
        <w:rPr>
          <w:rFonts w:hint="eastAsia" w:ascii="宋体"/>
          <w:sz w:val="24"/>
        </w:rPr>
        <w:t>本合同执行中相关的一切税费均由</w:t>
      </w:r>
      <w:r>
        <w:rPr>
          <w:rFonts w:ascii="宋体"/>
          <w:sz w:val="24"/>
        </w:rPr>
        <w:t>乙</w:t>
      </w:r>
      <w:r>
        <w:rPr>
          <w:rFonts w:hint="eastAsia" w:ascii="宋体"/>
          <w:sz w:val="24"/>
        </w:rPr>
        <w:t>方负担。</w:t>
      </w:r>
    </w:p>
    <w:p>
      <w:pPr>
        <w:snapToGrid w:val="0"/>
        <w:spacing w:beforeLines="50" w:afterLines="50" w:line="360" w:lineRule="auto"/>
        <w:ind w:left="412" w:hanging="412" w:hangingChars="171"/>
        <w:rPr>
          <w:rFonts w:ascii="宋体"/>
          <w:sz w:val="24"/>
        </w:rPr>
      </w:pPr>
      <w:r>
        <w:rPr>
          <w:rFonts w:ascii="宋体"/>
          <w:b/>
          <w:sz w:val="24"/>
        </w:rPr>
        <w:t>十、质量保证</w:t>
      </w:r>
      <w:r>
        <w:rPr>
          <w:rFonts w:hint="eastAsia" w:ascii="宋体"/>
          <w:b/>
          <w:sz w:val="24"/>
        </w:rPr>
        <w:t>、</w:t>
      </w:r>
      <w:r>
        <w:rPr>
          <w:rFonts w:ascii="宋体"/>
          <w:b/>
          <w:sz w:val="24"/>
        </w:rPr>
        <w:t>售后服务</w:t>
      </w:r>
      <w:r>
        <w:rPr>
          <w:rFonts w:hint="eastAsia" w:ascii="宋体"/>
          <w:b/>
          <w:sz w:val="24"/>
        </w:rPr>
        <w:t>及安全责任</w:t>
      </w:r>
    </w:p>
    <w:p>
      <w:pPr>
        <w:snapToGrid w:val="0"/>
        <w:spacing w:beforeLines="50" w:afterLines="50" w:line="360" w:lineRule="auto"/>
        <w:rPr>
          <w:rFonts w:ascii="宋体"/>
          <w:sz w:val="24"/>
          <w:highlight w:val="none"/>
        </w:rPr>
      </w:pPr>
      <w:r>
        <w:rPr>
          <w:rFonts w:hint="eastAsia" w:ascii="宋体"/>
          <w:sz w:val="24"/>
        </w:rPr>
        <w:t>1</w:t>
      </w:r>
      <w:r>
        <w:rPr>
          <w:rFonts w:hint="eastAsia" w:ascii="宋体"/>
          <w:sz w:val="24"/>
          <w:lang w:val="en-US" w:eastAsia="zh-CN"/>
        </w:rPr>
        <w:t>.</w:t>
      </w:r>
      <w:r>
        <w:rPr>
          <w:rFonts w:hint="eastAsia" w:ascii="宋体"/>
          <w:sz w:val="24"/>
          <w:highlight w:val="none"/>
        </w:rPr>
        <w:t>乙方应按招标文件规定向甲方提供服务。</w:t>
      </w:r>
    </w:p>
    <w:p>
      <w:pPr>
        <w:snapToGrid w:val="0"/>
        <w:spacing w:beforeLines="50" w:afterLines="50" w:line="360" w:lineRule="auto"/>
        <w:rPr>
          <w:rFonts w:ascii="宋体"/>
          <w:sz w:val="24"/>
          <w:highlight w:val="none"/>
        </w:rPr>
      </w:pPr>
      <w:r>
        <w:rPr>
          <w:rFonts w:hint="eastAsia" w:ascii="宋体"/>
          <w:sz w:val="24"/>
          <w:highlight w:val="none"/>
        </w:rPr>
        <w:t>2.根椐实际情况分别进行</w:t>
      </w:r>
      <w:r>
        <w:rPr>
          <w:rFonts w:hint="eastAsia" w:ascii="宋体"/>
          <w:sz w:val="24"/>
          <w:highlight w:val="none"/>
          <w:lang w:eastAsia="zh-CN"/>
        </w:rPr>
        <w:t>分批</w:t>
      </w:r>
      <w:r>
        <w:rPr>
          <w:rFonts w:hint="eastAsia" w:ascii="宋体"/>
          <w:sz w:val="24"/>
          <w:highlight w:val="none"/>
        </w:rPr>
        <w:t>验收。</w:t>
      </w:r>
    </w:p>
    <w:p>
      <w:pPr>
        <w:snapToGrid w:val="0"/>
        <w:spacing w:beforeLines="50" w:afterLines="50" w:line="360" w:lineRule="auto"/>
        <w:rPr>
          <w:rFonts w:ascii="宋体"/>
          <w:sz w:val="24"/>
        </w:rPr>
      </w:pPr>
      <w:r>
        <w:rPr>
          <w:rFonts w:hint="eastAsia" w:ascii="宋体"/>
          <w:sz w:val="24"/>
        </w:rPr>
        <w:t>3</w:t>
      </w:r>
      <w:r>
        <w:rPr>
          <w:rFonts w:hint="eastAsia" w:ascii="宋体"/>
          <w:sz w:val="24"/>
          <w:lang w:val="en-US" w:eastAsia="zh-CN"/>
        </w:rPr>
        <w:t>.</w:t>
      </w:r>
      <w:r>
        <w:rPr>
          <w:rFonts w:hint="eastAsia" w:ascii="宋体"/>
          <w:sz w:val="24"/>
        </w:rPr>
        <w:t>乙方提供的服务成果对达不到要求者，根据实际情况，经双方协商，可按以下办法处理：</w:t>
      </w:r>
    </w:p>
    <w:p>
      <w:pPr>
        <w:snapToGrid w:val="0"/>
        <w:spacing w:beforeLines="50" w:afterLines="50" w:line="360" w:lineRule="auto"/>
        <w:rPr>
          <w:rFonts w:ascii="宋体"/>
          <w:sz w:val="24"/>
        </w:rPr>
      </w:pPr>
      <w:r>
        <w:rPr>
          <w:rFonts w:hint="eastAsia" w:ascii="宋体"/>
          <w:sz w:val="24"/>
        </w:rPr>
        <w:t>⑴重做：由乙方承担所发生的全部费用。</w:t>
      </w:r>
    </w:p>
    <w:p>
      <w:pPr>
        <w:snapToGrid w:val="0"/>
        <w:spacing w:beforeLines="50" w:afterLines="50" w:line="360" w:lineRule="auto"/>
        <w:rPr>
          <w:rFonts w:ascii="宋体"/>
          <w:sz w:val="24"/>
        </w:rPr>
      </w:pPr>
      <w:r>
        <w:rPr>
          <w:rFonts w:hint="eastAsia" w:ascii="宋体"/>
          <w:sz w:val="24"/>
        </w:rPr>
        <w:t>⑵解除合同。</w:t>
      </w:r>
    </w:p>
    <w:p>
      <w:pPr>
        <w:snapToGrid w:val="0"/>
        <w:spacing w:beforeLines="50" w:afterLines="50" w:line="360" w:lineRule="auto"/>
        <w:rPr>
          <w:rFonts w:ascii="宋体"/>
          <w:sz w:val="24"/>
        </w:rPr>
      </w:pPr>
      <w:r>
        <w:rPr>
          <w:rFonts w:hint="eastAsia" w:ascii="宋体"/>
          <w:sz w:val="24"/>
        </w:rPr>
        <w:t>4</w:t>
      </w:r>
      <w:r>
        <w:rPr>
          <w:rFonts w:hint="eastAsia" w:ascii="宋体"/>
          <w:sz w:val="24"/>
          <w:lang w:val="en-US" w:eastAsia="zh-CN"/>
        </w:rPr>
        <w:t>.</w:t>
      </w:r>
      <w:r>
        <w:rPr>
          <w:rFonts w:hint="eastAsia" w:ascii="宋体"/>
          <w:sz w:val="24"/>
        </w:rPr>
        <w:t>如在服务过程中发生问题，乙方在接到甲方通知后在1小时内到达甲方现场。</w:t>
      </w:r>
    </w:p>
    <w:p>
      <w:pPr>
        <w:snapToGrid w:val="0"/>
        <w:spacing w:beforeLines="50" w:afterLines="50" w:line="360" w:lineRule="auto"/>
        <w:rPr>
          <w:rFonts w:ascii="宋体"/>
          <w:sz w:val="24"/>
        </w:rPr>
      </w:pPr>
      <w:r>
        <w:rPr>
          <w:rFonts w:hint="eastAsia" w:ascii="宋体"/>
          <w:sz w:val="24"/>
        </w:rPr>
        <w:t>5.服务期内设备保养、维护、更换等维保事项均由乙方负责，且保证设备完好、运行正常。除不可抗力外及非乙方原因引起的损坏，以上责任均在乙方（不可抗力外及非乙方原因引起的损坏责任双主协商解决）</w:t>
      </w:r>
    </w:p>
    <w:p>
      <w:pPr>
        <w:snapToGrid w:val="0"/>
        <w:spacing w:beforeLines="50" w:afterLines="50" w:line="360" w:lineRule="auto"/>
        <w:rPr>
          <w:rFonts w:ascii="宋体" w:hAnsi="宋体"/>
          <w:b/>
          <w:snapToGrid w:val="0"/>
          <w:kern w:val="0"/>
          <w:sz w:val="24"/>
        </w:rPr>
      </w:pPr>
      <w:r>
        <w:rPr>
          <w:rFonts w:hint="eastAsia" w:ascii="宋体"/>
          <w:sz w:val="24"/>
        </w:rPr>
        <w:t>6</w:t>
      </w:r>
      <w:r>
        <w:rPr>
          <w:rFonts w:ascii="宋体"/>
          <w:sz w:val="24"/>
        </w:rPr>
        <w:t>.</w:t>
      </w:r>
      <w:r>
        <w:rPr>
          <w:rFonts w:hint="eastAsia" w:ascii="宋体"/>
          <w:sz w:val="24"/>
        </w:rPr>
        <w:t>项目实施及运维过程中非甲方原因造成的安全事故全部由乙方自行负责。</w:t>
      </w:r>
    </w:p>
    <w:p>
      <w:pPr>
        <w:snapToGrid w:val="0"/>
        <w:spacing w:beforeLines="50" w:afterLines="50" w:line="360" w:lineRule="auto"/>
        <w:rPr>
          <w:rFonts w:ascii="宋体"/>
          <w:b/>
          <w:sz w:val="24"/>
        </w:rPr>
      </w:pPr>
      <w:r>
        <w:rPr>
          <w:rFonts w:ascii="宋体"/>
          <w:b/>
          <w:sz w:val="24"/>
        </w:rPr>
        <w:t>十</w:t>
      </w:r>
      <w:r>
        <w:rPr>
          <w:rFonts w:hint="eastAsia" w:ascii="宋体"/>
          <w:b/>
          <w:sz w:val="24"/>
        </w:rPr>
        <w:t>一</w:t>
      </w:r>
      <w:r>
        <w:rPr>
          <w:rFonts w:ascii="宋体"/>
          <w:b/>
          <w:sz w:val="24"/>
        </w:rPr>
        <w:t>、违约责任</w:t>
      </w:r>
    </w:p>
    <w:p>
      <w:pPr>
        <w:snapToGrid w:val="0"/>
        <w:spacing w:beforeLines="50" w:afterLines="50" w:line="360" w:lineRule="auto"/>
        <w:rPr>
          <w:rFonts w:ascii="宋体"/>
          <w:sz w:val="24"/>
        </w:rPr>
      </w:pPr>
      <w:r>
        <w:rPr>
          <w:rFonts w:hint="eastAsia" w:ascii="宋体"/>
          <w:sz w:val="24"/>
        </w:rPr>
        <w:t>1</w:t>
      </w:r>
      <w:r>
        <w:rPr>
          <w:rFonts w:hint="eastAsia" w:ascii="宋体"/>
          <w:sz w:val="24"/>
          <w:lang w:val="en-US" w:eastAsia="zh-CN"/>
        </w:rPr>
        <w:t>.</w:t>
      </w:r>
      <w:r>
        <w:rPr>
          <w:rFonts w:hint="eastAsia" w:ascii="宋体"/>
          <w:sz w:val="24"/>
        </w:rPr>
        <w:t>甲方无正当理由拒收接受服务的，甲方向乙方偿付合同款项百分之五作为违约金。</w:t>
      </w:r>
    </w:p>
    <w:p>
      <w:pPr>
        <w:snapToGrid w:val="0"/>
        <w:spacing w:beforeLines="50" w:afterLines="50" w:line="360" w:lineRule="auto"/>
        <w:rPr>
          <w:rFonts w:ascii="宋体"/>
          <w:sz w:val="24"/>
        </w:rPr>
      </w:pPr>
      <w:r>
        <w:rPr>
          <w:rFonts w:hint="eastAsia" w:ascii="宋体"/>
          <w:sz w:val="24"/>
        </w:rPr>
        <w:t>2.甲方无故逾期验收和办理款项支付手续的,甲方应按逾期付款总额每日万分之五向乙方支付违约金。</w:t>
      </w:r>
    </w:p>
    <w:p>
      <w:pPr>
        <w:snapToGrid w:val="0"/>
        <w:spacing w:beforeLines="50" w:afterLines="50" w:line="360" w:lineRule="auto"/>
        <w:rPr>
          <w:rFonts w:ascii="宋体"/>
          <w:sz w:val="24"/>
        </w:rPr>
      </w:pPr>
      <w:r>
        <w:rPr>
          <w:rFonts w:hint="eastAsia" w:ascii="宋体"/>
          <w:sz w:val="24"/>
        </w:rPr>
        <w:t>3.乙方未能如期提供服务的，每日向甲方支付合同款项的千分之六作为违约金。乙方超过约定日期1个月仍不能提供服务的（或在</w:t>
      </w:r>
      <w:r>
        <w:rPr>
          <w:rFonts w:hint="eastAsia" w:ascii="宋体"/>
          <w:sz w:val="24"/>
          <w:lang w:eastAsia="zh-CN"/>
        </w:rPr>
        <w:t>服务期</w:t>
      </w:r>
      <w:r>
        <w:rPr>
          <w:rFonts w:hint="eastAsia" w:ascii="宋体"/>
          <w:sz w:val="24"/>
        </w:rPr>
        <w:t>不能完成</w:t>
      </w:r>
      <w:r>
        <w:rPr>
          <w:rFonts w:hint="eastAsia" w:ascii="宋体"/>
          <w:sz w:val="24"/>
          <w:lang w:eastAsia="zh-CN"/>
        </w:rPr>
        <w:t>并</w:t>
      </w:r>
      <w:r>
        <w:rPr>
          <w:rFonts w:hint="eastAsia" w:ascii="宋体"/>
          <w:sz w:val="24"/>
        </w:rPr>
        <w:t xml:space="preserve">验收合格的），甲方可解除本合同。乙方因未能如期提供服务或因其他违约行为导致甲方解除合同的，乙方应向甲方支付合同总值5%的违约金，如造成甲方损失超过违约金的，超出部分由乙方继续承担赔偿责任。 </w:t>
      </w:r>
    </w:p>
    <w:p>
      <w:pPr>
        <w:snapToGrid w:val="0"/>
        <w:spacing w:beforeLines="50" w:afterLines="50" w:line="360" w:lineRule="auto"/>
        <w:rPr>
          <w:rFonts w:ascii="宋体"/>
          <w:sz w:val="24"/>
        </w:rPr>
      </w:pPr>
      <w:r>
        <w:rPr>
          <w:rFonts w:hint="eastAsia" w:ascii="宋体"/>
          <w:sz w:val="24"/>
        </w:rPr>
        <w:t>4.乙方违反合同第约定使用、转让本项目的数据图文资料，或违反保密义务向第三方泄露项目资料的，按合同总价的30%承担违约责任，违约金不足以弥补甲方损失的，甲方有权要求乙方赔偿甲方损失。</w:t>
      </w:r>
    </w:p>
    <w:p>
      <w:pPr>
        <w:snapToGrid w:val="0"/>
        <w:spacing w:beforeLines="50" w:afterLines="50" w:line="360" w:lineRule="auto"/>
        <w:rPr>
          <w:rFonts w:ascii="宋体"/>
          <w:sz w:val="24"/>
        </w:rPr>
      </w:pPr>
      <w:r>
        <w:rPr>
          <w:rFonts w:hint="eastAsia" w:ascii="宋体"/>
          <w:sz w:val="24"/>
          <w:lang w:val="en-US" w:eastAsia="zh-CN"/>
        </w:rPr>
        <w:t>5.</w:t>
      </w:r>
      <w:r>
        <w:rPr>
          <w:rFonts w:hint="eastAsia" w:ascii="宋体"/>
          <w:sz w:val="24"/>
        </w:rPr>
        <w:t>乙方违反合同约定发生设备损坏，在3日内没有修复，造成运行不能正常进行的，按500元/次承担违约责任。</w:t>
      </w:r>
    </w:p>
    <w:p>
      <w:pPr>
        <w:snapToGrid w:val="0"/>
        <w:spacing w:beforeLines="50" w:afterLines="50" w:line="360" w:lineRule="auto"/>
        <w:rPr>
          <w:rFonts w:ascii="宋体"/>
          <w:sz w:val="24"/>
        </w:rPr>
      </w:pPr>
      <w:r>
        <w:rPr>
          <w:rFonts w:hint="eastAsia" w:ascii="宋体"/>
          <w:sz w:val="24"/>
          <w:lang w:val="en-US" w:eastAsia="zh-CN"/>
        </w:rPr>
        <w:t>6.</w:t>
      </w:r>
      <w:r>
        <w:rPr>
          <w:rFonts w:hint="eastAsia" w:ascii="宋体"/>
          <w:sz w:val="24"/>
        </w:rPr>
        <w:t>乙方违反合同约定将项目转让给第三方的、未经甲方允许分包或分包不符合要求的，按合同总价金额的30%向甲方承担违约责任。</w:t>
      </w:r>
    </w:p>
    <w:p>
      <w:pPr>
        <w:snapToGrid w:val="0"/>
        <w:spacing w:beforeLines="50" w:afterLines="50" w:line="360" w:lineRule="auto"/>
        <w:rPr>
          <w:rFonts w:ascii="宋体"/>
          <w:sz w:val="24"/>
        </w:rPr>
      </w:pPr>
      <w:r>
        <w:rPr>
          <w:rFonts w:hint="eastAsia" w:ascii="宋体"/>
          <w:sz w:val="24"/>
          <w:lang w:val="en-US" w:eastAsia="zh-CN"/>
        </w:rPr>
        <w:t>7.</w:t>
      </w:r>
      <w:r>
        <w:rPr>
          <w:rFonts w:hint="eastAsia" w:ascii="宋体"/>
          <w:sz w:val="24"/>
        </w:rPr>
        <w:t>项目建成但无法通过验收的，甲方有权不预支付一切费用，且有权单方解除合同，并要求乙方向甲方承担合同总价30%计算的违约金。</w:t>
      </w:r>
    </w:p>
    <w:p>
      <w:pPr>
        <w:snapToGrid w:val="0"/>
        <w:spacing w:beforeLines="50" w:afterLines="50" w:line="360" w:lineRule="auto"/>
        <w:rPr>
          <w:rFonts w:ascii="宋体"/>
          <w:sz w:val="24"/>
        </w:rPr>
      </w:pPr>
      <w:r>
        <w:rPr>
          <w:rFonts w:hint="eastAsia" w:ascii="宋体"/>
          <w:sz w:val="24"/>
          <w:lang w:val="en-US" w:eastAsia="zh-CN"/>
        </w:rPr>
        <w:t>8.</w:t>
      </w:r>
      <w:r>
        <w:rPr>
          <w:rFonts w:hint="eastAsia" w:ascii="宋体"/>
          <w:sz w:val="24"/>
        </w:rPr>
        <w:t>后续服务中，乙方提供的数据图片不符合要求、或调供系统出现重大故障，经整改后仍未达到要求的，甲方有权单方解除合同，并要求乙方返还甲方已支付的款项，且乙方应向甲方承担按合同总价30%计算的违约金</w:t>
      </w:r>
    </w:p>
    <w:p>
      <w:pPr>
        <w:snapToGrid w:val="0"/>
        <w:spacing w:beforeLines="50" w:afterLines="50" w:line="360" w:lineRule="auto"/>
        <w:rPr>
          <w:rFonts w:ascii="宋体"/>
          <w:b/>
          <w:sz w:val="24"/>
        </w:rPr>
      </w:pPr>
      <w:r>
        <w:rPr>
          <w:rFonts w:ascii="宋体"/>
          <w:b/>
          <w:sz w:val="24"/>
        </w:rPr>
        <w:t>十</w:t>
      </w:r>
      <w:r>
        <w:rPr>
          <w:rFonts w:hint="eastAsia" w:ascii="宋体"/>
          <w:b/>
          <w:sz w:val="24"/>
        </w:rPr>
        <w:t>二</w:t>
      </w:r>
      <w:r>
        <w:rPr>
          <w:rFonts w:ascii="宋体"/>
          <w:b/>
          <w:sz w:val="24"/>
        </w:rPr>
        <w:t>、不可抗力事件处理</w:t>
      </w:r>
    </w:p>
    <w:p>
      <w:pPr>
        <w:snapToGrid w:val="0"/>
        <w:spacing w:beforeLines="50" w:afterLines="50" w:line="360" w:lineRule="auto"/>
        <w:rPr>
          <w:rFonts w:ascii="宋体"/>
          <w:b/>
          <w:sz w:val="24"/>
        </w:rPr>
      </w:pPr>
      <w:r>
        <w:rPr>
          <w:rFonts w:ascii="宋体"/>
          <w:sz w:val="24"/>
        </w:rPr>
        <w:t>1</w:t>
      </w:r>
      <w:r>
        <w:rPr>
          <w:rFonts w:hint="eastAsia" w:ascii="宋体"/>
          <w:sz w:val="24"/>
        </w:rPr>
        <w:t>.</w:t>
      </w:r>
      <w:r>
        <w:rPr>
          <w:rFonts w:ascii="宋体"/>
          <w:sz w:val="24"/>
        </w:rPr>
        <w:t>在合同有效期内，任何一方因不可抗力事件导致不能履行合同，则合同履行期可延长，其延长期与不可抗力影响期相同。</w:t>
      </w:r>
    </w:p>
    <w:p>
      <w:pPr>
        <w:snapToGrid w:val="0"/>
        <w:spacing w:beforeLines="50" w:afterLines="50" w:line="360" w:lineRule="auto"/>
        <w:rPr>
          <w:rFonts w:ascii="宋体"/>
          <w:sz w:val="24"/>
        </w:rPr>
      </w:pPr>
      <w:r>
        <w:rPr>
          <w:rFonts w:ascii="宋体"/>
          <w:sz w:val="24"/>
        </w:rPr>
        <w:t>2.不可抗力事件发生后，应立即通知对方，并寄送有关权威机构出具的证明。</w:t>
      </w:r>
    </w:p>
    <w:p>
      <w:pPr>
        <w:snapToGrid w:val="0"/>
        <w:spacing w:beforeLines="50" w:afterLines="50" w:line="360" w:lineRule="auto"/>
        <w:rPr>
          <w:rFonts w:ascii="宋体"/>
          <w:sz w:val="24"/>
        </w:rPr>
      </w:pPr>
      <w:r>
        <w:rPr>
          <w:rFonts w:ascii="宋体"/>
          <w:sz w:val="24"/>
        </w:rPr>
        <w:t>3.不可抗力事件延续120天以上，双方应通过友好协商，确定是否继续履行合同。</w:t>
      </w:r>
    </w:p>
    <w:p>
      <w:pPr>
        <w:snapToGrid w:val="0"/>
        <w:spacing w:beforeLines="50" w:afterLines="50" w:line="360" w:lineRule="auto"/>
        <w:rPr>
          <w:rFonts w:ascii="宋体"/>
          <w:b/>
          <w:sz w:val="24"/>
        </w:rPr>
      </w:pPr>
      <w:r>
        <w:rPr>
          <w:rFonts w:ascii="宋体"/>
          <w:b/>
          <w:sz w:val="24"/>
        </w:rPr>
        <w:t>十</w:t>
      </w:r>
      <w:r>
        <w:rPr>
          <w:rFonts w:hint="eastAsia" w:ascii="宋体"/>
          <w:b/>
          <w:sz w:val="24"/>
        </w:rPr>
        <w:t>三</w:t>
      </w:r>
      <w:r>
        <w:rPr>
          <w:rFonts w:ascii="宋体"/>
          <w:b/>
          <w:sz w:val="24"/>
        </w:rPr>
        <w:t>、诉讼</w:t>
      </w:r>
    </w:p>
    <w:p>
      <w:pPr>
        <w:snapToGrid w:val="0"/>
        <w:spacing w:beforeLines="50" w:afterLines="50" w:line="360" w:lineRule="auto"/>
        <w:ind w:firstLine="480" w:firstLineChars="200"/>
        <w:rPr>
          <w:rFonts w:ascii="宋体"/>
          <w:sz w:val="24"/>
        </w:rPr>
      </w:pPr>
      <w:r>
        <w:rPr>
          <w:rFonts w:ascii="宋体"/>
          <w:sz w:val="24"/>
        </w:rPr>
        <w:t>双方在执行合同中所发生的一切争议，应通过协商解决。如协商不成，</w:t>
      </w:r>
      <w:r>
        <w:rPr>
          <w:rFonts w:hint="eastAsia" w:ascii="宋体"/>
          <w:sz w:val="24"/>
        </w:rPr>
        <w:t>可向甲方所在地</w:t>
      </w:r>
      <w:r>
        <w:rPr>
          <w:rFonts w:hint="eastAsia" w:ascii="宋体"/>
          <w:sz w:val="24"/>
          <w:u w:val="single"/>
        </w:rPr>
        <w:t>人民法院</w:t>
      </w:r>
      <w:r>
        <w:rPr>
          <w:rFonts w:hint="eastAsia" w:ascii="宋体"/>
          <w:sz w:val="24"/>
        </w:rPr>
        <w:t>提起诉讼。</w:t>
      </w:r>
    </w:p>
    <w:p>
      <w:pPr>
        <w:snapToGrid w:val="0"/>
        <w:spacing w:beforeLines="50" w:afterLines="50" w:line="360" w:lineRule="auto"/>
        <w:rPr>
          <w:rFonts w:ascii="宋体"/>
          <w:b/>
          <w:sz w:val="24"/>
        </w:rPr>
      </w:pPr>
      <w:r>
        <w:rPr>
          <w:rFonts w:ascii="宋体"/>
          <w:b/>
          <w:sz w:val="24"/>
        </w:rPr>
        <w:t>十</w:t>
      </w:r>
      <w:r>
        <w:rPr>
          <w:rFonts w:hint="eastAsia" w:ascii="宋体"/>
          <w:b/>
          <w:sz w:val="24"/>
        </w:rPr>
        <w:t>四</w:t>
      </w:r>
      <w:r>
        <w:rPr>
          <w:rFonts w:ascii="宋体"/>
          <w:b/>
          <w:sz w:val="24"/>
        </w:rPr>
        <w:t>、合同生效及其它</w:t>
      </w:r>
    </w:p>
    <w:p>
      <w:pPr>
        <w:snapToGrid w:val="0"/>
        <w:spacing w:beforeLines="50" w:afterLines="50" w:line="360" w:lineRule="auto"/>
        <w:rPr>
          <w:rFonts w:ascii="宋体"/>
          <w:sz w:val="24"/>
        </w:rPr>
      </w:pPr>
      <w:r>
        <w:rPr>
          <w:rFonts w:ascii="宋体"/>
          <w:sz w:val="24"/>
        </w:rPr>
        <w:t>1</w:t>
      </w:r>
      <w:r>
        <w:rPr>
          <w:rFonts w:hint="eastAsia" w:ascii="宋体"/>
          <w:sz w:val="24"/>
        </w:rPr>
        <w:t>.</w:t>
      </w:r>
      <w:r>
        <w:rPr>
          <w:rFonts w:ascii="宋体"/>
          <w:sz w:val="24"/>
        </w:rPr>
        <w:t>合同经双方法定代表人或授权代表签字并加盖单位公章后生效。</w:t>
      </w:r>
    </w:p>
    <w:p>
      <w:pPr>
        <w:snapToGrid w:val="0"/>
        <w:spacing w:beforeLines="50" w:afterLines="50" w:line="360" w:lineRule="auto"/>
        <w:ind w:left="480" w:hanging="480" w:hangingChars="200"/>
        <w:rPr>
          <w:rFonts w:ascii="宋体"/>
          <w:sz w:val="24"/>
        </w:rPr>
      </w:pPr>
      <w:r>
        <w:rPr>
          <w:rFonts w:hint="eastAsia" w:ascii="宋体"/>
          <w:sz w:val="24"/>
        </w:rPr>
        <w:t>2.</w:t>
      </w:r>
      <w:r>
        <w:rPr>
          <w:rFonts w:ascii="宋体"/>
          <w:sz w:val="24"/>
        </w:rPr>
        <w:t>本合同未尽事宜，遵照《中华人民共和国民法典》有关条文执行。</w:t>
      </w:r>
    </w:p>
    <w:p>
      <w:pPr>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sz w:val="24"/>
        </w:rPr>
        <w:t>3.</w:t>
      </w:r>
      <w:r>
        <w:rPr>
          <w:rFonts w:hint="eastAsia" w:ascii="宋体"/>
          <w:kern w:val="0"/>
          <w:sz w:val="24"/>
        </w:rPr>
        <w:t xml:space="preserve"> </w:t>
      </w:r>
      <w:r>
        <w:rPr>
          <w:rFonts w:hint="eastAsia" w:ascii="宋体"/>
          <w:b/>
          <w:sz w:val="24"/>
        </w:rPr>
        <w:t>本合同一式</w:t>
      </w:r>
      <w:r>
        <w:rPr>
          <w:rFonts w:hint="eastAsia" w:ascii="宋体"/>
          <w:b/>
          <w:sz w:val="24"/>
          <w:lang w:val="en-US" w:eastAsia="zh-CN"/>
        </w:rPr>
        <w:t>陆</w:t>
      </w:r>
      <w:r>
        <w:rPr>
          <w:rFonts w:hint="eastAsia" w:ascii="宋体"/>
          <w:b/>
          <w:sz w:val="24"/>
        </w:rPr>
        <w:t>份。甲、乙双方各执叁份。本项目未尽事宜以招标文件、投标文件及澄清文件等为准，并作为合同的组成部分。</w:t>
      </w:r>
    </w:p>
    <w:p>
      <w:pPr>
        <w:widowControl/>
        <w:spacing w:line="360" w:lineRule="auto"/>
        <w:rPr>
          <w:rFonts w:hint="eastAsia" w:ascii="宋体" w:hAnsi="宋体" w:eastAsia="宋体" w:cs="宋体"/>
          <w:kern w:val="0"/>
          <w:sz w:val="24"/>
          <w:szCs w:val="24"/>
        </w:rPr>
      </w:pPr>
    </w:p>
    <w:p>
      <w:pPr>
        <w:widowControl/>
        <w:spacing w:line="360" w:lineRule="auto"/>
        <w:rPr>
          <w:rFonts w:hint="eastAsia" w:ascii="宋体" w:hAnsi="宋体" w:eastAsia="宋体" w:cs="宋体"/>
          <w:b/>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甲方（公章）                             乙方（公章）</w:t>
      </w:r>
    </w:p>
    <w:p>
      <w:pPr>
        <w:spacing w:line="360" w:lineRule="auto"/>
        <w:rPr>
          <w:rFonts w:hint="eastAsia" w:ascii="宋体" w:hAnsi="宋体" w:eastAsia="宋体" w:cs="宋体"/>
          <w:sz w:val="24"/>
          <w:szCs w:val="24"/>
        </w:rPr>
      </w:pPr>
      <w:r>
        <w:rPr>
          <w:rFonts w:hint="eastAsia" w:ascii="宋体" w:hAnsi="宋体" w:eastAsia="宋体" w:cs="宋体"/>
          <w:sz w:val="24"/>
          <w:szCs w:val="24"/>
        </w:rPr>
        <w:t>法定代表人：                             法定代表人：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委托代理人：                             委托代理人：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联系电话：                               联系电话：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开户银行：                               开户银行：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账号：                                   账号：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地址：                                   地址：</w:t>
      </w:r>
    </w:p>
    <w:p>
      <w:pPr>
        <w:keepNext w:val="0"/>
        <w:keepLines w:val="0"/>
        <w:pageBreakBefore w:val="0"/>
        <w:widowControl w:val="0"/>
        <w:kinsoku/>
        <w:wordWrap/>
        <w:overflowPunct/>
        <w:topLinePunct w:val="0"/>
        <w:autoSpaceDE/>
        <w:autoSpaceDN/>
        <w:bidi w:val="0"/>
        <w:adjustRightInd/>
        <w:snapToGrid/>
        <w:spacing w:line="360" w:lineRule="auto"/>
        <w:textAlignment w:val="auto"/>
        <w:rPr>
          <w:b/>
          <w:bCs/>
        </w:rPr>
      </w:pPr>
      <w:r>
        <w:rPr>
          <w:rFonts w:hint="eastAsia" w:ascii="宋体" w:hAnsi="宋体" w:eastAsia="宋体" w:cs="宋体"/>
          <w:sz w:val="24"/>
          <w:szCs w:val="24"/>
        </w:rPr>
        <w:t>签订时间：    年   月    日</w:t>
      </w:r>
    </w:p>
    <w:p>
      <w:pPr>
        <w:rPr>
          <w:b/>
          <w:bCs/>
        </w:rPr>
      </w:pPr>
    </w:p>
    <w:p>
      <w:pPr>
        <w:rPr>
          <w:b/>
          <w:bCs/>
        </w:rPr>
      </w:pPr>
    </w:p>
    <w:p>
      <w:pPr>
        <w:rPr>
          <w:b/>
          <w:bCs/>
        </w:rPr>
      </w:pPr>
    </w:p>
    <w:p>
      <w:pPr>
        <w:rPr>
          <w:b/>
          <w:bCs/>
        </w:rPr>
      </w:pPr>
    </w:p>
    <w:p>
      <w:pPr>
        <w:rPr>
          <w:b/>
          <w:bCs/>
        </w:rPr>
      </w:pPr>
    </w:p>
    <w:p>
      <w:pPr>
        <w:rPr>
          <w:b/>
          <w:bCs/>
        </w:rPr>
      </w:pPr>
    </w:p>
    <w:p>
      <w:pPr>
        <w:rPr>
          <w:b/>
          <w:bCs/>
          <w:sz w:val="30"/>
          <w:szCs w:val="30"/>
        </w:rPr>
      </w:pPr>
    </w:p>
    <w:p>
      <w:pPr>
        <w:ind w:firstLine="1807" w:firstLineChars="600"/>
        <w:rPr>
          <w:b/>
          <w:bCs/>
          <w:sz w:val="30"/>
          <w:szCs w:val="30"/>
        </w:rPr>
      </w:pPr>
    </w:p>
    <w:p>
      <w:pPr>
        <w:ind w:firstLine="1807" w:firstLineChars="600"/>
        <w:rPr>
          <w:b/>
          <w:bCs/>
          <w:sz w:val="30"/>
          <w:szCs w:val="30"/>
        </w:rPr>
      </w:pPr>
    </w:p>
    <w:p>
      <w:pPr>
        <w:ind w:firstLine="1807" w:firstLineChars="600"/>
        <w:rPr>
          <w:b/>
          <w:bCs/>
          <w:sz w:val="30"/>
          <w:szCs w:val="30"/>
        </w:rPr>
      </w:pPr>
    </w:p>
    <w:p>
      <w:pPr>
        <w:spacing w:line="460" w:lineRule="exact"/>
        <w:ind w:firstLine="495"/>
      </w:pPr>
    </w:p>
    <w:p>
      <w:pPr>
        <w:pStyle w:val="3"/>
        <w:numPr>
          <w:ilvl w:val="0"/>
          <w:numId w:val="0"/>
        </w:numPr>
        <w:spacing w:before="0" w:after="0" w:line="360" w:lineRule="auto"/>
        <w:ind w:left="425"/>
        <w:jc w:val="both"/>
        <w:rPr>
          <w:sz w:val="32"/>
          <w:szCs w:val="32"/>
        </w:rPr>
      </w:pPr>
    </w:p>
    <w:p>
      <w:pPr>
        <w:rPr>
          <w:rFonts w:hAnsi="宋体"/>
          <w:b/>
          <w:sz w:val="28"/>
          <w:szCs w:val="28"/>
        </w:rPr>
        <w:sectPr>
          <w:pgSz w:w="11906" w:h="16838"/>
          <w:pgMar w:top="1247" w:right="1361" w:bottom="1247" w:left="1361" w:header="851" w:footer="851" w:gutter="0"/>
          <w:pgBorders>
            <w:top w:val="none" w:sz="0" w:space="0"/>
            <w:left w:val="none" w:sz="0" w:space="0"/>
            <w:bottom w:val="none" w:sz="0" w:space="0"/>
            <w:right w:val="none" w:sz="0" w:space="0"/>
          </w:pgBorders>
          <w:pgNumType w:fmt="numberInDash"/>
          <w:cols w:space="720" w:num="1"/>
          <w:docGrid w:type="lines" w:linePitch="312" w:charSpace="0"/>
        </w:sectPr>
      </w:pPr>
    </w:p>
    <w:p>
      <w:pPr>
        <w:spacing w:line="360" w:lineRule="auto"/>
        <w:jc w:val="center"/>
        <w:rPr>
          <w:rFonts w:asciiTheme="minorEastAsia" w:hAnsiTheme="minorEastAsia" w:eastAsiaTheme="minorEastAsia"/>
          <w:b/>
          <w:sz w:val="36"/>
          <w:szCs w:val="36"/>
        </w:rPr>
      </w:pPr>
      <w:bookmarkStart w:id="43" w:name="_Toc5481_WPSOffice_Level1"/>
      <w:r>
        <w:rPr>
          <w:rFonts w:hint="eastAsia" w:asciiTheme="minorEastAsia" w:hAnsiTheme="minorEastAsia" w:eastAsiaTheme="minorEastAsia"/>
          <w:b/>
          <w:sz w:val="36"/>
          <w:szCs w:val="36"/>
        </w:rPr>
        <w:t>第六章 投标文件格式</w:t>
      </w:r>
      <w:bookmarkEnd w:id="43"/>
    </w:p>
    <w:p>
      <w:pPr>
        <w:spacing w:line="360" w:lineRule="auto"/>
        <w:rPr>
          <w:rFonts w:asciiTheme="minorEastAsia" w:hAnsiTheme="minorEastAsia" w:eastAsiaTheme="minorEastAsia"/>
          <w:b/>
          <w:sz w:val="30"/>
          <w:szCs w:val="30"/>
        </w:rPr>
      </w:pPr>
    </w:p>
    <w:p>
      <w:pPr>
        <w:jc w:val="center"/>
        <w:rPr>
          <w:sz w:val="44"/>
          <w:szCs w:val="44"/>
        </w:rPr>
      </w:pPr>
      <w:r>
        <w:rPr>
          <w:rFonts w:hint="eastAsia"/>
          <w:sz w:val="44"/>
          <w:szCs w:val="44"/>
          <w:lang w:eastAsia="zh-CN"/>
        </w:rPr>
        <w:t>云湖小学智慧上放学交通系统项目</w:t>
      </w:r>
    </w:p>
    <w:p>
      <w:pPr>
        <w:spacing w:before="312" w:beforeLines="100" w:line="360" w:lineRule="auto"/>
        <w:ind w:right="-108"/>
        <w:jc w:val="center"/>
        <w:rPr>
          <w:rFonts w:ascii="宋体" w:hAnsi="宋体"/>
          <w:sz w:val="36"/>
          <w:szCs w:val="36"/>
        </w:rPr>
      </w:pPr>
      <w:r>
        <w:rPr>
          <w:rFonts w:hint="eastAsia" w:ascii="宋体" w:hAnsi="宋体"/>
          <w:sz w:val="36"/>
          <w:szCs w:val="36"/>
        </w:rPr>
        <w:t>项目编号：</w:t>
      </w:r>
    </w:p>
    <w:p>
      <w:pPr>
        <w:pStyle w:val="24"/>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36"/>
          <w:szCs w:val="36"/>
        </w:rPr>
      </w:pPr>
      <w:r>
        <w:rPr>
          <w:rFonts w:hint="eastAsia" w:ascii="宋体" w:hAnsi="宋体" w:cs="宋体"/>
          <w:sz w:val="36"/>
          <w:szCs w:val="36"/>
          <w:lang w:val="zh-CN"/>
        </w:rPr>
        <w:t>（</w:t>
      </w:r>
      <w:r>
        <w:rPr>
          <w:rFonts w:hint="eastAsia" w:ascii="宋体" w:hAnsi="宋体"/>
          <w:b/>
          <w:sz w:val="36"/>
          <w:szCs w:val="36"/>
        </w:rPr>
        <w:t>资格标）</w:t>
      </w:r>
    </w:p>
    <w:p>
      <w:pPr>
        <w:pStyle w:val="24"/>
      </w:pPr>
    </w:p>
    <w:p>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Pr>
        <w:pStyle w:val="10"/>
        <w:rPr>
          <w:rFonts w:ascii="仿宋_GB2312" w:hAnsi="宋体" w:eastAsia="仿宋_GB2312"/>
          <w:b/>
          <w:sz w:val="36"/>
          <w:szCs w:val="36"/>
        </w:rPr>
      </w:pPr>
    </w:p>
    <w:p>
      <w:pPr>
        <w:pStyle w:val="23"/>
        <w:ind w:firstLine="480"/>
      </w:pPr>
    </w:p>
    <w:p>
      <w:pPr>
        <w:pStyle w:val="6"/>
        <w:rPr>
          <w:rFonts w:ascii="仿宋_GB2312" w:hAnsi="宋体" w:eastAsia="仿宋_GB2312"/>
          <w:b/>
          <w:sz w:val="36"/>
          <w:szCs w:val="36"/>
        </w:rPr>
      </w:pPr>
    </w:p>
    <w:p>
      <w:pPr>
        <w:spacing w:line="360" w:lineRule="auto"/>
        <w:jc w:val="center"/>
        <w:rPr>
          <w:b/>
          <w:bCs/>
          <w:sz w:val="36"/>
          <w:szCs w:val="36"/>
        </w:rPr>
      </w:pPr>
      <w:r>
        <w:rPr>
          <w:rFonts w:hint="eastAsia"/>
          <w:b/>
          <w:bCs/>
          <w:sz w:val="36"/>
          <w:szCs w:val="36"/>
        </w:rPr>
        <w:t>资格标目录</w:t>
      </w:r>
    </w:p>
    <w:p>
      <w:pPr>
        <w:spacing w:line="360" w:lineRule="auto"/>
        <w:ind w:firstLine="560" w:firstLineChars="200"/>
        <w:rPr>
          <w:sz w:val="28"/>
          <w:szCs w:val="36"/>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ascii="宋体" w:hAnsi="宋体" w:cs="宋体"/>
          <w:sz w:val="24"/>
        </w:rPr>
      </w:pPr>
      <w:r>
        <w:rPr>
          <w:rFonts w:hint="eastAsia" w:ascii="宋体" w:hAnsi="宋体" w:cs="宋体"/>
          <w:sz w:val="24"/>
        </w:rPr>
        <w:t>（1）投标声明书（</w:t>
      </w:r>
      <w:r>
        <w:rPr>
          <w:rFonts w:hint="eastAsia" w:ascii="宋体" w:hAnsi="宋体" w:cs="宋体"/>
          <w:sz w:val="24"/>
          <w:highlight w:val="none"/>
        </w:rPr>
        <w:t>详见附件</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ascii="宋体" w:hAnsi="宋体" w:cs="宋体"/>
          <w:sz w:val="24"/>
        </w:rPr>
      </w:pPr>
      <w:r>
        <w:rPr>
          <w:rFonts w:hint="eastAsia" w:ascii="宋体" w:hAnsi="宋体" w:cs="宋体"/>
          <w:sz w:val="24"/>
        </w:rPr>
        <w:t>（2）授权委托书（法定代表人亲自办理投标事宜的，则无需提交；详见附件）；</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ascii="宋体" w:hAnsi="宋体" w:cs="宋体"/>
          <w:sz w:val="24"/>
        </w:rPr>
      </w:pPr>
      <w:r>
        <w:rPr>
          <w:rFonts w:hint="eastAsia" w:ascii="宋体" w:hAnsi="宋体" w:cs="宋体"/>
          <w:sz w:val="24"/>
        </w:rPr>
        <w:t>（3）法人或者其他组织的营业执照等证明文件；</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ascii="宋体" w:hAnsi="宋体" w:cs="宋体"/>
          <w:sz w:val="24"/>
        </w:rPr>
      </w:pPr>
      <w:r>
        <w:rPr>
          <w:rFonts w:hint="eastAsia" w:ascii="宋体" w:hAnsi="宋体" w:cs="宋体"/>
          <w:sz w:val="24"/>
        </w:rPr>
        <w:t>（4）具有依法缴纳税收和社会保障资金证明的承诺函（</w:t>
      </w:r>
      <w:r>
        <w:rPr>
          <w:rFonts w:hint="eastAsia" w:ascii="宋体" w:hAnsi="宋体" w:cs="宋体"/>
          <w:sz w:val="24"/>
          <w:highlight w:val="none"/>
        </w:rPr>
        <w:t>详见附件</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ascii="宋体" w:hAnsi="宋体" w:cs="宋体"/>
          <w:sz w:val="24"/>
        </w:rPr>
      </w:pPr>
      <w:r>
        <w:rPr>
          <w:rFonts w:hint="eastAsia" w:ascii="宋体" w:hAnsi="宋体" w:cs="宋体"/>
          <w:sz w:val="24"/>
        </w:rPr>
        <w:t>（5）具有良好的商业信誉和健全的财务会计制度的承诺函（</w:t>
      </w:r>
      <w:r>
        <w:rPr>
          <w:rFonts w:hint="eastAsia" w:ascii="宋体" w:hAnsi="宋体" w:cs="宋体"/>
          <w:sz w:val="24"/>
          <w:highlight w:val="none"/>
        </w:rPr>
        <w:t>详见附件</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ascii="宋体" w:hAnsi="宋体" w:cs="宋体"/>
          <w:sz w:val="24"/>
        </w:rPr>
      </w:pPr>
      <w:r>
        <w:rPr>
          <w:rFonts w:hint="eastAsia" w:ascii="宋体" w:hAnsi="宋体" w:cs="宋体"/>
          <w:sz w:val="24"/>
        </w:rPr>
        <w:t>（6）具有履行合同所必须的设备和专业技术能力的承诺函（</w:t>
      </w:r>
      <w:r>
        <w:rPr>
          <w:rFonts w:hint="eastAsia" w:ascii="宋体" w:hAnsi="宋体" w:cs="宋体"/>
          <w:sz w:val="24"/>
          <w:highlight w:val="none"/>
        </w:rPr>
        <w:t>详见附件</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ascii="宋体" w:hAnsi="宋体" w:cs="宋体"/>
          <w:sz w:val="24"/>
        </w:rPr>
      </w:pPr>
      <w:r>
        <w:rPr>
          <w:rFonts w:hint="eastAsia" w:ascii="宋体" w:hAnsi="宋体" w:cs="宋体"/>
          <w:sz w:val="24"/>
        </w:rPr>
        <w:t>（7）需要说明的其他资料。</w:t>
      </w:r>
    </w:p>
    <w:p>
      <w:pPr>
        <w:spacing w:line="360" w:lineRule="auto"/>
        <w:rPr>
          <w:rFonts w:ascii="宋体" w:hAnsi="宋体"/>
          <w:b/>
          <w:sz w:val="28"/>
        </w:rPr>
      </w:pPr>
    </w:p>
    <w:p>
      <w:pPr>
        <w:spacing w:line="360" w:lineRule="auto"/>
        <w:ind w:left="420"/>
        <w:rPr>
          <w:rFonts w:ascii="宋体" w:hAnsi="宋体"/>
          <w:b/>
          <w:sz w:val="28"/>
        </w:rPr>
      </w:pPr>
    </w:p>
    <w:p>
      <w:pPr>
        <w:pStyle w:val="33"/>
        <w:rPr>
          <w:rFonts w:ascii="宋体" w:hAnsi="宋体"/>
          <w:b/>
          <w:sz w:val="28"/>
        </w:rPr>
      </w:pPr>
    </w:p>
    <w:p>
      <w:pPr>
        <w:pStyle w:val="33"/>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rPr>
          <w:rFonts w:ascii="宋体" w:hAnsi="宋体"/>
          <w:b/>
          <w:sz w:val="28"/>
        </w:rPr>
      </w:pPr>
    </w:p>
    <w:p>
      <w:pPr>
        <w:pStyle w:val="3"/>
        <w:numPr>
          <w:ilvl w:val="0"/>
          <w:numId w:val="0"/>
        </w:numPr>
        <w:ind w:left="425"/>
        <w:jc w:val="both"/>
      </w:pPr>
    </w:p>
    <w:p/>
    <w:p>
      <w:pPr>
        <w:pStyle w:val="6"/>
        <w:rPr>
          <w:rFonts w:ascii="宋体" w:hAnsi="宋体"/>
          <w:b/>
          <w:sz w:val="28"/>
        </w:rPr>
      </w:pPr>
    </w:p>
    <w:p>
      <w:pPr>
        <w:pStyle w:val="6"/>
        <w:rPr>
          <w:rFonts w:ascii="宋体" w:hAnsi="宋体"/>
          <w:b/>
          <w:sz w:val="28"/>
        </w:rPr>
      </w:pPr>
    </w:p>
    <w:p>
      <w:pPr>
        <w:pStyle w:val="6"/>
        <w:rPr>
          <w:rFonts w:ascii="宋体" w:hAnsi="宋体"/>
          <w:b/>
          <w:sz w:val="28"/>
        </w:rPr>
      </w:pPr>
    </w:p>
    <w:p>
      <w:pPr>
        <w:spacing w:line="312" w:lineRule="auto"/>
        <w:rPr>
          <w:rFonts w:hint="eastAsia" w:ascii="宋体" w:hAnsi="宋体"/>
          <w:b/>
          <w:sz w:val="28"/>
        </w:rPr>
      </w:pPr>
    </w:p>
    <w:p>
      <w:pPr>
        <w:spacing w:line="312" w:lineRule="auto"/>
        <w:rPr>
          <w:rFonts w:hint="eastAsia" w:ascii="宋体" w:hAnsi="宋体"/>
          <w:b/>
          <w:sz w:val="28"/>
        </w:rPr>
      </w:pPr>
    </w:p>
    <w:p>
      <w:pPr>
        <w:spacing w:line="312" w:lineRule="auto"/>
        <w:rPr>
          <w:rFonts w:ascii="宋体" w:hAnsi="宋体"/>
          <w:b/>
          <w:sz w:val="28"/>
        </w:rPr>
      </w:pPr>
      <w:r>
        <w:rPr>
          <w:rFonts w:hint="eastAsia" w:ascii="宋体" w:hAnsi="宋体"/>
          <w:b/>
          <w:sz w:val="28"/>
        </w:rPr>
        <w:t>附件1</w:t>
      </w:r>
    </w:p>
    <w:p>
      <w:pPr>
        <w:adjustRightInd w:val="0"/>
        <w:snapToGrid w:val="0"/>
        <w:spacing w:line="312" w:lineRule="auto"/>
        <w:ind w:right="480"/>
        <w:jc w:val="center"/>
        <w:rPr>
          <w:rFonts w:ascii="宋体" w:hAnsi="宋体"/>
          <w:b/>
          <w:kern w:val="0"/>
          <w:sz w:val="32"/>
          <w:szCs w:val="32"/>
          <w:lang w:val="zh-CN"/>
        </w:rPr>
      </w:pPr>
      <w:bookmarkStart w:id="44" w:name="_Toc31708_WPSOffice_Level1"/>
      <w:bookmarkStart w:id="45" w:name="_Toc30723_WPSOffice_Level1"/>
      <w:r>
        <w:rPr>
          <w:rFonts w:hint="eastAsia" w:ascii="宋体" w:hAnsi="宋体"/>
          <w:b/>
          <w:kern w:val="0"/>
          <w:sz w:val="32"/>
          <w:szCs w:val="32"/>
          <w:lang w:val="zh-CN"/>
        </w:rPr>
        <w:t>投标声明书</w:t>
      </w:r>
      <w:bookmarkEnd w:id="44"/>
      <w:bookmarkEnd w:id="45"/>
    </w:p>
    <w:p>
      <w:pPr>
        <w:snapToGrid w:val="0"/>
        <w:spacing w:before="156" w:beforeLines="50" w:after="50" w:line="312" w:lineRule="auto"/>
        <w:rPr>
          <w:rFonts w:ascii="宋体" w:hAnsi="宋体" w:cs="宋体"/>
          <w:kern w:val="0"/>
          <w:sz w:val="24"/>
        </w:rPr>
      </w:pPr>
      <w:r>
        <w:rPr>
          <w:rFonts w:hint="eastAsia" w:ascii="宋体" w:hAnsi="宋体" w:cs="宋体"/>
          <w:kern w:val="0"/>
          <w:sz w:val="24"/>
          <w:u w:val="single"/>
          <w:lang w:eastAsia="zh-CN"/>
        </w:rPr>
        <w:t>台州市云湖小学</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u w:val="single"/>
        </w:rPr>
        <w:t>（投标人名称）</w:t>
      </w:r>
      <w:r>
        <w:rPr>
          <w:rFonts w:hint="eastAsia" w:ascii="宋体" w:hAnsi="宋体" w:cs="宋体"/>
          <w:kern w:val="0"/>
          <w:sz w:val="24"/>
        </w:rPr>
        <w:t>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姓名 ）</w:t>
      </w:r>
      <w:r>
        <w:rPr>
          <w:rFonts w:hint="eastAsia" w:ascii="宋体" w:hAnsi="宋体" w:cs="宋体"/>
          <w:kern w:val="0"/>
          <w:sz w:val="24"/>
        </w:rPr>
        <w:t>系</w:t>
      </w:r>
      <w:r>
        <w:rPr>
          <w:rFonts w:hint="eastAsia" w:ascii="宋体" w:hAnsi="宋体" w:cs="宋体"/>
          <w:kern w:val="0"/>
          <w:sz w:val="24"/>
          <w:u w:val="single"/>
        </w:rPr>
        <w:t>（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 xml:space="preserve">              招标项目名称                </w:t>
      </w:r>
      <w:r>
        <w:rPr>
          <w:rFonts w:hint="eastAsia" w:ascii="宋体" w:hAnsi="宋体" w:cs="宋体"/>
          <w:kern w:val="0"/>
          <w:sz w:val="24"/>
        </w:rPr>
        <w:t>）（编号为</w:t>
      </w:r>
      <w:r>
        <w:rPr>
          <w:rFonts w:hint="eastAsia" w:ascii="宋体" w:hAnsi="宋体" w:cs="宋体"/>
          <w:kern w:val="0"/>
          <w:sz w:val="24"/>
          <w:u w:val="single"/>
        </w:rPr>
        <w:t xml:space="preserve">           </w:t>
      </w:r>
      <w:r>
        <w:rPr>
          <w:rFonts w:hint="eastAsia" w:ascii="宋体" w:hAnsi="宋体" w:cs="宋体"/>
          <w:kern w:val="0"/>
          <w:sz w:val="24"/>
        </w:rPr>
        <w:t>）的投标，为此，我公司就本次投标有关事项郑重声明如下：</w:t>
      </w:r>
    </w:p>
    <w:p>
      <w:pPr>
        <w:numPr>
          <w:ilvl w:val="0"/>
          <w:numId w:val="10"/>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10"/>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我公司在参与投标前已详细审查了招标文件和所有相关资料，我方完全知悉并认为此招标文件没有倾向性，也没有存在排斥潜在投标人的内容，我方对招标文件的所有内容没有任何异议，不申请澄清和质疑。</w:t>
      </w:r>
    </w:p>
    <w:p>
      <w:pPr>
        <w:numPr>
          <w:ilvl w:val="0"/>
          <w:numId w:val="10"/>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pPr>
        <w:numPr>
          <w:ilvl w:val="0"/>
          <w:numId w:val="10"/>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numPr>
          <w:ilvl w:val="0"/>
          <w:numId w:val="10"/>
        </w:numPr>
        <w:snapToGrid w:val="0"/>
        <w:spacing w:line="360" w:lineRule="auto"/>
        <w:ind w:left="5" w:firstLine="415"/>
        <w:rPr>
          <w:rFonts w:ascii="仿宋_GB2312" w:hAnsi="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numPr>
          <w:ilvl w:val="0"/>
          <w:numId w:val="10"/>
        </w:numPr>
        <w:snapToGrid w:val="0"/>
        <w:spacing w:line="360" w:lineRule="auto"/>
        <w:ind w:left="5" w:firstLine="415"/>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4080" w:firstLineChars="1700"/>
        <w:rPr>
          <w:rFonts w:ascii="宋体" w:hAnsi="宋体" w:cs="仿宋_GB2312"/>
          <w:kern w:val="0"/>
          <w:sz w:val="24"/>
          <w:lang w:val="zh-CN"/>
        </w:rPr>
      </w:pPr>
      <w:r>
        <w:rPr>
          <w:rFonts w:hint="eastAsia" w:ascii="宋体" w:hAnsi="宋体" w:cs="仿宋_GB2312"/>
          <w:kern w:val="0"/>
          <w:sz w:val="24"/>
          <w:lang w:val="zh-CN"/>
        </w:rPr>
        <w:t>投标人名称（公章）：</w:t>
      </w:r>
    </w:p>
    <w:p>
      <w:pPr>
        <w:adjustRightInd w:val="0"/>
        <w:snapToGrid w:val="0"/>
        <w:spacing w:line="360" w:lineRule="auto"/>
        <w:ind w:firstLine="4080" w:firstLineChars="1700"/>
        <w:rPr>
          <w:rFonts w:ascii="宋体" w:hAnsi="宋体" w:cs="仿宋_GB2312"/>
          <w:kern w:val="0"/>
          <w:sz w:val="24"/>
          <w:lang w:val="zh-CN"/>
        </w:rPr>
      </w:pPr>
      <w:r>
        <w:rPr>
          <w:rFonts w:hint="eastAsia" w:ascii="宋体" w:hAnsi="宋体" w:cs="仿宋_GB2312"/>
          <w:kern w:val="0"/>
          <w:sz w:val="24"/>
          <w:lang w:val="zh-CN"/>
        </w:rPr>
        <w:t>法定代表人或授权委托人签字或盖章：</w:t>
      </w:r>
    </w:p>
    <w:p>
      <w:pPr>
        <w:adjustRightInd w:val="0"/>
        <w:snapToGrid w:val="0"/>
        <w:spacing w:line="360" w:lineRule="auto"/>
        <w:ind w:firstLine="4080" w:firstLineChars="1700"/>
        <w:rPr>
          <w:rFonts w:ascii="宋体" w:hAnsi="宋体"/>
          <w:b/>
          <w:sz w:val="28"/>
        </w:rPr>
      </w:pPr>
      <w:r>
        <w:rPr>
          <w:rFonts w:hint="eastAsia" w:ascii="宋体" w:hAnsi="宋体" w:cs="仿宋_GB2312"/>
          <w:kern w:val="0"/>
          <w:sz w:val="24"/>
          <w:lang w:val="zh-CN"/>
        </w:rPr>
        <w:t>日期：    年   月   日</w:t>
      </w:r>
    </w:p>
    <w:p>
      <w:pPr>
        <w:adjustRightInd w:val="0"/>
        <w:snapToGrid w:val="0"/>
        <w:spacing w:line="360" w:lineRule="auto"/>
        <w:ind w:right="480"/>
        <w:rPr>
          <w:rFonts w:ascii="宋体"/>
          <w:b/>
          <w:sz w:val="30"/>
          <w:szCs w:val="30"/>
        </w:rPr>
      </w:pPr>
      <w:r>
        <w:rPr>
          <w:rFonts w:hint="eastAsia" w:ascii="宋体" w:hAnsi="宋体"/>
          <w:b/>
          <w:sz w:val="28"/>
        </w:rPr>
        <w:t>附件2</w:t>
      </w:r>
    </w:p>
    <w:p>
      <w:pPr>
        <w:spacing w:line="360" w:lineRule="auto"/>
        <w:ind w:firstLine="321" w:firstLineChars="100"/>
        <w:jc w:val="center"/>
        <w:rPr>
          <w:rFonts w:hAnsi="宋体"/>
          <w:b/>
          <w:sz w:val="32"/>
          <w:szCs w:val="32"/>
          <w:u w:val="single"/>
        </w:rPr>
      </w:pPr>
      <w:bookmarkStart w:id="46" w:name="_Toc24373_WPSOffice_Level1"/>
      <w:bookmarkStart w:id="47" w:name="_Toc6870_WPSOffice_Level1"/>
      <w:r>
        <w:rPr>
          <w:b/>
          <w:sz w:val="32"/>
          <w:szCs w:val="32"/>
        </w:rPr>
        <w:t>授权</w:t>
      </w:r>
      <w:r>
        <w:rPr>
          <w:rFonts w:hint="eastAsia"/>
          <w:b/>
          <w:sz w:val="32"/>
          <w:szCs w:val="32"/>
        </w:rPr>
        <w:t>委托</w:t>
      </w:r>
      <w:r>
        <w:rPr>
          <w:b/>
          <w:sz w:val="32"/>
          <w:szCs w:val="32"/>
        </w:rPr>
        <w:t>书</w:t>
      </w:r>
      <w:bookmarkEnd w:id="46"/>
      <w:bookmarkEnd w:id="47"/>
    </w:p>
    <w:p>
      <w:pPr>
        <w:snapToGrid w:val="0"/>
        <w:spacing w:before="156" w:beforeLines="50" w:after="50" w:line="360" w:lineRule="auto"/>
        <w:rPr>
          <w:rFonts w:ascii="宋体" w:hAnsi="宋体" w:cs="宋体"/>
          <w:kern w:val="0"/>
          <w:sz w:val="24"/>
        </w:rPr>
      </w:pPr>
      <w:r>
        <w:rPr>
          <w:rFonts w:hint="eastAsia" w:ascii="宋体" w:hAnsi="宋体" w:cs="宋体"/>
          <w:kern w:val="0"/>
          <w:sz w:val="24"/>
          <w:u w:val="single"/>
          <w:lang w:eastAsia="zh-CN"/>
        </w:rPr>
        <w:t>台州市云湖小学</w:t>
      </w:r>
      <w:r>
        <w:rPr>
          <w:rFonts w:hint="eastAsia" w:ascii="宋体" w:hAnsi="宋体" w:cs="宋体"/>
          <w:kern w:val="0"/>
          <w:sz w:val="24"/>
        </w:rPr>
        <w:t>：</w:t>
      </w:r>
    </w:p>
    <w:p>
      <w:pPr>
        <w:pStyle w:val="13"/>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w:t>
      </w:r>
      <w:r>
        <w:rPr>
          <w:rFonts w:hint="eastAsia" w:hAnsi="宋体" w:cs="宋体"/>
          <w:kern w:val="0"/>
          <w:sz w:val="24"/>
        </w:rPr>
        <w:t>（编号为</w:t>
      </w:r>
      <w:r>
        <w:rPr>
          <w:rFonts w:hint="eastAsia" w:hAnsi="宋体" w:cs="宋体"/>
          <w:kern w:val="0"/>
          <w:sz w:val="24"/>
          <w:u w:val="single"/>
        </w:rPr>
        <w:t xml:space="preserve">           </w:t>
      </w:r>
      <w:r>
        <w:rPr>
          <w:rFonts w:hint="eastAsia" w:hAnsi="宋体" w:cs="宋体"/>
          <w:kern w:val="0"/>
          <w:sz w:val="24"/>
        </w:rPr>
        <w:t>）</w:t>
      </w:r>
      <w:r>
        <w:rPr>
          <w:rFonts w:hAnsi="宋体"/>
          <w:sz w:val="24"/>
        </w:rPr>
        <w:t>的采购活动，并代表我方全权办理针对上述项目的投标、开标、评标、签约等具体事务和签署相关文件。</w:t>
      </w:r>
      <w:r>
        <w:rPr>
          <w:rFonts w:hint="eastAsia" w:hAnsi="宋体"/>
          <w:sz w:val="24"/>
        </w:rPr>
        <w:t>我方对全权代表的签字事项负全部责任。</w:t>
      </w:r>
    </w:p>
    <w:p>
      <w:pPr>
        <w:pStyle w:val="13"/>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3"/>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rPr>
          <w:rFonts w:ascii="宋体" w:hAnsi="宋体"/>
          <w:b/>
          <w:sz w:val="28"/>
        </w:rPr>
      </w:pPr>
      <w:r>
        <w:rPr>
          <w:rFonts w:hint="eastAsia" w:ascii="宋体" w:hAnsi="宋体"/>
          <w:b/>
          <w:sz w:val="28"/>
        </w:rPr>
        <w:br w:type="page"/>
      </w:r>
      <w:bookmarkStart w:id="48" w:name="_Toc16825_WPSOffice_Level1"/>
      <w:bookmarkStart w:id="49" w:name="_Toc26389_WPSOffice_Level1"/>
      <w:bookmarkStart w:id="50" w:name="_Toc12331_WPSOffice_Level1"/>
    </w:p>
    <w:p>
      <w:pPr>
        <w:rPr>
          <w:rFonts w:ascii="宋体" w:hAnsi="宋体"/>
          <w:b/>
          <w:sz w:val="28"/>
        </w:rPr>
      </w:pPr>
      <w:r>
        <w:rPr>
          <w:rFonts w:hint="eastAsia" w:ascii="宋体" w:hAnsi="宋体"/>
          <w:b/>
          <w:sz w:val="28"/>
        </w:rPr>
        <w:t>附件3</w:t>
      </w:r>
    </w:p>
    <w:p>
      <w:pPr>
        <w:widowControl/>
        <w:adjustRightInd w:val="0"/>
        <w:snapToGrid w:val="0"/>
        <w:jc w:val="center"/>
        <w:rPr>
          <w:rFonts w:ascii="宋体" w:hAnsi="宋体"/>
          <w:b/>
          <w:kern w:val="0"/>
          <w:sz w:val="32"/>
          <w:szCs w:val="32"/>
        </w:rPr>
      </w:pPr>
      <w:r>
        <w:rPr>
          <w:rFonts w:hint="eastAsia" w:ascii="宋体" w:hAnsi="宋体"/>
          <w:b/>
          <w:kern w:val="0"/>
          <w:sz w:val="32"/>
          <w:szCs w:val="32"/>
        </w:rPr>
        <w:t>具有</w:t>
      </w:r>
      <w:r>
        <w:rPr>
          <w:rFonts w:ascii="宋体" w:hAnsi="宋体"/>
          <w:b/>
          <w:kern w:val="0"/>
          <w:sz w:val="32"/>
          <w:szCs w:val="32"/>
        </w:rPr>
        <w:t>依法缴纳税收和</w:t>
      </w:r>
      <w:r>
        <w:rPr>
          <w:rFonts w:hint="eastAsia" w:ascii="宋体" w:hAnsi="宋体"/>
          <w:b/>
          <w:kern w:val="0"/>
          <w:sz w:val="32"/>
          <w:szCs w:val="32"/>
        </w:rPr>
        <w:t>社会保障资金证明</w:t>
      </w:r>
      <w:r>
        <w:rPr>
          <w:rFonts w:ascii="宋体" w:hAnsi="宋体"/>
          <w:b/>
          <w:kern w:val="0"/>
          <w:sz w:val="32"/>
          <w:szCs w:val="32"/>
        </w:rPr>
        <w:t>的承诺函</w:t>
      </w:r>
    </w:p>
    <w:p>
      <w:pPr>
        <w:widowControl/>
        <w:adjustRightInd w:val="0"/>
        <w:snapToGrid w:val="0"/>
        <w:jc w:val="center"/>
        <w:rPr>
          <w:rFonts w:ascii="宋体" w:hAnsi="宋体"/>
          <w:b/>
          <w:kern w:val="0"/>
          <w:sz w:val="32"/>
          <w:szCs w:val="32"/>
        </w:rPr>
      </w:pPr>
    </w:p>
    <w:p>
      <w:pPr>
        <w:widowControl/>
        <w:adjustRightInd w:val="0"/>
        <w:snapToGrid w:val="0"/>
        <w:jc w:val="left"/>
        <w:rPr>
          <w:rFonts w:ascii="宋体" w:hAnsi="宋体"/>
          <w:kern w:val="0"/>
          <w:sz w:val="28"/>
          <w:szCs w:val="32"/>
        </w:rPr>
      </w:pPr>
      <w:r>
        <w:rPr>
          <w:rFonts w:hint="eastAsia" w:ascii="宋体" w:hAnsi="宋体"/>
          <w:kern w:val="0"/>
          <w:sz w:val="28"/>
          <w:szCs w:val="32"/>
        </w:rPr>
        <w:t>（如依法免税的，应提供相应文件证明其依法免税；如依法不需要缴纳社会保障资金的，应提供相应文件证明其依法不需要缴纳社会保障资金。）</w:t>
      </w:r>
    </w:p>
    <w:p>
      <w:pPr>
        <w:adjustRightInd w:val="0"/>
        <w:snapToGrid w:val="0"/>
        <w:jc w:val="left"/>
        <w:rPr>
          <w:rFonts w:ascii="宋体" w:hAnsi="宋体"/>
          <w:b/>
          <w:kern w:val="0"/>
          <w:sz w:val="32"/>
          <w:szCs w:val="32"/>
        </w:rPr>
      </w:pPr>
    </w:p>
    <w:p>
      <w:pPr>
        <w:widowControl/>
        <w:shd w:val="clear" w:color="auto" w:fill="FFFFFF"/>
        <w:spacing w:before="100" w:beforeAutospacing="1" w:after="100" w:afterAutospacing="1" w:line="480" w:lineRule="auto"/>
        <w:jc w:val="left"/>
        <w:rPr>
          <w:rFonts w:ascii="宋体" w:hAnsi="宋体"/>
          <w:kern w:val="0"/>
          <w:sz w:val="24"/>
        </w:rPr>
      </w:pPr>
      <w:r>
        <w:rPr>
          <w:rFonts w:hint="eastAsia" w:ascii="宋体" w:hAnsi="宋体"/>
          <w:kern w:val="0"/>
          <w:sz w:val="24"/>
          <w:u w:val="single"/>
          <w:lang w:eastAsia="zh-CN"/>
        </w:rPr>
        <w:t>台州市云湖小学</w:t>
      </w:r>
      <w:r>
        <w:rPr>
          <w:rFonts w:ascii="宋体" w:hAnsi="宋体"/>
          <w:kern w:val="0"/>
          <w:sz w:val="24"/>
        </w:rPr>
        <w:t>：</w:t>
      </w:r>
    </w:p>
    <w:p>
      <w:pPr>
        <w:widowControl/>
        <w:shd w:val="clear" w:color="auto" w:fill="FFFFFF"/>
        <w:spacing w:before="100" w:beforeAutospacing="1" w:after="100" w:afterAutospacing="1" w:line="480" w:lineRule="auto"/>
        <w:ind w:firstLine="480" w:firstLineChars="200"/>
        <w:jc w:val="left"/>
        <w:rPr>
          <w:rFonts w:ascii="宋体" w:hAnsi="宋体"/>
          <w:kern w:val="0"/>
          <w:sz w:val="24"/>
        </w:rPr>
      </w:pPr>
      <w:r>
        <w:rPr>
          <w:rFonts w:ascii="宋体" w:hAnsi="宋体"/>
          <w:kern w:val="0"/>
          <w:sz w:val="24"/>
        </w:rPr>
        <w:t>我单位</w:t>
      </w:r>
      <w:r>
        <w:rPr>
          <w:rFonts w:hint="eastAsia" w:ascii="宋体" w:hAnsi="宋体"/>
          <w:kern w:val="0"/>
          <w:sz w:val="24"/>
        </w:rPr>
        <w:t>具有</w:t>
      </w:r>
      <w:r>
        <w:rPr>
          <w:rFonts w:ascii="宋体" w:hAnsi="宋体"/>
          <w:kern w:val="0"/>
          <w:sz w:val="24"/>
        </w:rPr>
        <w:t>依法缴纳税收和</w:t>
      </w:r>
      <w:r>
        <w:rPr>
          <w:rFonts w:hint="eastAsia" w:ascii="宋体" w:hAnsi="宋体"/>
          <w:kern w:val="0"/>
          <w:sz w:val="24"/>
        </w:rPr>
        <w:t>社会保障资金</w:t>
      </w:r>
      <w:r>
        <w:rPr>
          <w:rFonts w:ascii="宋体" w:hAnsi="宋体"/>
          <w:kern w:val="0"/>
          <w:sz w:val="24"/>
        </w:rPr>
        <w:t>。如本声明失实，我单位自愿承担被取消成交资格等责任。</w:t>
      </w:r>
    </w:p>
    <w:p>
      <w:pPr>
        <w:widowControl/>
        <w:shd w:val="clear" w:color="auto" w:fill="FFFFFF"/>
        <w:spacing w:before="100" w:beforeAutospacing="1" w:after="100" w:afterAutospacing="1" w:line="480" w:lineRule="auto"/>
        <w:ind w:firstLine="480" w:firstLineChars="200"/>
        <w:jc w:val="left"/>
        <w:rPr>
          <w:rFonts w:ascii="宋体" w:hAnsi="宋体"/>
          <w:kern w:val="0"/>
          <w:sz w:val="24"/>
        </w:rPr>
      </w:pPr>
      <w:r>
        <w:rPr>
          <w:rFonts w:ascii="宋体" w:hAnsi="宋体"/>
          <w:kern w:val="0"/>
          <w:sz w:val="24"/>
        </w:rPr>
        <w:t>特此声明</w:t>
      </w:r>
      <w:r>
        <w:rPr>
          <w:rFonts w:hint="eastAsia" w:ascii="宋体" w:hAnsi="宋体"/>
          <w:kern w:val="0"/>
          <w:sz w:val="24"/>
        </w:rPr>
        <w:t>。</w:t>
      </w:r>
    </w:p>
    <w:p>
      <w:pPr>
        <w:adjustRightInd w:val="0"/>
        <w:snapToGrid w:val="0"/>
        <w:spacing w:line="360" w:lineRule="auto"/>
        <w:jc w:val="center"/>
        <w:rPr>
          <w:rFonts w:ascii="宋体" w:hAnsi="宋体" w:cs="仿宋_GB2312"/>
          <w:kern w:val="0"/>
          <w:sz w:val="24"/>
          <w:lang w:val="zh-CN"/>
        </w:rPr>
      </w:pPr>
      <w:r>
        <w:rPr>
          <w:rFonts w:hint="eastAsia" w:ascii="宋体" w:hAnsi="宋体" w:cs="仿宋_GB2312"/>
          <w:kern w:val="0"/>
          <w:sz w:val="24"/>
          <w:lang w:val="en-US" w:eastAsia="zh-CN"/>
        </w:rPr>
        <w:t xml:space="preserve">           </w:t>
      </w:r>
      <w:r>
        <w:rPr>
          <w:rFonts w:hint="eastAsia" w:ascii="宋体" w:hAnsi="宋体" w:cs="仿宋_GB2312"/>
          <w:kern w:val="0"/>
          <w:sz w:val="24"/>
          <w:lang w:val="zh-CN"/>
        </w:rPr>
        <w:t>投标人名称（公章）：</w:t>
      </w:r>
    </w:p>
    <w:p>
      <w:pPr>
        <w:adjustRightInd w:val="0"/>
        <w:snapToGrid w:val="0"/>
        <w:spacing w:line="360" w:lineRule="auto"/>
        <w:jc w:val="center"/>
        <w:rPr>
          <w:rFonts w:ascii="宋体" w:hAnsi="宋体" w:cs="仿宋_GB2312"/>
          <w:kern w:val="0"/>
          <w:sz w:val="24"/>
          <w:lang w:val="zh-CN"/>
        </w:rPr>
      </w:pPr>
      <w:r>
        <w:rPr>
          <w:rFonts w:hint="eastAsia" w:ascii="宋体" w:hAnsi="宋体" w:cs="仿宋_GB2312"/>
          <w:kern w:val="0"/>
          <w:sz w:val="24"/>
          <w:lang w:val="en-US" w:eastAsia="zh-CN"/>
        </w:rPr>
        <w:t xml:space="preserve">                         </w:t>
      </w:r>
      <w:r>
        <w:rPr>
          <w:rFonts w:hint="eastAsia" w:ascii="宋体" w:hAnsi="宋体" w:cs="仿宋_GB2312"/>
          <w:kern w:val="0"/>
          <w:sz w:val="24"/>
          <w:lang w:val="zh-CN"/>
        </w:rPr>
        <w:t>法定代表人或授权委托人签字或盖章：</w:t>
      </w:r>
    </w:p>
    <w:p>
      <w:pPr>
        <w:adjustRightInd w:val="0"/>
        <w:snapToGrid w:val="0"/>
        <w:spacing w:line="360" w:lineRule="auto"/>
        <w:ind w:firstLine="3600" w:firstLineChars="1500"/>
        <w:rPr>
          <w:rFonts w:ascii="宋体" w:hAnsi="宋体" w:cs="仿宋_GB2312"/>
          <w:kern w:val="0"/>
          <w:sz w:val="24"/>
          <w:lang w:val="zh-CN"/>
        </w:rPr>
      </w:pPr>
      <w:r>
        <w:rPr>
          <w:rFonts w:hint="eastAsia" w:ascii="宋体" w:hAnsi="宋体" w:cs="仿宋_GB2312"/>
          <w:kern w:val="0"/>
          <w:sz w:val="24"/>
          <w:lang w:val="zh-CN"/>
        </w:rPr>
        <w:t>日期：    年   月   日</w:t>
      </w:r>
    </w:p>
    <w:p>
      <w:pPr>
        <w:rPr>
          <w:rFonts w:ascii="宋体" w:hAnsi="宋体"/>
          <w:b/>
          <w:sz w:val="28"/>
        </w:rPr>
      </w:pPr>
      <w:r>
        <w:rPr>
          <w:rFonts w:hint="eastAsia" w:ascii="宋体" w:hAnsi="宋体"/>
          <w:b/>
          <w:sz w:val="28"/>
        </w:rPr>
        <w:br w:type="page"/>
      </w:r>
      <w:r>
        <w:rPr>
          <w:rFonts w:hint="eastAsia" w:ascii="宋体" w:hAnsi="宋体"/>
          <w:b/>
          <w:sz w:val="28"/>
        </w:rPr>
        <w:t>附件4</w:t>
      </w:r>
    </w:p>
    <w:p>
      <w:pPr>
        <w:jc w:val="center"/>
        <w:rPr>
          <w:rFonts w:ascii="宋体" w:hAnsi="宋体"/>
          <w:b/>
          <w:kern w:val="0"/>
          <w:sz w:val="32"/>
          <w:szCs w:val="32"/>
        </w:rPr>
      </w:pPr>
      <w:r>
        <w:rPr>
          <w:rFonts w:ascii="宋体" w:hAnsi="宋体"/>
          <w:b/>
          <w:kern w:val="0"/>
          <w:sz w:val="32"/>
          <w:szCs w:val="32"/>
        </w:rPr>
        <w:t>具有良好的商业信誉和健全的财务会计制度的承诺函</w:t>
      </w:r>
    </w:p>
    <w:p>
      <w:pPr>
        <w:jc w:val="center"/>
        <w:rPr>
          <w:rFonts w:ascii="宋体" w:hAnsi="宋体"/>
          <w:b/>
          <w:kern w:val="0"/>
          <w:sz w:val="32"/>
          <w:szCs w:val="32"/>
        </w:rPr>
      </w:pPr>
    </w:p>
    <w:p>
      <w:pPr>
        <w:widowControl/>
        <w:shd w:val="clear" w:color="auto" w:fill="FFFFFF"/>
        <w:spacing w:before="100" w:beforeAutospacing="1" w:after="100" w:afterAutospacing="1" w:line="480" w:lineRule="auto"/>
        <w:jc w:val="left"/>
        <w:rPr>
          <w:rFonts w:ascii="宋体" w:hAnsi="宋体"/>
          <w:kern w:val="0"/>
          <w:sz w:val="24"/>
        </w:rPr>
      </w:pPr>
      <w:r>
        <w:rPr>
          <w:rFonts w:hint="eastAsia" w:ascii="宋体" w:hAnsi="宋体"/>
          <w:kern w:val="0"/>
          <w:sz w:val="24"/>
          <w:u w:val="single"/>
          <w:lang w:eastAsia="zh-CN"/>
        </w:rPr>
        <w:t>台州市云湖小学</w:t>
      </w:r>
      <w:r>
        <w:rPr>
          <w:rFonts w:ascii="宋体" w:hAnsi="宋体"/>
          <w:kern w:val="0"/>
          <w:sz w:val="24"/>
        </w:rPr>
        <w:t>：</w:t>
      </w:r>
    </w:p>
    <w:p>
      <w:pPr>
        <w:widowControl/>
        <w:shd w:val="clear" w:color="auto" w:fill="FFFFFF"/>
        <w:spacing w:before="100" w:beforeAutospacing="1" w:after="100" w:afterAutospacing="1" w:line="480" w:lineRule="auto"/>
        <w:ind w:firstLine="480" w:firstLineChars="200"/>
        <w:jc w:val="left"/>
        <w:rPr>
          <w:rFonts w:ascii="宋体" w:hAnsi="宋体"/>
          <w:kern w:val="0"/>
          <w:sz w:val="24"/>
        </w:rPr>
      </w:pPr>
      <w:r>
        <w:rPr>
          <w:rFonts w:ascii="宋体" w:hAnsi="宋体"/>
          <w:kern w:val="0"/>
          <w:sz w:val="24"/>
        </w:rPr>
        <w:t>我单位具有良好的商业信誉和健全的财务会计制度。如本声明失实，我单位自愿承担被取消成交资格等责任。</w:t>
      </w:r>
    </w:p>
    <w:p>
      <w:pPr>
        <w:widowControl/>
        <w:shd w:val="clear" w:color="auto" w:fill="FFFFFF"/>
        <w:spacing w:before="100" w:beforeAutospacing="1" w:after="100" w:afterAutospacing="1" w:line="480" w:lineRule="auto"/>
        <w:ind w:firstLine="480" w:firstLineChars="200"/>
        <w:jc w:val="left"/>
        <w:rPr>
          <w:rFonts w:ascii="宋体" w:hAnsi="宋体"/>
          <w:kern w:val="0"/>
          <w:sz w:val="24"/>
        </w:rPr>
      </w:pPr>
      <w:r>
        <w:rPr>
          <w:rFonts w:ascii="宋体" w:hAnsi="宋体"/>
          <w:kern w:val="0"/>
          <w:sz w:val="24"/>
        </w:rPr>
        <w:t>特此声明</w:t>
      </w:r>
      <w:r>
        <w:rPr>
          <w:rFonts w:hint="eastAsia" w:ascii="宋体" w:hAnsi="宋体"/>
          <w:kern w:val="0"/>
          <w:sz w:val="24"/>
        </w:rPr>
        <w:t>。</w:t>
      </w:r>
    </w:p>
    <w:p>
      <w:pPr>
        <w:adjustRightInd w:val="0"/>
        <w:snapToGrid w:val="0"/>
        <w:spacing w:line="360" w:lineRule="auto"/>
        <w:ind w:firstLine="4320" w:firstLineChars="1800"/>
        <w:rPr>
          <w:rFonts w:ascii="宋体" w:hAnsi="宋体" w:cs="仿宋_GB2312"/>
          <w:kern w:val="0"/>
          <w:sz w:val="24"/>
          <w:lang w:val="zh-CN"/>
        </w:rPr>
      </w:pPr>
      <w:r>
        <w:rPr>
          <w:rFonts w:hint="eastAsia" w:ascii="宋体" w:hAnsi="宋体" w:cs="仿宋_GB2312"/>
          <w:kern w:val="0"/>
          <w:sz w:val="24"/>
          <w:lang w:val="zh-CN"/>
        </w:rPr>
        <w:t>投标人名称（公章）：</w:t>
      </w:r>
    </w:p>
    <w:p>
      <w:pPr>
        <w:adjustRightInd w:val="0"/>
        <w:snapToGrid w:val="0"/>
        <w:spacing w:line="360" w:lineRule="auto"/>
        <w:ind w:firstLine="4320" w:firstLineChars="1800"/>
        <w:rPr>
          <w:rFonts w:ascii="宋体" w:hAnsi="宋体" w:cs="仿宋_GB2312"/>
          <w:kern w:val="0"/>
          <w:sz w:val="24"/>
          <w:lang w:val="zh-CN"/>
        </w:rPr>
      </w:pPr>
      <w:r>
        <w:rPr>
          <w:rFonts w:hint="eastAsia" w:ascii="宋体" w:hAnsi="宋体" w:cs="仿宋_GB2312"/>
          <w:kern w:val="0"/>
          <w:sz w:val="24"/>
          <w:lang w:val="zh-CN"/>
        </w:rPr>
        <w:t>法定代表人或授权委托人签字或盖章：</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日期：    年   月   日</w:t>
      </w:r>
    </w:p>
    <w:p>
      <w:pPr>
        <w:jc w:val="center"/>
        <w:rPr>
          <w:rFonts w:ascii="宋体" w:hAnsi="宋体"/>
          <w:b/>
          <w:kern w:val="0"/>
          <w:sz w:val="32"/>
          <w:szCs w:val="32"/>
        </w:rPr>
      </w:pPr>
    </w:p>
    <w:p>
      <w:pPr>
        <w:jc w:val="center"/>
        <w:rPr>
          <w:rFonts w:ascii="宋体" w:hAnsi="宋体"/>
          <w:b/>
          <w:kern w:val="0"/>
          <w:sz w:val="32"/>
          <w:szCs w:val="32"/>
        </w:rPr>
      </w:pPr>
    </w:p>
    <w:p>
      <w:pPr>
        <w:rPr>
          <w:rFonts w:ascii="宋体" w:hAnsi="宋体"/>
          <w:b/>
          <w:kern w:val="0"/>
          <w:sz w:val="32"/>
          <w:szCs w:val="32"/>
        </w:rPr>
      </w:pPr>
      <w:r>
        <w:rPr>
          <w:rFonts w:ascii="宋体" w:hAnsi="宋体"/>
          <w:b/>
          <w:kern w:val="0"/>
          <w:sz w:val="32"/>
          <w:szCs w:val="32"/>
        </w:rPr>
        <w:br w:type="page"/>
      </w:r>
    </w:p>
    <w:p>
      <w:pPr>
        <w:jc w:val="left"/>
        <w:rPr>
          <w:rFonts w:ascii="宋体" w:hAnsi="宋体"/>
          <w:b/>
          <w:kern w:val="0"/>
          <w:sz w:val="32"/>
          <w:szCs w:val="32"/>
        </w:rPr>
      </w:pPr>
      <w:r>
        <w:rPr>
          <w:rFonts w:hint="eastAsia" w:ascii="宋体" w:hAnsi="宋体"/>
          <w:b/>
          <w:kern w:val="0"/>
          <w:sz w:val="32"/>
          <w:szCs w:val="32"/>
        </w:rPr>
        <w:t>附件5</w:t>
      </w:r>
    </w:p>
    <w:p>
      <w:pPr>
        <w:jc w:val="center"/>
        <w:rPr>
          <w:rFonts w:ascii="宋体" w:hAnsi="宋体"/>
          <w:b/>
          <w:sz w:val="28"/>
        </w:rPr>
      </w:pPr>
      <w:r>
        <w:rPr>
          <w:rFonts w:ascii="宋体" w:hAnsi="宋体"/>
          <w:b/>
          <w:kern w:val="0"/>
          <w:sz w:val="32"/>
          <w:szCs w:val="32"/>
        </w:rPr>
        <w:t>具有履行合同所必须的设备和专业技术能力的承诺函</w:t>
      </w:r>
    </w:p>
    <w:p>
      <w:pPr>
        <w:jc w:val="center"/>
        <w:rPr>
          <w:rFonts w:ascii="宋体" w:hAnsi="宋体"/>
          <w:b/>
          <w:sz w:val="28"/>
        </w:rPr>
      </w:pPr>
    </w:p>
    <w:p>
      <w:pPr>
        <w:widowControl/>
        <w:shd w:val="clear" w:color="auto" w:fill="FFFFFF"/>
        <w:snapToGrid w:val="0"/>
        <w:spacing w:after="50" w:line="480" w:lineRule="auto"/>
        <w:jc w:val="left"/>
        <w:rPr>
          <w:rFonts w:ascii="宋体" w:hAnsi="宋体"/>
          <w:kern w:val="0"/>
          <w:sz w:val="24"/>
        </w:rPr>
      </w:pPr>
      <w:r>
        <w:rPr>
          <w:rFonts w:hint="eastAsia" w:ascii="宋体" w:hAnsi="宋体"/>
          <w:kern w:val="0"/>
          <w:sz w:val="24"/>
          <w:u w:val="single"/>
          <w:lang w:eastAsia="zh-CN"/>
        </w:rPr>
        <w:t>台州市云湖小学</w:t>
      </w:r>
      <w:r>
        <w:rPr>
          <w:rFonts w:ascii="宋体" w:hAnsi="宋体"/>
          <w:kern w:val="0"/>
          <w:sz w:val="24"/>
        </w:rPr>
        <w:t>：</w:t>
      </w:r>
    </w:p>
    <w:p>
      <w:pPr>
        <w:widowControl/>
        <w:shd w:val="clear" w:color="auto" w:fill="FFFFFF"/>
        <w:spacing w:before="100" w:beforeAutospacing="1" w:after="100" w:afterAutospacing="1" w:line="480" w:lineRule="auto"/>
        <w:ind w:firstLine="480" w:firstLineChars="200"/>
        <w:jc w:val="left"/>
        <w:rPr>
          <w:rFonts w:ascii="宋体" w:hAnsi="宋体"/>
          <w:kern w:val="0"/>
          <w:sz w:val="24"/>
        </w:rPr>
      </w:pPr>
      <w:r>
        <w:rPr>
          <w:rFonts w:ascii="宋体" w:hAnsi="宋体"/>
          <w:kern w:val="0"/>
          <w:sz w:val="24"/>
        </w:rPr>
        <w:t>若我单位有幸成为</w:t>
      </w:r>
      <w:r>
        <w:rPr>
          <w:rFonts w:hint="eastAsia" w:ascii="宋体" w:hAnsi="宋体"/>
          <w:sz w:val="24"/>
          <w:u w:val="single"/>
          <w:lang w:eastAsia="zh-CN"/>
        </w:rPr>
        <w:t>云湖小学智慧上放学交通系统项目</w:t>
      </w:r>
      <w:r>
        <w:rPr>
          <w:rFonts w:hint="eastAsia" w:hAnsi="宋体"/>
          <w:sz w:val="24"/>
        </w:rPr>
        <w:t>（</w:t>
      </w:r>
      <w:r>
        <w:rPr>
          <w:rFonts w:hint="eastAsia" w:ascii="宋体" w:hAnsi="宋体" w:cs="宋体"/>
          <w:kern w:val="0"/>
          <w:sz w:val="24"/>
        </w:rPr>
        <w:t>编号为</w:t>
      </w:r>
      <w:r>
        <w:rPr>
          <w:rFonts w:hint="eastAsia" w:ascii="宋体" w:hAnsi="宋体" w:cs="宋体"/>
          <w:kern w:val="0"/>
          <w:sz w:val="24"/>
          <w:u w:val="single"/>
        </w:rPr>
        <w:t xml:space="preserve">            </w:t>
      </w:r>
      <w:r>
        <w:rPr>
          <w:rFonts w:hint="eastAsia" w:hAnsi="宋体" w:cs="宋体"/>
          <w:kern w:val="0"/>
          <w:sz w:val="24"/>
        </w:rPr>
        <w:t>）</w:t>
      </w:r>
      <w:r>
        <w:rPr>
          <w:rFonts w:ascii="宋体" w:hAnsi="宋体"/>
          <w:kern w:val="0"/>
          <w:sz w:val="24"/>
        </w:rPr>
        <w:t>的成交单位，我单位有履行该项目合同的设备和专业技术能力，胜任本项目的服务工作。如本声明失实，我单位自愿承担被取消成交资格等责任。</w:t>
      </w:r>
    </w:p>
    <w:p>
      <w:pPr>
        <w:widowControl/>
        <w:shd w:val="clear" w:color="auto" w:fill="FFFFFF"/>
        <w:spacing w:before="100" w:beforeAutospacing="1" w:after="100" w:afterAutospacing="1" w:line="360" w:lineRule="auto"/>
        <w:ind w:firstLine="480" w:firstLineChars="200"/>
        <w:jc w:val="left"/>
        <w:rPr>
          <w:rFonts w:ascii="宋体" w:hAnsi="宋体"/>
          <w:kern w:val="0"/>
          <w:sz w:val="24"/>
        </w:rPr>
      </w:pPr>
    </w:p>
    <w:p>
      <w:pPr>
        <w:widowControl/>
        <w:shd w:val="clear" w:color="auto" w:fill="FFFFFF"/>
        <w:spacing w:before="100" w:beforeAutospacing="1" w:after="100" w:afterAutospacing="1" w:line="360" w:lineRule="auto"/>
        <w:ind w:firstLine="480" w:firstLineChars="200"/>
        <w:jc w:val="left"/>
        <w:rPr>
          <w:rFonts w:ascii="宋体" w:hAnsi="宋体"/>
          <w:kern w:val="0"/>
          <w:sz w:val="24"/>
        </w:rPr>
      </w:pPr>
      <w:r>
        <w:rPr>
          <w:rFonts w:ascii="宋体" w:hAnsi="宋体"/>
          <w:kern w:val="0"/>
          <w:sz w:val="24"/>
        </w:rPr>
        <w:t>特此声明</w:t>
      </w:r>
      <w:r>
        <w:rPr>
          <w:rFonts w:hint="eastAsia" w:ascii="宋体" w:hAnsi="宋体"/>
          <w:kern w:val="0"/>
          <w:sz w:val="24"/>
        </w:rPr>
        <w:t>。</w:t>
      </w:r>
    </w:p>
    <w:p>
      <w:pPr>
        <w:adjustRightInd w:val="0"/>
        <w:snapToGrid w:val="0"/>
        <w:spacing w:line="360" w:lineRule="auto"/>
        <w:jc w:val="center"/>
        <w:rPr>
          <w:rFonts w:ascii="宋体" w:hAnsi="宋体" w:cs="仿宋_GB2312"/>
          <w:kern w:val="0"/>
          <w:sz w:val="24"/>
          <w:lang w:val="zh-CN"/>
        </w:rPr>
      </w:pPr>
      <w:r>
        <w:rPr>
          <w:rFonts w:hint="eastAsia" w:ascii="宋体" w:hAnsi="宋体" w:cs="仿宋_GB2312"/>
          <w:kern w:val="0"/>
          <w:sz w:val="24"/>
          <w:lang w:val="en-US" w:eastAsia="zh-CN"/>
        </w:rPr>
        <w:t xml:space="preserve">                    </w:t>
      </w:r>
      <w:r>
        <w:rPr>
          <w:rFonts w:hint="eastAsia" w:ascii="宋体" w:hAnsi="宋体" w:cs="仿宋_GB2312"/>
          <w:kern w:val="0"/>
          <w:sz w:val="24"/>
          <w:lang w:val="zh-CN"/>
        </w:rPr>
        <w:t>投标人名称（公章）：</w:t>
      </w:r>
    </w:p>
    <w:p>
      <w:pPr>
        <w:adjustRightInd w:val="0"/>
        <w:snapToGrid w:val="0"/>
        <w:spacing w:line="360" w:lineRule="auto"/>
        <w:jc w:val="center"/>
        <w:rPr>
          <w:rFonts w:ascii="宋体" w:hAnsi="宋体" w:cs="仿宋_GB2312"/>
          <w:kern w:val="0"/>
          <w:sz w:val="24"/>
          <w:lang w:val="zh-CN"/>
        </w:rPr>
      </w:pPr>
      <w:r>
        <w:rPr>
          <w:rFonts w:hint="eastAsia" w:ascii="宋体" w:hAnsi="宋体" w:cs="仿宋_GB2312"/>
          <w:kern w:val="0"/>
          <w:sz w:val="24"/>
          <w:lang w:val="en-US" w:eastAsia="zh-CN"/>
        </w:rPr>
        <w:t xml:space="preserve">                                  </w:t>
      </w:r>
      <w:r>
        <w:rPr>
          <w:rFonts w:hint="eastAsia" w:ascii="宋体" w:hAnsi="宋体" w:cs="仿宋_GB2312"/>
          <w:kern w:val="0"/>
          <w:sz w:val="24"/>
          <w:lang w:val="zh-CN"/>
        </w:rPr>
        <w:t>法定代表人或授权委托人签字或盖章：</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日期：    年   月   日</w:t>
      </w:r>
    </w:p>
    <w:p>
      <w:pPr>
        <w:jc w:val="center"/>
        <w:rPr>
          <w:sz w:val="52"/>
          <w:szCs w:val="52"/>
        </w:rPr>
      </w:pPr>
    </w:p>
    <w:p>
      <w:pPr>
        <w:jc w:val="center"/>
        <w:rPr>
          <w:sz w:val="52"/>
          <w:szCs w:val="52"/>
        </w:rPr>
      </w:pPr>
    </w:p>
    <w:p>
      <w:pPr>
        <w:jc w:val="center"/>
        <w:rPr>
          <w:sz w:val="52"/>
          <w:szCs w:val="52"/>
        </w:rPr>
      </w:pPr>
    </w:p>
    <w:p>
      <w:pPr>
        <w:rPr>
          <w:sz w:val="52"/>
          <w:szCs w:val="52"/>
        </w:rPr>
      </w:pPr>
    </w:p>
    <w:p>
      <w:pPr>
        <w:pStyle w:val="3"/>
        <w:numPr>
          <w:ilvl w:val="0"/>
          <w:numId w:val="0"/>
        </w:numPr>
        <w:jc w:val="both"/>
      </w:pPr>
    </w:p>
    <w:p>
      <w:pPr>
        <w:jc w:val="center"/>
        <w:rPr>
          <w:sz w:val="52"/>
          <w:szCs w:val="52"/>
        </w:rPr>
      </w:pPr>
    </w:p>
    <w:p>
      <w:pPr>
        <w:pStyle w:val="3"/>
        <w:numPr>
          <w:ilvl w:val="0"/>
          <w:numId w:val="0"/>
        </w:numPr>
        <w:ind w:left="425"/>
        <w:jc w:val="both"/>
      </w:pPr>
    </w:p>
    <w:p/>
    <w:bookmarkEnd w:id="48"/>
    <w:bookmarkEnd w:id="49"/>
    <w:bookmarkEnd w:id="50"/>
    <w:p>
      <w:pPr>
        <w:jc w:val="center"/>
      </w:pPr>
    </w:p>
    <w:p>
      <w:pPr>
        <w:spacing w:before="312" w:beforeLines="100" w:line="360" w:lineRule="auto"/>
        <w:ind w:right="-108"/>
        <w:jc w:val="center"/>
        <w:rPr>
          <w:rFonts w:hint="eastAsia" w:ascii="宋体" w:hAnsi="宋体" w:eastAsia="宋体"/>
          <w:sz w:val="44"/>
          <w:szCs w:val="44"/>
          <w:lang w:eastAsia="zh-CN"/>
        </w:rPr>
      </w:pPr>
      <w:r>
        <w:rPr>
          <w:rFonts w:hint="eastAsia" w:ascii="宋体" w:hAnsi="宋体"/>
          <w:sz w:val="44"/>
          <w:szCs w:val="44"/>
          <w:lang w:eastAsia="zh-CN"/>
        </w:rPr>
        <w:t>云湖小学智慧上放学交通系统项目</w:t>
      </w:r>
    </w:p>
    <w:p>
      <w:pPr>
        <w:spacing w:before="312" w:beforeLines="100" w:line="360" w:lineRule="auto"/>
        <w:ind w:right="-108"/>
        <w:jc w:val="center"/>
        <w:rPr>
          <w:rFonts w:ascii="宋体" w:hAnsi="宋体"/>
          <w:sz w:val="36"/>
          <w:szCs w:val="36"/>
        </w:rPr>
      </w:pPr>
      <w:r>
        <w:rPr>
          <w:rFonts w:hint="eastAsia" w:ascii="宋体" w:hAnsi="宋体"/>
          <w:sz w:val="36"/>
          <w:szCs w:val="36"/>
        </w:rPr>
        <w:t>项目编号：</w:t>
      </w:r>
    </w:p>
    <w:p>
      <w:pPr>
        <w:autoSpaceDE w:val="0"/>
        <w:autoSpaceDN w:val="0"/>
        <w:adjustRightInd w:val="0"/>
        <w:spacing w:line="360" w:lineRule="auto"/>
        <w:jc w:val="center"/>
        <w:rPr>
          <w:rFonts w:ascii="宋体" w:hAnsi="宋体" w:cs="宋体"/>
          <w:sz w:val="24"/>
          <w:lang w:val="zh-CN"/>
        </w:rPr>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36"/>
          <w:szCs w:val="36"/>
          <w:lang w:val="zh-CN"/>
        </w:rPr>
        <w:t>（</w:t>
      </w:r>
      <w:r>
        <w:rPr>
          <w:rFonts w:hint="eastAsia" w:ascii="宋体" w:hAnsi="宋体"/>
          <w:bCs/>
          <w:sz w:val="36"/>
          <w:szCs w:val="36"/>
        </w:rPr>
        <w:t>技术标</w:t>
      </w:r>
      <w:r>
        <w:rPr>
          <w:rFonts w:hint="eastAsia" w:ascii="宋体" w:hAnsi="宋体"/>
          <w:b/>
          <w:sz w:val="36"/>
          <w:szCs w:val="36"/>
        </w:rPr>
        <w:t>）</w:t>
      </w:r>
    </w:p>
    <w:p>
      <w:pPr>
        <w:pStyle w:val="24"/>
      </w:pP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snapToGrid w:val="0"/>
        <w:spacing w:before="50" w:after="50" w:line="360" w:lineRule="auto"/>
        <w:rPr>
          <w:rFonts w:ascii="仿宋_GB2312" w:hAnsi="宋体" w:eastAsia="仿宋_GB2312"/>
          <w:b/>
          <w:sz w:val="36"/>
          <w:szCs w:val="36"/>
        </w:rPr>
      </w:pPr>
    </w:p>
    <w:p>
      <w:pPr>
        <w:pStyle w:val="6"/>
        <w:rPr>
          <w:rFonts w:ascii="仿宋_GB2312" w:hAnsi="宋体" w:eastAsia="仿宋_GB2312"/>
          <w:b/>
          <w:sz w:val="36"/>
          <w:szCs w:val="36"/>
        </w:rPr>
      </w:pPr>
    </w:p>
    <w:p>
      <w:pPr>
        <w:rPr>
          <w:b/>
          <w:bCs/>
          <w:sz w:val="32"/>
          <w:szCs w:val="32"/>
          <w:lang w:val="zh-CN"/>
        </w:rPr>
      </w:pPr>
      <w:bookmarkStart w:id="51" w:name="_Toc5889_WPSOffice_Level1"/>
      <w:bookmarkStart w:id="52" w:name="_Toc11308_WPSOffice_Level1"/>
    </w:p>
    <w:p>
      <w:pPr>
        <w:jc w:val="center"/>
        <w:rPr>
          <w:b/>
          <w:bCs/>
          <w:sz w:val="36"/>
          <w:szCs w:val="36"/>
          <w:lang w:val="zh-CN"/>
        </w:rPr>
      </w:pPr>
    </w:p>
    <w:p>
      <w:pPr>
        <w:jc w:val="both"/>
        <w:rPr>
          <w:b/>
          <w:bCs/>
          <w:sz w:val="36"/>
          <w:szCs w:val="36"/>
          <w:lang w:val="zh-CN"/>
        </w:rPr>
      </w:pPr>
    </w:p>
    <w:p>
      <w:pPr>
        <w:jc w:val="center"/>
        <w:rPr>
          <w:b/>
          <w:bCs/>
          <w:sz w:val="36"/>
          <w:szCs w:val="36"/>
        </w:rPr>
      </w:pPr>
      <w:r>
        <w:rPr>
          <w:rFonts w:hint="eastAsia"/>
          <w:b/>
          <w:bCs/>
          <w:sz w:val="36"/>
          <w:szCs w:val="36"/>
        </w:rPr>
        <w:t>技术标目录</w:t>
      </w:r>
      <w:bookmarkEnd w:id="51"/>
      <w:bookmarkEnd w:id="52"/>
    </w:p>
    <w:p>
      <w:pPr>
        <w:spacing w:line="360" w:lineRule="auto"/>
        <w:rPr>
          <w:sz w:val="24"/>
          <w:highlight w:val="none"/>
        </w:rPr>
      </w:pPr>
    </w:p>
    <w:p>
      <w:pPr>
        <w:snapToGrid w:val="0"/>
        <w:spacing w:line="360" w:lineRule="auto"/>
        <w:ind w:firstLine="480" w:firstLineChars="200"/>
        <w:rPr>
          <w:rFonts w:ascii="宋体" w:hAnsi="宋体"/>
          <w:bCs/>
          <w:sz w:val="24"/>
          <w:highlight w:val="none"/>
        </w:rPr>
      </w:pPr>
      <w:r>
        <w:rPr>
          <w:rFonts w:hint="eastAsia" w:ascii="宋体" w:hAnsi="宋体"/>
          <w:bCs/>
          <w:sz w:val="24"/>
          <w:highlight w:val="none"/>
        </w:rPr>
        <w:t>（</w:t>
      </w:r>
      <w:r>
        <w:rPr>
          <w:rFonts w:ascii="宋体" w:hAnsi="宋体"/>
          <w:bCs/>
          <w:sz w:val="24"/>
          <w:highlight w:val="none"/>
        </w:rPr>
        <w:t>1）</w:t>
      </w:r>
      <w:r>
        <w:rPr>
          <w:rFonts w:hint="eastAsia" w:ascii="宋体" w:hAnsi="宋体"/>
          <w:bCs/>
          <w:sz w:val="24"/>
          <w:highlight w:val="none"/>
        </w:rPr>
        <w:t>投标人基本情况表（详见附件）；</w:t>
      </w:r>
    </w:p>
    <w:p>
      <w:pPr>
        <w:snapToGrid w:val="0"/>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）其余内容根据评标办法自拟（详见格式附件）</w:t>
      </w:r>
      <w:r>
        <w:rPr>
          <w:rFonts w:hint="eastAsia" w:ascii="宋体" w:hAnsi="宋体" w:eastAsia="宋体" w:cs="宋体"/>
          <w:kern w:val="0"/>
          <w:sz w:val="24"/>
          <w:highlight w:val="none"/>
        </w:rPr>
        <w:t>；</w:t>
      </w:r>
    </w:p>
    <w:p>
      <w:pPr>
        <w:pStyle w:val="6"/>
        <w:widowControl/>
        <w:numPr>
          <w:ilvl w:val="255"/>
          <w:numId w:val="0"/>
        </w:numPr>
        <w:snapToGrid w:val="0"/>
        <w:spacing w:line="360" w:lineRule="auto"/>
        <w:ind w:firstLine="480" w:firstLineChars="200"/>
        <w:rPr>
          <w:rFonts w:ascii="宋体" w:hAnsi="宋体"/>
          <w:bCs/>
          <w:sz w:val="24"/>
          <w:highlight w:val="none"/>
        </w:rPr>
      </w:pPr>
      <w:r>
        <w:rPr>
          <w:rFonts w:hint="eastAsia" w:ascii="宋体" w:hAnsi="宋体" w:eastAsia="宋体" w:cs="宋体"/>
          <w:sz w:val="24"/>
          <w:szCs w:val="21"/>
          <w:highlight w:val="none"/>
        </w:rPr>
        <w:t>（</w:t>
      </w:r>
      <w:r>
        <w:rPr>
          <w:rFonts w:hint="eastAsia" w:ascii="宋体" w:hAnsi="宋体" w:eastAsia="宋体" w:cs="宋体"/>
          <w:sz w:val="24"/>
          <w:szCs w:val="21"/>
          <w:highlight w:val="none"/>
          <w:lang w:val="en-US" w:eastAsia="zh-CN"/>
        </w:rPr>
        <w:t>3</w:t>
      </w:r>
      <w:r>
        <w:rPr>
          <w:rFonts w:hint="eastAsia" w:ascii="宋体" w:hAnsi="宋体" w:eastAsia="宋体" w:cs="宋体"/>
          <w:sz w:val="24"/>
          <w:szCs w:val="21"/>
          <w:highlight w:val="none"/>
        </w:rPr>
        <w:t>）投标人认为需要提供的其他资料</w:t>
      </w:r>
      <w:r>
        <w:rPr>
          <w:rFonts w:hint="eastAsia" w:ascii="宋体" w:hAnsi="宋体" w:eastAsia="宋体" w:cs="宋体"/>
          <w:kern w:val="0"/>
          <w:sz w:val="24"/>
          <w:highlight w:val="none"/>
        </w:rPr>
        <w:t>。</w:t>
      </w:r>
    </w:p>
    <w:p>
      <w:pPr>
        <w:pStyle w:val="6"/>
        <w:spacing w:line="360" w:lineRule="auto"/>
        <w:ind w:firstLine="0"/>
        <w:rPr>
          <w:rFonts w:ascii="宋体" w:hAnsi="宋体"/>
          <w:bCs/>
          <w:sz w:val="24"/>
        </w:rPr>
      </w:pPr>
    </w:p>
    <w:p>
      <w:pPr>
        <w:pStyle w:val="6"/>
        <w:spacing w:line="360" w:lineRule="auto"/>
        <w:ind w:firstLine="0"/>
        <w:rPr>
          <w:rFonts w:ascii="宋体" w:hAnsi="宋体"/>
          <w:bCs/>
          <w:sz w:val="24"/>
        </w:rPr>
      </w:pPr>
    </w:p>
    <w:p>
      <w:pPr>
        <w:pStyle w:val="6"/>
        <w:spacing w:line="360" w:lineRule="auto"/>
        <w:ind w:firstLine="0"/>
        <w:rPr>
          <w:rFonts w:ascii="宋体" w:hAnsi="宋体"/>
          <w:bCs/>
          <w:sz w:val="24"/>
        </w:rPr>
      </w:pPr>
    </w:p>
    <w:p>
      <w:pPr>
        <w:pStyle w:val="6"/>
        <w:spacing w:line="360" w:lineRule="auto"/>
        <w:ind w:firstLine="0"/>
        <w:rPr>
          <w:rFonts w:ascii="宋体" w:hAnsi="宋体"/>
          <w:bCs/>
          <w:sz w:val="24"/>
        </w:rPr>
      </w:pPr>
    </w:p>
    <w:p>
      <w:pPr>
        <w:pStyle w:val="6"/>
        <w:spacing w:line="360" w:lineRule="auto"/>
        <w:ind w:firstLine="0"/>
        <w:rPr>
          <w:rFonts w:ascii="宋体" w:hAnsi="宋体"/>
          <w:bCs/>
          <w:sz w:val="24"/>
        </w:rPr>
      </w:pPr>
    </w:p>
    <w:p>
      <w:pPr>
        <w:pStyle w:val="6"/>
        <w:spacing w:line="360" w:lineRule="auto"/>
        <w:ind w:firstLine="0"/>
        <w:rPr>
          <w:rFonts w:ascii="宋体" w:hAnsi="宋体"/>
          <w:bCs/>
          <w:sz w:val="24"/>
        </w:rPr>
      </w:pPr>
    </w:p>
    <w:p>
      <w:pPr>
        <w:pStyle w:val="6"/>
        <w:spacing w:line="360" w:lineRule="auto"/>
        <w:ind w:firstLine="0"/>
        <w:rPr>
          <w:rFonts w:ascii="宋体" w:hAnsi="宋体"/>
          <w:bCs/>
          <w:sz w:val="24"/>
        </w:rPr>
      </w:pPr>
    </w:p>
    <w:p>
      <w:pPr>
        <w:pStyle w:val="6"/>
        <w:spacing w:line="360" w:lineRule="auto"/>
        <w:ind w:firstLine="0"/>
        <w:rPr>
          <w:rFonts w:ascii="宋体" w:hAnsi="宋体"/>
          <w:bCs/>
          <w:sz w:val="24"/>
        </w:rPr>
      </w:pPr>
    </w:p>
    <w:p/>
    <w:p>
      <w:pPr>
        <w:pStyle w:val="37"/>
        <w:shd w:val="clear" w:color="auto" w:fill="FFFFFF"/>
        <w:spacing w:before="0" w:beforeAutospacing="0" w:after="0" w:afterAutospacing="0" w:line="360" w:lineRule="auto"/>
        <w:rPr>
          <w:b/>
          <w:sz w:val="28"/>
        </w:rPr>
      </w:pPr>
    </w:p>
    <w:p>
      <w:pPr>
        <w:pStyle w:val="37"/>
        <w:shd w:val="clear" w:color="auto" w:fill="FFFFFF"/>
        <w:spacing w:before="0" w:beforeAutospacing="0" w:after="0" w:afterAutospacing="0" w:line="360" w:lineRule="auto"/>
        <w:rPr>
          <w:b/>
          <w:sz w:val="28"/>
        </w:rPr>
      </w:pPr>
    </w:p>
    <w:p>
      <w:pPr>
        <w:pStyle w:val="37"/>
        <w:shd w:val="clear" w:color="auto" w:fill="FFFFFF"/>
        <w:spacing w:before="0" w:beforeAutospacing="0" w:after="0" w:afterAutospacing="0" w:line="360" w:lineRule="auto"/>
        <w:rPr>
          <w:b/>
          <w:sz w:val="28"/>
        </w:rPr>
      </w:pPr>
    </w:p>
    <w:p>
      <w:pPr>
        <w:pStyle w:val="37"/>
        <w:shd w:val="clear" w:color="auto" w:fill="FFFFFF"/>
        <w:spacing w:before="0" w:beforeAutospacing="0" w:after="0" w:afterAutospacing="0" w:line="360" w:lineRule="auto"/>
        <w:rPr>
          <w:b/>
          <w:sz w:val="28"/>
        </w:rPr>
      </w:pPr>
    </w:p>
    <w:p>
      <w:pPr>
        <w:pStyle w:val="37"/>
        <w:shd w:val="clear" w:color="auto" w:fill="FFFFFF"/>
        <w:spacing w:before="0" w:beforeAutospacing="0" w:after="0" w:afterAutospacing="0" w:line="360" w:lineRule="auto"/>
        <w:rPr>
          <w:rFonts w:hint="eastAsia"/>
          <w:b/>
          <w:sz w:val="28"/>
        </w:rPr>
      </w:pPr>
    </w:p>
    <w:p>
      <w:pPr>
        <w:pStyle w:val="37"/>
        <w:shd w:val="clear" w:color="auto" w:fill="FFFFFF"/>
        <w:spacing w:before="0" w:beforeAutospacing="0" w:after="0" w:afterAutospacing="0" w:line="360" w:lineRule="auto"/>
        <w:rPr>
          <w:rFonts w:hint="eastAsia"/>
          <w:b/>
          <w:sz w:val="28"/>
        </w:rPr>
      </w:pPr>
    </w:p>
    <w:p>
      <w:pPr>
        <w:pStyle w:val="37"/>
        <w:shd w:val="clear" w:color="auto" w:fill="FFFFFF"/>
        <w:spacing w:before="0" w:beforeAutospacing="0" w:after="0" w:afterAutospacing="0" w:line="360" w:lineRule="auto"/>
        <w:rPr>
          <w:rFonts w:hint="eastAsia"/>
          <w:b/>
          <w:sz w:val="28"/>
        </w:rPr>
      </w:pPr>
    </w:p>
    <w:p>
      <w:pPr>
        <w:pStyle w:val="37"/>
        <w:shd w:val="clear" w:color="auto" w:fill="FFFFFF"/>
        <w:spacing w:before="0" w:beforeAutospacing="0" w:after="0" w:afterAutospacing="0" w:line="360" w:lineRule="auto"/>
        <w:rPr>
          <w:rFonts w:hint="eastAsia"/>
          <w:b/>
          <w:sz w:val="28"/>
        </w:rPr>
      </w:pPr>
    </w:p>
    <w:p>
      <w:pPr>
        <w:pStyle w:val="37"/>
        <w:shd w:val="clear" w:color="auto" w:fill="FFFFFF"/>
        <w:spacing w:before="0" w:beforeAutospacing="0" w:after="0" w:afterAutospacing="0" w:line="360" w:lineRule="auto"/>
        <w:rPr>
          <w:rFonts w:hint="eastAsia"/>
          <w:b/>
          <w:sz w:val="28"/>
        </w:rPr>
      </w:pPr>
    </w:p>
    <w:p>
      <w:pPr>
        <w:pStyle w:val="37"/>
        <w:shd w:val="clear" w:color="auto" w:fill="FFFFFF"/>
        <w:spacing w:before="0" w:beforeAutospacing="0" w:after="0" w:afterAutospacing="0" w:line="360" w:lineRule="auto"/>
        <w:rPr>
          <w:rFonts w:hint="eastAsia"/>
          <w:b/>
          <w:sz w:val="28"/>
        </w:rPr>
      </w:pPr>
    </w:p>
    <w:p>
      <w:pPr>
        <w:pStyle w:val="37"/>
        <w:shd w:val="clear" w:color="auto" w:fill="FFFFFF"/>
        <w:spacing w:before="0" w:beforeAutospacing="0" w:after="0" w:afterAutospacing="0" w:line="360" w:lineRule="auto"/>
        <w:rPr>
          <w:rFonts w:hint="eastAsia"/>
          <w:b/>
          <w:sz w:val="28"/>
        </w:rPr>
      </w:pPr>
    </w:p>
    <w:p>
      <w:pPr>
        <w:pStyle w:val="37"/>
        <w:shd w:val="clear" w:color="auto" w:fill="FFFFFF"/>
        <w:spacing w:before="0" w:beforeAutospacing="0" w:after="0" w:afterAutospacing="0" w:line="360" w:lineRule="auto"/>
        <w:rPr>
          <w:rFonts w:hint="eastAsia"/>
          <w:b/>
          <w:sz w:val="28"/>
        </w:rPr>
      </w:pPr>
    </w:p>
    <w:p>
      <w:pPr>
        <w:pStyle w:val="37"/>
        <w:shd w:val="clear" w:color="auto" w:fill="FFFFFF"/>
        <w:spacing w:before="0" w:beforeAutospacing="0" w:after="0" w:afterAutospacing="0" w:line="360" w:lineRule="auto"/>
        <w:rPr>
          <w:b/>
          <w:sz w:val="28"/>
        </w:rPr>
      </w:pPr>
      <w:r>
        <w:rPr>
          <w:rFonts w:hint="eastAsia"/>
          <w:b/>
          <w:sz w:val="28"/>
        </w:rPr>
        <w:t>附件6</w:t>
      </w:r>
    </w:p>
    <w:p>
      <w:pPr>
        <w:pStyle w:val="37"/>
        <w:shd w:val="clear" w:color="auto" w:fill="FFFFFF"/>
        <w:spacing w:before="0" w:beforeAutospacing="0" w:after="0" w:afterAutospacing="0" w:line="360" w:lineRule="auto"/>
        <w:jc w:val="center"/>
        <w:rPr>
          <w:rFonts w:eastAsia="微软雅黑"/>
          <w:sz w:val="36"/>
          <w:szCs w:val="36"/>
        </w:rPr>
      </w:pPr>
      <w:r>
        <w:rPr>
          <w:rFonts w:hint="eastAsia"/>
          <w:b/>
          <w:sz w:val="32"/>
          <w:szCs w:val="32"/>
        </w:rPr>
        <w:t xml:space="preserve">  </w:t>
      </w:r>
      <w:bookmarkStart w:id="53" w:name="_Toc13307_WPSOffice_Level1"/>
      <w:bookmarkStart w:id="54" w:name="_Toc14261_WPSOffice_Level1"/>
      <w:r>
        <w:rPr>
          <w:rFonts w:hint="eastAsia"/>
          <w:b/>
          <w:sz w:val="32"/>
          <w:szCs w:val="32"/>
        </w:rPr>
        <w:t>投标</w:t>
      </w:r>
      <w:r>
        <w:rPr>
          <w:rFonts w:hint="eastAsia"/>
          <w:b/>
          <w:bCs/>
          <w:sz w:val="32"/>
          <w:szCs w:val="32"/>
        </w:rPr>
        <w:t>人基本情况表</w:t>
      </w:r>
      <w:bookmarkEnd w:id="53"/>
      <w:bookmarkEnd w:id="54"/>
    </w:p>
    <w:tbl>
      <w:tblPr>
        <w:tblStyle w:val="25"/>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r>
              <w:rPr>
                <w:rFonts w:hint="eastAsia"/>
                <w:bCs/>
              </w:rPr>
              <w:t>法人代表</w:t>
            </w:r>
          </w:p>
        </w:tc>
        <w:tc>
          <w:tcPr>
            <w:tcW w:w="2151" w:type="dxa"/>
            <w:gridSpan w:val="2"/>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r>
              <w:rPr>
                <w:rFonts w:hint="eastAsia"/>
                <w:bCs/>
              </w:rPr>
              <w:t>地址</w:t>
            </w:r>
          </w:p>
        </w:tc>
        <w:tc>
          <w:tcPr>
            <w:tcW w:w="3979" w:type="dxa"/>
            <w:gridSpan w:val="6"/>
            <w:tcBorders>
              <w:bottom w:val="single" w:color="auto" w:sz="4" w:space="0"/>
            </w:tcBorders>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p>
        </w:tc>
        <w:tc>
          <w:tcPr>
            <w:tcW w:w="910" w:type="dxa"/>
            <w:gridSpan w:val="2"/>
            <w:tcBorders>
              <w:top w:val="nil"/>
              <w:bottom w:val="single" w:color="auto" w:sz="4" w:space="0"/>
            </w:tcBorders>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pPr>
              <w:widowControl/>
              <w:jc w:val="center"/>
              <w:rPr>
                <w:rFonts w:ascii="宋体" w:hAnsi="宋体" w:cs="宋体"/>
                <w:bCs/>
                <w:kern w:val="0"/>
                <w:sz w:val="24"/>
              </w:rPr>
            </w:pPr>
          </w:p>
          <w:p>
            <w:pPr>
              <w:pStyle w:val="37"/>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p>
        </w:tc>
        <w:tc>
          <w:tcPr>
            <w:tcW w:w="701" w:type="dxa"/>
            <w:vMerge w:val="continue"/>
            <w:tcBorders>
              <w:bottom w:val="single" w:color="auto" w:sz="4" w:space="0"/>
            </w:tcBorders>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r>
              <w:rPr>
                <w:rFonts w:hint="eastAsia"/>
                <w:bCs/>
              </w:rPr>
              <w:t>手机</w:t>
            </w:r>
          </w:p>
        </w:tc>
        <w:tc>
          <w:tcPr>
            <w:tcW w:w="2368" w:type="dxa"/>
            <w:gridSpan w:val="3"/>
            <w:tcBorders>
              <w:bottom w:val="single" w:color="auto" w:sz="4" w:space="0"/>
            </w:tcBorders>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p>
        </w:tc>
        <w:tc>
          <w:tcPr>
            <w:tcW w:w="2001" w:type="dxa"/>
            <w:gridSpan w:val="3"/>
            <w:vMerge w:val="continue"/>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p>
        </w:tc>
        <w:tc>
          <w:tcPr>
            <w:tcW w:w="2151" w:type="dxa"/>
            <w:gridSpan w:val="2"/>
            <w:vMerge w:val="continue"/>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r>
              <w:rPr>
                <w:bCs/>
              </w:rPr>
              <w:t>1</w:t>
            </w:r>
            <w:r>
              <w:rPr>
                <w:rFonts w:hint="eastAsia"/>
                <w:bCs/>
              </w:rPr>
              <w:t>.</w:t>
            </w:r>
          </w:p>
          <w:p>
            <w:pPr>
              <w:pStyle w:val="37"/>
              <w:shd w:val="clear" w:color="auto" w:fill="FFFFFF"/>
              <w:spacing w:before="0" w:beforeAutospacing="0" w:after="0" w:afterAutospacing="0"/>
              <w:jc w:val="center"/>
              <w:rPr>
                <w:bCs/>
              </w:rPr>
            </w:pPr>
            <w:r>
              <w:rPr>
                <w:rFonts w:hint="eastAsia"/>
                <w:bCs/>
              </w:rPr>
              <w:t>企</w:t>
            </w:r>
          </w:p>
          <w:p>
            <w:pPr>
              <w:pStyle w:val="37"/>
              <w:shd w:val="clear" w:color="auto" w:fill="FFFFFF"/>
              <w:spacing w:before="0" w:beforeAutospacing="0" w:after="0" w:afterAutospacing="0"/>
              <w:jc w:val="center"/>
              <w:rPr>
                <w:bCs/>
              </w:rPr>
            </w:pPr>
            <w:r>
              <w:rPr>
                <w:rFonts w:hint="eastAsia"/>
                <w:bCs/>
              </w:rPr>
              <w:t>业</w:t>
            </w:r>
          </w:p>
          <w:p>
            <w:pPr>
              <w:pStyle w:val="37"/>
              <w:shd w:val="clear" w:color="auto" w:fill="FFFFFF"/>
              <w:spacing w:before="0" w:beforeAutospacing="0" w:after="0" w:afterAutospacing="0"/>
              <w:jc w:val="center"/>
              <w:rPr>
                <w:bCs/>
              </w:rPr>
            </w:pPr>
            <w:r>
              <w:rPr>
                <w:rFonts w:hint="eastAsia"/>
                <w:bCs/>
              </w:rPr>
              <w:t>概</w:t>
            </w:r>
          </w:p>
          <w:p>
            <w:pPr>
              <w:pStyle w:val="37"/>
              <w:shd w:val="clear" w:color="auto" w:fill="FFFFFF"/>
              <w:spacing w:before="0" w:beforeAutospacing="0" w:after="0" w:afterAutospacing="0"/>
              <w:jc w:val="center"/>
              <w:rPr>
                <w:bCs/>
              </w:rPr>
            </w:pPr>
            <w:r>
              <w:rPr>
                <w:rFonts w:hint="eastAsia"/>
                <w:bCs/>
              </w:rPr>
              <w:t>况</w:t>
            </w:r>
          </w:p>
        </w:tc>
        <w:tc>
          <w:tcPr>
            <w:tcW w:w="701" w:type="dxa"/>
            <w:tcBorders>
              <w:top w:val="nil"/>
            </w:tcBorders>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pPr>
              <w:widowControl/>
              <w:jc w:val="center"/>
              <w:rPr>
                <w:rFonts w:ascii="宋体" w:hAnsi="宋体" w:cs="宋体"/>
                <w:bCs/>
                <w:kern w:val="0"/>
                <w:sz w:val="24"/>
              </w:rPr>
            </w:pPr>
          </w:p>
          <w:p>
            <w:pPr>
              <w:widowControl/>
              <w:jc w:val="center"/>
              <w:rPr>
                <w:rFonts w:ascii="宋体" w:hAnsi="宋体" w:cs="宋体"/>
                <w:bCs/>
                <w:kern w:val="0"/>
                <w:sz w:val="24"/>
              </w:rPr>
            </w:pPr>
          </w:p>
          <w:p>
            <w:pPr>
              <w:pStyle w:val="37"/>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pPr>
              <w:widowControl/>
              <w:jc w:val="center"/>
              <w:rPr>
                <w:rFonts w:ascii="宋体" w:hAnsi="宋体" w:cs="宋体"/>
                <w:bCs/>
                <w:kern w:val="0"/>
                <w:sz w:val="24"/>
              </w:rPr>
            </w:pPr>
          </w:p>
          <w:p>
            <w:pPr>
              <w:pStyle w:val="37"/>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pPr>
              <w:widowControl/>
              <w:jc w:val="center"/>
              <w:rPr>
                <w:rFonts w:ascii="宋体" w:hAnsi="宋体" w:cs="宋体"/>
                <w:bCs/>
                <w:kern w:val="0"/>
                <w:sz w:val="24"/>
              </w:rPr>
            </w:pPr>
          </w:p>
          <w:p>
            <w:pPr>
              <w:pStyle w:val="37"/>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r>
              <w:rPr>
                <w:rFonts w:hint="eastAsia"/>
                <w:bCs/>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r>
              <w:rPr>
                <w:bCs/>
              </w:rPr>
              <w:t>2</w:t>
            </w:r>
            <w:r>
              <w:rPr>
                <w:rFonts w:hint="eastAsia"/>
                <w:bCs/>
              </w:rPr>
              <w:t>．</w:t>
            </w:r>
          </w:p>
          <w:p>
            <w:pPr>
              <w:pStyle w:val="37"/>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pPr>
              <w:pStyle w:val="37"/>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pPr>
              <w:pStyle w:val="37"/>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pPr>
              <w:pStyle w:val="37"/>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pPr>
              <w:pStyle w:val="37"/>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pPr>
              <w:pStyle w:val="37"/>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pPr>
              <w:pStyle w:val="37"/>
              <w:spacing w:before="0" w:beforeAutospacing="0" w:after="0" w:afterAutospacing="0"/>
              <w:jc w:val="center"/>
              <w:rPr>
                <w:bCs/>
              </w:rPr>
            </w:pPr>
            <w:r>
              <w:rPr>
                <w:rFonts w:hint="eastAsia"/>
                <w:bCs/>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p>
        </w:tc>
        <w:tc>
          <w:tcPr>
            <w:tcW w:w="1553" w:type="dxa"/>
            <w:gridSpan w:val="2"/>
            <w:vMerge w:val="continue"/>
            <w:tcMar>
              <w:top w:w="57" w:type="dxa"/>
              <w:left w:w="85" w:type="dxa"/>
              <w:bottom w:w="0" w:type="dxa"/>
              <w:right w:w="85" w:type="dxa"/>
            </w:tcMar>
            <w:vAlign w:val="center"/>
          </w:tcPr>
          <w:p>
            <w:pPr>
              <w:pStyle w:val="37"/>
              <w:spacing w:before="0" w:beforeAutospacing="0" w:after="0" w:afterAutospacing="0"/>
              <w:jc w:val="center"/>
              <w:rPr>
                <w:bCs/>
              </w:rPr>
            </w:pPr>
          </w:p>
        </w:tc>
        <w:tc>
          <w:tcPr>
            <w:tcW w:w="1333" w:type="dxa"/>
            <w:gridSpan w:val="3"/>
            <w:tcMar>
              <w:top w:w="57" w:type="dxa"/>
              <w:left w:w="85" w:type="dxa"/>
              <w:bottom w:w="0" w:type="dxa"/>
              <w:right w:w="85" w:type="dxa"/>
            </w:tcMar>
            <w:vAlign w:val="center"/>
          </w:tcPr>
          <w:p>
            <w:pPr>
              <w:pStyle w:val="37"/>
              <w:spacing w:before="0" w:beforeAutospacing="0" w:after="0" w:afterAutospacing="0"/>
              <w:jc w:val="center"/>
              <w:rPr>
                <w:bCs/>
              </w:rPr>
            </w:pPr>
          </w:p>
        </w:tc>
        <w:tc>
          <w:tcPr>
            <w:tcW w:w="1418" w:type="dxa"/>
            <w:gridSpan w:val="2"/>
            <w:tcMar>
              <w:top w:w="57" w:type="dxa"/>
              <w:left w:w="85" w:type="dxa"/>
              <w:bottom w:w="0" w:type="dxa"/>
              <w:right w:w="85" w:type="dxa"/>
            </w:tcMar>
            <w:vAlign w:val="center"/>
          </w:tcPr>
          <w:p>
            <w:pPr>
              <w:pStyle w:val="37"/>
              <w:spacing w:before="0" w:beforeAutospacing="0" w:after="0" w:afterAutospacing="0"/>
              <w:jc w:val="center"/>
              <w:rPr>
                <w:bCs/>
              </w:rPr>
            </w:pPr>
          </w:p>
        </w:tc>
        <w:tc>
          <w:tcPr>
            <w:tcW w:w="1276" w:type="dxa"/>
            <w:tcMar>
              <w:top w:w="57" w:type="dxa"/>
              <w:left w:w="85" w:type="dxa"/>
              <w:bottom w:w="0" w:type="dxa"/>
              <w:right w:w="85" w:type="dxa"/>
            </w:tcMar>
            <w:vAlign w:val="center"/>
          </w:tcPr>
          <w:p>
            <w:pPr>
              <w:pStyle w:val="37"/>
              <w:spacing w:before="0" w:beforeAutospacing="0" w:after="0" w:afterAutospacing="0"/>
              <w:jc w:val="center"/>
              <w:rPr>
                <w:bCs/>
              </w:rPr>
            </w:pPr>
          </w:p>
        </w:tc>
        <w:tc>
          <w:tcPr>
            <w:tcW w:w="1618" w:type="dxa"/>
            <w:gridSpan w:val="2"/>
            <w:tcMar>
              <w:top w:w="57" w:type="dxa"/>
              <w:left w:w="85" w:type="dxa"/>
              <w:bottom w:w="0" w:type="dxa"/>
              <w:right w:w="85" w:type="dxa"/>
            </w:tcMar>
            <w:vAlign w:val="center"/>
          </w:tcPr>
          <w:p>
            <w:pPr>
              <w:pStyle w:val="37"/>
              <w:spacing w:before="0" w:beforeAutospacing="0" w:after="0" w:afterAutospacing="0"/>
              <w:jc w:val="center"/>
              <w:rPr>
                <w:bCs/>
              </w:rPr>
            </w:pPr>
          </w:p>
        </w:tc>
        <w:tc>
          <w:tcPr>
            <w:tcW w:w="933" w:type="dxa"/>
            <w:tcMar>
              <w:top w:w="57" w:type="dxa"/>
              <w:left w:w="85" w:type="dxa"/>
              <w:bottom w:w="0" w:type="dxa"/>
              <w:right w:w="85" w:type="dxa"/>
            </w:tcMar>
            <w:vAlign w:val="center"/>
          </w:tcPr>
          <w:p>
            <w:pPr>
              <w:pStyle w:val="37"/>
              <w:spacing w:before="0" w:beforeAutospacing="0" w:after="0" w:afterAutospacing="0"/>
              <w:jc w:val="center"/>
            </w:pPr>
          </w:p>
        </w:tc>
      </w:tr>
    </w:tbl>
    <w:p>
      <w:pPr>
        <w:pStyle w:val="37"/>
        <w:shd w:val="clear" w:color="auto" w:fill="FFFFFF"/>
        <w:spacing w:before="0" w:beforeAutospacing="0" w:after="0" w:afterAutospacing="0" w:line="360" w:lineRule="auto"/>
        <w:rPr>
          <w:b/>
          <w:sz w:val="21"/>
          <w:szCs w:val="21"/>
        </w:rPr>
      </w:pPr>
      <w:r>
        <w:rPr>
          <w:rFonts w:hint="eastAsia"/>
          <w:b/>
          <w:sz w:val="21"/>
          <w:szCs w:val="21"/>
        </w:rPr>
        <w:t>要求：</w:t>
      </w:r>
    </w:p>
    <w:p>
      <w:pPr>
        <w:pStyle w:val="37"/>
        <w:shd w:val="clear" w:color="auto" w:fill="FFFFFF"/>
        <w:spacing w:before="0" w:beforeAutospacing="0" w:after="0" w:afterAutospacing="0" w:line="360" w:lineRule="auto"/>
        <w:ind w:firstLine="424" w:firstLineChars="202"/>
        <w:rPr>
          <w:sz w:val="21"/>
          <w:szCs w:val="21"/>
        </w:rPr>
      </w:pPr>
      <w:r>
        <w:rPr>
          <w:rFonts w:hint="eastAsia" w:ascii="仿宋_GB2312" w:eastAsia="仿宋_GB2312"/>
          <w:sz w:val="21"/>
          <w:szCs w:val="21"/>
        </w:rPr>
        <w:t>1.</w:t>
      </w:r>
      <w:r>
        <w:rPr>
          <w:rFonts w:hint="eastAsia"/>
          <w:sz w:val="21"/>
          <w:szCs w:val="21"/>
        </w:rPr>
        <w:t>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法定代表人或授权委托人签字或盖章：</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7"/>
        <w:shd w:val="clear" w:color="auto" w:fill="FFFFFF"/>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4"/>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jc w:val="left"/>
        <w:rPr>
          <w:rFonts w:hint="eastAsia" w:ascii="宋体" w:hAnsi="宋体" w:eastAsia="宋体"/>
          <w:b/>
          <w:bCs/>
          <w:kern w:val="0"/>
          <w:sz w:val="32"/>
          <w:szCs w:val="32"/>
          <w:lang w:eastAsia="zh-CN"/>
        </w:rPr>
      </w:pPr>
      <w:bookmarkStart w:id="55" w:name="_Toc26601_WPSOffice_Level1"/>
      <w:bookmarkStart w:id="56" w:name="_Toc12856_WPSOffice_Level1"/>
      <w:r>
        <w:rPr>
          <w:rFonts w:hint="eastAsia" w:ascii="宋体" w:hAnsi="宋体"/>
          <w:b/>
          <w:bCs/>
          <w:kern w:val="0"/>
          <w:sz w:val="32"/>
          <w:szCs w:val="32"/>
        </w:rPr>
        <w:t>附件</w:t>
      </w:r>
      <w:r>
        <w:rPr>
          <w:rFonts w:hint="eastAsia" w:ascii="宋体" w:hAnsi="宋体"/>
          <w:b/>
          <w:bCs/>
          <w:kern w:val="0"/>
          <w:sz w:val="32"/>
          <w:szCs w:val="32"/>
          <w:lang w:val="en-US" w:eastAsia="zh-CN"/>
        </w:rPr>
        <w:t>7</w:t>
      </w:r>
    </w:p>
    <w:p>
      <w:pPr>
        <w:snapToGrid w:val="0"/>
        <w:spacing w:line="360" w:lineRule="auto"/>
        <w:jc w:val="center"/>
        <w:rPr>
          <w:rFonts w:ascii="宋体" w:hAnsi="宋体"/>
          <w:b/>
          <w:sz w:val="32"/>
          <w:szCs w:val="32"/>
        </w:rPr>
      </w:pPr>
      <w:r>
        <w:rPr>
          <w:rFonts w:hint="eastAsia" w:ascii="宋体" w:hAnsi="宋体"/>
          <w:b/>
          <w:sz w:val="32"/>
          <w:szCs w:val="32"/>
        </w:rPr>
        <w:t>项目实施人员一览表</w:t>
      </w:r>
    </w:p>
    <w:p>
      <w:pPr>
        <w:snapToGrid w:val="0"/>
        <w:spacing w:line="360" w:lineRule="auto"/>
        <w:jc w:val="center"/>
        <w:rPr>
          <w:rFonts w:ascii="宋体" w:hAnsi="宋体"/>
          <w:sz w:val="24"/>
        </w:rPr>
      </w:pPr>
      <w:r>
        <w:rPr>
          <w:rFonts w:hint="eastAsia" w:ascii="宋体" w:hAnsi="宋体"/>
          <w:sz w:val="24"/>
        </w:rPr>
        <w:t>（主要从业人员及其技术资格）</w:t>
      </w:r>
    </w:p>
    <w:tbl>
      <w:tblPr>
        <w:tblStyle w:val="25"/>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Cs w:val="21"/>
              </w:rPr>
            </w:pPr>
            <w:r>
              <w:rPr>
                <w:rFonts w:hint="eastAsia" w:ascii="宋体" w:hAnsi="宋体"/>
                <w:b/>
                <w:bCs/>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Cs w:val="21"/>
              </w:rPr>
            </w:pPr>
            <w:r>
              <w:rPr>
                <w:rFonts w:hint="eastAsia" w:ascii="宋体" w:hAnsi="宋体"/>
                <w:b/>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4"/>
              <w:snapToGrid w:val="0"/>
              <w:spacing w:before="156" w:beforeLines="50" w:after="50" w:line="360" w:lineRule="auto"/>
              <w:ind w:left="5250"/>
              <w:rPr>
                <w:rFonts w:ascii="宋体" w:hAnsi="宋体" w:eastAsia="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4"/>
              <w:snapToGrid w:val="0"/>
              <w:spacing w:before="156" w:beforeLines="50" w:after="50" w:line="360" w:lineRule="auto"/>
              <w:ind w:left="5250"/>
              <w:rPr>
                <w:rFonts w:ascii="宋体" w:hAnsi="宋体" w:eastAsia="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4"/>
              <w:spacing w:line="360" w:lineRule="auto"/>
              <w:ind w:left="5250"/>
              <w:rPr>
                <w:rFonts w:ascii="宋体" w:hAnsi="宋体"/>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bCs/>
          <w:szCs w:val="21"/>
        </w:rPr>
        <w:t>1.在填</w:t>
      </w:r>
      <w:r>
        <w:rPr>
          <w:rFonts w:hint="eastAsia" w:ascii="宋体" w:hAnsi="宋体"/>
          <w:szCs w:val="21"/>
        </w:rPr>
        <w:t>写时，如本表格不适合投标单位的实际情况，可根据本表格式自行划表填写。</w:t>
      </w:r>
    </w:p>
    <w:p>
      <w:pPr>
        <w:pStyle w:val="38"/>
        <w:spacing w:line="360" w:lineRule="auto"/>
        <w:ind w:left="424" w:leftChars="202"/>
        <w:rPr>
          <w:rFonts w:ascii="宋体" w:hAnsi="宋体"/>
          <w:szCs w:val="21"/>
        </w:rPr>
      </w:pPr>
      <w:r>
        <w:rPr>
          <w:rFonts w:hint="eastAsia" w:ascii="宋体" w:hAnsi="宋体"/>
          <w:szCs w:val="21"/>
        </w:rPr>
        <w:t>2.附人员证书扫描件。</w:t>
      </w:r>
    </w:p>
    <w:p>
      <w:pPr>
        <w:pStyle w:val="38"/>
        <w:spacing w:line="360" w:lineRule="auto"/>
        <w:rPr>
          <w:rFonts w:ascii="宋体" w:hAnsi="宋体"/>
          <w:szCs w:val="21"/>
        </w:rPr>
      </w:pPr>
      <w:r>
        <w:rPr>
          <w:rFonts w:hint="eastAsia" w:ascii="宋体" w:hAnsi="宋体"/>
          <w:szCs w:val="21"/>
        </w:rPr>
        <w:t>　　3.出具上述人员在本单位服务的</w:t>
      </w:r>
      <w:r>
        <w:rPr>
          <w:rFonts w:hint="eastAsia" w:ascii="宋体" w:hAnsi="宋体"/>
          <w:szCs w:val="21"/>
          <w:lang w:eastAsia="zh-CN"/>
        </w:rPr>
        <w:t>社保</w:t>
      </w:r>
      <w:r>
        <w:rPr>
          <w:rFonts w:hint="eastAsia" w:ascii="宋体" w:hAnsi="宋体"/>
          <w:szCs w:val="21"/>
        </w:rPr>
        <w:t>证明，按评标办法要求提供。</w:t>
      </w:r>
    </w:p>
    <w:p>
      <w:pPr>
        <w:snapToGrid w:val="0"/>
        <w:spacing w:before="50" w:after="156"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法定代表人或授权委托人签字或盖章：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jc w:val="left"/>
        <w:rPr>
          <w:rFonts w:ascii="宋体" w:hAnsi="宋体"/>
          <w:b/>
          <w:bCs/>
          <w:kern w:val="0"/>
          <w:sz w:val="32"/>
          <w:szCs w:val="32"/>
        </w:rPr>
      </w:pPr>
    </w:p>
    <w:p>
      <w:pPr>
        <w:jc w:val="left"/>
        <w:rPr>
          <w:rFonts w:ascii="宋体" w:hAnsi="宋体"/>
          <w:b/>
          <w:bCs/>
          <w:kern w:val="0"/>
          <w:sz w:val="32"/>
          <w:szCs w:val="32"/>
        </w:rPr>
      </w:pPr>
      <w:r>
        <w:rPr>
          <w:rFonts w:ascii="宋体" w:hAnsi="宋体"/>
          <w:b/>
          <w:bCs/>
          <w:kern w:val="0"/>
          <w:sz w:val="32"/>
          <w:szCs w:val="32"/>
        </w:rPr>
        <w:br w:type="page"/>
      </w:r>
    </w:p>
    <w:p>
      <w:pPr>
        <w:spacing w:line="360" w:lineRule="auto"/>
        <w:jc w:val="left"/>
        <w:rPr>
          <w:rFonts w:hint="eastAsia" w:ascii="宋体" w:hAnsi="宋体" w:eastAsia="宋体"/>
          <w:b/>
          <w:bCs/>
          <w:kern w:val="0"/>
          <w:sz w:val="32"/>
          <w:szCs w:val="32"/>
          <w:lang w:eastAsia="zh-CN"/>
        </w:rPr>
      </w:pPr>
      <w:r>
        <w:rPr>
          <w:rFonts w:hint="eastAsia" w:ascii="宋体" w:hAnsi="宋体"/>
          <w:b/>
          <w:bCs/>
          <w:kern w:val="0"/>
          <w:sz w:val="32"/>
          <w:szCs w:val="32"/>
        </w:rPr>
        <w:t>附件</w:t>
      </w:r>
      <w:r>
        <w:rPr>
          <w:rFonts w:hint="eastAsia" w:ascii="宋体" w:hAnsi="宋体"/>
          <w:b/>
          <w:bCs/>
          <w:kern w:val="0"/>
          <w:sz w:val="32"/>
          <w:szCs w:val="32"/>
          <w:lang w:val="en-US" w:eastAsia="zh-CN"/>
        </w:rPr>
        <w:t>8</w:t>
      </w:r>
    </w:p>
    <w:p>
      <w:pPr>
        <w:adjustRightInd w:val="0"/>
        <w:snapToGrid w:val="0"/>
        <w:jc w:val="center"/>
        <w:rPr>
          <w:rFonts w:ascii="宋体" w:hAnsi="宋体"/>
          <w:b/>
          <w:kern w:val="0"/>
          <w:sz w:val="32"/>
          <w:szCs w:val="32"/>
        </w:rPr>
      </w:pPr>
      <w:r>
        <w:rPr>
          <w:rFonts w:hint="eastAsia" w:ascii="宋体" w:hAnsi="宋体"/>
          <w:b/>
          <w:kern w:val="0"/>
          <w:sz w:val="32"/>
          <w:szCs w:val="32"/>
          <w:lang w:eastAsia="zh-CN"/>
        </w:rPr>
        <w:t>商务及技术</w:t>
      </w:r>
      <w:r>
        <w:rPr>
          <w:rFonts w:ascii="宋体" w:hAnsi="宋体"/>
          <w:b/>
          <w:kern w:val="0"/>
          <w:sz w:val="32"/>
          <w:szCs w:val="32"/>
        </w:rPr>
        <w:t>响应表</w:t>
      </w:r>
    </w:p>
    <w:tbl>
      <w:tblPr>
        <w:tblStyle w:val="25"/>
        <w:tblW w:w="52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3563"/>
        <w:gridCol w:w="2492"/>
        <w:gridCol w:w="1242"/>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序号</w:t>
            </w:r>
          </w:p>
        </w:tc>
        <w:tc>
          <w:tcPr>
            <w:tcW w:w="2003" w:type="pct"/>
            <w:vAlign w:val="center"/>
          </w:tcPr>
          <w:p>
            <w:pPr>
              <w:adjustRightInd w:val="0"/>
              <w:snapToGrid w:val="0"/>
              <w:spacing w:before="100" w:beforeAutospacing="1" w:after="100" w:afterAutospacing="1"/>
              <w:jc w:val="center"/>
              <w:rPr>
                <w:rFonts w:hint="eastAsia" w:ascii="宋体" w:hAnsi="宋体" w:eastAsia="宋体"/>
                <w:sz w:val="24"/>
                <w:lang w:eastAsia="zh-CN"/>
              </w:rPr>
            </w:pPr>
            <w:r>
              <w:rPr>
                <w:rFonts w:ascii="宋体" w:hAnsi="宋体"/>
                <w:sz w:val="24"/>
                <w:u w:val="thick" w:color="FFFFFF"/>
              </w:rPr>
              <w:t>招标</w:t>
            </w:r>
            <w:r>
              <w:rPr>
                <w:rFonts w:hint="eastAsia" w:ascii="宋体" w:hAnsi="宋体"/>
                <w:sz w:val="24"/>
                <w:u w:val="thick" w:color="FFFFFF"/>
                <w:lang w:eastAsia="zh-CN"/>
              </w:rPr>
              <w:t>需求</w:t>
            </w:r>
          </w:p>
        </w:tc>
        <w:tc>
          <w:tcPr>
            <w:tcW w:w="1401"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投标响应内容</w:t>
            </w:r>
          </w:p>
        </w:tc>
        <w:tc>
          <w:tcPr>
            <w:tcW w:w="698"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响应情况</w:t>
            </w:r>
          </w:p>
        </w:tc>
        <w:tc>
          <w:tcPr>
            <w:tcW w:w="400"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1</w:t>
            </w:r>
          </w:p>
        </w:tc>
        <w:tc>
          <w:tcPr>
            <w:tcW w:w="2003" w:type="pct"/>
            <w:vAlign w:val="center"/>
          </w:tcPr>
          <w:p>
            <w:pPr>
              <w:adjustRightInd w:val="0"/>
              <w:snapToGrid w:val="0"/>
              <w:spacing w:before="100" w:beforeAutospacing="1" w:after="100" w:afterAutospacing="1"/>
              <w:jc w:val="center"/>
              <w:rPr>
                <w:rFonts w:ascii="宋体" w:hAnsi="宋体"/>
                <w:sz w:val="24"/>
              </w:rPr>
            </w:pP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jc w:val="center"/>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2</w:t>
            </w:r>
          </w:p>
        </w:tc>
        <w:tc>
          <w:tcPr>
            <w:tcW w:w="2003" w:type="pct"/>
            <w:vAlign w:val="center"/>
          </w:tcPr>
          <w:p>
            <w:pPr>
              <w:adjustRightInd w:val="0"/>
              <w:snapToGrid w:val="0"/>
              <w:spacing w:before="100" w:beforeAutospacing="1" w:after="100" w:afterAutospacing="1"/>
              <w:jc w:val="center"/>
              <w:rPr>
                <w:rFonts w:ascii="宋体" w:hAnsi="宋体"/>
                <w:sz w:val="24"/>
              </w:rPr>
            </w:pP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jc w:val="center"/>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3</w:t>
            </w:r>
          </w:p>
        </w:tc>
        <w:tc>
          <w:tcPr>
            <w:tcW w:w="2003" w:type="pct"/>
            <w:vAlign w:val="center"/>
          </w:tcPr>
          <w:p>
            <w:pPr>
              <w:adjustRightInd w:val="0"/>
              <w:snapToGrid w:val="0"/>
              <w:spacing w:before="100" w:beforeAutospacing="1" w:after="100" w:afterAutospacing="1"/>
              <w:jc w:val="center"/>
              <w:rPr>
                <w:rFonts w:ascii="宋体" w:hAnsi="宋体"/>
                <w:sz w:val="24"/>
              </w:rPr>
            </w:pP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4</w:t>
            </w:r>
          </w:p>
        </w:tc>
        <w:tc>
          <w:tcPr>
            <w:tcW w:w="2003" w:type="pct"/>
            <w:vAlign w:val="center"/>
          </w:tcPr>
          <w:p>
            <w:pPr>
              <w:adjustRightInd w:val="0"/>
              <w:snapToGrid w:val="0"/>
              <w:spacing w:before="100" w:beforeAutospacing="1" w:after="100" w:afterAutospacing="1"/>
              <w:jc w:val="center"/>
              <w:rPr>
                <w:rFonts w:ascii="宋体" w:hAnsi="宋体"/>
                <w:sz w:val="24"/>
              </w:rPr>
            </w:pP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5</w:t>
            </w:r>
          </w:p>
        </w:tc>
        <w:tc>
          <w:tcPr>
            <w:tcW w:w="2003" w:type="pct"/>
            <w:vAlign w:val="center"/>
          </w:tcPr>
          <w:p>
            <w:pPr>
              <w:adjustRightInd w:val="0"/>
              <w:snapToGrid w:val="0"/>
              <w:spacing w:before="100" w:beforeAutospacing="1" w:after="100" w:afterAutospacing="1"/>
              <w:jc w:val="center"/>
              <w:rPr>
                <w:rFonts w:ascii="宋体" w:hAnsi="宋体"/>
                <w:sz w:val="24"/>
              </w:rPr>
            </w:pP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6</w:t>
            </w:r>
          </w:p>
        </w:tc>
        <w:tc>
          <w:tcPr>
            <w:tcW w:w="2003" w:type="pct"/>
            <w:vAlign w:val="center"/>
          </w:tcPr>
          <w:p>
            <w:pPr>
              <w:adjustRightInd w:val="0"/>
              <w:snapToGrid w:val="0"/>
              <w:spacing w:before="100" w:beforeAutospacing="1" w:after="100" w:afterAutospacing="1"/>
              <w:jc w:val="center"/>
              <w:rPr>
                <w:rFonts w:ascii="宋体" w:hAnsi="宋体"/>
                <w:sz w:val="24"/>
              </w:rPr>
            </w:pP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7</w:t>
            </w:r>
          </w:p>
        </w:tc>
        <w:tc>
          <w:tcPr>
            <w:tcW w:w="2003" w:type="pct"/>
            <w:vAlign w:val="center"/>
          </w:tcPr>
          <w:p>
            <w:pPr>
              <w:adjustRightInd w:val="0"/>
              <w:snapToGrid w:val="0"/>
              <w:spacing w:before="100" w:beforeAutospacing="1" w:after="100" w:afterAutospacing="1"/>
              <w:jc w:val="center"/>
              <w:rPr>
                <w:rFonts w:ascii="宋体" w:hAnsi="宋体"/>
                <w:sz w:val="24"/>
              </w:rPr>
            </w:pP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p>
        </w:tc>
        <w:tc>
          <w:tcPr>
            <w:tcW w:w="2003"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w:t>
            </w: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p>
        </w:tc>
        <w:tc>
          <w:tcPr>
            <w:tcW w:w="2003" w:type="pct"/>
            <w:vAlign w:val="center"/>
          </w:tcPr>
          <w:p>
            <w:pPr>
              <w:adjustRightInd w:val="0"/>
              <w:snapToGrid w:val="0"/>
              <w:spacing w:before="100" w:beforeAutospacing="1" w:after="100" w:afterAutospacing="1"/>
              <w:rPr>
                <w:rFonts w:ascii="宋体" w:hAnsi="宋体"/>
                <w:sz w:val="24"/>
              </w:rPr>
            </w:pP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bl>
    <w:p>
      <w:pPr>
        <w:pStyle w:val="13"/>
        <w:adjustRightInd w:val="0"/>
        <w:snapToGrid w:val="0"/>
        <w:rPr>
          <w:rFonts w:hAnsi="宋体"/>
          <w:b/>
          <w:szCs w:val="21"/>
        </w:rPr>
      </w:pPr>
      <w:r>
        <w:rPr>
          <w:rFonts w:hAnsi="宋体"/>
          <w:b/>
          <w:szCs w:val="21"/>
        </w:rPr>
        <w:t>说明：1</w:t>
      </w:r>
      <w:r>
        <w:rPr>
          <w:rFonts w:hint="eastAsia" w:hAnsi="宋体"/>
          <w:b/>
          <w:szCs w:val="21"/>
        </w:rPr>
        <w:t>、</w:t>
      </w:r>
      <w:r>
        <w:rPr>
          <w:rFonts w:hAnsi="宋体"/>
          <w:b/>
          <w:szCs w:val="21"/>
        </w:rPr>
        <w:t>投标人若不填写</w:t>
      </w:r>
      <w:r>
        <w:rPr>
          <w:rFonts w:hint="eastAsia" w:hAnsi="宋体"/>
          <w:b/>
          <w:szCs w:val="21"/>
        </w:rPr>
        <w:t>此表</w:t>
      </w:r>
      <w:r>
        <w:rPr>
          <w:rFonts w:hAnsi="宋体"/>
          <w:b/>
          <w:szCs w:val="21"/>
        </w:rPr>
        <w:t>，则视为完全响应</w:t>
      </w:r>
      <w:r>
        <w:rPr>
          <w:rFonts w:hint="eastAsia" w:hAnsi="宋体"/>
          <w:b/>
          <w:szCs w:val="21"/>
        </w:rPr>
        <w:t>招标</w:t>
      </w:r>
      <w:r>
        <w:rPr>
          <w:rFonts w:hAnsi="宋体"/>
          <w:b/>
          <w:szCs w:val="21"/>
        </w:rPr>
        <w:t>文件要求</w:t>
      </w:r>
      <w:r>
        <w:rPr>
          <w:rFonts w:hint="eastAsia" w:hAnsi="宋体"/>
          <w:b/>
          <w:szCs w:val="21"/>
        </w:rPr>
        <w:t>。</w:t>
      </w:r>
    </w:p>
    <w:p>
      <w:pPr>
        <w:pStyle w:val="13"/>
        <w:adjustRightInd w:val="0"/>
        <w:snapToGrid w:val="0"/>
        <w:rPr>
          <w:rFonts w:hAnsi="宋体"/>
          <w:b/>
          <w:szCs w:val="21"/>
        </w:rPr>
      </w:pPr>
      <w:r>
        <w:rPr>
          <w:rFonts w:hint="eastAsia" w:hAnsi="宋体"/>
          <w:b/>
          <w:szCs w:val="21"/>
        </w:rPr>
        <w:t xml:space="preserve">      2、</w:t>
      </w:r>
      <w:r>
        <w:rPr>
          <w:rFonts w:hAnsi="宋体"/>
          <w:b/>
          <w:szCs w:val="21"/>
        </w:rPr>
        <w:t>投标人拟提供的服务承诺与招标文件中的要求不一致时，则必须在技术标《</w:t>
      </w:r>
      <w:r>
        <w:rPr>
          <w:rFonts w:hint="eastAsia" w:hAnsi="宋体"/>
          <w:b/>
          <w:szCs w:val="21"/>
        </w:rPr>
        <w:t>商务及技术</w:t>
      </w:r>
      <w:r>
        <w:rPr>
          <w:rFonts w:hAnsi="宋体"/>
          <w:b/>
          <w:szCs w:val="21"/>
        </w:rPr>
        <w:t xml:space="preserve">响应表》中予以明确。 </w:t>
      </w:r>
    </w:p>
    <w:p>
      <w:pPr>
        <w:adjustRightInd w:val="0"/>
        <w:snapToGrid w:val="0"/>
        <w:jc w:val="left"/>
        <w:rPr>
          <w:rFonts w:ascii="宋体" w:hAnsi="宋体"/>
          <w:b/>
          <w:kern w:val="0"/>
          <w:szCs w:val="21"/>
        </w:rPr>
      </w:pPr>
      <w:r>
        <w:rPr>
          <w:rFonts w:hint="eastAsia" w:ascii="宋体" w:hAnsi="宋体"/>
          <w:b/>
          <w:szCs w:val="21"/>
        </w:rPr>
        <w:t xml:space="preserve">       3</w:t>
      </w:r>
      <w:r>
        <w:rPr>
          <w:rFonts w:ascii="宋体" w:hAnsi="宋体"/>
          <w:b/>
          <w:szCs w:val="21"/>
        </w:rPr>
        <w:t>、响应情况分别为：正偏离、响应或负偏离。投标人可在备注栏内就偏离原因进行简要说明。</w:t>
      </w:r>
    </w:p>
    <w:bookmarkEnd w:id="55"/>
    <w:bookmarkEnd w:id="56"/>
    <w:p>
      <w:pPr>
        <w:spacing w:line="360" w:lineRule="auto"/>
        <w:rPr>
          <w:rFonts w:ascii="宋体" w:hAnsi="宋体"/>
          <w:sz w:val="24"/>
        </w:rPr>
      </w:pPr>
    </w:p>
    <w:p>
      <w:pPr>
        <w:pStyle w:val="24"/>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firstLine="435"/>
        <w:rPr>
          <w:rFonts w:ascii="宋体" w:hAnsi="宋体"/>
          <w:sz w:val="24"/>
        </w:rPr>
      </w:pPr>
      <w:r>
        <w:rPr>
          <w:rFonts w:hint="eastAsia" w:ascii="宋体" w:hAnsi="宋体"/>
          <w:sz w:val="24"/>
        </w:rPr>
        <w:t>法定代表人或授权委托人签字或盖章：</w:t>
      </w:r>
    </w:p>
    <w:p>
      <w:pPr>
        <w:spacing w:line="360" w:lineRule="auto"/>
        <w:ind w:firstLine="435"/>
        <w:rPr>
          <w:rFonts w:ascii="宋体" w:hAnsi="宋体"/>
          <w:sz w:val="24"/>
          <w:u w:val="single"/>
        </w:rPr>
      </w:pPr>
      <w:r>
        <w:rPr>
          <w:rFonts w:hint="eastAsia" w:ascii="宋体" w:hAnsi="宋体"/>
          <w:sz w:val="24"/>
        </w:rPr>
        <w:t>职        务：</w:t>
      </w: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rPr>
          <w:rFonts w:ascii="宋体" w:hAnsi="宋体"/>
          <w:b/>
          <w:sz w:val="28"/>
        </w:rPr>
      </w:pPr>
      <w:r>
        <w:rPr>
          <w:rFonts w:hint="eastAsia" w:ascii="宋体" w:hAnsi="宋体"/>
          <w:b/>
          <w:sz w:val="28"/>
        </w:rPr>
        <w:br w:type="page"/>
      </w:r>
    </w:p>
    <w:p>
      <w:pPr>
        <w:pStyle w:val="40"/>
        <w:spacing w:line="360" w:lineRule="auto"/>
        <w:jc w:val="left"/>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9</w:t>
      </w:r>
    </w:p>
    <w:p>
      <w:pPr>
        <w:pStyle w:val="41"/>
        <w:spacing w:line="360" w:lineRule="auto"/>
        <w:jc w:val="center"/>
        <w:rPr>
          <w:rFonts w:ascii="宋体" w:hAnsi="宋体" w:cs="Arial"/>
          <w:sz w:val="28"/>
          <w:szCs w:val="28"/>
        </w:rPr>
      </w:pPr>
      <w:bookmarkStart w:id="57" w:name="_Toc17604_WPSOffice_Level1"/>
      <w:bookmarkStart w:id="58" w:name="_Toc11030_WPSOffice_Level1"/>
      <w:r>
        <w:rPr>
          <w:rFonts w:hint="eastAsia" w:ascii="宋体" w:hAnsi="宋体"/>
          <w:b/>
          <w:sz w:val="32"/>
          <w:szCs w:val="32"/>
        </w:rPr>
        <w:t>证书一览表</w:t>
      </w:r>
      <w:bookmarkEnd w:id="57"/>
      <w:bookmarkEnd w:id="58"/>
    </w:p>
    <w:tbl>
      <w:tblPr>
        <w:tblStyle w:val="25"/>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tcPr>
          <w:p>
            <w:pPr>
              <w:pStyle w:val="41"/>
              <w:spacing w:line="360" w:lineRule="auto"/>
              <w:jc w:val="center"/>
              <w:rPr>
                <w:rFonts w:ascii="宋体" w:hAnsi="宋体" w:cs="Arial"/>
                <w:b/>
                <w:bCs/>
                <w:szCs w:val="21"/>
              </w:rPr>
            </w:pPr>
            <w:r>
              <w:rPr>
                <w:rFonts w:hint="eastAsia" w:ascii="宋体" w:hAnsi="宋体" w:cs="Arial"/>
                <w:b/>
                <w:bCs/>
                <w:szCs w:val="21"/>
              </w:rPr>
              <w:t>证书名称</w:t>
            </w:r>
          </w:p>
        </w:tc>
        <w:tc>
          <w:tcPr>
            <w:tcW w:w="2258" w:type="dxa"/>
            <w:tcBorders>
              <w:top w:val="single" w:color="auto" w:sz="4" w:space="0"/>
              <w:bottom w:val="single" w:color="auto" w:sz="4" w:space="0"/>
            </w:tcBorders>
            <w:tcMar>
              <w:top w:w="57" w:type="dxa"/>
              <w:left w:w="85" w:type="dxa"/>
              <w:bottom w:w="0" w:type="dxa"/>
              <w:right w:w="85" w:type="dxa"/>
            </w:tcMar>
          </w:tcPr>
          <w:p>
            <w:pPr>
              <w:pStyle w:val="41"/>
              <w:spacing w:line="360" w:lineRule="auto"/>
              <w:jc w:val="center"/>
              <w:rPr>
                <w:rFonts w:ascii="宋体" w:hAnsi="宋体" w:cs="Arial"/>
                <w:b/>
                <w:bCs/>
                <w:szCs w:val="21"/>
              </w:rPr>
            </w:pPr>
            <w:r>
              <w:rPr>
                <w:rFonts w:hint="eastAsia" w:ascii="宋体" w:hAnsi="宋体" w:cs="Arial"/>
                <w:b/>
                <w:bCs/>
                <w:szCs w:val="21"/>
              </w:rPr>
              <w:t>发证单位</w:t>
            </w:r>
          </w:p>
        </w:tc>
        <w:tc>
          <w:tcPr>
            <w:tcW w:w="2260" w:type="dxa"/>
            <w:tcBorders>
              <w:top w:val="single" w:color="auto" w:sz="4" w:space="0"/>
              <w:bottom w:val="single" w:color="auto" w:sz="4" w:space="0"/>
            </w:tcBorders>
            <w:tcMar>
              <w:top w:w="57" w:type="dxa"/>
              <w:left w:w="85" w:type="dxa"/>
              <w:bottom w:w="0" w:type="dxa"/>
              <w:right w:w="85" w:type="dxa"/>
            </w:tcMar>
          </w:tcPr>
          <w:p>
            <w:pPr>
              <w:pStyle w:val="41"/>
              <w:spacing w:line="360" w:lineRule="auto"/>
              <w:jc w:val="center"/>
              <w:rPr>
                <w:rFonts w:ascii="宋体" w:hAnsi="宋体" w:cs="Arial"/>
                <w:b/>
                <w:bCs/>
                <w:szCs w:val="21"/>
              </w:rPr>
            </w:pPr>
            <w:r>
              <w:rPr>
                <w:rFonts w:hint="eastAsia" w:ascii="宋体" w:hAnsi="宋体" w:cs="Arial"/>
                <w:b/>
                <w:bCs/>
                <w:szCs w:val="21"/>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tcPr>
          <w:p>
            <w:pPr>
              <w:pStyle w:val="41"/>
              <w:spacing w:line="360" w:lineRule="auto"/>
              <w:jc w:val="center"/>
              <w:rPr>
                <w:rFonts w:ascii="宋体" w:hAnsi="宋体" w:cs="Arial"/>
                <w:b/>
                <w:bCs/>
                <w:szCs w:val="21"/>
              </w:rPr>
            </w:pPr>
            <w:r>
              <w:rPr>
                <w:rFonts w:hint="eastAsia" w:ascii="宋体" w:hAnsi="宋体" w:cs="Arial"/>
                <w:b/>
                <w:bCs/>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rPr>
            </w:pPr>
          </w:p>
        </w:tc>
        <w:tc>
          <w:tcPr>
            <w:tcW w:w="2258" w:type="dxa"/>
            <w:tcBorders>
              <w:top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rPr>
            </w:pPr>
          </w:p>
        </w:tc>
        <w:tc>
          <w:tcPr>
            <w:tcW w:w="2260" w:type="dxa"/>
            <w:tcBorders>
              <w:top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rPr>
            </w:pPr>
          </w:p>
        </w:tc>
        <w:tc>
          <w:tcPr>
            <w:tcW w:w="2277" w:type="dxa"/>
            <w:tcBorders>
              <w:top w:val="single" w:color="auto" w:sz="4" w:space="0"/>
              <w:right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rPr>
            </w:pPr>
          </w:p>
        </w:tc>
        <w:tc>
          <w:tcPr>
            <w:tcW w:w="2258" w:type="dxa"/>
            <w:tcMar>
              <w:top w:w="57" w:type="dxa"/>
              <w:left w:w="85" w:type="dxa"/>
              <w:bottom w:w="0" w:type="dxa"/>
              <w:right w:w="85" w:type="dxa"/>
            </w:tcMar>
          </w:tcPr>
          <w:p>
            <w:pPr>
              <w:pStyle w:val="41"/>
              <w:spacing w:line="360" w:lineRule="auto"/>
              <w:jc w:val="center"/>
              <w:rPr>
                <w:rFonts w:ascii="宋体" w:hAnsi="宋体" w:cs="Arial"/>
                <w:szCs w:val="21"/>
              </w:rPr>
            </w:pPr>
          </w:p>
        </w:tc>
        <w:tc>
          <w:tcPr>
            <w:tcW w:w="2260" w:type="dxa"/>
            <w:tcMar>
              <w:top w:w="57" w:type="dxa"/>
              <w:left w:w="85" w:type="dxa"/>
              <w:bottom w:w="0" w:type="dxa"/>
              <w:right w:w="85" w:type="dxa"/>
            </w:tcMar>
          </w:tcPr>
          <w:p>
            <w:pPr>
              <w:pStyle w:val="41"/>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rPr>
            </w:pPr>
          </w:p>
        </w:tc>
        <w:tc>
          <w:tcPr>
            <w:tcW w:w="2258" w:type="dxa"/>
            <w:tcMar>
              <w:top w:w="57" w:type="dxa"/>
              <w:left w:w="85" w:type="dxa"/>
              <w:bottom w:w="0" w:type="dxa"/>
              <w:right w:w="85" w:type="dxa"/>
            </w:tcMar>
          </w:tcPr>
          <w:p>
            <w:pPr>
              <w:pStyle w:val="41"/>
              <w:spacing w:line="360" w:lineRule="auto"/>
              <w:jc w:val="center"/>
              <w:rPr>
                <w:rFonts w:ascii="宋体" w:hAnsi="宋体" w:cs="Arial"/>
                <w:szCs w:val="21"/>
              </w:rPr>
            </w:pPr>
          </w:p>
        </w:tc>
        <w:tc>
          <w:tcPr>
            <w:tcW w:w="2260" w:type="dxa"/>
            <w:tcMar>
              <w:top w:w="57" w:type="dxa"/>
              <w:left w:w="85" w:type="dxa"/>
              <w:bottom w:w="0" w:type="dxa"/>
              <w:right w:w="85" w:type="dxa"/>
            </w:tcMar>
          </w:tcPr>
          <w:p>
            <w:pPr>
              <w:pStyle w:val="41"/>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rPr>
            </w:pPr>
          </w:p>
        </w:tc>
        <w:tc>
          <w:tcPr>
            <w:tcW w:w="2258" w:type="dxa"/>
            <w:tcMar>
              <w:top w:w="57" w:type="dxa"/>
              <w:left w:w="85" w:type="dxa"/>
              <w:bottom w:w="0" w:type="dxa"/>
              <w:right w:w="85" w:type="dxa"/>
            </w:tcMar>
          </w:tcPr>
          <w:p>
            <w:pPr>
              <w:pStyle w:val="41"/>
              <w:spacing w:line="360" w:lineRule="auto"/>
              <w:jc w:val="center"/>
              <w:rPr>
                <w:rFonts w:ascii="宋体" w:hAnsi="宋体" w:cs="Arial"/>
                <w:szCs w:val="21"/>
              </w:rPr>
            </w:pPr>
          </w:p>
        </w:tc>
        <w:tc>
          <w:tcPr>
            <w:tcW w:w="2260" w:type="dxa"/>
            <w:tcMar>
              <w:top w:w="57" w:type="dxa"/>
              <w:left w:w="85" w:type="dxa"/>
              <w:bottom w:w="0" w:type="dxa"/>
              <w:right w:w="85" w:type="dxa"/>
            </w:tcMar>
          </w:tcPr>
          <w:p>
            <w:pPr>
              <w:pStyle w:val="41"/>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rPr>
            </w:pPr>
          </w:p>
        </w:tc>
        <w:tc>
          <w:tcPr>
            <w:tcW w:w="2258" w:type="dxa"/>
            <w:tcMar>
              <w:top w:w="57" w:type="dxa"/>
              <w:left w:w="85" w:type="dxa"/>
              <w:bottom w:w="0" w:type="dxa"/>
              <w:right w:w="85" w:type="dxa"/>
            </w:tcMar>
          </w:tcPr>
          <w:p>
            <w:pPr>
              <w:pStyle w:val="41"/>
              <w:spacing w:line="360" w:lineRule="auto"/>
              <w:jc w:val="center"/>
              <w:rPr>
                <w:rFonts w:ascii="宋体" w:hAnsi="宋体" w:cs="Arial"/>
                <w:szCs w:val="21"/>
              </w:rPr>
            </w:pPr>
          </w:p>
        </w:tc>
        <w:tc>
          <w:tcPr>
            <w:tcW w:w="2260" w:type="dxa"/>
            <w:tcMar>
              <w:top w:w="57" w:type="dxa"/>
              <w:left w:w="85" w:type="dxa"/>
              <w:bottom w:w="0" w:type="dxa"/>
              <w:right w:w="85" w:type="dxa"/>
            </w:tcMar>
          </w:tcPr>
          <w:p>
            <w:pPr>
              <w:pStyle w:val="41"/>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rPr>
            </w:pPr>
          </w:p>
        </w:tc>
        <w:tc>
          <w:tcPr>
            <w:tcW w:w="2258" w:type="dxa"/>
            <w:tcMar>
              <w:top w:w="57" w:type="dxa"/>
              <w:left w:w="85" w:type="dxa"/>
              <w:bottom w:w="0" w:type="dxa"/>
              <w:right w:w="85" w:type="dxa"/>
            </w:tcMar>
          </w:tcPr>
          <w:p>
            <w:pPr>
              <w:pStyle w:val="41"/>
              <w:spacing w:line="360" w:lineRule="auto"/>
              <w:jc w:val="center"/>
              <w:rPr>
                <w:rFonts w:ascii="宋体" w:hAnsi="宋体" w:cs="Arial"/>
                <w:szCs w:val="21"/>
              </w:rPr>
            </w:pPr>
          </w:p>
        </w:tc>
        <w:tc>
          <w:tcPr>
            <w:tcW w:w="2260" w:type="dxa"/>
            <w:tcMar>
              <w:top w:w="57" w:type="dxa"/>
              <w:left w:w="85" w:type="dxa"/>
              <w:bottom w:w="0" w:type="dxa"/>
              <w:right w:w="85" w:type="dxa"/>
            </w:tcMar>
          </w:tcPr>
          <w:p>
            <w:pPr>
              <w:pStyle w:val="41"/>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rPr>
            </w:pPr>
          </w:p>
        </w:tc>
        <w:tc>
          <w:tcPr>
            <w:tcW w:w="2258" w:type="dxa"/>
            <w:tcBorders>
              <w:bottom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rPr>
            </w:pPr>
          </w:p>
        </w:tc>
        <w:tc>
          <w:tcPr>
            <w:tcW w:w="2260" w:type="dxa"/>
            <w:tcBorders>
              <w:bottom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rPr>
            </w:pPr>
          </w:p>
        </w:tc>
        <w:tc>
          <w:tcPr>
            <w:tcW w:w="2277" w:type="dxa"/>
            <w:tcBorders>
              <w:bottom w:val="single" w:color="auto" w:sz="4" w:space="0"/>
              <w:right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rPr>
            </w:pPr>
          </w:p>
        </w:tc>
      </w:tr>
    </w:tbl>
    <w:p>
      <w:pPr>
        <w:pStyle w:val="41"/>
        <w:tabs>
          <w:tab w:val="left" w:pos="1050"/>
        </w:tabs>
        <w:spacing w:line="360" w:lineRule="auto"/>
        <w:rPr>
          <w:rFonts w:ascii="宋体" w:hAnsi="宋体"/>
          <w:szCs w:val="21"/>
        </w:rPr>
      </w:pPr>
      <w:r>
        <w:rPr>
          <w:rFonts w:hint="eastAsia" w:ascii="宋体" w:hAnsi="宋体"/>
          <w:b/>
          <w:szCs w:val="21"/>
        </w:rPr>
        <w:t>要求：</w:t>
      </w:r>
    </w:p>
    <w:p>
      <w:pPr>
        <w:pStyle w:val="41"/>
        <w:tabs>
          <w:tab w:val="left" w:pos="1050"/>
        </w:tabs>
        <w:spacing w:line="360" w:lineRule="auto"/>
        <w:ind w:firstLine="424" w:firstLineChars="202"/>
        <w:rPr>
          <w:rFonts w:ascii="宋体" w:hAnsi="宋体"/>
          <w:szCs w:val="21"/>
        </w:rPr>
      </w:pPr>
      <w:r>
        <w:rPr>
          <w:rFonts w:hint="eastAsia" w:ascii="宋体" w:hAnsi="宋体"/>
          <w:szCs w:val="21"/>
        </w:rPr>
        <w:t>1.填写投标人获得资质、认证或企业信誉证书</w:t>
      </w:r>
      <w:r>
        <w:rPr>
          <w:rFonts w:hint="eastAsia" w:ascii="宋体" w:hAnsi="宋体" w:cs="宋体"/>
          <w:szCs w:val="21"/>
        </w:rPr>
        <w:t>（根据评标办法提供）</w:t>
      </w:r>
      <w:r>
        <w:rPr>
          <w:rFonts w:hint="eastAsia" w:ascii="宋体" w:hAnsi="宋体"/>
          <w:szCs w:val="21"/>
        </w:rPr>
        <w:t>。</w:t>
      </w:r>
    </w:p>
    <w:p>
      <w:pPr>
        <w:pStyle w:val="41"/>
        <w:tabs>
          <w:tab w:val="left" w:pos="1050"/>
        </w:tabs>
        <w:spacing w:line="360" w:lineRule="auto"/>
        <w:ind w:firstLine="424" w:firstLineChars="202"/>
        <w:rPr>
          <w:rFonts w:ascii="宋体" w:hAnsi="宋体"/>
          <w:szCs w:val="21"/>
        </w:rPr>
      </w:pPr>
      <w:r>
        <w:rPr>
          <w:rFonts w:hint="eastAsia" w:ascii="宋体" w:hAnsi="宋体"/>
          <w:szCs w:val="21"/>
        </w:rPr>
        <w:t>2.附所列证书或其他证明材料。</w:t>
      </w:r>
    </w:p>
    <w:p>
      <w:pPr>
        <w:pStyle w:val="41"/>
        <w:tabs>
          <w:tab w:val="left" w:pos="1050"/>
        </w:tabs>
        <w:spacing w:line="360" w:lineRule="auto"/>
        <w:rPr>
          <w:rFonts w:ascii="仿宋_GB2312" w:hAnsi="宋体" w:eastAsia="仿宋_GB2312"/>
          <w:sz w:val="24"/>
        </w:rPr>
      </w:pPr>
    </w:p>
    <w:p>
      <w:pPr>
        <w:pStyle w:val="41"/>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法定代表人或授权委托人签字或盖章：</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7"/>
        <w:shd w:val="clear" w:color="auto" w:fill="FFFFFF"/>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pStyle w:val="24"/>
        <w:ind w:left="0" w:leftChars="0" w:firstLine="0"/>
        <w:rPr>
          <w:rFonts w:ascii="宋体" w:hAnsi="宋体"/>
          <w:b/>
          <w:sz w:val="28"/>
        </w:rPr>
      </w:pPr>
    </w:p>
    <w:p>
      <w:pPr>
        <w:spacing w:line="360" w:lineRule="auto"/>
        <w:rPr>
          <w:rFonts w:hint="eastAsia" w:ascii="宋体" w:hAnsi="宋体" w:eastAsia="宋体"/>
          <w:b/>
          <w:sz w:val="28"/>
          <w:lang w:eastAsia="zh-CN"/>
        </w:rPr>
      </w:pPr>
      <w:r>
        <w:rPr>
          <w:rFonts w:hint="eastAsia" w:ascii="宋体" w:hAnsi="宋体"/>
          <w:b/>
          <w:sz w:val="28"/>
        </w:rPr>
        <w:t>附件1</w:t>
      </w:r>
      <w:r>
        <w:rPr>
          <w:rFonts w:hint="eastAsia" w:ascii="宋体" w:hAnsi="宋体"/>
          <w:b/>
          <w:sz w:val="28"/>
          <w:lang w:val="en-US" w:eastAsia="zh-CN"/>
        </w:rPr>
        <w:t>0</w:t>
      </w:r>
    </w:p>
    <w:p>
      <w:pPr>
        <w:spacing w:line="360" w:lineRule="auto"/>
        <w:jc w:val="center"/>
        <w:rPr>
          <w:rFonts w:ascii="宋体" w:hAnsi="宋体"/>
          <w:b/>
          <w:bCs/>
          <w:kern w:val="0"/>
          <w:sz w:val="32"/>
          <w:szCs w:val="32"/>
        </w:rPr>
      </w:pPr>
      <w:r>
        <w:rPr>
          <w:rFonts w:hint="eastAsia" w:ascii="宋体" w:hAnsi="宋体" w:cs="宋体"/>
          <w:b/>
          <w:sz w:val="32"/>
          <w:szCs w:val="32"/>
        </w:rPr>
        <w:t>类似项目</w:t>
      </w:r>
      <w:r>
        <w:rPr>
          <w:rFonts w:hint="eastAsia" w:ascii="宋体" w:hAnsi="宋体"/>
          <w:b/>
          <w:bCs/>
          <w:kern w:val="0"/>
          <w:sz w:val="32"/>
          <w:szCs w:val="32"/>
        </w:rPr>
        <w:t>业绩</w:t>
      </w:r>
      <w:r>
        <w:rPr>
          <w:rFonts w:hint="eastAsia" w:ascii="宋体" w:hAnsi="宋体" w:cs="宋体"/>
          <w:b/>
          <w:sz w:val="32"/>
          <w:szCs w:val="32"/>
        </w:rPr>
        <w:t>一览表</w:t>
      </w:r>
    </w:p>
    <w:tbl>
      <w:tblPr>
        <w:tblStyle w:val="25"/>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r>
    </w:tbl>
    <w:p>
      <w:pPr>
        <w:autoSpaceDE w:val="0"/>
        <w:autoSpaceDN w:val="0"/>
        <w:adjustRightInd w:val="0"/>
        <w:spacing w:before="156"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156" w:beforeLines="50" w:line="360" w:lineRule="auto"/>
        <w:ind w:firstLine="420" w:firstLineChars="200"/>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可只提供首页、含金额页、盖章页并加盖投标人公章</w:t>
      </w:r>
      <w:r>
        <w:rPr>
          <w:rFonts w:ascii="宋体" w:hAnsi="宋体" w:cs="Arial"/>
          <w:szCs w:val="21"/>
        </w:rPr>
        <w:t>）</w:t>
      </w:r>
      <w:r>
        <w:rPr>
          <w:rFonts w:hint="eastAsia"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pStyle w:val="24"/>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法定代表人或授权委托人签字或盖章：</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rPr>
          <w:sz w:val="52"/>
          <w:szCs w:val="52"/>
        </w:rPr>
      </w:pPr>
      <w:bookmarkStart w:id="59" w:name="_Toc30468_WPSOffice_Level1"/>
      <w:bookmarkStart w:id="60" w:name="_Toc4615_WPSOffice_Level1"/>
      <w:bookmarkStart w:id="61" w:name="_Toc21322_WPSOffice_Level1"/>
    </w:p>
    <w:bookmarkEnd w:id="59"/>
    <w:bookmarkEnd w:id="60"/>
    <w:bookmarkEnd w:id="61"/>
    <w:p>
      <w:pPr>
        <w:jc w:val="center"/>
        <w:rPr>
          <w:sz w:val="44"/>
          <w:szCs w:val="44"/>
        </w:rPr>
      </w:pPr>
    </w:p>
    <w:p>
      <w:pPr>
        <w:jc w:val="center"/>
        <w:rPr>
          <w:sz w:val="44"/>
          <w:szCs w:val="44"/>
        </w:rPr>
      </w:pPr>
      <w:r>
        <w:rPr>
          <w:rFonts w:hint="eastAsia"/>
          <w:sz w:val="44"/>
          <w:szCs w:val="44"/>
          <w:lang w:eastAsia="zh-CN"/>
        </w:rPr>
        <w:t>云湖小学智慧上放学交通系统项目</w:t>
      </w:r>
    </w:p>
    <w:p>
      <w:pPr>
        <w:spacing w:before="312" w:beforeLines="100" w:line="360" w:lineRule="auto"/>
        <w:ind w:right="-108"/>
        <w:jc w:val="center"/>
        <w:rPr>
          <w:rFonts w:ascii="宋体" w:hAnsi="宋体"/>
          <w:sz w:val="36"/>
          <w:szCs w:val="36"/>
        </w:rPr>
      </w:pPr>
      <w:r>
        <w:rPr>
          <w:rFonts w:hint="eastAsia" w:ascii="宋体" w:hAnsi="宋体"/>
          <w:sz w:val="36"/>
          <w:szCs w:val="36"/>
        </w:rPr>
        <w:t>项目编号：</w:t>
      </w:r>
    </w:p>
    <w:p>
      <w:pPr>
        <w:pStyle w:val="24"/>
      </w:pPr>
    </w:p>
    <w:p>
      <w:pPr>
        <w:jc w:val="center"/>
        <w:rPr>
          <w:sz w:val="84"/>
          <w:szCs w:val="84"/>
        </w:rPr>
      </w:pPr>
      <w:bookmarkStart w:id="62" w:name="_Toc3932_WPSOffice_Level1"/>
      <w:bookmarkStart w:id="63" w:name="_Toc14572_WPSOffice_Level1"/>
      <w:r>
        <w:rPr>
          <w:rFonts w:hint="eastAsia"/>
          <w:sz w:val="84"/>
          <w:szCs w:val="84"/>
        </w:rPr>
        <w:t>商</w:t>
      </w:r>
    </w:p>
    <w:p>
      <w:pPr>
        <w:jc w:val="center"/>
        <w:rPr>
          <w:sz w:val="84"/>
          <w:szCs w:val="84"/>
        </w:rPr>
      </w:pPr>
      <w:r>
        <w:rPr>
          <w:rFonts w:hint="eastAsia"/>
          <w:sz w:val="84"/>
          <w:szCs w:val="84"/>
        </w:rPr>
        <w:t>务</w:t>
      </w:r>
    </w:p>
    <w:p>
      <w:pPr>
        <w:jc w:val="center"/>
        <w:rPr>
          <w:sz w:val="84"/>
          <w:szCs w:val="84"/>
        </w:rPr>
      </w:pPr>
      <w:r>
        <w:rPr>
          <w:rFonts w:hint="eastAsia"/>
          <w:sz w:val="84"/>
          <w:szCs w:val="84"/>
        </w:rPr>
        <w:t>文</w:t>
      </w:r>
      <w:bookmarkEnd w:id="62"/>
      <w:bookmarkEnd w:id="63"/>
    </w:p>
    <w:p>
      <w:pPr>
        <w:jc w:val="center"/>
        <w:rPr>
          <w:sz w:val="84"/>
          <w:szCs w:val="84"/>
        </w:rPr>
      </w:pPr>
      <w:bookmarkStart w:id="64" w:name="_Toc7562_WPSOffice_Level1"/>
      <w:bookmarkStart w:id="65" w:name="_Toc16973_WPSOffice_Level1"/>
      <w:r>
        <w:rPr>
          <w:rFonts w:hint="eastAsia"/>
          <w:sz w:val="84"/>
          <w:szCs w:val="84"/>
        </w:rPr>
        <w:t>件</w:t>
      </w:r>
      <w:bookmarkEnd w:id="64"/>
      <w:bookmarkEnd w:id="65"/>
    </w:p>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ascii="宋体" w:hAnsi="宋体"/>
          <w:sz w:val="36"/>
          <w:szCs w:val="36"/>
        </w:rPr>
      </w:pPr>
      <w:r>
        <w:rPr>
          <w:rFonts w:hint="eastAsia" w:ascii="宋体" w:hAnsi="宋体"/>
          <w:sz w:val="36"/>
          <w:szCs w:val="36"/>
        </w:rPr>
        <w:t>（</w:t>
      </w:r>
      <w:r>
        <w:rPr>
          <w:rFonts w:hint="eastAsia" w:ascii="宋体" w:hAnsi="宋体"/>
          <w:sz w:val="36"/>
          <w:szCs w:val="36"/>
          <w:lang w:val="en-US" w:eastAsia="zh-CN"/>
        </w:rPr>
        <w:t>商务</w:t>
      </w:r>
      <w:r>
        <w:rPr>
          <w:rFonts w:hint="eastAsia" w:ascii="宋体" w:hAnsi="宋体"/>
          <w:sz w:val="36"/>
          <w:szCs w:val="36"/>
        </w:rPr>
        <w:t>标）</w:t>
      </w: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bookmarkStart w:id="66" w:name="_Toc26700_WPSOffice_Level1"/>
      <w:bookmarkStart w:id="67" w:name="_Toc4603_WPSOffice_Level1"/>
      <w:r>
        <w:rPr>
          <w:rFonts w:hint="eastAsia" w:ascii="宋体" w:hAnsi="宋体"/>
          <w:sz w:val="36"/>
          <w:szCs w:val="36"/>
        </w:rPr>
        <w:t>投标人全称（公章）：</w:t>
      </w:r>
      <w:bookmarkEnd w:id="66"/>
      <w:bookmarkEnd w:id="67"/>
    </w:p>
    <w:p>
      <w:pPr>
        <w:spacing w:line="360" w:lineRule="auto"/>
        <w:ind w:right="-108" w:firstLine="720" w:firstLineChars="200"/>
        <w:rPr>
          <w:rFonts w:ascii="宋体" w:hAnsi="宋体"/>
          <w:sz w:val="36"/>
          <w:szCs w:val="36"/>
        </w:rPr>
      </w:pPr>
      <w:bookmarkStart w:id="68" w:name="_Toc32593_WPSOffice_Level1"/>
      <w:bookmarkStart w:id="69" w:name="_Toc1391_WPSOffice_Level1"/>
      <w:r>
        <w:rPr>
          <w:rFonts w:hint="eastAsia" w:ascii="宋体" w:hAnsi="宋体"/>
          <w:sz w:val="36"/>
          <w:szCs w:val="36"/>
        </w:rPr>
        <w:t>地    址：</w:t>
      </w:r>
      <w:bookmarkEnd w:id="68"/>
      <w:bookmarkEnd w:id="69"/>
    </w:p>
    <w:p>
      <w:pPr>
        <w:spacing w:line="360" w:lineRule="auto"/>
        <w:ind w:right="-108" w:firstLine="720" w:firstLineChars="200"/>
        <w:rPr>
          <w:rFonts w:ascii="宋体" w:hAnsi="宋体"/>
          <w:sz w:val="36"/>
          <w:szCs w:val="36"/>
        </w:rPr>
      </w:pPr>
      <w:bookmarkStart w:id="70" w:name="_Toc3791_WPSOffice_Level1"/>
      <w:bookmarkStart w:id="71" w:name="_Toc20938_WPSOffice_Level1"/>
      <w:r>
        <w:rPr>
          <w:rFonts w:hint="eastAsia" w:ascii="宋体" w:hAnsi="宋体"/>
          <w:sz w:val="36"/>
          <w:szCs w:val="36"/>
        </w:rPr>
        <w:t>时    间：</w:t>
      </w:r>
      <w:bookmarkEnd w:id="70"/>
      <w:bookmarkEnd w:id="71"/>
    </w:p>
    <w:p>
      <w:pPr>
        <w:spacing w:line="360" w:lineRule="auto"/>
        <w:ind w:right="-108"/>
        <w:jc w:val="center"/>
        <w:rPr>
          <w:rFonts w:ascii="仿宋_GB2312" w:hAnsi="宋体" w:eastAsia="仿宋_GB2312"/>
          <w:b/>
          <w:sz w:val="36"/>
          <w:szCs w:val="36"/>
        </w:rPr>
      </w:pPr>
    </w:p>
    <w:p>
      <w:pPr>
        <w:pStyle w:val="24"/>
      </w:pPr>
    </w:p>
    <w:p>
      <w:pPr>
        <w:pStyle w:val="24"/>
      </w:pPr>
    </w:p>
    <w:p>
      <w:pPr>
        <w:pStyle w:val="24"/>
      </w:pPr>
    </w:p>
    <w:p>
      <w:pPr>
        <w:pStyle w:val="24"/>
      </w:pPr>
    </w:p>
    <w:p>
      <w:pPr>
        <w:pStyle w:val="24"/>
      </w:pPr>
    </w:p>
    <w:p>
      <w:pPr>
        <w:pStyle w:val="24"/>
      </w:pPr>
    </w:p>
    <w:p>
      <w:pPr>
        <w:pStyle w:val="24"/>
      </w:pPr>
    </w:p>
    <w:p>
      <w:pPr>
        <w:pStyle w:val="6"/>
        <w:rPr>
          <w:rFonts w:ascii="仿宋_GB2312" w:hAnsi="宋体" w:eastAsia="仿宋_GB2312"/>
          <w:b/>
          <w:sz w:val="36"/>
          <w:szCs w:val="36"/>
        </w:rPr>
      </w:pPr>
    </w:p>
    <w:p>
      <w:pPr>
        <w:spacing w:line="480" w:lineRule="auto"/>
        <w:jc w:val="center"/>
      </w:pPr>
      <w:bookmarkStart w:id="72" w:name="_Toc29537_WPSOffice_Level1"/>
      <w:bookmarkStart w:id="73" w:name="_Toc19972_WPSOffice_Level1"/>
      <w:r>
        <w:rPr>
          <w:rFonts w:hint="eastAsia" w:ascii="宋体" w:hAnsi="宋体"/>
          <w:b/>
          <w:bCs/>
          <w:sz w:val="36"/>
          <w:szCs w:val="36"/>
        </w:rPr>
        <w:t>商务标目录</w:t>
      </w:r>
      <w:bookmarkEnd w:id="72"/>
      <w:bookmarkEnd w:id="73"/>
    </w:p>
    <w:p>
      <w:pPr>
        <w:rPr>
          <w:rFonts w:asciiTheme="minorEastAsia" w:hAnsiTheme="minorEastAsia" w:eastAsiaTheme="minorEastAsia" w:cstheme="minorEastAsia"/>
          <w:sz w:val="28"/>
          <w:szCs w:val="28"/>
        </w:rPr>
      </w:pPr>
    </w:p>
    <w:p>
      <w:pPr>
        <w:autoSpaceDE w:val="0"/>
        <w:autoSpaceDN w:val="0"/>
        <w:adjustRightInd w:val="0"/>
        <w:spacing w:line="360" w:lineRule="auto"/>
        <w:ind w:firstLine="480" w:firstLineChars="200"/>
        <w:rPr>
          <w:rFonts w:asciiTheme="minorEastAsia" w:hAnsiTheme="minorEastAsia" w:eastAsiaTheme="minorEastAsia"/>
          <w:kern w:val="0"/>
          <w:sz w:val="24"/>
        </w:rPr>
      </w:pPr>
      <w:bookmarkStart w:id="74" w:name="_Toc29988_WPSOffice_Level1"/>
      <w:bookmarkStart w:id="75" w:name="_Toc6778_WPSOffice_Level1"/>
      <w:r>
        <w:rPr>
          <w:rFonts w:hint="eastAsia" w:asciiTheme="minorEastAsia" w:hAnsiTheme="minorEastAsia" w:eastAsiaTheme="minorEastAsia"/>
          <w:kern w:val="0"/>
          <w:sz w:val="24"/>
        </w:rPr>
        <w:t>（1）开标一览表（</w:t>
      </w:r>
      <w:r>
        <w:rPr>
          <w:rFonts w:hint="eastAsia" w:asciiTheme="minorEastAsia" w:hAnsiTheme="minorEastAsia" w:eastAsiaTheme="minorEastAsia"/>
          <w:kern w:val="0"/>
          <w:sz w:val="24"/>
          <w:lang w:eastAsia="zh-CN"/>
        </w:rPr>
        <w:t>详见附件</w:t>
      </w:r>
      <w:r>
        <w:rPr>
          <w:rFonts w:hint="eastAsia" w:asciiTheme="minorEastAsia" w:hAnsiTheme="minorEastAsia" w:eastAsiaTheme="minorEastAsia"/>
          <w:kern w:val="0"/>
          <w:sz w:val="24"/>
        </w:rPr>
        <w:t>）；</w:t>
      </w:r>
    </w:p>
    <w:p>
      <w:pPr>
        <w:autoSpaceDE w:val="0"/>
        <w:autoSpaceDN w:val="0"/>
        <w:adjustRightInd w:val="0"/>
        <w:spacing w:line="360" w:lineRule="auto"/>
        <w:ind w:firstLine="480" w:firstLineChars="200"/>
        <w:rPr>
          <w:rFonts w:hint="eastAsia" w:asciiTheme="minorEastAsia" w:hAnsiTheme="minorEastAsia" w:eastAsiaTheme="minorEastAsia"/>
          <w:kern w:val="0"/>
          <w:sz w:val="24"/>
          <w:lang w:eastAsia="zh-CN"/>
        </w:rPr>
      </w:pPr>
      <w:r>
        <w:rPr>
          <w:rFonts w:hint="eastAsia" w:asciiTheme="minorEastAsia" w:hAnsiTheme="minorEastAsia" w:eastAsiaTheme="minorEastAsia"/>
          <w:kern w:val="0"/>
          <w:sz w:val="24"/>
          <w:lang w:eastAsia="zh-CN"/>
        </w:rPr>
        <w:t>（</w:t>
      </w:r>
      <w:r>
        <w:rPr>
          <w:rFonts w:hint="eastAsia" w:asciiTheme="minorEastAsia" w:hAnsiTheme="minorEastAsia" w:eastAsiaTheme="minorEastAsia"/>
          <w:kern w:val="0"/>
          <w:sz w:val="24"/>
          <w:lang w:val="en-US" w:eastAsia="zh-CN"/>
        </w:rPr>
        <w:t>2</w:t>
      </w:r>
      <w:r>
        <w:rPr>
          <w:rFonts w:hint="eastAsia" w:asciiTheme="minorEastAsia" w:hAnsiTheme="minorEastAsia" w:eastAsiaTheme="minorEastAsia"/>
          <w:kern w:val="0"/>
          <w:sz w:val="24"/>
          <w:lang w:eastAsia="zh-CN"/>
        </w:rPr>
        <w:t>）报价明细表</w:t>
      </w:r>
      <w:r>
        <w:rPr>
          <w:rFonts w:hint="eastAsia" w:asciiTheme="minorEastAsia" w:hAnsiTheme="minorEastAsia" w:eastAsiaTheme="minorEastAsia"/>
          <w:kern w:val="0"/>
          <w:sz w:val="24"/>
        </w:rPr>
        <w:t>（</w:t>
      </w:r>
      <w:r>
        <w:rPr>
          <w:rFonts w:hint="eastAsia" w:asciiTheme="minorEastAsia" w:hAnsiTheme="minorEastAsia" w:eastAsiaTheme="minorEastAsia"/>
          <w:kern w:val="0"/>
          <w:sz w:val="24"/>
          <w:lang w:eastAsia="zh-CN"/>
        </w:rPr>
        <w:t>详见附件</w:t>
      </w:r>
      <w:r>
        <w:rPr>
          <w:rFonts w:hint="eastAsia" w:asciiTheme="minorEastAsia" w:hAnsiTheme="minorEastAsia" w:eastAsiaTheme="minorEastAsia"/>
          <w:kern w:val="0"/>
          <w:sz w:val="24"/>
        </w:rPr>
        <w:t>）</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hint="eastAsia" w:asciiTheme="minorEastAsia" w:hAnsiTheme="minorEastAsia" w:eastAsiaTheme="minorEastAsia"/>
          <w:kern w:val="0"/>
          <w:sz w:val="24"/>
          <w:lang w:val="en-US" w:eastAsia="zh-CN"/>
        </w:rPr>
        <w:t>3</w:t>
      </w:r>
      <w:r>
        <w:rPr>
          <w:rFonts w:hint="eastAsia" w:asciiTheme="minorEastAsia" w:hAnsiTheme="minorEastAsia" w:eastAsiaTheme="minorEastAsia"/>
          <w:kern w:val="0"/>
          <w:sz w:val="24"/>
        </w:rPr>
        <w:t>）针对报价投标人认为其他需要说明的。</w:t>
      </w:r>
    </w:p>
    <w:bookmarkEnd w:id="74"/>
    <w:bookmarkEnd w:id="75"/>
    <w:p>
      <w:pPr>
        <w:spacing w:line="360" w:lineRule="auto"/>
        <w:ind w:firstLine="480" w:firstLineChars="200"/>
        <w:rPr>
          <w:sz w:val="24"/>
        </w:rPr>
      </w:pP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rPr>
          <w:rFonts w:ascii="宋体" w:hAnsi="宋体"/>
          <w:b/>
          <w:sz w:val="28"/>
        </w:rPr>
      </w:pPr>
      <w:r>
        <w:rPr>
          <w:rFonts w:hint="eastAsia" w:ascii="宋体" w:hAnsi="宋体"/>
          <w:b/>
          <w:sz w:val="28"/>
        </w:rPr>
        <w:br w:type="page"/>
      </w:r>
    </w:p>
    <w:p>
      <w:pPr>
        <w:spacing w:line="360" w:lineRule="auto"/>
        <w:rPr>
          <w:rFonts w:hint="eastAsia" w:ascii="宋体" w:hAnsi="宋体" w:eastAsia="宋体"/>
          <w:b/>
          <w:sz w:val="28"/>
          <w:lang w:eastAsia="zh-CN"/>
        </w:rPr>
      </w:pPr>
      <w:r>
        <w:rPr>
          <w:rFonts w:hint="eastAsia" w:ascii="宋体" w:hAnsi="宋体"/>
          <w:b/>
          <w:sz w:val="28"/>
        </w:rPr>
        <w:t>附件1</w:t>
      </w:r>
      <w:r>
        <w:rPr>
          <w:rFonts w:hint="eastAsia" w:ascii="宋体" w:hAnsi="宋体"/>
          <w:b/>
          <w:sz w:val="28"/>
          <w:lang w:val="en-US" w:eastAsia="zh-CN"/>
        </w:rPr>
        <w:t>1</w:t>
      </w:r>
    </w:p>
    <w:p>
      <w:pPr>
        <w:spacing w:line="360" w:lineRule="auto"/>
        <w:ind w:left="-2" w:hanging="2"/>
        <w:jc w:val="center"/>
        <w:rPr>
          <w:rFonts w:ascii="宋体" w:hAnsi="宋体"/>
          <w:b/>
          <w:sz w:val="32"/>
          <w:szCs w:val="32"/>
        </w:rPr>
      </w:pPr>
      <w:bookmarkStart w:id="76" w:name="_Toc16144_WPSOffice_Level1"/>
      <w:bookmarkStart w:id="77" w:name="_Toc30363_WPSOffice_Level1"/>
      <w:r>
        <w:rPr>
          <w:rFonts w:hint="eastAsia" w:ascii="宋体" w:hAnsi="宋体"/>
          <w:b/>
          <w:sz w:val="32"/>
          <w:szCs w:val="32"/>
        </w:rPr>
        <w:t xml:space="preserve">开标一览表 </w:t>
      </w:r>
      <w:bookmarkEnd w:id="76"/>
      <w:bookmarkEnd w:id="77"/>
    </w:p>
    <w:p>
      <w:pPr>
        <w:pStyle w:val="13"/>
        <w:spacing w:line="360" w:lineRule="auto"/>
        <w:ind w:firstLine="482" w:firstLineChars="200"/>
        <w:rPr>
          <w:rFonts w:hAnsi="宋体"/>
          <w:b/>
          <w:sz w:val="24"/>
        </w:rPr>
      </w:pPr>
      <w:r>
        <w:rPr>
          <w:rFonts w:hAnsi="宋体"/>
          <w:b/>
          <w:sz w:val="24"/>
        </w:rPr>
        <w:t>项目编号：</w:t>
      </w:r>
    </w:p>
    <w:p>
      <w:pPr>
        <w:pStyle w:val="46"/>
        <w:spacing w:line="360" w:lineRule="auto"/>
        <w:ind w:right="480" w:firstLine="482" w:firstLineChars="200"/>
        <w:jc w:val="left"/>
        <w:rPr>
          <w:rFonts w:hAnsi="宋体"/>
          <w:sz w:val="24"/>
        </w:rPr>
      </w:pPr>
      <w:r>
        <w:rPr>
          <w:rFonts w:hAnsi="宋体"/>
          <w:b/>
          <w:sz w:val="24"/>
        </w:rPr>
        <w:t>项目名称：</w:t>
      </w:r>
      <w:r>
        <w:rPr>
          <w:rFonts w:hint="eastAsia" w:ascii="宋体" w:hAnsi="宋体"/>
          <w:sz w:val="24"/>
        </w:rPr>
        <w:t xml:space="preserve">                                 [货币单位：人民币元]</w:t>
      </w:r>
    </w:p>
    <w:p>
      <w:pPr>
        <w:snapToGrid w:val="0"/>
        <w:spacing w:before="50" w:after="50"/>
        <w:jc w:val="left"/>
        <w:rPr>
          <w:rFonts w:hint="eastAsia" w:ascii="Arial" w:hAnsi="Arial" w:eastAsia="宋体" w:cs="Arial"/>
          <w:sz w:val="22"/>
          <w:szCs w:val="22"/>
          <w:lang w:eastAsia="zh-CN"/>
        </w:rPr>
      </w:pPr>
      <w:r>
        <w:rPr>
          <w:rFonts w:hint="eastAsia" w:ascii="Arial" w:hAnsi="Arial" w:cs="宋体"/>
          <w:sz w:val="22"/>
          <w:szCs w:val="22"/>
        </w:rPr>
        <w:t>致：</w:t>
      </w:r>
      <w:r>
        <w:rPr>
          <w:rFonts w:hint="eastAsia" w:ascii="Arial" w:hAnsi="Arial" w:cs="宋体"/>
          <w:sz w:val="22"/>
          <w:szCs w:val="22"/>
          <w:lang w:eastAsia="zh-CN"/>
        </w:rPr>
        <w:t>台州市云湖小学</w:t>
      </w:r>
    </w:p>
    <w:p>
      <w:pPr>
        <w:snapToGrid w:val="0"/>
        <w:ind w:firstLine="440" w:firstLineChars="200"/>
        <w:jc w:val="left"/>
        <w:rPr>
          <w:rFonts w:ascii="新宋体" w:hAnsi="新宋体" w:eastAsia="新宋体"/>
          <w:szCs w:val="21"/>
        </w:rPr>
      </w:pPr>
      <w:r>
        <w:rPr>
          <w:rFonts w:ascii="Arial" w:hAnsi="Arial" w:cs="Arial"/>
          <w:sz w:val="22"/>
          <w:szCs w:val="22"/>
        </w:rPr>
        <w:t>经研究，我们决定参加</w:t>
      </w:r>
      <w:r>
        <w:rPr>
          <w:rFonts w:hint="eastAsia" w:ascii="Arial" w:hAnsi="Arial" w:cs="Arial"/>
          <w:sz w:val="22"/>
          <w:szCs w:val="22"/>
        </w:rPr>
        <w:t>你单位的</w:t>
      </w:r>
      <w:r>
        <w:rPr>
          <w:rFonts w:hint="eastAsia" w:ascii="宋体" w:hAnsi="宋体"/>
          <w:sz w:val="22"/>
          <w:szCs w:val="22"/>
          <w:u w:val="single"/>
          <w:lang w:eastAsia="zh-CN"/>
        </w:rPr>
        <w:t>云湖小学智慧上放学交通系统项目</w:t>
      </w:r>
      <w:r>
        <w:rPr>
          <w:rFonts w:ascii="Arial" w:hAnsi="Arial" w:cs="Arial"/>
          <w:sz w:val="22"/>
          <w:szCs w:val="22"/>
        </w:rPr>
        <w:t>的</w:t>
      </w:r>
      <w:r>
        <w:rPr>
          <w:rFonts w:hint="eastAsia" w:ascii="Arial" w:hAnsi="Arial" w:cs="Arial"/>
          <w:sz w:val="22"/>
        </w:rPr>
        <w:t>招标</w:t>
      </w:r>
      <w:r>
        <w:rPr>
          <w:rFonts w:ascii="Arial" w:hAnsi="Arial" w:cs="Arial"/>
          <w:sz w:val="22"/>
        </w:rPr>
        <w:t>采购活动并提交</w:t>
      </w:r>
      <w:r>
        <w:rPr>
          <w:rFonts w:hint="eastAsia" w:ascii="Arial" w:hAnsi="Arial" w:cs="Arial"/>
          <w:sz w:val="22"/>
        </w:rPr>
        <w:t>投标</w:t>
      </w:r>
      <w:r>
        <w:rPr>
          <w:rFonts w:ascii="Arial" w:hAnsi="Arial" w:cs="Arial"/>
          <w:sz w:val="22"/>
        </w:rPr>
        <w:t>文件。为此，我方郑重声明以下诸点，并负法律责任。</w:t>
      </w:r>
    </w:p>
    <w:p>
      <w:pPr>
        <w:pStyle w:val="11"/>
        <w:adjustRightInd w:val="0"/>
        <w:snapToGrid w:val="0"/>
        <w:rPr>
          <w:rFonts w:ascii="Arial" w:hAnsi="Arial" w:cs="Arial"/>
          <w:sz w:val="22"/>
          <w:szCs w:val="22"/>
        </w:rPr>
      </w:pPr>
      <w:r>
        <w:rPr>
          <w:rFonts w:ascii="Arial" w:hAnsi="Arial" w:cs="Arial"/>
          <w:sz w:val="22"/>
          <w:szCs w:val="22"/>
        </w:rPr>
        <w:t>1、如果我们的招标文件被接受，我们将履行招标文件中规定的每一项要求，并按我们投标文件中的承诺按期、按质、按量提供服务。</w:t>
      </w:r>
    </w:p>
    <w:p>
      <w:pPr>
        <w:pStyle w:val="11"/>
        <w:adjustRightInd w:val="0"/>
        <w:snapToGrid w:val="0"/>
        <w:rPr>
          <w:rFonts w:ascii="Arial" w:hAnsi="Arial" w:cs="Arial"/>
          <w:sz w:val="22"/>
          <w:szCs w:val="22"/>
        </w:rPr>
      </w:pPr>
      <w:r>
        <w:rPr>
          <w:rFonts w:ascii="Arial" w:hAnsi="Arial" w:cs="Arial"/>
          <w:sz w:val="22"/>
          <w:szCs w:val="22"/>
        </w:rPr>
        <w:t>2、我们同意按采购文件规定遵守采购人有关采购的各项规定。</w:t>
      </w:r>
    </w:p>
    <w:p>
      <w:pPr>
        <w:pStyle w:val="11"/>
        <w:adjustRightInd w:val="0"/>
        <w:snapToGrid w:val="0"/>
        <w:rPr>
          <w:rFonts w:ascii="Arial" w:hAnsi="Arial" w:cs="Arial"/>
          <w:sz w:val="22"/>
          <w:szCs w:val="22"/>
        </w:rPr>
      </w:pPr>
      <w:r>
        <w:rPr>
          <w:rFonts w:ascii="Arial" w:hAnsi="Arial" w:cs="Arial"/>
          <w:sz w:val="22"/>
          <w:szCs w:val="22"/>
        </w:rPr>
        <w:t>3、我方同意提供按照贵方可能要求的与投标有关的一切数据或资料，我方若未成为成交投标人，采购人有权不做任何解释。</w:t>
      </w:r>
    </w:p>
    <w:p>
      <w:pPr>
        <w:ind w:firstLine="330" w:firstLineChars="150"/>
        <w:rPr>
          <w:rFonts w:ascii="宋体" w:hAnsi="宋体"/>
          <w:sz w:val="22"/>
          <w:szCs w:val="22"/>
        </w:rPr>
      </w:pPr>
      <w:r>
        <w:rPr>
          <w:rFonts w:hint="eastAsia" w:ascii="Arial" w:hAnsi="Arial" w:cs="Arial"/>
          <w:sz w:val="22"/>
          <w:szCs w:val="22"/>
        </w:rPr>
        <w:t>4、我方如果中标，将保证履行招标文件以及招标文件修改书（如有）中的全部责任和义务，按质、按量、按期完成《民法典》中的全部任务。</w:t>
      </w:r>
    </w:p>
    <w:tbl>
      <w:tblPr>
        <w:tblStyle w:val="25"/>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138" w:hRule="atLeast"/>
          <w:jc w:val="center"/>
        </w:trPr>
        <w:tc>
          <w:tcPr>
            <w:tcW w:w="2694"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投标总报价</w:t>
            </w: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大写</w:t>
            </w:r>
          </w:p>
        </w:tc>
        <w:tc>
          <w:tcPr>
            <w:tcW w:w="4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143" w:hRule="atLeast"/>
          <w:jc w:val="center"/>
        </w:trPr>
        <w:tc>
          <w:tcPr>
            <w:tcW w:w="269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小写</w:t>
            </w:r>
          </w:p>
        </w:tc>
        <w:tc>
          <w:tcPr>
            <w:tcW w:w="4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Cs w:val="21"/>
              </w:rPr>
            </w:pPr>
          </w:p>
        </w:tc>
      </w:tr>
    </w:tbl>
    <w:p>
      <w:pPr>
        <w:spacing w:line="360" w:lineRule="auto"/>
        <w:rPr>
          <w:rFonts w:ascii="宋体" w:hAnsi="宋体"/>
          <w:sz w:val="22"/>
          <w:szCs w:val="22"/>
        </w:rPr>
      </w:pPr>
      <w:r>
        <w:rPr>
          <w:rFonts w:hint="eastAsia" w:ascii="宋体" w:hAnsi="宋体"/>
          <w:b/>
          <w:sz w:val="22"/>
          <w:szCs w:val="22"/>
        </w:rPr>
        <w:t>填报要求：</w:t>
      </w:r>
      <w:r>
        <w:rPr>
          <w:rFonts w:hint="eastAsia" w:ascii="宋体" w:hAnsi="宋体"/>
          <w:sz w:val="22"/>
          <w:szCs w:val="22"/>
        </w:rPr>
        <w:t>投标报价是履行合同的最终价格，应包括主件、标准附件、备品备件、施工、服务、专用工具、安装、调试、检验、培训、运输、保险、税款等政策性文件规定及合同包含的所有风险、责任等所有费用。供应商须充分考虑实际服务内容和需求，针对自身实际情况，核算所需的成本及合理的利润，自行报价，结算时由供应商开具正式发票。各投标人应根据招标人提供的技术资料以及本项目实际情况和自身的综合实力，竞报投标报价。总报价以人民币元计。知识产权等由投标人在投标报价时综合考虑，以后不作任何调整。</w:t>
      </w:r>
    </w:p>
    <w:p>
      <w:pPr>
        <w:spacing w:line="360" w:lineRule="auto"/>
        <w:ind w:left="420"/>
        <w:rPr>
          <w:rFonts w:hint="eastAsia" w:ascii="宋体" w:hAnsi="宋体"/>
          <w:sz w:val="22"/>
          <w:szCs w:val="22"/>
        </w:rPr>
      </w:pPr>
    </w:p>
    <w:p>
      <w:pPr>
        <w:spacing w:line="360" w:lineRule="auto"/>
        <w:ind w:left="420"/>
        <w:rPr>
          <w:rFonts w:ascii="宋体" w:hAnsi="宋体"/>
          <w:sz w:val="22"/>
          <w:szCs w:val="22"/>
        </w:rPr>
      </w:pPr>
      <w:r>
        <w:rPr>
          <w:rFonts w:hint="eastAsia" w:ascii="宋体" w:hAnsi="宋体"/>
          <w:sz w:val="22"/>
          <w:szCs w:val="22"/>
        </w:rPr>
        <w:t>投标人名称（公章）：</w:t>
      </w:r>
    </w:p>
    <w:p>
      <w:pPr>
        <w:spacing w:line="360" w:lineRule="auto"/>
        <w:ind w:firstLine="435"/>
        <w:rPr>
          <w:rFonts w:ascii="宋体" w:hAnsi="宋体"/>
          <w:sz w:val="22"/>
          <w:szCs w:val="22"/>
        </w:rPr>
      </w:pPr>
      <w:r>
        <w:rPr>
          <w:rFonts w:hint="eastAsia" w:ascii="宋体" w:hAnsi="宋体"/>
          <w:sz w:val="22"/>
          <w:szCs w:val="22"/>
        </w:rPr>
        <w:t>法定代表人或授权委托人签字或盖章：</w:t>
      </w:r>
    </w:p>
    <w:p>
      <w:pPr>
        <w:spacing w:line="360" w:lineRule="auto"/>
        <w:ind w:firstLine="435"/>
        <w:rPr>
          <w:rFonts w:ascii="宋体" w:hAnsi="宋体"/>
          <w:sz w:val="22"/>
          <w:szCs w:val="22"/>
        </w:rPr>
      </w:pPr>
      <w:r>
        <w:rPr>
          <w:rFonts w:hint="eastAsia" w:ascii="宋体" w:hAnsi="宋体"/>
          <w:sz w:val="22"/>
          <w:szCs w:val="22"/>
        </w:rPr>
        <w:t>职        务：</w:t>
      </w:r>
    </w:p>
    <w:p>
      <w:pPr>
        <w:spacing w:line="360" w:lineRule="auto"/>
        <w:ind w:firstLine="435"/>
        <w:rPr>
          <w:rFonts w:hint="eastAsia" w:ascii="宋体" w:hAnsi="宋体"/>
          <w:sz w:val="22"/>
          <w:szCs w:val="22"/>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sz w:val="22"/>
          <w:szCs w:val="22"/>
        </w:rPr>
        <w:t>日        期：</w:t>
      </w:r>
    </w:p>
    <w:p>
      <w:pPr>
        <w:pStyle w:val="10"/>
        <w:rPr>
          <w:rFonts w:hint="eastAsia" w:ascii="宋体" w:hAnsi="宋体"/>
          <w:b/>
          <w:sz w:val="28"/>
          <w:lang w:val="en-US" w:eastAsia="zh-CN"/>
        </w:rPr>
      </w:pPr>
      <w:r>
        <w:rPr>
          <w:rFonts w:hint="eastAsia" w:ascii="宋体" w:hAnsi="宋体"/>
          <w:b/>
          <w:sz w:val="28"/>
        </w:rPr>
        <w:t>附件1</w:t>
      </w:r>
      <w:r>
        <w:rPr>
          <w:rFonts w:hint="eastAsia" w:ascii="宋体" w:hAnsi="宋体"/>
          <w:b/>
          <w:sz w:val="28"/>
          <w:lang w:val="en-US" w:eastAsia="zh-CN"/>
        </w:rPr>
        <w:t>2</w:t>
      </w:r>
    </w:p>
    <w:p>
      <w:pPr>
        <w:spacing w:line="360" w:lineRule="auto"/>
        <w:ind w:left="-2" w:hanging="2"/>
        <w:jc w:val="center"/>
        <w:rPr>
          <w:rFonts w:hint="default" w:ascii="宋体" w:hAnsi="宋体"/>
          <w:b/>
          <w:sz w:val="32"/>
          <w:szCs w:val="32"/>
          <w:lang w:val="en-US" w:eastAsia="zh-CN"/>
        </w:rPr>
      </w:pPr>
      <w:r>
        <w:rPr>
          <w:rFonts w:hint="eastAsia" w:ascii="宋体" w:hAnsi="宋体"/>
          <w:b/>
          <w:sz w:val="32"/>
          <w:szCs w:val="32"/>
          <w:lang w:val="en-US" w:eastAsia="zh-CN"/>
        </w:rPr>
        <w:t>报价明细表</w:t>
      </w:r>
    </w:p>
    <w:p>
      <w:pPr>
        <w:spacing w:line="360" w:lineRule="auto"/>
        <w:ind w:left="420"/>
        <w:rPr>
          <w:rFonts w:hint="default" w:ascii="宋体" w:hAnsi="宋体" w:eastAsia="宋体"/>
          <w:sz w:val="22"/>
          <w:szCs w:val="22"/>
          <w:lang w:val="en-US" w:eastAsia="zh-CN"/>
        </w:rPr>
      </w:pPr>
    </w:p>
    <w:p>
      <w:pPr>
        <w:spacing w:line="360" w:lineRule="auto"/>
        <w:ind w:left="420"/>
        <w:rPr>
          <w:rFonts w:hint="eastAsia" w:ascii="宋体" w:hAnsi="宋体"/>
          <w:sz w:val="22"/>
          <w:szCs w:val="22"/>
          <w:u w:val="none"/>
        </w:rPr>
      </w:pPr>
      <w:r>
        <w:rPr>
          <w:rFonts w:hint="eastAsia" w:ascii="宋体" w:hAnsi="宋体"/>
          <w:sz w:val="22"/>
          <w:szCs w:val="22"/>
          <w:u w:val="none"/>
          <w:lang w:val="en-US" w:eastAsia="zh-CN"/>
        </w:rPr>
        <w:t>项目名称： 云湖小学智慧上放学交通系统项目</w:t>
      </w:r>
    </w:p>
    <w:tbl>
      <w:tblPr>
        <w:tblStyle w:val="25"/>
        <w:tblW w:w="91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6"/>
        <w:gridCol w:w="3337"/>
        <w:gridCol w:w="803"/>
        <w:gridCol w:w="1275"/>
        <w:gridCol w:w="2095"/>
        <w:gridCol w:w="8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9"/>
                <w:sz w:val="24"/>
                <w:szCs w:val="24"/>
                <w:lang w:val="en-US" w:eastAsia="zh-CN" w:bidi="ar"/>
              </w:rPr>
              <w:t>序号</w:t>
            </w:r>
          </w:p>
        </w:tc>
        <w:tc>
          <w:tcPr>
            <w:tcW w:w="3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9"/>
                <w:sz w:val="24"/>
                <w:szCs w:val="24"/>
                <w:lang w:val="en-US" w:eastAsia="zh-CN" w:bidi="ar"/>
              </w:rPr>
              <w:t>名称</w:t>
            </w:r>
          </w:p>
        </w:tc>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数量</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单位</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报价（元）</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一</w:t>
            </w:r>
          </w:p>
        </w:tc>
        <w:tc>
          <w:tcPr>
            <w:tcW w:w="3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接送平台管理系统</w:t>
            </w:r>
          </w:p>
        </w:tc>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套</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exac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二</w:t>
            </w:r>
          </w:p>
        </w:tc>
        <w:tc>
          <w:tcPr>
            <w:tcW w:w="3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上放学交通系统</w:t>
            </w:r>
          </w:p>
        </w:tc>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套</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三</w:t>
            </w:r>
          </w:p>
        </w:tc>
        <w:tc>
          <w:tcPr>
            <w:tcW w:w="3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道路交通组织方案标识系统</w:t>
            </w:r>
          </w:p>
        </w:tc>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sz w:val="24"/>
                <w:szCs w:val="24"/>
                <w:u w:val="none"/>
                <w:lang w:val="en-US" w:eastAsia="zh-CN"/>
              </w:rPr>
              <w:t>套</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四</w:t>
            </w:r>
          </w:p>
        </w:tc>
        <w:tc>
          <w:tcPr>
            <w:tcW w:w="3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平台连接网络</w:t>
            </w:r>
          </w:p>
        </w:tc>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套</w:t>
            </w: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exact"/>
          <w:jc w:val="center"/>
        </w:trPr>
        <w:tc>
          <w:tcPr>
            <w:tcW w:w="617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总计（一+二+三+四），结算至附件11“开标一览表”</w:t>
            </w:r>
          </w:p>
          <w:p>
            <w:pPr>
              <w:pStyle w:val="2"/>
              <w:rPr>
                <w:rFonts w:hint="eastAsia"/>
                <w:lang w:val="en-US" w:eastAsia="zh-CN"/>
              </w:rPr>
            </w:pP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bl>
    <w:p>
      <w:pPr>
        <w:spacing w:line="360" w:lineRule="auto"/>
        <w:ind w:left="420"/>
        <w:rPr>
          <w:rFonts w:hint="eastAsia" w:ascii="宋体" w:hAnsi="宋体"/>
          <w:sz w:val="22"/>
          <w:szCs w:val="22"/>
        </w:rPr>
      </w:pPr>
    </w:p>
    <w:p>
      <w:pPr>
        <w:spacing w:line="360" w:lineRule="auto"/>
        <w:ind w:left="420"/>
        <w:rPr>
          <w:rFonts w:hint="eastAsia" w:ascii="宋体" w:hAnsi="宋体"/>
          <w:sz w:val="22"/>
          <w:szCs w:val="22"/>
        </w:rPr>
      </w:pPr>
    </w:p>
    <w:p>
      <w:pPr>
        <w:spacing w:line="360" w:lineRule="auto"/>
        <w:ind w:left="420"/>
        <w:rPr>
          <w:rFonts w:hint="eastAsia" w:ascii="宋体" w:hAnsi="宋体"/>
          <w:sz w:val="22"/>
          <w:szCs w:val="22"/>
        </w:rPr>
      </w:pPr>
    </w:p>
    <w:p>
      <w:pPr>
        <w:spacing w:line="360" w:lineRule="auto"/>
        <w:ind w:left="420"/>
        <w:rPr>
          <w:rFonts w:ascii="宋体" w:hAnsi="宋体"/>
          <w:sz w:val="22"/>
          <w:szCs w:val="22"/>
        </w:rPr>
      </w:pPr>
      <w:r>
        <w:rPr>
          <w:rFonts w:hint="eastAsia" w:ascii="宋体" w:hAnsi="宋体"/>
          <w:sz w:val="22"/>
          <w:szCs w:val="22"/>
        </w:rPr>
        <w:t>投标人名称（公章）：</w:t>
      </w:r>
    </w:p>
    <w:p>
      <w:pPr>
        <w:spacing w:line="360" w:lineRule="auto"/>
        <w:ind w:firstLine="435"/>
        <w:rPr>
          <w:rFonts w:ascii="宋体" w:hAnsi="宋体"/>
          <w:sz w:val="22"/>
          <w:szCs w:val="22"/>
        </w:rPr>
      </w:pPr>
      <w:r>
        <w:rPr>
          <w:rFonts w:hint="eastAsia" w:ascii="宋体" w:hAnsi="宋体"/>
          <w:sz w:val="22"/>
          <w:szCs w:val="22"/>
        </w:rPr>
        <w:t>法定代表人或授权委托人签字或盖章：</w:t>
      </w:r>
    </w:p>
    <w:p>
      <w:pPr>
        <w:spacing w:line="360" w:lineRule="auto"/>
        <w:ind w:firstLine="435"/>
        <w:rPr>
          <w:rFonts w:ascii="宋体" w:hAnsi="宋体"/>
          <w:sz w:val="22"/>
          <w:szCs w:val="22"/>
        </w:rPr>
      </w:pPr>
      <w:r>
        <w:rPr>
          <w:rFonts w:hint="eastAsia" w:ascii="宋体" w:hAnsi="宋体"/>
          <w:sz w:val="22"/>
          <w:szCs w:val="22"/>
        </w:rPr>
        <w:t>职        务：</w:t>
      </w:r>
    </w:p>
    <w:p>
      <w:pPr>
        <w:spacing w:line="360" w:lineRule="auto"/>
        <w:ind w:firstLine="435"/>
      </w:pPr>
      <w:r>
        <w:rPr>
          <w:rFonts w:hint="eastAsia" w:ascii="宋体" w:hAnsi="宋体"/>
          <w:sz w:val="22"/>
          <w:szCs w:val="22"/>
        </w:rPr>
        <w:t>日        期：</w:t>
      </w:r>
    </w:p>
    <w:sectPr>
      <w:headerReference r:id="rId9" w:type="defaul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numPr>
        <w:ilvl w:val="0"/>
        <w:numId w:val="0"/>
      </w:numPr>
      <w:tabs>
        <w:tab w:val="left" w:pos="454"/>
        <w:tab w:val="left" w:pos="720"/>
        <w:tab w:val="left" w:pos="1200"/>
        <w:tab w:val="clear" w:pos="360"/>
      </w:tabs>
      <w:spacing w:after="120"/>
      <w:ind w:left="480"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tabs>
        <w:tab w:val="left" w:pos="454"/>
        <w:tab w:val="left" w:pos="720"/>
        <w:tab w:val="left" w:pos="1200"/>
      </w:tabs>
      <w:spacing w:after="120"/>
      <w:rPr>
        <w:rStyle w:val="28"/>
      </w:rPr>
    </w:pPr>
    <w:r>
      <w:fldChar w:fldCharType="begin"/>
    </w:r>
    <w:r>
      <w:rPr>
        <w:rStyle w:val="28"/>
      </w:rPr>
      <w:instrText xml:space="preserve">PAGE  </w:instrText>
    </w:r>
    <w:r>
      <w:fldChar w:fldCharType="separate"/>
    </w:r>
    <w:r>
      <w:rPr>
        <w:rStyle w:val="28"/>
      </w:rPr>
      <w:t>10</w:t>
    </w:r>
    <w:r>
      <w:fldChar w:fldCharType="end"/>
    </w:r>
  </w:p>
  <w:p>
    <w:pPr>
      <w:pStyle w:val="7"/>
      <w:tabs>
        <w:tab w:val="left" w:pos="454"/>
        <w:tab w:val="left" w:pos="720"/>
        <w:tab w:val="left" w:pos="1200"/>
      </w:tabs>
      <w:spacing w:after="1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jeyTLAQAAl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rORyoO/PURsIXeWUCeouRjOK3ObdystxL9+znr8n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ho3skywEAAJcDAAAOAAAAAAAAAAEAIAAAACIBAABkcnMv&#10;ZTJvRG9jLnhtbFBLBQYAAAAABgAGAFkBAABfBQAAAAA=&#10;">
              <v:fill on="f" focussize="0,0"/>
              <v:stroke on="f" weight="1.2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CBFC0"/>
    <w:multiLevelType w:val="singleLevel"/>
    <w:tmpl w:val="963CBFC0"/>
    <w:lvl w:ilvl="0" w:tentative="0">
      <w:start w:val="1"/>
      <w:numFmt w:val="bullet"/>
      <w:pStyle w:val="12"/>
      <w:lvlText w:val=""/>
      <w:lvlJc w:val="left"/>
      <w:pPr>
        <w:tabs>
          <w:tab w:val="left" w:pos="780"/>
        </w:tabs>
        <w:ind w:left="780" w:hanging="360"/>
      </w:pPr>
      <w:rPr>
        <w:rFonts w:hint="default" w:ascii="Wingdings" w:hAnsi="Wingdings"/>
      </w:rPr>
    </w:lvl>
  </w:abstractNum>
  <w:abstractNum w:abstractNumId="1">
    <w:nsid w:val="B4AE0EE2"/>
    <w:multiLevelType w:val="singleLevel"/>
    <w:tmpl w:val="B4AE0EE2"/>
    <w:lvl w:ilvl="0" w:tentative="0">
      <w:start w:val="4"/>
      <w:numFmt w:val="decimal"/>
      <w:suff w:val="nothing"/>
      <w:lvlText w:val="%1、"/>
      <w:lvlJc w:val="left"/>
    </w:lvl>
  </w:abstractNum>
  <w:abstractNum w:abstractNumId="2">
    <w:nsid w:val="DF48CB86"/>
    <w:multiLevelType w:val="singleLevel"/>
    <w:tmpl w:val="DF48CB86"/>
    <w:lvl w:ilvl="0" w:tentative="0">
      <w:start w:val="1"/>
      <w:numFmt w:val="chineseCounting"/>
      <w:suff w:val="nothing"/>
      <w:lvlText w:val="（%1）"/>
      <w:lvlJc w:val="left"/>
      <w:rPr>
        <w:rFonts w:hint="eastAsia"/>
      </w:rPr>
    </w:lvl>
  </w:abstractNum>
  <w:abstractNum w:abstractNumId="3">
    <w:nsid w:val="E7171C12"/>
    <w:multiLevelType w:val="singleLevel"/>
    <w:tmpl w:val="E7171C12"/>
    <w:lvl w:ilvl="0" w:tentative="0">
      <w:start w:val="1"/>
      <w:numFmt w:val="bullet"/>
      <w:pStyle w:val="8"/>
      <w:lvlText w:val=""/>
      <w:lvlJc w:val="left"/>
      <w:pPr>
        <w:tabs>
          <w:tab w:val="left" w:pos="360"/>
        </w:tabs>
        <w:ind w:left="360" w:hanging="360"/>
      </w:pPr>
      <w:rPr>
        <w:rFonts w:hint="default" w:ascii="Wingdings" w:hAnsi="Wingdings"/>
      </w:rPr>
    </w:lvl>
  </w:abstractNum>
  <w:abstractNum w:abstractNumId="4">
    <w:nsid w:val="0ED2C79B"/>
    <w:multiLevelType w:val="singleLevel"/>
    <w:tmpl w:val="0ED2C79B"/>
    <w:lvl w:ilvl="0" w:tentative="0">
      <w:start w:val="1"/>
      <w:numFmt w:val="decimal"/>
      <w:pStyle w:val="7"/>
      <w:lvlText w:val="%1."/>
      <w:lvlJc w:val="left"/>
      <w:pPr>
        <w:tabs>
          <w:tab w:val="left" w:pos="360"/>
        </w:tabs>
        <w:ind w:left="360" w:hanging="360"/>
      </w:pPr>
    </w:lvl>
  </w:abstractNum>
  <w:abstractNum w:abstractNumId="5">
    <w:nsid w:val="461E5E94"/>
    <w:multiLevelType w:val="singleLevel"/>
    <w:tmpl w:val="461E5E94"/>
    <w:lvl w:ilvl="0" w:tentative="0">
      <w:start w:val="2"/>
      <w:numFmt w:val="chineseCounting"/>
      <w:suff w:val="space"/>
      <w:lvlText w:val="第%1章"/>
      <w:lvlJc w:val="left"/>
      <w:rPr>
        <w:rFonts w:hint="eastAsia"/>
      </w:rPr>
    </w:lvl>
  </w:abstractNum>
  <w:abstractNum w:abstractNumId="6">
    <w:nsid w:val="5BE338C7"/>
    <w:multiLevelType w:val="singleLevel"/>
    <w:tmpl w:val="5BE338C7"/>
    <w:lvl w:ilvl="0" w:tentative="0">
      <w:start w:val="1"/>
      <w:numFmt w:val="decimal"/>
      <w:lvlText w:val="%1."/>
      <w:lvlJc w:val="left"/>
      <w:pPr>
        <w:ind w:left="425" w:hanging="425"/>
      </w:pPr>
      <w:rPr>
        <w:rFonts w:hint="default"/>
      </w:rPr>
    </w:lvl>
  </w:abstractNum>
  <w:abstractNum w:abstractNumId="7">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8">
    <w:nsid w:val="66DDD653"/>
    <w:multiLevelType w:val="singleLevel"/>
    <w:tmpl w:val="66DDD653"/>
    <w:lvl w:ilvl="0" w:tentative="0">
      <w:start w:val="1"/>
      <w:numFmt w:val="chineseCounting"/>
      <w:suff w:val="space"/>
      <w:lvlText w:val="第%1章"/>
      <w:lvlJc w:val="left"/>
      <w:rPr>
        <w:rFonts w:hint="eastAsia"/>
      </w:rPr>
    </w:lvl>
  </w:abstractNum>
  <w:abstractNum w:abstractNumId="9">
    <w:nsid w:val="678CFB24"/>
    <w:multiLevelType w:val="singleLevel"/>
    <w:tmpl w:val="678CFB24"/>
    <w:lvl w:ilvl="0" w:tentative="0">
      <w:start w:val="1"/>
      <w:numFmt w:val="chineseCounting"/>
      <w:suff w:val="nothing"/>
      <w:lvlText w:val="%1、"/>
      <w:lvlJc w:val="left"/>
      <w:rPr>
        <w:rFonts w:hint="eastAsia"/>
      </w:rPr>
    </w:lvl>
  </w:abstractNum>
  <w:num w:numId="1">
    <w:abstractNumId w:val="7"/>
  </w:num>
  <w:num w:numId="2">
    <w:abstractNumId w:val="4"/>
  </w:num>
  <w:num w:numId="3">
    <w:abstractNumId w:val="3"/>
  </w:num>
  <w:num w:numId="4">
    <w:abstractNumId w:val="0"/>
  </w:num>
  <w:num w:numId="5">
    <w:abstractNumId w:val="8"/>
  </w:num>
  <w:num w:numId="6">
    <w:abstractNumId w:val="5"/>
  </w:num>
  <w:num w:numId="7">
    <w:abstractNumId w:val="9"/>
  </w:num>
  <w:num w:numId="8">
    <w:abstractNumId w:val="2"/>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5Nzc1ZjBiYThmY2FlZjUzZjFkMmFmYmIyM2FiMjAifQ=="/>
  </w:docVars>
  <w:rsids>
    <w:rsidRoot w:val="685F2B0C"/>
    <w:rsid w:val="00001822"/>
    <w:rsid w:val="0000676C"/>
    <w:rsid w:val="000154B2"/>
    <w:rsid w:val="000220D4"/>
    <w:rsid w:val="000221EE"/>
    <w:rsid w:val="00030D77"/>
    <w:rsid w:val="00047C71"/>
    <w:rsid w:val="00063432"/>
    <w:rsid w:val="00067EBE"/>
    <w:rsid w:val="00071BA1"/>
    <w:rsid w:val="000740FA"/>
    <w:rsid w:val="00077950"/>
    <w:rsid w:val="0008211B"/>
    <w:rsid w:val="000839F2"/>
    <w:rsid w:val="00085621"/>
    <w:rsid w:val="00086AFA"/>
    <w:rsid w:val="00096A85"/>
    <w:rsid w:val="000A2B60"/>
    <w:rsid w:val="000B40AC"/>
    <w:rsid w:val="000B5655"/>
    <w:rsid w:val="000E4514"/>
    <w:rsid w:val="000F3BA6"/>
    <w:rsid w:val="001018F6"/>
    <w:rsid w:val="00102B98"/>
    <w:rsid w:val="001146EF"/>
    <w:rsid w:val="0011667D"/>
    <w:rsid w:val="00117F4A"/>
    <w:rsid w:val="001417A1"/>
    <w:rsid w:val="00145361"/>
    <w:rsid w:val="00147BA8"/>
    <w:rsid w:val="00153321"/>
    <w:rsid w:val="0015483F"/>
    <w:rsid w:val="00161CFF"/>
    <w:rsid w:val="00162814"/>
    <w:rsid w:val="00165EE9"/>
    <w:rsid w:val="0018393D"/>
    <w:rsid w:val="00186236"/>
    <w:rsid w:val="00194429"/>
    <w:rsid w:val="001951CA"/>
    <w:rsid w:val="001A746E"/>
    <w:rsid w:val="001B0177"/>
    <w:rsid w:val="001C6E10"/>
    <w:rsid w:val="001E3609"/>
    <w:rsid w:val="001F2BB7"/>
    <w:rsid w:val="00242E17"/>
    <w:rsid w:val="00255983"/>
    <w:rsid w:val="00291503"/>
    <w:rsid w:val="002A3D6E"/>
    <w:rsid w:val="002B1FBA"/>
    <w:rsid w:val="002F332C"/>
    <w:rsid w:val="00313AA9"/>
    <w:rsid w:val="00315916"/>
    <w:rsid w:val="0033459A"/>
    <w:rsid w:val="0033653F"/>
    <w:rsid w:val="00345785"/>
    <w:rsid w:val="00346D34"/>
    <w:rsid w:val="003617C1"/>
    <w:rsid w:val="00394AF1"/>
    <w:rsid w:val="003966CB"/>
    <w:rsid w:val="00397B4C"/>
    <w:rsid w:val="00397CA4"/>
    <w:rsid w:val="003C1122"/>
    <w:rsid w:val="003C4B41"/>
    <w:rsid w:val="003E7E4B"/>
    <w:rsid w:val="003F7037"/>
    <w:rsid w:val="003F7B6C"/>
    <w:rsid w:val="00401BB4"/>
    <w:rsid w:val="00402294"/>
    <w:rsid w:val="0040416F"/>
    <w:rsid w:val="00414893"/>
    <w:rsid w:val="00463728"/>
    <w:rsid w:val="00492D29"/>
    <w:rsid w:val="0049548B"/>
    <w:rsid w:val="004C1DEC"/>
    <w:rsid w:val="004C66BE"/>
    <w:rsid w:val="004D0F07"/>
    <w:rsid w:val="004D1BD8"/>
    <w:rsid w:val="004D436F"/>
    <w:rsid w:val="004F3491"/>
    <w:rsid w:val="00520055"/>
    <w:rsid w:val="005617DF"/>
    <w:rsid w:val="005727F6"/>
    <w:rsid w:val="0059431D"/>
    <w:rsid w:val="005B07E9"/>
    <w:rsid w:val="005C58B3"/>
    <w:rsid w:val="005D0DD1"/>
    <w:rsid w:val="005E7F5A"/>
    <w:rsid w:val="005F2A0C"/>
    <w:rsid w:val="00605C1B"/>
    <w:rsid w:val="00635DA5"/>
    <w:rsid w:val="0065048B"/>
    <w:rsid w:val="006620A8"/>
    <w:rsid w:val="00667357"/>
    <w:rsid w:val="0068223A"/>
    <w:rsid w:val="006825F8"/>
    <w:rsid w:val="00685525"/>
    <w:rsid w:val="006B119E"/>
    <w:rsid w:val="006D5C96"/>
    <w:rsid w:val="006D66AC"/>
    <w:rsid w:val="006F3843"/>
    <w:rsid w:val="00700776"/>
    <w:rsid w:val="00712BFA"/>
    <w:rsid w:val="00736F7D"/>
    <w:rsid w:val="0074420C"/>
    <w:rsid w:val="007477AD"/>
    <w:rsid w:val="00753AE0"/>
    <w:rsid w:val="00770A08"/>
    <w:rsid w:val="00794BBF"/>
    <w:rsid w:val="007B7BC7"/>
    <w:rsid w:val="007C3931"/>
    <w:rsid w:val="007C5DB8"/>
    <w:rsid w:val="007D2F69"/>
    <w:rsid w:val="007E144D"/>
    <w:rsid w:val="007E2BA8"/>
    <w:rsid w:val="007E4849"/>
    <w:rsid w:val="007F6447"/>
    <w:rsid w:val="00801D0B"/>
    <w:rsid w:val="00817A3B"/>
    <w:rsid w:val="008248FA"/>
    <w:rsid w:val="0084648D"/>
    <w:rsid w:val="00850346"/>
    <w:rsid w:val="00855F76"/>
    <w:rsid w:val="00873EC4"/>
    <w:rsid w:val="008856B6"/>
    <w:rsid w:val="0089019B"/>
    <w:rsid w:val="00897D8A"/>
    <w:rsid w:val="008A1232"/>
    <w:rsid w:val="008A3A13"/>
    <w:rsid w:val="008C4C8B"/>
    <w:rsid w:val="008C57E4"/>
    <w:rsid w:val="008E5B9C"/>
    <w:rsid w:val="008F059D"/>
    <w:rsid w:val="00905DA1"/>
    <w:rsid w:val="0091302F"/>
    <w:rsid w:val="009145F5"/>
    <w:rsid w:val="00945E5D"/>
    <w:rsid w:val="00962122"/>
    <w:rsid w:val="00987EDA"/>
    <w:rsid w:val="00990D69"/>
    <w:rsid w:val="00993BE7"/>
    <w:rsid w:val="009A0B24"/>
    <w:rsid w:val="009A1D63"/>
    <w:rsid w:val="009A44C5"/>
    <w:rsid w:val="009B5C47"/>
    <w:rsid w:val="009D46C4"/>
    <w:rsid w:val="009D6A9E"/>
    <w:rsid w:val="009E0B23"/>
    <w:rsid w:val="009E3FF8"/>
    <w:rsid w:val="009E4E54"/>
    <w:rsid w:val="009F3832"/>
    <w:rsid w:val="00A200F5"/>
    <w:rsid w:val="00A24D72"/>
    <w:rsid w:val="00A34D80"/>
    <w:rsid w:val="00A362B9"/>
    <w:rsid w:val="00A40A0F"/>
    <w:rsid w:val="00A51E78"/>
    <w:rsid w:val="00A5256C"/>
    <w:rsid w:val="00A52936"/>
    <w:rsid w:val="00A66D14"/>
    <w:rsid w:val="00A77741"/>
    <w:rsid w:val="00A85AC9"/>
    <w:rsid w:val="00A921FD"/>
    <w:rsid w:val="00A95853"/>
    <w:rsid w:val="00AA503A"/>
    <w:rsid w:val="00AB072A"/>
    <w:rsid w:val="00AB1596"/>
    <w:rsid w:val="00AB49B7"/>
    <w:rsid w:val="00AC6C12"/>
    <w:rsid w:val="00AD5F42"/>
    <w:rsid w:val="00AD724D"/>
    <w:rsid w:val="00AE5521"/>
    <w:rsid w:val="00AE66EB"/>
    <w:rsid w:val="00AF3DE0"/>
    <w:rsid w:val="00B020CF"/>
    <w:rsid w:val="00B03224"/>
    <w:rsid w:val="00B043C5"/>
    <w:rsid w:val="00B10199"/>
    <w:rsid w:val="00B12DF7"/>
    <w:rsid w:val="00B16FA7"/>
    <w:rsid w:val="00B2639F"/>
    <w:rsid w:val="00B3161E"/>
    <w:rsid w:val="00B34B47"/>
    <w:rsid w:val="00B47E53"/>
    <w:rsid w:val="00B72890"/>
    <w:rsid w:val="00BD1A27"/>
    <w:rsid w:val="00BE26CA"/>
    <w:rsid w:val="00C010CD"/>
    <w:rsid w:val="00C02BBA"/>
    <w:rsid w:val="00C061A0"/>
    <w:rsid w:val="00C124A2"/>
    <w:rsid w:val="00C16B68"/>
    <w:rsid w:val="00C21118"/>
    <w:rsid w:val="00C25A79"/>
    <w:rsid w:val="00C3129E"/>
    <w:rsid w:val="00C40128"/>
    <w:rsid w:val="00C50B60"/>
    <w:rsid w:val="00C51716"/>
    <w:rsid w:val="00C52A0D"/>
    <w:rsid w:val="00C55713"/>
    <w:rsid w:val="00C81C9D"/>
    <w:rsid w:val="00C8723C"/>
    <w:rsid w:val="00CA0697"/>
    <w:rsid w:val="00CA12F3"/>
    <w:rsid w:val="00CA2C6C"/>
    <w:rsid w:val="00CA728C"/>
    <w:rsid w:val="00CC4021"/>
    <w:rsid w:val="00CD0A72"/>
    <w:rsid w:val="00D0009A"/>
    <w:rsid w:val="00D14AD5"/>
    <w:rsid w:val="00D246D4"/>
    <w:rsid w:val="00D325EC"/>
    <w:rsid w:val="00D40771"/>
    <w:rsid w:val="00D64FC1"/>
    <w:rsid w:val="00D655A0"/>
    <w:rsid w:val="00D66731"/>
    <w:rsid w:val="00D81728"/>
    <w:rsid w:val="00DB1553"/>
    <w:rsid w:val="00DB4DE5"/>
    <w:rsid w:val="00DF0325"/>
    <w:rsid w:val="00DF7A01"/>
    <w:rsid w:val="00E029D9"/>
    <w:rsid w:val="00E10F08"/>
    <w:rsid w:val="00E11356"/>
    <w:rsid w:val="00E42018"/>
    <w:rsid w:val="00E45207"/>
    <w:rsid w:val="00E51C18"/>
    <w:rsid w:val="00E51E92"/>
    <w:rsid w:val="00EA3C27"/>
    <w:rsid w:val="00EC7618"/>
    <w:rsid w:val="00EE16CE"/>
    <w:rsid w:val="00EE453C"/>
    <w:rsid w:val="00F1568D"/>
    <w:rsid w:val="00F21898"/>
    <w:rsid w:val="00F33C9E"/>
    <w:rsid w:val="00F447A7"/>
    <w:rsid w:val="00F543F9"/>
    <w:rsid w:val="00F548C4"/>
    <w:rsid w:val="00F7155E"/>
    <w:rsid w:val="00F8124B"/>
    <w:rsid w:val="00F8666D"/>
    <w:rsid w:val="00F86AB9"/>
    <w:rsid w:val="00F907CF"/>
    <w:rsid w:val="00F92A7E"/>
    <w:rsid w:val="00FA6B35"/>
    <w:rsid w:val="00FB14A1"/>
    <w:rsid w:val="00FC05F2"/>
    <w:rsid w:val="00FC1E7F"/>
    <w:rsid w:val="00FC5C25"/>
    <w:rsid w:val="00FE5F42"/>
    <w:rsid w:val="00FF0C0B"/>
    <w:rsid w:val="00FF7A94"/>
    <w:rsid w:val="010742D5"/>
    <w:rsid w:val="010F7B98"/>
    <w:rsid w:val="01270A4D"/>
    <w:rsid w:val="016D3648"/>
    <w:rsid w:val="017E2A82"/>
    <w:rsid w:val="01851778"/>
    <w:rsid w:val="01A729ED"/>
    <w:rsid w:val="01AE11E6"/>
    <w:rsid w:val="01B729F0"/>
    <w:rsid w:val="01BC2913"/>
    <w:rsid w:val="01E96BCD"/>
    <w:rsid w:val="01F53A09"/>
    <w:rsid w:val="01FC105B"/>
    <w:rsid w:val="020A3DE7"/>
    <w:rsid w:val="020B511D"/>
    <w:rsid w:val="02222883"/>
    <w:rsid w:val="02775E4F"/>
    <w:rsid w:val="02A01370"/>
    <w:rsid w:val="02C62BA9"/>
    <w:rsid w:val="030A7540"/>
    <w:rsid w:val="034C79A8"/>
    <w:rsid w:val="03577A2F"/>
    <w:rsid w:val="035E327D"/>
    <w:rsid w:val="03624C71"/>
    <w:rsid w:val="037171B2"/>
    <w:rsid w:val="03723D7D"/>
    <w:rsid w:val="03A26EFC"/>
    <w:rsid w:val="03A55E37"/>
    <w:rsid w:val="04071573"/>
    <w:rsid w:val="04357EE7"/>
    <w:rsid w:val="043E0AAC"/>
    <w:rsid w:val="044F2C90"/>
    <w:rsid w:val="04604D98"/>
    <w:rsid w:val="04762FE4"/>
    <w:rsid w:val="048361AE"/>
    <w:rsid w:val="048962DE"/>
    <w:rsid w:val="04C403D8"/>
    <w:rsid w:val="04DA625A"/>
    <w:rsid w:val="04EF476C"/>
    <w:rsid w:val="0528054A"/>
    <w:rsid w:val="05287815"/>
    <w:rsid w:val="052D2D41"/>
    <w:rsid w:val="0538232A"/>
    <w:rsid w:val="0552233D"/>
    <w:rsid w:val="05782C43"/>
    <w:rsid w:val="057E335E"/>
    <w:rsid w:val="05852631"/>
    <w:rsid w:val="05903056"/>
    <w:rsid w:val="05B01B1D"/>
    <w:rsid w:val="05C313AC"/>
    <w:rsid w:val="05E17C80"/>
    <w:rsid w:val="05E55725"/>
    <w:rsid w:val="05E5760D"/>
    <w:rsid w:val="06066F04"/>
    <w:rsid w:val="06134407"/>
    <w:rsid w:val="06231BA7"/>
    <w:rsid w:val="0639353C"/>
    <w:rsid w:val="06474E34"/>
    <w:rsid w:val="06484055"/>
    <w:rsid w:val="065949DD"/>
    <w:rsid w:val="06653EC4"/>
    <w:rsid w:val="0699402C"/>
    <w:rsid w:val="069C64C8"/>
    <w:rsid w:val="06A0112C"/>
    <w:rsid w:val="06A81BEC"/>
    <w:rsid w:val="06D53145"/>
    <w:rsid w:val="06DC60DB"/>
    <w:rsid w:val="06F44776"/>
    <w:rsid w:val="06F44F8B"/>
    <w:rsid w:val="06F84851"/>
    <w:rsid w:val="06FB0045"/>
    <w:rsid w:val="077360FE"/>
    <w:rsid w:val="077B362D"/>
    <w:rsid w:val="079A6E72"/>
    <w:rsid w:val="079F3EE7"/>
    <w:rsid w:val="07AA1AB7"/>
    <w:rsid w:val="07B12DD2"/>
    <w:rsid w:val="07B7075F"/>
    <w:rsid w:val="07C51164"/>
    <w:rsid w:val="07DF5164"/>
    <w:rsid w:val="07E50580"/>
    <w:rsid w:val="07EE133F"/>
    <w:rsid w:val="07F7533D"/>
    <w:rsid w:val="08065B86"/>
    <w:rsid w:val="08274ACF"/>
    <w:rsid w:val="08310251"/>
    <w:rsid w:val="084703F0"/>
    <w:rsid w:val="086230FE"/>
    <w:rsid w:val="08696EDC"/>
    <w:rsid w:val="08705B4A"/>
    <w:rsid w:val="087A7753"/>
    <w:rsid w:val="08814CE3"/>
    <w:rsid w:val="088811CB"/>
    <w:rsid w:val="08884C10"/>
    <w:rsid w:val="08986544"/>
    <w:rsid w:val="08BB6846"/>
    <w:rsid w:val="08D55A74"/>
    <w:rsid w:val="08DC3175"/>
    <w:rsid w:val="08E052CE"/>
    <w:rsid w:val="08FB2C0B"/>
    <w:rsid w:val="08FD3C48"/>
    <w:rsid w:val="08FF6B9F"/>
    <w:rsid w:val="09161D47"/>
    <w:rsid w:val="093D3ABC"/>
    <w:rsid w:val="097B032D"/>
    <w:rsid w:val="09976943"/>
    <w:rsid w:val="09CE19BC"/>
    <w:rsid w:val="09CF031F"/>
    <w:rsid w:val="09E70A54"/>
    <w:rsid w:val="09E84CCD"/>
    <w:rsid w:val="0A051115"/>
    <w:rsid w:val="0A3A5C5D"/>
    <w:rsid w:val="0A8528D5"/>
    <w:rsid w:val="0A8A0A3A"/>
    <w:rsid w:val="0AB52BD8"/>
    <w:rsid w:val="0AD56F1F"/>
    <w:rsid w:val="0AEA3C8C"/>
    <w:rsid w:val="0B1E0CF0"/>
    <w:rsid w:val="0B1E2894"/>
    <w:rsid w:val="0B271D74"/>
    <w:rsid w:val="0B3A637F"/>
    <w:rsid w:val="0B420671"/>
    <w:rsid w:val="0B651F10"/>
    <w:rsid w:val="0B753148"/>
    <w:rsid w:val="0BCE1370"/>
    <w:rsid w:val="0BCF240A"/>
    <w:rsid w:val="0BD84E5C"/>
    <w:rsid w:val="0BE34CD8"/>
    <w:rsid w:val="0BE83010"/>
    <w:rsid w:val="0BEF4205"/>
    <w:rsid w:val="0BF47D4E"/>
    <w:rsid w:val="0BF86799"/>
    <w:rsid w:val="0C377F1F"/>
    <w:rsid w:val="0C516743"/>
    <w:rsid w:val="0C5D1BDB"/>
    <w:rsid w:val="0C7E2237"/>
    <w:rsid w:val="0C9C3187"/>
    <w:rsid w:val="0CA34118"/>
    <w:rsid w:val="0CA758F8"/>
    <w:rsid w:val="0CCD457A"/>
    <w:rsid w:val="0CD50236"/>
    <w:rsid w:val="0CED2959"/>
    <w:rsid w:val="0CEF3BF8"/>
    <w:rsid w:val="0D000761"/>
    <w:rsid w:val="0D3F7F2E"/>
    <w:rsid w:val="0D6344EC"/>
    <w:rsid w:val="0D705EC6"/>
    <w:rsid w:val="0D7446FA"/>
    <w:rsid w:val="0D870C14"/>
    <w:rsid w:val="0D8D29CB"/>
    <w:rsid w:val="0DB14507"/>
    <w:rsid w:val="0DB757B9"/>
    <w:rsid w:val="0DE545F3"/>
    <w:rsid w:val="0DE7555E"/>
    <w:rsid w:val="0E0316BF"/>
    <w:rsid w:val="0E072513"/>
    <w:rsid w:val="0E0B1B42"/>
    <w:rsid w:val="0E7007ED"/>
    <w:rsid w:val="0E8F17C5"/>
    <w:rsid w:val="0E932086"/>
    <w:rsid w:val="0F0D0D2C"/>
    <w:rsid w:val="0F385060"/>
    <w:rsid w:val="0F4D0444"/>
    <w:rsid w:val="0F58781F"/>
    <w:rsid w:val="0F5D7625"/>
    <w:rsid w:val="0F6147A2"/>
    <w:rsid w:val="0F86061B"/>
    <w:rsid w:val="0FC27645"/>
    <w:rsid w:val="0FD4645C"/>
    <w:rsid w:val="1007199F"/>
    <w:rsid w:val="10190546"/>
    <w:rsid w:val="101A3630"/>
    <w:rsid w:val="102C199B"/>
    <w:rsid w:val="103927E7"/>
    <w:rsid w:val="104542C5"/>
    <w:rsid w:val="105576A8"/>
    <w:rsid w:val="10BE1B05"/>
    <w:rsid w:val="10C64B9C"/>
    <w:rsid w:val="10CB7C05"/>
    <w:rsid w:val="10CF3933"/>
    <w:rsid w:val="10EF74F9"/>
    <w:rsid w:val="10FD1FE7"/>
    <w:rsid w:val="11344EBE"/>
    <w:rsid w:val="115B5C4F"/>
    <w:rsid w:val="117C20D6"/>
    <w:rsid w:val="118A244C"/>
    <w:rsid w:val="11A2124C"/>
    <w:rsid w:val="11C20C82"/>
    <w:rsid w:val="11C8536C"/>
    <w:rsid w:val="11D0460B"/>
    <w:rsid w:val="11DE5C79"/>
    <w:rsid w:val="120B2B1C"/>
    <w:rsid w:val="12101447"/>
    <w:rsid w:val="121E5D7B"/>
    <w:rsid w:val="12215961"/>
    <w:rsid w:val="125F1817"/>
    <w:rsid w:val="128D04EC"/>
    <w:rsid w:val="12AA2320"/>
    <w:rsid w:val="12DB53B1"/>
    <w:rsid w:val="12E81B94"/>
    <w:rsid w:val="12F708E7"/>
    <w:rsid w:val="13257C63"/>
    <w:rsid w:val="133707C2"/>
    <w:rsid w:val="13441C72"/>
    <w:rsid w:val="134C77A5"/>
    <w:rsid w:val="13687104"/>
    <w:rsid w:val="13731B39"/>
    <w:rsid w:val="13732205"/>
    <w:rsid w:val="137F0CE3"/>
    <w:rsid w:val="13B66833"/>
    <w:rsid w:val="13C30E6E"/>
    <w:rsid w:val="13C5138B"/>
    <w:rsid w:val="13FD01F3"/>
    <w:rsid w:val="140A0889"/>
    <w:rsid w:val="140C3E1C"/>
    <w:rsid w:val="141B13D5"/>
    <w:rsid w:val="141C741E"/>
    <w:rsid w:val="14234B06"/>
    <w:rsid w:val="145558C5"/>
    <w:rsid w:val="149D3DC9"/>
    <w:rsid w:val="149E1778"/>
    <w:rsid w:val="14AD4839"/>
    <w:rsid w:val="14DF5342"/>
    <w:rsid w:val="14EA3450"/>
    <w:rsid w:val="14F22EE3"/>
    <w:rsid w:val="14F767B6"/>
    <w:rsid w:val="14F905C9"/>
    <w:rsid w:val="151F76DA"/>
    <w:rsid w:val="15287486"/>
    <w:rsid w:val="15431BC1"/>
    <w:rsid w:val="15552317"/>
    <w:rsid w:val="15840A84"/>
    <w:rsid w:val="15A9236C"/>
    <w:rsid w:val="15AF033B"/>
    <w:rsid w:val="15C012BB"/>
    <w:rsid w:val="15EA61EF"/>
    <w:rsid w:val="16031113"/>
    <w:rsid w:val="160C1329"/>
    <w:rsid w:val="16332D75"/>
    <w:rsid w:val="16502A53"/>
    <w:rsid w:val="16725D01"/>
    <w:rsid w:val="16777B9F"/>
    <w:rsid w:val="168F227C"/>
    <w:rsid w:val="169A575C"/>
    <w:rsid w:val="16A11295"/>
    <w:rsid w:val="16AD5C51"/>
    <w:rsid w:val="16C11894"/>
    <w:rsid w:val="16C377D3"/>
    <w:rsid w:val="16E6609C"/>
    <w:rsid w:val="171F0861"/>
    <w:rsid w:val="1731374B"/>
    <w:rsid w:val="173B1F0E"/>
    <w:rsid w:val="173D243C"/>
    <w:rsid w:val="173D71C1"/>
    <w:rsid w:val="17534ECF"/>
    <w:rsid w:val="17DC7BF0"/>
    <w:rsid w:val="180053F0"/>
    <w:rsid w:val="18011D29"/>
    <w:rsid w:val="181011F1"/>
    <w:rsid w:val="185F5F75"/>
    <w:rsid w:val="186F483E"/>
    <w:rsid w:val="1870253F"/>
    <w:rsid w:val="188227EF"/>
    <w:rsid w:val="189220EE"/>
    <w:rsid w:val="189E4B47"/>
    <w:rsid w:val="18E36CFC"/>
    <w:rsid w:val="19000C71"/>
    <w:rsid w:val="19100701"/>
    <w:rsid w:val="192A06DB"/>
    <w:rsid w:val="193028F8"/>
    <w:rsid w:val="19483C4A"/>
    <w:rsid w:val="19800DAF"/>
    <w:rsid w:val="198218DD"/>
    <w:rsid w:val="198D1B84"/>
    <w:rsid w:val="198E4D52"/>
    <w:rsid w:val="19923F06"/>
    <w:rsid w:val="19AF2729"/>
    <w:rsid w:val="19E51688"/>
    <w:rsid w:val="19EE2A8B"/>
    <w:rsid w:val="19EE41FA"/>
    <w:rsid w:val="1A1830B1"/>
    <w:rsid w:val="1A2F4589"/>
    <w:rsid w:val="1A4C1D4A"/>
    <w:rsid w:val="1A516B2E"/>
    <w:rsid w:val="1A587B66"/>
    <w:rsid w:val="1A5A6066"/>
    <w:rsid w:val="1A5B78E2"/>
    <w:rsid w:val="1A647FAE"/>
    <w:rsid w:val="1A654388"/>
    <w:rsid w:val="1A777345"/>
    <w:rsid w:val="1A813E1F"/>
    <w:rsid w:val="1A8357FC"/>
    <w:rsid w:val="1A9F2503"/>
    <w:rsid w:val="1AA3486A"/>
    <w:rsid w:val="1ACD6255"/>
    <w:rsid w:val="1ACE692C"/>
    <w:rsid w:val="1AD86D1C"/>
    <w:rsid w:val="1AE33064"/>
    <w:rsid w:val="1AF357C2"/>
    <w:rsid w:val="1B3B15AA"/>
    <w:rsid w:val="1B6A3FBF"/>
    <w:rsid w:val="1B6E5D82"/>
    <w:rsid w:val="1B8C6B7B"/>
    <w:rsid w:val="1B9E29B4"/>
    <w:rsid w:val="1BB43FB4"/>
    <w:rsid w:val="1BBF65FB"/>
    <w:rsid w:val="1BC2281C"/>
    <w:rsid w:val="1BF657FB"/>
    <w:rsid w:val="1C374515"/>
    <w:rsid w:val="1C4235A6"/>
    <w:rsid w:val="1C4F222F"/>
    <w:rsid w:val="1C7D00AF"/>
    <w:rsid w:val="1CA218C3"/>
    <w:rsid w:val="1CA4277D"/>
    <w:rsid w:val="1CA86A15"/>
    <w:rsid w:val="1CBB4247"/>
    <w:rsid w:val="1CFA7EEF"/>
    <w:rsid w:val="1CFB1146"/>
    <w:rsid w:val="1D1338EC"/>
    <w:rsid w:val="1D37062D"/>
    <w:rsid w:val="1D3B199E"/>
    <w:rsid w:val="1D4209B0"/>
    <w:rsid w:val="1D5B6D2E"/>
    <w:rsid w:val="1DB16F09"/>
    <w:rsid w:val="1DC84F72"/>
    <w:rsid w:val="1DEC270F"/>
    <w:rsid w:val="1DF10281"/>
    <w:rsid w:val="1E0672A1"/>
    <w:rsid w:val="1E0D3D46"/>
    <w:rsid w:val="1E206F43"/>
    <w:rsid w:val="1E331E3B"/>
    <w:rsid w:val="1E370C0B"/>
    <w:rsid w:val="1E4E212D"/>
    <w:rsid w:val="1E561B49"/>
    <w:rsid w:val="1E5A2895"/>
    <w:rsid w:val="1E5B5B74"/>
    <w:rsid w:val="1E847B39"/>
    <w:rsid w:val="1E860C88"/>
    <w:rsid w:val="1E870645"/>
    <w:rsid w:val="1E9F5B8B"/>
    <w:rsid w:val="1EAD27E8"/>
    <w:rsid w:val="1EC35424"/>
    <w:rsid w:val="1ED462A6"/>
    <w:rsid w:val="1ED734FA"/>
    <w:rsid w:val="1EDB21B2"/>
    <w:rsid w:val="1EE21D29"/>
    <w:rsid w:val="1EE72005"/>
    <w:rsid w:val="1F2B54B6"/>
    <w:rsid w:val="1F2F246F"/>
    <w:rsid w:val="1F3E1D5D"/>
    <w:rsid w:val="1F4F4B53"/>
    <w:rsid w:val="1F6E3177"/>
    <w:rsid w:val="1F6F04BA"/>
    <w:rsid w:val="1F8129BD"/>
    <w:rsid w:val="20027E74"/>
    <w:rsid w:val="2024650C"/>
    <w:rsid w:val="204663FA"/>
    <w:rsid w:val="20624FA2"/>
    <w:rsid w:val="206A094A"/>
    <w:rsid w:val="206A1137"/>
    <w:rsid w:val="20835E3C"/>
    <w:rsid w:val="2084196D"/>
    <w:rsid w:val="2091237A"/>
    <w:rsid w:val="20AA1825"/>
    <w:rsid w:val="20AD0878"/>
    <w:rsid w:val="20BB1EB1"/>
    <w:rsid w:val="21144C23"/>
    <w:rsid w:val="212A75E7"/>
    <w:rsid w:val="214E67BA"/>
    <w:rsid w:val="21593740"/>
    <w:rsid w:val="215C6880"/>
    <w:rsid w:val="215E5736"/>
    <w:rsid w:val="2163612C"/>
    <w:rsid w:val="217039C6"/>
    <w:rsid w:val="21754AF5"/>
    <w:rsid w:val="217E7700"/>
    <w:rsid w:val="218158E0"/>
    <w:rsid w:val="218F0080"/>
    <w:rsid w:val="21BA53F5"/>
    <w:rsid w:val="21E169EA"/>
    <w:rsid w:val="220B781D"/>
    <w:rsid w:val="2220525E"/>
    <w:rsid w:val="2231758A"/>
    <w:rsid w:val="224449F5"/>
    <w:rsid w:val="225D16C1"/>
    <w:rsid w:val="2266010D"/>
    <w:rsid w:val="226E674C"/>
    <w:rsid w:val="226F619C"/>
    <w:rsid w:val="22712A0D"/>
    <w:rsid w:val="22734646"/>
    <w:rsid w:val="22B609EC"/>
    <w:rsid w:val="22C23296"/>
    <w:rsid w:val="22CF4727"/>
    <w:rsid w:val="22E35CB6"/>
    <w:rsid w:val="22EA1840"/>
    <w:rsid w:val="22F91025"/>
    <w:rsid w:val="2309444A"/>
    <w:rsid w:val="231336BF"/>
    <w:rsid w:val="231A5582"/>
    <w:rsid w:val="23280561"/>
    <w:rsid w:val="2330019D"/>
    <w:rsid w:val="235E2799"/>
    <w:rsid w:val="23666663"/>
    <w:rsid w:val="23693289"/>
    <w:rsid w:val="23795972"/>
    <w:rsid w:val="239147E1"/>
    <w:rsid w:val="23BB34F7"/>
    <w:rsid w:val="23CB333E"/>
    <w:rsid w:val="23F91B39"/>
    <w:rsid w:val="24254858"/>
    <w:rsid w:val="242E5E97"/>
    <w:rsid w:val="243A5F83"/>
    <w:rsid w:val="244702BD"/>
    <w:rsid w:val="247E0687"/>
    <w:rsid w:val="24A20628"/>
    <w:rsid w:val="24B45D14"/>
    <w:rsid w:val="24C90F76"/>
    <w:rsid w:val="24D557D5"/>
    <w:rsid w:val="24FE0E05"/>
    <w:rsid w:val="25025E1D"/>
    <w:rsid w:val="25171BA0"/>
    <w:rsid w:val="251B18C1"/>
    <w:rsid w:val="25222461"/>
    <w:rsid w:val="25501E67"/>
    <w:rsid w:val="25524FA6"/>
    <w:rsid w:val="25532EC3"/>
    <w:rsid w:val="25925077"/>
    <w:rsid w:val="259C6139"/>
    <w:rsid w:val="25AF3989"/>
    <w:rsid w:val="25B24E51"/>
    <w:rsid w:val="25C73339"/>
    <w:rsid w:val="25C86149"/>
    <w:rsid w:val="25D62822"/>
    <w:rsid w:val="25F16B68"/>
    <w:rsid w:val="260663DB"/>
    <w:rsid w:val="262F0558"/>
    <w:rsid w:val="26546373"/>
    <w:rsid w:val="26841C6E"/>
    <w:rsid w:val="26934343"/>
    <w:rsid w:val="26B424FB"/>
    <w:rsid w:val="26B73D93"/>
    <w:rsid w:val="26E62133"/>
    <w:rsid w:val="2762237B"/>
    <w:rsid w:val="277F68D2"/>
    <w:rsid w:val="27870FB2"/>
    <w:rsid w:val="278F0AAA"/>
    <w:rsid w:val="27B84345"/>
    <w:rsid w:val="27CB7A47"/>
    <w:rsid w:val="27CF31D6"/>
    <w:rsid w:val="27E53B63"/>
    <w:rsid w:val="27F52A10"/>
    <w:rsid w:val="280E4470"/>
    <w:rsid w:val="283A36C6"/>
    <w:rsid w:val="283E405F"/>
    <w:rsid w:val="28D9203E"/>
    <w:rsid w:val="290D4568"/>
    <w:rsid w:val="295B4620"/>
    <w:rsid w:val="295E1181"/>
    <w:rsid w:val="298330BD"/>
    <w:rsid w:val="29B00B02"/>
    <w:rsid w:val="29B661A7"/>
    <w:rsid w:val="29DB1483"/>
    <w:rsid w:val="29DC3277"/>
    <w:rsid w:val="29FA460F"/>
    <w:rsid w:val="2A057B9E"/>
    <w:rsid w:val="2A0B6D48"/>
    <w:rsid w:val="2A397DF9"/>
    <w:rsid w:val="2A4411C6"/>
    <w:rsid w:val="2A7C5019"/>
    <w:rsid w:val="2A8645D2"/>
    <w:rsid w:val="2A8E3410"/>
    <w:rsid w:val="2A95425F"/>
    <w:rsid w:val="2AA812D6"/>
    <w:rsid w:val="2ABE55CE"/>
    <w:rsid w:val="2AC017A8"/>
    <w:rsid w:val="2B127E2F"/>
    <w:rsid w:val="2B3677A4"/>
    <w:rsid w:val="2B7F5D7B"/>
    <w:rsid w:val="2B830867"/>
    <w:rsid w:val="2B9073EB"/>
    <w:rsid w:val="2BAD682D"/>
    <w:rsid w:val="2BC41873"/>
    <w:rsid w:val="2BEE5A9C"/>
    <w:rsid w:val="2C275720"/>
    <w:rsid w:val="2C2929BE"/>
    <w:rsid w:val="2C64232C"/>
    <w:rsid w:val="2C6B41B7"/>
    <w:rsid w:val="2CAF7AE9"/>
    <w:rsid w:val="2CB550EC"/>
    <w:rsid w:val="2CBB7012"/>
    <w:rsid w:val="2CDD6C94"/>
    <w:rsid w:val="2CF947D9"/>
    <w:rsid w:val="2CFA06CC"/>
    <w:rsid w:val="2D3F090C"/>
    <w:rsid w:val="2D473273"/>
    <w:rsid w:val="2D814A75"/>
    <w:rsid w:val="2D8167C0"/>
    <w:rsid w:val="2D9C1D44"/>
    <w:rsid w:val="2DAB174B"/>
    <w:rsid w:val="2DAC3053"/>
    <w:rsid w:val="2DB40F04"/>
    <w:rsid w:val="2DB55317"/>
    <w:rsid w:val="2DD04A2C"/>
    <w:rsid w:val="2E073EDF"/>
    <w:rsid w:val="2E1A2D69"/>
    <w:rsid w:val="2E1C2312"/>
    <w:rsid w:val="2E450C2F"/>
    <w:rsid w:val="2E617376"/>
    <w:rsid w:val="2E6E7857"/>
    <w:rsid w:val="2E7D3F3E"/>
    <w:rsid w:val="2E925B8D"/>
    <w:rsid w:val="2ED13170"/>
    <w:rsid w:val="2F011E82"/>
    <w:rsid w:val="2F415E64"/>
    <w:rsid w:val="2F60404A"/>
    <w:rsid w:val="2F6858EF"/>
    <w:rsid w:val="2F7674B4"/>
    <w:rsid w:val="2F77273B"/>
    <w:rsid w:val="2FB4573E"/>
    <w:rsid w:val="2FC51659"/>
    <w:rsid w:val="2FCB2DE8"/>
    <w:rsid w:val="30082C17"/>
    <w:rsid w:val="301A6B35"/>
    <w:rsid w:val="30385048"/>
    <w:rsid w:val="303D78E2"/>
    <w:rsid w:val="30400DE6"/>
    <w:rsid w:val="3046030C"/>
    <w:rsid w:val="30577166"/>
    <w:rsid w:val="30670A02"/>
    <w:rsid w:val="307048B1"/>
    <w:rsid w:val="30A8450A"/>
    <w:rsid w:val="30B147B2"/>
    <w:rsid w:val="30FE64F4"/>
    <w:rsid w:val="310D00D7"/>
    <w:rsid w:val="314A5A0E"/>
    <w:rsid w:val="31673989"/>
    <w:rsid w:val="31682139"/>
    <w:rsid w:val="319957F6"/>
    <w:rsid w:val="31C036D0"/>
    <w:rsid w:val="31C90302"/>
    <w:rsid w:val="31D953B1"/>
    <w:rsid w:val="31EC1741"/>
    <w:rsid w:val="31EF6CF0"/>
    <w:rsid w:val="31F7619B"/>
    <w:rsid w:val="321F0CAE"/>
    <w:rsid w:val="321F3505"/>
    <w:rsid w:val="322B0318"/>
    <w:rsid w:val="32494369"/>
    <w:rsid w:val="324C0B81"/>
    <w:rsid w:val="32507DBD"/>
    <w:rsid w:val="32517D1E"/>
    <w:rsid w:val="329B0438"/>
    <w:rsid w:val="32B261A3"/>
    <w:rsid w:val="32B42261"/>
    <w:rsid w:val="32B63AAA"/>
    <w:rsid w:val="32DC6B74"/>
    <w:rsid w:val="33091096"/>
    <w:rsid w:val="33232830"/>
    <w:rsid w:val="3341533E"/>
    <w:rsid w:val="335D5C6D"/>
    <w:rsid w:val="33843CA1"/>
    <w:rsid w:val="33881ABE"/>
    <w:rsid w:val="3443530F"/>
    <w:rsid w:val="344D764F"/>
    <w:rsid w:val="34690455"/>
    <w:rsid w:val="3482405C"/>
    <w:rsid w:val="34886784"/>
    <w:rsid w:val="34A90E05"/>
    <w:rsid w:val="34AA1765"/>
    <w:rsid w:val="34AA6BD7"/>
    <w:rsid w:val="34D7618A"/>
    <w:rsid w:val="34FE589B"/>
    <w:rsid w:val="3529493E"/>
    <w:rsid w:val="35330B48"/>
    <w:rsid w:val="353B29E7"/>
    <w:rsid w:val="354E7EDA"/>
    <w:rsid w:val="355D4407"/>
    <w:rsid w:val="3562042D"/>
    <w:rsid w:val="35776DE5"/>
    <w:rsid w:val="35850AE6"/>
    <w:rsid w:val="35A74497"/>
    <w:rsid w:val="35A74E2B"/>
    <w:rsid w:val="35A94199"/>
    <w:rsid w:val="35B05630"/>
    <w:rsid w:val="35C33EC5"/>
    <w:rsid w:val="35C661CB"/>
    <w:rsid w:val="35C81BD5"/>
    <w:rsid w:val="35CF6801"/>
    <w:rsid w:val="35DE1818"/>
    <w:rsid w:val="35ED404E"/>
    <w:rsid w:val="36243C2B"/>
    <w:rsid w:val="363F2605"/>
    <w:rsid w:val="36475152"/>
    <w:rsid w:val="365674EF"/>
    <w:rsid w:val="366E5884"/>
    <w:rsid w:val="367134DE"/>
    <w:rsid w:val="367729D2"/>
    <w:rsid w:val="36787E34"/>
    <w:rsid w:val="3692435D"/>
    <w:rsid w:val="36D16DB7"/>
    <w:rsid w:val="36F35ECC"/>
    <w:rsid w:val="36FC06E4"/>
    <w:rsid w:val="370B0055"/>
    <w:rsid w:val="373B5B82"/>
    <w:rsid w:val="374976F8"/>
    <w:rsid w:val="37533A9C"/>
    <w:rsid w:val="37821544"/>
    <w:rsid w:val="3787676D"/>
    <w:rsid w:val="37953793"/>
    <w:rsid w:val="37977E1F"/>
    <w:rsid w:val="37A53093"/>
    <w:rsid w:val="37B24FD4"/>
    <w:rsid w:val="37E702EC"/>
    <w:rsid w:val="3821593A"/>
    <w:rsid w:val="38727414"/>
    <w:rsid w:val="38A87E0A"/>
    <w:rsid w:val="38AF4648"/>
    <w:rsid w:val="38B3392D"/>
    <w:rsid w:val="38B37C06"/>
    <w:rsid w:val="38BB5D8F"/>
    <w:rsid w:val="38CF5396"/>
    <w:rsid w:val="38E50A97"/>
    <w:rsid w:val="391E370A"/>
    <w:rsid w:val="392F5095"/>
    <w:rsid w:val="393C7ED6"/>
    <w:rsid w:val="39465433"/>
    <w:rsid w:val="39581B4E"/>
    <w:rsid w:val="395B6912"/>
    <w:rsid w:val="396271DB"/>
    <w:rsid w:val="39A56F77"/>
    <w:rsid w:val="39BE4A11"/>
    <w:rsid w:val="3A27520A"/>
    <w:rsid w:val="3A3F6C87"/>
    <w:rsid w:val="3A40527C"/>
    <w:rsid w:val="3A465FD4"/>
    <w:rsid w:val="3A8A77C7"/>
    <w:rsid w:val="3A956A72"/>
    <w:rsid w:val="3AD70862"/>
    <w:rsid w:val="3AE76311"/>
    <w:rsid w:val="3AF4740A"/>
    <w:rsid w:val="3B1109C9"/>
    <w:rsid w:val="3B2552D7"/>
    <w:rsid w:val="3B3F7D03"/>
    <w:rsid w:val="3B714455"/>
    <w:rsid w:val="3B844B5E"/>
    <w:rsid w:val="3B970D6B"/>
    <w:rsid w:val="3BDD7DCA"/>
    <w:rsid w:val="3BE51125"/>
    <w:rsid w:val="3BE90506"/>
    <w:rsid w:val="3BEB6832"/>
    <w:rsid w:val="3BF178CC"/>
    <w:rsid w:val="3BFA2E9E"/>
    <w:rsid w:val="3C40766B"/>
    <w:rsid w:val="3C476B61"/>
    <w:rsid w:val="3C583A62"/>
    <w:rsid w:val="3C813EBD"/>
    <w:rsid w:val="3C92223A"/>
    <w:rsid w:val="3C925C0E"/>
    <w:rsid w:val="3CA24375"/>
    <w:rsid w:val="3CB702EA"/>
    <w:rsid w:val="3CBD35C8"/>
    <w:rsid w:val="3CC24029"/>
    <w:rsid w:val="3CCF0F73"/>
    <w:rsid w:val="3CE437F4"/>
    <w:rsid w:val="3D386985"/>
    <w:rsid w:val="3D3906B1"/>
    <w:rsid w:val="3D584E9B"/>
    <w:rsid w:val="3D880E45"/>
    <w:rsid w:val="3D9C69C1"/>
    <w:rsid w:val="3DA0424A"/>
    <w:rsid w:val="3DA419D7"/>
    <w:rsid w:val="3DDA6370"/>
    <w:rsid w:val="3DDD2C1B"/>
    <w:rsid w:val="3DFF5060"/>
    <w:rsid w:val="3E136870"/>
    <w:rsid w:val="3E5D5F3B"/>
    <w:rsid w:val="3E615282"/>
    <w:rsid w:val="3E8429B9"/>
    <w:rsid w:val="3E886F46"/>
    <w:rsid w:val="3EBE7D18"/>
    <w:rsid w:val="3ECC547A"/>
    <w:rsid w:val="3EE01AD6"/>
    <w:rsid w:val="3F1A1718"/>
    <w:rsid w:val="3F2A2A20"/>
    <w:rsid w:val="3F4E5041"/>
    <w:rsid w:val="3F506818"/>
    <w:rsid w:val="3FE36C1C"/>
    <w:rsid w:val="3FEB19D5"/>
    <w:rsid w:val="3FF15ABF"/>
    <w:rsid w:val="40340044"/>
    <w:rsid w:val="404E6731"/>
    <w:rsid w:val="40661E5E"/>
    <w:rsid w:val="406E45AD"/>
    <w:rsid w:val="407C0CAD"/>
    <w:rsid w:val="40924D64"/>
    <w:rsid w:val="40963A57"/>
    <w:rsid w:val="40B652F6"/>
    <w:rsid w:val="40D16C5D"/>
    <w:rsid w:val="40E64CE1"/>
    <w:rsid w:val="4105404B"/>
    <w:rsid w:val="410A3110"/>
    <w:rsid w:val="41310CA2"/>
    <w:rsid w:val="417E2272"/>
    <w:rsid w:val="41893506"/>
    <w:rsid w:val="419915A4"/>
    <w:rsid w:val="41A82FD1"/>
    <w:rsid w:val="41C35995"/>
    <w:rsid w:val="41CF7D38"/>
    <w:rsid w:val="41FC4A89"/>
    <w:rsid w:val="41FD742F"/>
    <w:rsid w:val="420F1D94"/>
    <w:rsid w:val="422C362E"/>
    <w:rsid w:val="423E5ED2"/>
    <w:rsid w:val="424441F1"/>
    <w:rsid w:val="425E0F00"/>
    <w:rsid w:val="426D5149"/>
    <w:rsid w:val="4277631F"/>
    <w:rsid w:val="427E3E3A"/>
    <w:rsid w:val="428471F1"/>
    <w:rsid w:val="428917B7"/>
    <w:rsid w:val="42B9333F"/>
    <w:rsid w:val="42B93A3B"/>
    <w:rsid w:val="42D50618"/>
    <w:rsid w:val="42F1595A"/>
    <w:rsid w:val="42F45676"/>
    <w:rsid w:val="430B7DA4"/>
    <w:rsid w:val="430D4AC0"/>
    <w:rsid w:val="43121ED0"/>
    <w:rsid w:val="431E047F"/>
    <w:rsid w:val="431E65EF"/>
    <w:rsid w:val="43416FE9"/>
    <w:rsid w:val="435A4BBF"/>
    <w:rsid w:val="436A6565"/>
    <w:rsid w:val="437A019F"/>
    <w:rsid w:val="43891F34"/>
    <w:rsid w:val="43B21221"/>
    <w:rsid w:val="43C63987"/>
    <w:rsid w:val="43D97719"/>
    <w:rsid w:val="43FB7AE7"/>
    <w:rsid w:val="4400649E"/>
    <w:rsid w:val="441426C6"/>
    <w:rsid w:val="441466E5"/>
    <w:rsid w:val="441E3A5B"/>
    <w:rsid w:val="4421734C"/>
    <w:rsid w:val="443F1622"/>
    <w:rsid w:val="44437D45"/>
    <w:rsid w:val="44460A9F"/>
    <w:rsid w:val="447137A5"/>
    <w:rsid w:val="4478624B"/>
    <w:rsid w:val="4493367B"/>
    <w:rsid w:val="44A72843"/>
    <w:rsid w:val="44AB74B4"/>
    <w:rsid w:val="44B2771E"/>
    <w:rsid w:val="44B8368E"/>
    <w:rsid w:val="452905F3"/>
    <w:rsid w:val="4531085A"/>
    <w:rsid w:val="456A35B3"/>
    <w:rsid w:val="459E711B"/>
    <w:rsid w:val="45A45439"/>
    <w:rsid w:val="45B4675B"/>
    <w:rsid w:val="45CA7348"/>
    <w:rsid w:val="45CB72CE"/>
    <w:rsid w:val="461F4864"/>
    <w:rsid w:val="462B6DAB"/>
    <w:rsid w:val="46977D08"/>
    <w:rsid w:val="469B5592"/>
    <w:rsid w:val="46A5400A"/>
    <w:rsid w:val="46A75BA4"/>
    <w:rsid w:val="46C67C71"/>
    <w:rsid w:val="46DB6342"/>
    <w:rsid w:val="46F207EA"/>
    <w:rsid w:val="46F40267"/>
    <w:rsid w:val="46F87058"/>
    <w:rsid w:val="47283388"/>
    <w:rsid w:val="4750618B"/>
    <w:rsid w:val="477A20CD"/>
    <w:rsid w:val="47C35102"/>
    <w:rsid w:val="47C90408"/>
    <w:rsid w:val="47CA3491"/>
    <w:rsid w:val="47DE0285"/>
    <w:rsid w:val="47EA0372"/>
    <w:rsid w:val="47F77566"/>
    <w:rsid w:val="48131737"/>
    <w:rsid w:val="481C1F20"/>
    <w:rsid w:val="482932B2"/>
    <w:rsid w:val="48353471"/>
    <w:rsid w:val="48452D6C"/>
    <w:rsid w:val="48490177"/>
    <w:rsid w:val="48547396"/>
    <w:rsid w:val="48734131"/>
    <w:rsid w:val="487B1A21"/>
    <w:rsid w:val="48801F0A"/>
    <w:rsid w:val="489C4879"/>
    <w:rsid w:val="489C7EA5"/>
    <w:rsid w:val="49155047"/>
    <w:rsid w:val="49276E58"/>
    <w:rsid w:val="494B4338"/>
    <w:rsid w:val="497C5511"/>
    <w:rsid w:val="49A779DD"/>
    <w:rsid w:val="49B65DC9"/>
    <w:rsid w:val="4A131AB1"/>
    <w:rsid w:val="4A200F8B"/>
    <w:rsid w:val="4A34760C"/>
    <w:rsid w:val="4A64259A"/>
    <w:rsid w:val="4A8E50B1"/>
    <w:rsid w:val="4AA246B9"/>
    <w:rsid w:val="4AA4128B"/>
    <w:rsid w:val="4AA658AC"/>
    <w:rsid w:val="4AAA7028"/>
    <w:rsid w:val="4AD50D4A"/>
    <w:rsid w:val="4ADC75C4"/>
    <w:rsid w:val="4B2977E3"/>
    <w:rsid w:val="4B3A3263"/>
    <w:rsid w:val="4B404F96"/>
    <w:rsid w:val="4B4D6D80"/>
    <w:rsid w:val="4B5F395F"/>
    <w:rsid w:val="4BB73A13"/>
    <w:rsid w:val="4BE22955"/>
    <w:rsid w:val="4C491FB6"/>
    <w:rsid w:val="4C60411D"/>
    <w:rsid w:val="4C777E74"/>
    <w:rsid w:val="4C8E383F"/>
    <w:rsid w:val="4C9743B6"/>
    <w:rsid w:val="4CA56DBD"/>
    <w:rsid w:val="4CCD70EB"/>
    <w:rsid w:val="4CD15334"/>
    <w:rsid w:val="4CDC2AC2"/>
    <w:rsid w:val="4CDE204D"/>
    <w:rsid w:val="4CEF194A"/>
    <w:rsid w:val="4D123D13"/>
    <w:rsid w:val="4D275349"/>
    <w:rsid w:val="4D4473CA"/>
    <w:rsid w:val="4D594184"/>
    <w:rsid w:val="4D670A85"/>
    <w:rsid w:val="4D80617B"/>
    <w:rsid w:val="4D806473"/>
    <w:rsid w:val="4DB87F6B"/>
    <w:rsid w:val="4DC608A6"/>
    <w:rsid w:val="4DEC516B"/>
    <w:rsid w:val="4DF85FC0"/>
    <w:rsid w:val="4E1074C8"/>
    <w:rsid w:val="4E2B1D2E"/>
    <w:rsid w:val="4E527CB0"/>
    <w:rsid w:val="4E6F1EF6"/>
    <w:rsid w:val="4E7B029B"/>
    <w:rsid w:val="4E9C2A45"/>
    <w:rsid w:val="4ECB07EA"/>
    <w:rsid w:val="4EDA18B9"/>
    <w:rsid w:val="4F216F20"/>
    <w:rsid w:val="4F486B2E"/>
    <w:rsid w:val="4F573543"/>
    <w:rsid w:val="4F6366D6"/>
    <w:rsid w:val="4F6D467A"/>
    <w:rsid w:val="4F6F04ED"/>
    <w:rsid w:val="4F764366"/>
    <w:rsid w:val="4FA710E2"/>
    <w:rsid w:val="4FED507D"/>
    <w:rsid w:val="4FFB62E9"/>
    <w:rsid w:val="501C4E89"/>
    <w:rsid w:val="502B325D"/>
    <w:rsid w:val="50447FC0"/>
    <w:rsid w:val="505D795E"/>
    <w:rsid w:val="50630959"/>
    <w:rsid w:val="508060C6"/>
    <w:rsid w:val="50D37CC2"/>
    <w:rsid w:val="50DD3BA3"/>
    <w:rsid w:val="50E61CAB"/>
    <w:rsid w:val="50E8074E"/>
    <w:rsid w:val="5132754D"/>
    <w:rsid w:val="513564CC"/>
    <w:rsid w:val="514E3A09"/>
    <w:rsid w:val="517C3AF1"/>
    <w:rsid w:val="51915B3D"/>
    <w:rsid w:val="519F5121"/>
    <w:rsid w:val="521D6D1B"/>
    <w:rsid w:val="5229273F"/>
    <w:rsid w:val="52547228"/>
    <w:rsid w:val="529432E6"/>
    <w:rsid w:val="52A8026E"/>
    <w:rsid w:val="52C56B9D"/>
    <w:rsid w:val="52EC7710"/>
    <w:rsid w:val="52F24D5C"/>
    <w:rsid w:val="532C197B"/>
    <w:rsid w:val="534C6115"/>
    <w:rsid w:val="53526154"/>
    <w:rsid w:val="53561F88"/>
    <w:rsid w:val="536B5C40"/>
    <w:rsid w:val="53890B0C"/>
    <w:rsid w:val="53A41C0C"/>
    <w:rsid w:val="53BC34C4"/>
    <w:rsid w:val="53CE29B7"/>
    <w:rsid w:val="53E93F16"/>
    <w:rsid w:val="53F04BF7"/>
    <w:rsid w:val="53F0606D"/>
    <w:rsid w:val="540337E7"/>
    <w:rsid w:val="54142032"/>
    <w:rsid w:val="54143B82"/>
    <w:rsid w:val="54451376"/>
    <w:rsid w:val="5445275B"/>
    <w:rsid w:val="54680986"/>
    <w:rsid w:val="54776BE8"/>
    <w:rsid w:val="547B2C44"/>
    <w:rsid w:val="547F7066"/>
    <w:rsid w:val="548C0083"/>
    <w:rsid w:val="54AB5420"/>
    <w:rsid w:val="54AE7C72"/>
    <w:rsid w:val="54B01CF9"/>
    <w:rsid w:val="54BC10AE"/>
    <w:rsid w:val="54DE257B"/>
    <w:rsid w:val="54F82DE2"/>
    <w:rsid w:val="55091415"/>
    <w:rsid w:val="55124B31"/>
    <w:rsid w:val="5533415E"/>
    <w:rsid w:val="553D5A1E"/>
    <w:rsid w:val="555B4C1C"/>
    <w:rsid w:val="55665E4B"/>
    <w:rsid w:val="557564F8"/>
    <w:rsid w:val="557C6AE7"/>
    <w:rsid w:val="55A0704C"/>
    <w:rsid w:val="55A923B9"/>
    <w:rsid w:val="55D37E92"/>
    <w:rsid w:val="55D41DE6"/>
    <w:rsid w:val="55D70990"/>
    <w:rsid w:val="55DD38ED"/>
    <w:rsid w:val="55E72D6A"/>
    <w:rsid w:val="561641AD"/>
    <w:rsid w:val="561A3EA2"/>
    <w:rsid w:val="56231E5E"/>
    <w:rsid w:val="56262642"/>
    <w:rsid w:val="562B6E6C"/>
    <w:rsid w:val="56434C8D"/>
    <w:rsid w:val="564A6C49"/>
    <w:rsid w:val="56723AD9"/>
    <w:rsid w:val="568A68D9"/>
    <w:rsid w:val="56A438D4"/>
    <w:rsid w:val="56BA5C7F"/>
    <w:rsid w:val="56BD3534"/>
    <w:rsid w:val="56D50ABF"/>
    <w:rsid w:val="56EA1F97"/>
    <w:rsid w:val="570F0FFB"/>
    <w:rsid w:val="572648C3"/>
    <w:rsid w:val="574E065D"/>
    <w:rsid w:val="575B7C13"/>
    <w:rsid w:val="576E7E03"/>
    <w:rsid w:val="576F3950"/>
    <w:rsid w:val="578A5B09"/>
    <w:rsid w:val="579B0E0D"/>
    <w:rsid w:val="57AA49F3"/>
    <w:rsid w:val="57AA5D1A"/>
    <w:rsid w:val="57BE32DB"/>
    <w:rsid w:val="57D631F8"/>
    <w:rsid w:val="58082218"/>
    <w:rsid w:val="581028EA"/>
    <w:rsid w:val="582901C7"/>
    <w:rsid w:val="58344161"/>
    <w:rsid w:val="585D0DF7"/>
    <w:rsid w:val="587316C8"/>
    <w:rsid w:val="58AD641D"/>
    <w:rsid w:val="58B420E4"/>
    <w:rsid w:val="58F92391"/>
    <w:rsid w:val="59135C67"/>
    <w:rsid w:val="593908DE"/>
    <w:rsid w:val="593C1329"/>
    <w:rsid w:val="595A34E9"/>
    <w:rsid w:val="595B7937"/>
    <w:rsid w:val="597C7365"/>
    <w:rsid w:val="597F7369"/>
    <w:rsid w:val="59997155"/>
    <w:rsid w:val="59A2414B"/>
    <w:rsid w:val="59FE08FA"/>
    <w:rsid w:val="5A060D86"/>
    <w:rsid w:val="5A886394"/>
    <w:rsid w:val="5A9C607C"/>
    <w:rsid w:val="5A9F6060"/>
    <w:rsid w:val="5ACF7403"/>
    <w:rsid w:val="5B0F4E22"/>
    <w:rsid w:val="5B157129"/>
    <w:rsid w:val="5B46719F"/>
    <w:rsid w:val="5B5437AD"/>
    <w:rsid w:val="5B737DCF"/>
    <w:rsid w:val="5BA42A14"/>
    <w:rsid w:val="5BB47CCC"/>
    <w:rsid w:val="5BB97AB4"/>
    <w:rsid w:val="5BD05B9D"/>
    <w:rsid w:val="5BD343E6"/>
    <w:rsid w:val="5BD77F69"/>
    <w:rsid w:val="5BE00F61"/>
    <w:rsid w:val="5BFB5206"/>
    <w:rsid w:val="5CB61872"/>
    <w:rsid w:val="5CB65A64"/>
    <w:rsid w:val="5CD26BB3"/>
    <w:rsid w:val="5CEB063E"/>
    <w:rsid w:val="5CF7080A"/>
    <w:rsid w:val="5D0B0214"/>
    <w:rsid w:val="5D1A0A42"/>
    <w:rsid w:val="5D43384D"/>
    <w:rsid w:val="5D4F1710"/>
    <w:rsid w:val="5D704C15"/>
    <w:rsid w:val="5D71045F"/>
    <w:rsid w:val="5D740167"/>
    <w:rsid w:val="5D7B7702"/>
    <w:rsid w:val="5D9C143B"/>
    <w:rsid w:val="5DA55EAC"/>
    <w:rsid w:val="5DAC626B"/>
    <w:rsid w:val="5DB778E4"/>
    <w:rsid w:val="5DC133FE"/>
    <w:rsid w:val="5E146811"/>
    <w:rsid w:val="5E3F1622"/>
    <w:rsid w:val="5E3F1ED0"/>
    <w:rsid w:val="5E4A015A"/>
    <w:rsid w:val="5E4E1E2F"/>
    <w:rsid w:val="5E7E280E"/>
    <w:rsid w:val="5EA343F9"/>
    <w:rsid w:val="5EE34D8A"/>
    <w:rsid w:val="5F164D5E"/>
    <w:rsid w:val="5F27742B"/>
    <w:rsid w:val="5F2D2E3D"/>
    <w:rsid w:val="5F511649"/>
    <w:rsid w:val="5F741C71"/>
    <w:rsid w:val="5F884475"/>
    <w:rsid w:val="5F940261"/>
    <w:rsid w:val="5FAC17B4"/>
    <w:rsid w:val="5FBE713C"/>
    <w:rsid w:val="5FDA399F"/>
    <w:rsid w:val="5FFA79ED"/>
    <w:rsid w:val="60350249"/>
    <w:rsid w:val="603D79F1"/>
    <w:rsid w:val="606D0EF6"/>
    <w:rsid w:val="60806A99"/>
    <w:rsid w:val="60980A56"/>
    <w:rsid w:val="60B442A8"/>
    <w:rsid w:val="60FD7810"/>
    <w:rsid w:val="61013040"/>
    <w:rsid w:val="61075284"/>
    <w:rsid w:val="610E310A"/>
    <w:rsid w:val="611C35B8"/>
    <w:rsid w:val="611D1C0E"/>
    <w:rsid w:val="614D09BF"/>
    <w:rsid w:val="61966833"/>
    <w:rsid w:val="61A25580"/>
    <w:rsid w:val="61AE7556"/>
    <w:rsid w:val="61C55F7F"/>
    <w:rsid w:val="61CA3612"/>
    <w:rsid w:val="61D41854"/>
    <w:rsid w:val="61F46458"/>
    <w:rsid w:val="6217502E"/>
    <w:rsid w:val="62282B27"/>
    <w:rsid w:val="623E360E"/>
    <w:rsid w:val="625A6442"/>
    <w:rsid w:val="629628FD"/>
    <w:rsid w:val="62C31135"/>
    <w:rsid w:val="62C76106"/>
    <w:rsid w:val="62CC474C"/>
    <w:rsid w:val="62FF72FE"/>
    <w:rsid w:val="63491372"/>
    <w:rsid w:val="637B0B27"/>
    <w:rsid w:val="63874046"/>
    <w:rsid w:val="638B4892"/>
    <w:rsid w:val="638B7F88"/>
    <w:rsid w:val="639A766B"/>
    <w:rsid w:val="63A61BF3"/>
    <w:rsid w:val="63BB45AD"/>
    <w:rsid w:val="63C73E6D"/>
    <w:rsid w:val="63DD4529"/>
    <w:rsid w:val="63FC0611"/>
    <w:rsid w:val="64010633"/>
    <w:rsid w:val="641222ED"/>
    <w:rsid w:val="642B5582"/>
    <w:rsid w:val="644878A5"/>
    <w:rsid w:val="64516BFF"/>
    <w:rsid w:val="64643953"/>
    <w:rsid w:val="64963CFA"/>
    <w:rsid w:val="649A62D1"/>
    <w:rsid w:val="64B31A3E"/>
    <w:rsid w:val="64BB7086"/>
    <w:rsid w:val="64C036C0"/>
    <w:rsid w:val="64DF720B"/>
    <w:rsid w:val="64FB2F8F"/>
    <w:rsid w:val="6502750F"/>
    <w:rsid w:val="652A37D1"/>
    <w:rsid w:val="65532D27"/>
    <w:rsid w:val="655769D7"/>
    <w:rsid w:val="658C66C4"/>
    <w:rsid w:val="65B76CC0"/>
    <w:rsid w:val="65C86337"/>
    <w:rsid w:val="65DC6542"/>
    <w:rsid w:val="65FE3124"/>
    <w:rsid w:val="66407375"/>
    <w:rsid w:val="66475BEE"/>
    <w:rsid w:val="66921396"/>
    <w:rsid w:val="669A00A1"/>
    <w:rsid w:val="669A0A1D"/>
    <w:rsid w:val="66C77EC3"/>
    <w:rsid w:val="66CD32EE"/>
    <w:rsid w:val="66EF31C1"/>
    <w:rsid w:val="67286643"/>
    <w:rsid w:val="67340A1D"/>
    <w:rsid w:val="67415D12"/>
    <w:rsid w:val="674F0663"/>
    <w:rsid w:val="67645CC5"/>
    <w:rsid w:val="679D0438"/>
    <w:rsid w:val="679F14A6"/>
    <w:rsid w:val="67A7594A"/>
    <w:rsid w:val="67DA14DE"/>
    <w:rsid w:val="67F71CAA"/>
    <w:rsid w:val="6833136E"/>
    <w:rsid w:val="68374646"/>
    <w:rsid w:val="6851003F"/>
    <w:rsid w:val="68532F31"/>
    <w:rsid w:val="685D1197"/>
    <w:rsid w:val="685F2B0C"/>
    <w:rsid w:val="686A5890"/>
    <w:rsid w:val="686E4CA0"/>
    <w:rsid w:val="6870598D"/>
    <w:rsid w:val="68CD56D6"/>
    <w:rsid w:val="68CE0878"/>
    <w:rsid w:val="68DF3F07"/>
    <w:rsid w:val="68E14DD2"/>
    <w:rsid w:val="68FD040E"/>
    <w:rsid w:val="68FF17F8"/>
    <w:rsid w:val="69164798"/>
    <w:rsid w:val="691F6273"/>
    <w:rsid w:val="69316D4E"/>
    <w:rsid w:val="6938799E"/>
    <w:rsid w:val="697221B5"/>
    <w:rsid w:val="697A4875"/>
    <w:rsid w:val="69875626"/>
    <w:rsid w:val="699851AD"/>
    <w:rsid w:val="69A773FE"/>
    <w:rsid w:val="69AA4EE0"/>
    <w:rsid w:val="69AC4EE2"/>
    <w:rsid w:val="69B15060"/>
    <w:rsid w:val="69B72806"/>
    <w:rsid w:val="69BB4E8B"/>
    <w:rsid w:val="69C21FC2"/>
    <w:rsid w:val="69CB7528"/>
    <w:rsid w:val="69CC031D"/>
    <w:rsid w:val="69CC0832"/>
    <w:rsid w:val="69CC5602"/>
    <w:rsid w:val="69DE1C53"/>
    <w:rsid w:val="69DF0F70"/>
    <w:rsid w:val="69F431E5"/>
    <w:rsid w:val="69FB05D9"/>
    <w:rsid w:val="6A21429B"/>
    <w:rsid w:val="6A317FEC"/>
    <w:rsid w:val="6A395739"/>
    <w:rsid w:val="6A5D1615"/>
    <w:rsid w:val="6A667351"/>
    <w:rsid w:val="6A690452"/>
    <w:rsid w:val="6AC86B5F"/>
    <w:rsid w:val="6AD5470C"/>
    <w:rsid w:val="6AF1512E"/>
    <w:rsid w:val="6B047BC0"/>
    <w:rsid w:val="6B372870"/>
    <w:rsid w:val="6B401962"/>
    <w:rsid w:val="6B4C78DC"/>
    <w:rsid w:val="6B6D4BD4"/>
    <w:rsid w:val="6B736C65"/>
    <w:rsid w:val="6B884223"/>
    <w:rsid w:val="6BAB5034"/>
    <w:rsid w:val="6BCC6A33"/>
    <w:rsid w:val="6BE94680"/>
    <w:rsid w:val="6C1648A2"/>
    <w:rsid w:val="6C2B5B56"/>
    <w:rsid w:val="6C405A24"/>
    <w:rsid w:val="6C4C1DDE"/>
    <w:rsid w:val="6C733663"/>
    <w:rsid w:val="6C7360A2"/>
    <w:rsid w:val="6C98271E"/>
    <w:rsid w:val="6CB357D4"/>
    <w:rsid w:val="6CD6095A"/>
    <w:rsid w:val="6CED0DFC"/>
    <w:rsid w:val="6D051B05"/>
    <w:rsid w:val="6D09664F"/>
    <w:rsid w:val="6D1A3ED2"/>
    <w:rsid w:val="6D1C5D45"/>
    <w:rsid w:val="6D2052F1"/>
    <w:rsid w:val="6D2A1AE4"/>
    <w:rsid w:val="6D2C0363"/>
    <w:rsid w:val="6D420584"/>
    <w:rsid w:val="6D4556BC"/>
    <w:rsid w:val="6D4C69DA"/>
    <w:rsid w:val="6D7C6B86"/>
    <w:rsid w:val="6D886D51"/>
    <w:rsid w:val="6D98425A"/>
    <w:rsid w:val="6D9C4CB2"/>
    <w:rsid w:val="6DAC52D8"/>
    <w:rsid w:val="6DCC4C0D"/>
    <w:rsid w:val="6DE52F24"/>
    <w:rsid w:val="6E096679"/>
    <w:rsid w:val="6E0D5193"/>
    <w:rsid w:val="6E2B38B7"/>
    <w:rsid w:val="6E42100A"/>
    <w:rsid w:val="6E4341AC"/>
    <w:rsid w:val="6E647424"/>
    <w:rsid w:val="6E9D5BDB"/>
    <w:rsid w:val="6ED668E5"/>
    <w:rsid w:val="6F436F8F"/>
    <w:rsid w:val="6F4D5562"/>
    <w:rsid w:val="6F5B73A8"/>
    <w:rsid w:val="6F663712"/>
    <w:rsid w:val="6F69285A"/>
    <w:rsid w:val="6F6D69E8"/>
    <w:rsid w:val="6F7874E2"/>
    <w:rsid w:val="6F8B29B5"/>
    <w:rsid w:val="6F9B0752"/>
    <w:rsid w:val="6FB42615"/>
    <w:rsid w:val="6FD156E3"/>
    <w:rsid w:val="6FED75FB"/>
    <w:rsid w:val="6FFA27F6"/>
    <w:rsid w:val="70041560"/>
    <w:rsid w:val="703467FC"/>
    <w:rsid w:val="7040732E"/>
    <w:rsid w:val="707123D3"/>
    <w:rsid w:val="7086364B"/>
    <w:rsid w:val="70A42103"/>
    <w:rsid w:val="70D6110F"/>
    <w:rsid w:val="70FA2DBF"/>
    <w:rsid w:val="710B27AB"/>
    <w:rsid w:val="712C6F85"/>
    <w:rsid w:val="712F2C7A"/>
    <w:rsid w:val="71320E55"/>
    <w:rsid w:val="71321C7C"/>
    <w:rsid w:val="71340B64"/>
    <w:rsid w:val="713C30E4"/>
    <w:rsid w:val="714D7437"/>
    <w:rsid w:val="71546F0E"/>
    <w:rsid w:val="7170146E"/>
    <w:rsid w:val="717268C8"/>
    <w:rsid w:val="71802D0E"/>
    <w:rsid w:val="71895CF5"/>
    <w:rsid w:val="718F5890"/>
    <w:rsid w:val="719323BF"/>
    <w:rsid w:val="71BF5087"/>
    <w:rsid w:val="71C23C59"/>
    <w:rsid w:val="71C57971"/>
    <w:rsid w:val="71EC11CD"/>
    <w:rsid w:val="720506A4"/>
    <w:rsid w:val="72143E26"/>
    <w:rsid w:val="722B6EAC"/>
    <w:rsid w:val="7235573F"/>
    <w:rsid w:val="723629FF"/>
    <w:rsid w:val="726C56B8"/>
    <w:rsid w:val="7288771C"/>
    <w:rsid w:val="728D4961"/>
    <w:rsid w:val="72911F34"/>
    <w:rsid w:val="729660C5"/>
    <w:rsid w:val="729D380E"/>
    <w:rsid w:val="72A458E1"/>
    <w:rsid w:val="72CD1565"/>
    <w:rsid w:val="72CE592F"/>
    <w:rsid w:val="72F5541E"/>
    <w:rsid w:val="72F838AA"/>
    <w:rsid w:val="73134385"/>
    <w:rsid w:val="731726EC"/>
    <w:rsid w:val="73197AE0"/>
    <w:rsid w:val="73217FC1"/>
    <w:rsid w:val="73221860"/>
    <w:rsid w:val="7338174B"/>
    <w:rsid w:val="733A4EF6"/>
    <w:rsid w:val="733D0234"/>
    <w:rsid w:val="733E33D3"/>
    <w:rsid w:val="733F0360"/>
    <w:rsid w:val="736519E7"/>
    <w:rsid w:val="73773239"/>
    <w:rsid w:val="7381241B"/>
    <w:rsid w:val="73835DC4"/>
    <w:rsid w:val="73C6500C"/>
    <w:rsid w:val="73C761B5"/>
    <w:rsid w:val="73C97C37"/>
    <w:rsid w:val="73D872D7"/>
    <w:rsid w:val="73EB05CF"/>
    <w:rsid w:val="73F956D4"/>
    <w:rsid w:val="73F97190"/>
    <w:rsid w:val="73FA14E3"/>
    <w:rsid w:val="740A7F35"/>
    <w:rsid w:val="742D4CA1"/>
    <w:rsid w:val="74336AF3"/>
    <w:rsid w:val="74613585"/>
    <w:rsid w:val="746C5BB4"/>
    <w:rsid w:val="747D3462"/>
    <w:rsid w:val="74812030"/>
    <w:rsid w:val="74886161"/>
    <w:rsid w:val="74923E43"/>
    <w:rsid w:val="74A039B1"/>
    <w:rsid w:val="74E66F49"/>
    <w:rsid w:val="74EB245C"/>
    <w:rsid w:val="753C15BB"/>
    <w:rsid w:val="75585493"/>
    <w:rsid w:val="755E6626"/>
    <w:rsid w:val="75841DF5"/>
    <w:rsid w:val="758A071C"/>
    <w:rsid w:val="758C4CA2"/>
    <w:rsid w:val="75C45800"/>
    <w:rsid w:val="75C45F78"/>
    <w:rsid w:val="75D40046"/>
    <w:rsid w:val="75D96E3B"/>
    <w:rsid w:val="762F29E5"/>
    <w:rsid w:val="764374F1"/>
    <w:rsid w:val="768C0572"/>
    <w:rsid w:val="76944E76"/>
    <w:rsid w:val="769A26CA"/>
    <w:rsid w:val="769E07AD"/>
    <w:rsid w:val="76AB3C70"/>
    <w:rsid w:val="76C34928"/>
    <w:rsid w:val="76D161A2"/>
    <w:rsid w:val="76D17FE1"/>
    <w:rsid w:val="76DF15B8"/>
    <w:rsid w:val="76FB601C"/>
    <w:rsid w:val="7708778F"/>
    <w:rsid w:val="770B7BD2"/>
    <w:rsid w:val="770D2279"/>
    <w:rsid w:val="778364BE"/>
    <w:rsid w:val="7799548D"/>
    <w:rsid w:val="779E65C5"/>
    <w:rsid w:val="77B77D93"/>
    <w:rsid w:val="77ED1FBE"/>
    <w:rsid w:val="78023A5D"/>
    <w:rsid w:val="787764A6"/>
    <w:rsid w:val="78867CFB"/>
    <w:rsid w:val="78AE1EE3"/>
    <w:rsid w:val="78CE32F1"/>
    <w:rsid w:val="78CE3C30"/>
    <w:rsid w:val="78D06FA5"/>
    <w:rsid w:val="78F044C0"/>
    <w:rsid w:val="793D3D59"/>
    <w:rsid w:val="795F47C4"/>
    <w:rsid w:val="795F4B87"/>
    <w:rsid w:val="7964594B"/>
    <w:rsid w:val="799447B2"/>
    <w:rsid w:val="79993DEC"/>
    <w:rsid w:val="79CD1CC3"/>
    <w:rsid w:val="79D33A4B"/>
    <w:rsid w:val="79E02F00"/>
    <w:rsid w:val="79EA1578"/>
    <w:rsid w:val="79F9227E"/>
    <w:rsid w:val="7A03141B"/>
    <w:rsid w:val="7A2F68CB"/>
    <w:rsid w:val="7A532F6D"/>
    <w:rsid w:val="7A9E603E"/>
    <w:rsid w:val="7AA163B3"/>
    <w:rsid w:val="7AB01F3D"/>
    <w:rsid w:val="7ACE4950"/>
    <w:rsid w:val="7ADB04CF"/>
    <w:rsid w:val="7ADD1DF2"/>
    <w:rsid w:val="7AFE0D18"/>
    <w:rsid w:val="7B2A08CC"/>
    <w:rsid w:val="7B367CFC"/>
    <w:rsid w:val="7B4B5341"/>
    <w:rsid w:val="7B5B1A0B"/>
    <w:rsid w:val="7B70050C"/>
    <w:rsid w:val="7B856E03"/>
    <w:rsid w:val="7BB31608"/>
    <w:rsid w:val="7BD95DD9"/>
    <w:rsid w:val="7BE50BC8"/>
    <w:rsid w:val="7BF9716D"/>
    <w:rsid w:val="7C077508"/>
    <w:rsid w:val="7C1F4334"/>
    <w:rsid w:val="7C42078B"/>
    <w:rsid w:val="7C5713BA"/>
    <w:rsid w:val="7C695398"/>
    <w:rsid w:val="7C6D08A0"/>
    <w:rsid w:val="7C6D2C5C"/>
    <w:rsid w:val="7C867073"/>
    <w:rsid w:val="7C8D2D58"/>
    <w:rsid w:val="7CA503F5"/>
    <w:rsid w:val="7CB302CB"/>
    <w:rsid w:val="7CBB4389"/>
    <w:rsid w:val="7CCA1F6A"/>
    <w:rsid w:val="7CD349F7"/>
    <w:rsid w:val="7D1948FD"/>
    <w:rsid w:val="7D2C6F9F"/>
    <w:rsid w:val="7D543264"/>
    <w:rsid w:val="7D5B2CA1"/>
    <w:rsid w:val="7D6D7156"/>
    <w:rsid w:val="7D7115AD"/>
    <w:rsid w:val="7DAE4568"/>
    <w:rsid w:val="7DB3215D"/>
    <w:rsid w:val="7DC85A4E"/>
    <w:rsid w:val="7DF11E99"/>
    <w:rsid w:val="7DF550BA"/>
    <w:rsid w:val="7E531FFF"/>
    <w:rsid w:val="7E5E764B"/>
    <w:rsid w:val="7EA44BEF"/>
    <w:rsid w:val="7ECB55B8"/>
    <w:rsid w:val="7EE626A2"/>
    <w:rsid w:val="7EEC63E7"/>
    <w:rsid w:val="7EF54C4F"/>
    <w:rsid w:val="7EFB3937"/>
    <w:rsid w:val="7F020EC4"/>
    <w:rsid w:val="7F1E0F62"/>
    <w:rsid w:val="7F1F3426"/>
    <w:rsid w:val="7F381A2F"/>
    <w:rsid w:val="7F5957B0"/>
    <w:rsid w:val="7F6F2116"/>
    <w:rsid w:val="7F9846AE"/>
    <w:rsid w:val="7F9A7F46"/>
    <w:rsid w:val="7FAD0277"/>
    <w:rsid w:val="7FBD28C5"/>
    <w:rsid w:val="7FC16C32"/>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6"/>
    <w:semiHidden/>
    <w:unhideWhenUsed/>
    <w:qFormat/>
    <w:uiPriority w:val="0"/>
    <w:pPr>
      <w:keepNext/>
      <w:keepLines/>
      <w:tabs>
        <w:tab w:val="left" w:pos="8280"/>
      </w:tabs>
      <w:spacing w:before="260" w:after="260" w:line="416" w:lineRule="auto"/>
      <w:outlineLvl w:val="2"/>
    </w:pPr>
    <w:rPr>
      <w:bCs/>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6">
    <w:name w:val="Normal Indent"/>
    <w:basedOn w:val="1"/>
    <w:next w:val="1"/>
    <w:qFormat/>
    <w:uiPriority w:val="0"/>
    <w:pPr>
      <w:ind w:firstLine="420"/>
    </w:pPr>
    <w:rPr>
      <w:szCs w:val="20"/>
    </w:rPr>
  </w:style>
  <w:style w:type="paragraph" w:styleId="7">
    <w:name w:val="List Number"/>
    <w:basedOn w:val="1"/>
    <w:qFormat/>
    <w:uiPriority w:val="0"/>
    <w:pPr>
      <w:numPr>
        <w:ilvl w:val="0"/>
        <w:numId w:val="2"/>
      </w:numPr>
    </w:pPr>
  </w:style>
  <w:style w:type="paragraph" w:styleId="8">
    <w:name w:val="List Bullet"/>
    <w:basedOn w:val="1"/>
    <w:next w:val="1"/>
    <w:qFormat/>
    <w:uiPriority w:val="0"/>
    <w:pPr>
      <w:numPr>
        <w:ilvl w:val="0"/>
        <w:numId w:val="3"/>
      </w:numPr>
    </w:pPr>
  </w:style>
  <w:style w:type="paragraph" w:styleId="9">
    <w:name w:val="annotation text"/>
    <w:basedOn w:val="1"/>
    <w:link w:val="74"/>
    <w:qFormat/>
    <w:uiPriority w:val="0"/>
    <w:pPr>
      <w:jc w:val="left"/>
    </w:pPr>
  </w:style>
  <w:style w:type="paragraph" w:styleId="10">
    <w:name w:val="Body Text"/>
    <w:basedOn w:val="1"/>
    <w:next w:val="1"/>
    <w:qFormat/>
    <w:uiPriority w:val="0"/>
    <w:pPr>
      <w:spacing w:line="360" w:lineRule="exact"/>
    </w:pPr>
    <w:rPr>
      <w:sz w:val="24"/>
    </w:rPr>
  </w:style>
  <w:style w:type="paragraph" w:styleId="11">
    <w:name w:val="Body Text Indent"/>
    <w:basedOn w:val="1"/>
    <w:next w:val="1"/>
    <w:qFormat/>
    <w:uiPriority w:val="0"/>
    <w:pPr>
      <w:spacing w:after="120"/>
      <w:ind w:left="420" w:leftChars="200"/>
    </w:pPr>
  </w:style>
  <w:style w:type="paragraph" w:styleId="12">
    <w:name w:val="List Bullet 2"/>
    <w:basedOn w:val="1"/>
    <w:next w:val="8"/>
    <w:qFormat/>
    <w:uiPriority w:val="0"/>
    <w:pPr>
      <w:numPr>
        <w:ilvl w:val="0"/>
        <w:numId w:val="4"/>
      </w:numPr>
    </w:pPr>
  </w:style>
  <w:style w:type="paragraph" w:styleId="13">
    <w:name w:val="Plain Text"/>
    <w:basedOn w:val="1"/>
    <w:next w:val="14"/>
    <w:link w:val="66"/>
    <w:qFormat/>
    <w:uiPriority w:val="0"/>
    <w:rPr>
      <w:rFonts w:ascii="宋体" w:hAnsi="Courier New" w:cstheme="minorBidi"/>
    </w:rPr>
  </w:style>
  <w:style w:type="paragraph" w:styleId="14">
    <w:name w:val="Date"/>
    <w:basedOn w:val="1"/>
    <w:next w:val="1"/>
    <w:qFormat/>
    <w:uiPriority w:val="0"/>
    <w:pPr>
      <w:ind w:left="2500" w:leftChars="2500"/>
    </w:pPr>
    <w:rPr>
      <w:rFonts w:eastAsia="楷体_GB2312" w:asciiTheme="minorHAnsi" w:hAnsiTheme="minorHAnsi" w:cstheme="minorBidi"/>
      <w:sz w:val="32"/>
      <w:szCs w:val="22"/>
    </w:rPr>
  </w:style>
  <w:style w:type="paragraph" w:styleId="15">
    <w:name w:val="Balloon Text"/>
    <w:basedOn w:val="1"/>
    <w:link w:val="56"/>
    <w:qFormat/>
    <w:uiPriority w:val="0"/>
    <w:rPr>
      <w:sz w:val="18"/>
      <w:szCs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8">
    <w:name w:val="toc 6"/>
    <w:basedOn w:val="1"/>
    <w:next w:val="1"/>
    <w:unhideWhenUsed/>
    <w:qFormat/>
    <w:uiPriority w:val="39"/>
    <w:pPr>
      <w:ind w:left="2100" w:leftChars="1000"/>
    </w:pPr>
    <w:rPr>
      <w:rFonts w:ascii="Calibri" w:hAnsi="Calibri"/>
    </w:rPr>
  </w:style>
  <w:style w:type="paragraph" w:styleId="19">
    <w:name w:val="toc 2"/>
    <w:basedOn w:val="1"/>
    <w:next w:val="1"/>
    <w:qFormat/>
    <w:uiPriority w:val="39"/>
    <w:pPr>
      <w:ind w:left="420" w:leftChars="200"/>
    </w:pPr>
  </w:style>
  <w:style w:type="paragraph" w:styleId="20">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1">
    <w:name w:val="Title"/>
    <w:basedOn w:val="1"/>
    <w:next w:val="1"/>
    <w:qFormat/>
    <w:uiPriority w:val="0"/>
    <w:pPr>
      <w:spacing w:before="240" w:after="60"/>
      <w:jc w:val="center"/>
      <w:outlineLvl w:val="0"/>
    </w:pPr>
    <w:rPr>
      <w:rFonts w:ascii="Cambria" w:hAnsi="Cambria"/>
      <w:b/>
      <w:bCs/>
      <w:kern w:val="0"/>
      <w:sz w:val="32"/>
      <w:szCs w:val="32"/>
    </w:rPr>
  </w:style>
  <w:style w:type="paragraph" w:styleId="22">
    <w:name w:val="annotation subject"/>
    <w:basedOn w:val="9"/>
    <w:next w:val="9"/>
    <w:link w:val="75"/>
    <w:qFormat/>
    <w:uiPriority w:val="0"/>
    <w:rPr>
      <w:b/>
      <w:bCs/>
    </w:rPr>
  </w:style>
  <w:style w:type="paragraph" w:styleId="23">
    <w:name w:val="Body Text First Indent"/>
    <w:basedOn w:val="10"/>
    <w:next w:val="1"/>
    <w:link w:val="76"/>
    <w:qFormat/>
    <w:uiPriority w:val="0"/>
    <w:pPr>
      <w:ind w:firstLine="200" w:firstLineChars="200"/>
    </w:pPr>
  </w:style>
  <w:style w:type="paragraph" w:styleId="24">
    <w:name w:val="Body Text First Indent 2"/>
    <w:basedOn w:val="11"/>
    <w:next w:val="1"/>
    <w:qFormat/>
    <w:uiPriority w:val="0"/>
    <w:pPr>
      <w:ind w:firstLine="420"/>
    </w:pPr>
  </w:style>
  <w:style w:type="table" w:styleId="26">
    <w:name w:val="Table Grid"/>
    <w:basedOn w:val="25"/>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28">
    <w:name w:val="Hyperlink"/>
    <w:qFormat/>
    <w:uiPriority w:val="0"/>
    <w:rPr>
      <w:color w:val="0000FF"/>
      <w:u w:val="single"/>
    </w:rPr>
  </w:style>
  <w:style w:type="character" w:styleId="29">
    <w:name w:val="annotation reference"/>
    <w:basedOn w:val="27"/>
    <w:qFormat/>
    <w:uiPriority w:val="0"/>
    <w:rPr>
      <w:sz w:val="21"/>
      <w:szCs w:val="21"/>
    </w:rPr>
  </w:style>
  <w:style w:type="paragraph" w:customStyle="1" w:styleId="30">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31">
    <w:name w:val="4、正文"/>
    <w:basedOn w:val="1"/>
    <w:qFormat/>
    <w:uiPriority w:val="0"/>
    <w:pPr>
      <w:ind w:firstLine="200" w:firstLineChars="200"/>
    </w:pPr>
    <w:rPr>
      <w:rFonts w:ascii="宋体"/>
      <w:sz w:val="24"/>
      <w:szCs w:val="28"/>
    </w:rPr>
  </w:style>
  <w:style w:type="paragraph" w:customStyle="1" w:styleId="32">
    <w:name w:val="表格文字"/>
    <w:basedOn w:val="1"/>
    <w:next w:val="10"/>
    <w:qFormat/>
    <w:uiPriority w:val="0"/>
    <w:pPr>
      <w:jc w:val="left"/>
      <w:textAlignment w:val="top"/>
    </w:pPr>
    <w:rPr>
      <w:sz w:val="18"/>
    </w:rPr>
  </w:style>
  <w:style w:type="paragraph" w:customStyle="1" w:styleId="33">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4">
    <w:name w:val="List Paragraph"/>
    <w:basedOn w:val="1"/>
    <w:qFormat/>
    <w:uiPriority w:val="0"/>
    <w:pPr>
      <w:ind w:firstLine="420" w:firstLineChars="200"/>
    </w:pPr>
    <w:rPr>
      <w:rFonts w:ascii="Calibri" w:hAnsi="Calibri"/>
      <w:szCs w:val="22"/>
    </w:rPr>
  </w:style>
  <w:style w:type="paragraph" w:customStyle="1" w:styleId="35">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6">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4"/>
    <w:qFormat/>
    <w:uiPriority w:val="0"/>
    <w:rPr>
      <w:rFonts w:ascii="Times New Roman" w:hAnsi="Times New Roman" w:eastAsia="宋体" w:cs="Times New Roman"/>
      <w:sz w:val="21"/>
      <w:szCs w:val="22"/>
      <w:lang w:val="en-US" w:eastAsia="zh-CN" w:bidi="ar-SA"/>
    </w:rPr>
  </w:style>
  <w:style w:type="paragraph" w:customStyle="1" w:styleId="4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纯文本_3"/>
    <w:basedOn w:val="42"/>
    <w:qFormat/>
    <w:uiPriority w:val="0"/>
    <w:pPr>
      <w:widowControl/>
      <w:jc w:val="left"/>
    </w:pPr>
    <w:rPr>
      <w:rFonts w:ascii="宋体" w:hAnsi="Courier New" w:eastAsiaTheme="minorEastAsia" w:cstheme="minorBidi"/>
      <w:szCs w:val="21"/>
    </w:rPr>
  </w:style>
  <w:style w:type="paragraph" w:customStyle="1" w:styleId="44">
    <w:name w:val="纯文本_0_1"/>
    <w:basedOn w:val="1"/>
    <w:qFormat/>
    <w:uiPriority w:val="0"/>
    <w:pPr>
      <w:widowControl/>
      <w:jc w:val="left"/>
    </w:pPr>
    <w:rPr>
      <w:rFonts w:ascii="宋体" w:hAnsi="Courier New" w:eastAsiaTheme="minorEastAsia" w:cstheme="minorBidi"/>
      <w:szCs w:val="21"/>
    </w:rPr>
  </w:style>
  <w:style w:type="paragraph" w:customStyle="1" w:styleId="4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9">
    <w:name w:val="font21"/>
    <w:basedOn w:val="27"/>
    <w:qFormat/>
    <w:uiPriority w:val="0"/>
    <w:rPr>
      <w:rFonts w:hint="default" w:ascii="Arial" w:hAnsi="Arial" w:cs="Arial"/>
      <w:color w:val="000000"/>
      <w:sz w:val="20"/>
      <w:szCs w:val="20"/>
      <w:u w:val="none"/>
    </w:rPr>
  </w:style>
  <w:style w:type="character" w:customStyle="1" w:styleId="50">
    <w:name w:val="font01"/>
    <w:basedOn w:val="27"/>
    <w:qFormat/>
    <w:uiPriority w:val="0"/>
    <w:rPr>
      <w:rFonts w:hint="eastAsia" w:ascii="宋体" w:hAnsi="宋体" w:eastAsia="宋体" w:cs="宋体"/>
      <w:color w:val="000000"/>
      <w:sz w:val="20"/>
      <w:szCs w:val="20"/>
      <w:u w:val="none"/>
    </w:rPr>
  </w:style>
  <w:style w:type="paragraph" w:customStyle="1" w:styleId="51">
    <w:name w:val="纯文本1"/>
    <w:basedOn w:val="52"/>
    <w:qFormat/>
    <w:uiPriority w:val="0"/>
    <w:pPr>
      <w:widowControl/>
      <w:jc w:val="left"/>
    </w:pPr>
    <w:rPr>
      <w:rFonts w:ascii="宋体" w:hAnsi="Courier New"/>
    </w:rPr>
  </w:style>
  <w:style w:type="paragraph" w:customStyle="1" w:styleId="52">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3">
    <w:name w:val="Table Paragraph"/>
    <w:basedOn w:val="1"/>
    <w:qFormat/>
    <w:uiPriority w:val="1"/>
    <w:rPr>
      <w:rFonts w:ascii="宋体" w:hAnsi="宋体" w:cs="宋体"/>
    </w:rPr>
  </w:style>
  <w:style w:type="paragraph" w:customStyle="1" w:styleId="54">
    <w:name w:val="WPSOffice手动目录 1"/>
    <w:qFormat/>
    <w:uiPriority w:val="0"/>
    <w:rPr>
      <w:rFonts w:ascii="Times New Roman" w:hAnsi="Times New Roman" w:eastAsia="宋体" w:cs="Times New Roman"/>
      <w:lang w:val="en-US" w:eastAsia="zh-CN" w:bidi="ar-SA"/>
    </w:rPr>
  </w:style>
  <w:style w:type="paragraph" w:customStyle="1" w:styleId="55">
    <w:name w:val="默认段落字体 Para Char Char Char Char Char Char Char Char Char1 Char Char Char Char"/>
    <w:basedOn w:val="1"/>
    <w:qFormat/>
    <w:uiPriority w:val="0"/>
    <w:rPr>
      <w:rFonts w:ascii="Tahoma" w:hAnsi="Tahoma"/>
      <w:sz w:val="24"/>
      <w:szCs w:val="20"/>
    </w:rPr>
  </w:style>
  <w:style w:type="character" w:customStyle="1" w:styleId="56">
    <w:name w:val="批注框文本 字符"/>
    <w:basedOn w:val="27"/>
    <w:link w:val="15"/>
    <w:qFormat/>
    <w:uiPriority w:val="0"/>
    <w:rPr>
      <w:kern w:val="2"/>
      <w:sz w:val="18"/>
      <w:szCs w:val="18"/>
    </w:rPr>
  </w:style>
  <w:style w:type="paragraph" w:customStyle="1" w:styleId="57">
    <w:name w:val="英文"/>
    <w:basedOn w:val="1"/>
    <w:link w:val="59"/>
    <w:qFormat/>
    <w:uiPriority w:val="0"/>
    <w:pPr>
      <w:adjustRightInd w:val="0"/>
      <w:snapToGrid w:val="0"/>
      <w:spacing w:line="360" w:lineRule="auto"/>
      <w:ind w:firstLine="480" w:firstLineChars="200"/>
    </w:pPr>
    <w:rPr>
      <w:rFonts w:ascii="Arial" w:hAnsi="Arial" w:cs="Arial"/>
      <w:sz w:val="24"/>
    </w:rPr>
  </w:style>
  <w:style w:type="paragraph" w:customStyle="1" w:styleId="58">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59">
    <w:name w:val="英文 Char"/>
    <w:link w:val="57"/>
    <w:qFormat/>
    <w:uiPriority w:val="0"/>
    <w:rPr>
      <w:rFonts w:ascii="Arial" w:hAnsi="Arial" w:cs="Arial"/>
      <w:sz w:val="24"/>
    </w:rPr>
  </w:style>
  <w:style w:type="paragraph" w:customStyle="1" w:styleId="60">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61">
    <w:name w:val="正文段落"/>
    <w:basedOn w:val="1"/>
    <w:qFormat/>
    <w:uiPriority w:val="0"/>
    <w:pPr>
      <w:spacing w:line="360" w:lineRule="auto"/>
      <w:ind w:firstLine="200" w:firstLineChars="200"/>
    </w:pPr>
    <w:rPr>
      <w:rFonts w:eastAsia="仿宋"/>
      <w:sz w:val="28"/>
    </w:rPr>
  </w:style>
  <w:style w:type="paragraph" w:customStyle="1" w:styleId="62">
    <w:name w:val="Normal Indent1"/>
    <w:basedOn w:val="1"/>
    <w:qFormat/>
    <w:uiPriority w:val="0"/>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65">
    <w:name w:val="列表段落1"/>
    <w:basedOn w:val="1"/>
    <w:qFormat/>
    <w:uiPriority w:val="0"/>
    <w:pPr>
      <w:ind w:firstLine="420" w:firstLineChars="200"/>
    </w:pPr>
  </w:style>
  <w:style w:type="character" w:customStyle="1" w:styleId="66">
    <w:name w:val="纯文本 字符"/>
    <w:link w:val="13"/>
    <w:qFormat/>
    <w:uiPriority w:val="0"/>
    <w:rPr>
      <w:rFonts w:ascii="宋体" w:hAnsi="Courier New" w:cstheme="minorBidi"/>
      <w:kern w:val="2"/>
      <w:sz w:val="21"/>
      <w:szCs w:val="24"/>
    </w:rPr>
  </w:style>
  <w:style w:type="character" w:customStyle="1" w:styleId="67">
    <w:name w:val="NormalCharacter"/>
    <w:qFormat/>
    <w:uiPriority w:val="0"/>
  </w:style>
  <w:style w:type="paragraph" w:customStyle="1" w:styleId="68">
    <w:name w:val="UserStyle_4"/>
    <w:basedOn w:val="1"/>
    <w:qFormat/>
    <w:uiPriority w:val="0"/>
    <w:pPr>
      <w:ind w:firstLine="420" w:firstLineChars="200"/>
    </w:pPr>
    <w:rPr>
      <w:sz w:val="24"/>
    </w:rPr>
  </w:style>
  <w:style w:type="paragraph" w:customStyle="1" w:styleId="69">
    <w:name w:val="HtmlNormal"/>
    <w:basedOn w:val="1"/>
    <w:qFormat/>
    <w:uiPriority w:val="0"/>
    <w:pPr>
      <w:spacing w:before="100" w:beforeAutospacing="1" w:after="100" w:afterAutospacing="1"/>
      <w:jc w:val="left"/>
    </w:pPr>
    <w:rPr>
      <w:rFonts w:ascii="宋体" w:hAnsi="宋体"/>
      <w:color w:val="000000"/>
      <w:kern w:val="0"/>
      <w:sz w:val="24"/>
      <w:szCs w:val="21"/>
    </w:rPr>
  </w:style>
  <w:style w:type="paragraph" w:customStyle="1" w:styleId="70">
    <w:name w:val="UserStyle_48"/>
    <w:basedOn w:val="1"/>
    <w:qFormat/>
    <w:uiPriority w:val="0"/>
    <w:pPr>
      <w:ind w:firstLine="420" w:firstLineChars="200"/>
    </w:pPr>
    <w:rPr>
      <w:szCs w:val="21"/>
    </w:rPr>
  </w:style>
  <w:style w:type="paragraph" w:customStyle="1" w:styleId="71">
    <w:name w:val="PlainText"/>
    <w:basedOn w:val="1"/>
    <w:qFormat/>
    <w:uiPriority w:val="0"/>
    <w:pPr>
      <w:spacing w:before="156" w:after="156" w:line="400" w:lineRule="atLeast"/>
    </w:pPr>
    <w:rPr>
      <w:rFonts w:ascii="宋体" w:hAnsi="Courier New"/>
      <w:sz w:val="24"/>
    </w:rPr>
  </w:style>
  <w:style w:type="paragraph" w:customStyle="1" w:styleId="72">
    <w:name w:val="UserStyle_29"/>
    <w:basedOn w:val="1"/>
    <w:qFormat/>
    <w:uiPriority w:val="0"/>
    <w:pPr>
      <w:ind w:firstLine="420" w:firstLineChars="200"/>
    </w:pPr>
    <w:rPr>
      <w:szCs w:val="22"/>
    </w:rPr>
  </w:style>
  <w:style w:type="table" w:customStyle="1" w:styleId="73">
    <w:name w:val="Table Normal"/>
    <w:unhideWhenUsed/>
    <w:qFormat/>
    <w:uiPriority w:val="0"/>
    <w:tblPr>
      <w:tblCellMar>
        <w:top w:w="0" w:type="dxa"/>
        <w:left w:w="0" w:type="dxa"/>
        <w:bottom w:w="0" w:type="dxa"/>
        <w:right w:w="0" w:type="dxa"/>
      </w:tblCellMar>
    </w:tblPr>
  </w:style>
  <w:style w:type="character" w:customStyle="1" w:styleId="74">
    <w:name w:val="批注文字 字符"/>
    <w:basedOn w:val="27"/>
    <w:link w:val="9"/>
    <w:qFormat/>
    <w:uiPriority w:val="0"/>
    <w:rPr>
      <w:kern w:val="2"/>
      <w:sz w:val="21"/>
      <w:szCs w:val="24"/>
    </w:rPr>
  </w:style>
  <w:style w:type="character" w:customStyle="1" w:styleId="75">
    <w:name w:val="批注主题 字符"/>
    <w:basedOn w:val="74"/>
    <w:link w:val="22"/>
    <w:qFormat/>
    <w:uiPriority w:val="0"/>
    <w:rPr>
      <w:b/>
      <w:bCs/>
      <w:kern w:val="2"/>
      <w:sz w:val="21"/>
      <w:szCs w:val="24"/>
    </w:rPr>
  </w:style>
  <w:style w:type="character" w:customStyle="1" w:styleId="76">
    <w:name w:val="正文文本首行缩进 字符"/>
    <w:basedOn w:val="27"/>
    <w:link w:val="23"/>
    <w:qFormat/>
    <w:uiPriority w:val="0"/>
    <w:rPr>
      <w:kern w:val="2"/>
      <w:sz w:val="24"/>
      <w:szCs w:val="24"/>
    </w:rPr>
  </w:style>
  <w:style w:type="paragraph" w:customStyle="1" w:styleId="77">
    <w:name w:val="_Style 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8">
    <w:name w:val="Unresolved Mention"/>
    <w:basedOn w:val="27"/>
    <w:semiHidden/>
    <w:unhideWhenUsed/>
    <w:qFormat/>
    <w:uiPriority w:val="99"/>
    <w:rPr>
      <w:color w:val="605E5C"/>
      <w:shd w:val="clear" w:color="auto" w:fill="E1DFDD"/>
    </w:rPr>
  </w:style>
  <w:style w:type="character" w:customStyle="1" w:styleId="79">
    <w:name w:val="font11"/>
    <w:basedOn w:val="27"/>
    <w:qFormat/>
    <w:uiPriority w:val="0"/>
    <w:rPr>
      <w:rFonts w:hint="eastAsia" w:ascii="宋体" w:hAnsi="宋体" w:eastAsia="宋体" w:cs="宋体"/>
      <w:color w:val="000000"/>
      <w:sz w:val="22"/>
      <w:szCs w:val="22"/>
      <w:u w:val="none"/>
    </w:rPr>
  </w:style>
  <w:style w:type="character" w:customStyle="1" w:styleId="80">
    <w:name w:val="font61"/>
    <w:basedOn w:val="27"/>
    <w:qFormat/>
    <w:uiPriority w:val="0"/>
    <w:rPr>
      <w:rFonts w:hint="eastAsia" w:ascii="宋体" w:hAnsi="宋体" w:eastAsia="宋体" w:cs="宋体"/>
      <w:color w:val="000000"/>
      <w:sz w:val="18"/>
      <w:szCs w:val="18"/>
      <w:u w:val="none"/>
    </w:rPr>
  </w:style>
  <w:style w:type="paragraph" w:customStyle="1" w:styleId="81">
    <w:name w:val="样式 正文文本缩进 + 左  0 字符"/>
    <w:basedOn w:val="1"/>
    <w:qFormat/>
    <w:uiPriority w:val="0"/>
    <w:pPr>
      <w:spacing w:beforeLines="50"/>
      <w:ind w:firstLine="480" w:firstLineChars="200"/>
    </w:pPr>
    <w:rPr>
      <w:rFonts w:ascii="Calibri" w:hAnsi="Calibri" w:eastAsia="宋体" w:cs="Times New Roman"/>
      <w:szCs w:val="22"/>
    </w:rPr>
  </w:style>
  <w:style w:type="paragraph" w:styleId="82">
    <w:name w:val="No Spacing"/>
    <w:qFormat/>
    <w:uiPriority w:val="1"/>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BD92BF-6A9A-45CA-B77C-2FE73B229485}">
  <ds:schemaRefs/>
</ds:datastoreItem>
</file>

<file path=docProps/app.xml><?xml version="1.0" encoding="utf-8"?>
<Properties xmlns="http://schemas.openxmlformats.org/officeDocument/2006/extended-properties" xmlns:vt="http://schemas.openxmlformats.org/officeDocument/2006/docPropsVTypes">
  <Template>Normal</Template>
  <Pages>50</Pages>
  <Words>21363</Words>
  <Characters>22455</Characters>
  <Lines>169</Lines>
  <Paragraphs>47</Paragraphs>
  <TotalTime>20</TotalTime>
  <ScaleCrop>false</ScaleCrop>
  <LinksUpToDate>false</LinksUpToDate>
  <CharactersWithSpaces>23981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2023-06-16T06:49:00Z</dcterms:created>
  <dc:creator>Thorpe521</dc:creator>
  <cp:lastModifiedBy>WPS_1666141675</cp:lastModifiedBy>
  <cp:lastPrinted>2023-07-18T00:34:00Z</cp:lastPrinted>
  <dcterms:modified xsi:type="dcterms:W3CDTF">2023-09-12T01:52:15Z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EA247E18B86C42578DD920F68A8E9F56_13</vt:lpwstr>
  </property>
  <property fmtid="{D5CDD505-2E9C-101B-9397-08002B2CF9AE}" pid="4" name="commondata">
    <vt:lpwstr>eyJoZGlkIjoiZWM5NTczMTg4N2ExZWZmMDU0MmIxMDc2NTJiZjIxOTMifQ==</vt:lpwstr>
  </property>
</Properties>
</file>