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pStyle w:val="77"/>
        <w:jc w:val="center"/>
        <w:rPr>
          <w:rFonts w:hint="eastAsia" w:eastAsia="宋体"/>
          <w:b/>
          <w:bCs/>
          <w:sz w:val="36"/>
          <w:szCs w:val="40"/>
          <w:lang w:eastAsia="zh-CN"/>
        </w:rPr>
      </w:pPr>
      <w:r>
        <w:rPr>
          <w:rFonts w:hint="eastAsia"/>
          <w:b/>
          <w:bCs/>
          <w:sz w:val="52"/>
          <w:szCs w:val="52"/>
          <w:lang w:eastAsia="zh-CN"/>
        </w:rPr>
        <w:t>云湖小学校园安防系统补充项目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highlight w:val="none"/>
        </w:rPr>
      </w:pPr>
      <w:r>
        <w:rPr>
          <w:rFonts w:hint="eastAsia" w:ascii="宋体" w:hAnsi="宋体" w:cs="Calibri Light"/>
          <w:kern w:val="0"/>
          <w:sz w:val="24"/>
          <w:highlight w:val="none"/>
        </w:rPr>
        <w:t>采购编号：HHJD2023003</w:t>
      </w:r>
    </w:p>
    <w:p>
      <w:pPr>
        <w:tabs>
          <w:tab w:val="left" w:pos="1260"/>
        </w:tabs>
        <w:spacing w:line="640" w:lineRule="exact"/>
        <w:outlineLvl w:val="0"/>
        <w:rPr>
          <w:rFonts w:ascii="宋体" w:hAnsi="宋体"/>
          <w:spacing w:val="20"/>
          <w:kern w:val="21"/>
          <w:sz w:val="30"/>
          <w:szCs w:val="30"/>
        </w:rPr>
      </w:pPr>
    </w:p>
    <w:p>
      <w:pPr>
        <w:tabs>
          <w:tab w:val="left" w:pos="1260"/>
        </w:tabs>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采购人：</w:t>
      </w:r>
      <w:r>
        <w:rPr>
          <w:rFonts w:hint="eastAsia"/>
          <w:sz w:val="28"/>
          <w:u w:val="single"/>
          <w:lang w:eastAsia="zh-CN"/>
        </w:rPr>
        <w:t>台州市云湖小学</w:t>
      </w:r>
      <w:r>
        <w:rPr>
          <w:rFonts w:hint="eastAsia" w:ascii="宋体" w:hAnsi="宋体"/>
          <w:spacing w:val="20"/>
          <w:kern w:val="21"/>
          <w:sz w:val="30"/>
          <w:szCs w:val="30"/>
        </w:rPr>
        <w:t>（盖章）</w:t>
      </w:r>
    </w:p>
    <w:p>
      <w:pPr>
        <w:spacing w:line="640" w:lineRule="exact"/>
        <w:ind w:firstLine="1020" w:firstLineChars="300"/>
        <w:outlineLvl w:val="0"/>
        <w:rPr>
          <w:rFonts w:hint="eastAsia" w:ascii="宋体" w:hAnsi="宋体" w:eastAsia="宋体"/>
          <w:spacing w:val="20"/>
          <w:kern w:val="21"/>
          <w:sz w:val="30"/>
          <w:szCs w:val="30"/>
          <w:lang w:eastAsia="zh-CN"/>
        </w:rPr>
      </w:pPr>
      <w:r>
        <w:rPr>
          <w:rFonts w:hint="eastAsia" w:ascii="宋体" w:hAnsi="宋体"/>
          <w:spacing w:val="20"/>
          <w:kern w:val="21"/>
          <w:sz w:val="30"/>
          <w:szCs w:val="30"/>
        </w:rPr>
        <w:t>联 系 人：</w:t>
      </w:r>
      <w:r>
        <w:rPr>
          <w:rFonts w:hint="eastAsia" w:hAnsi="宋体"/>
          <w:sz w:val="28"/>
          <w:u w:val="single"/>
          <w:lang w:eastAsia="zh-CN"/>
        </w:rPr>
        <w:t>李先生</w:t>
      </w:r>
    </w:p>
    <w:p>
      <w:pPr>
        <w:spacing w:line="640" w:lineRule="exact"/>
        <w:ind w:firstLine="1020" w:firstLineChars="300"/>
        <w:outlineLvl w:val="0"/>
        <w:rPr>
          <w:rFonts w:hint="default" w:ascii="宋体" w:hAnsi="宋体" w:eastAsia="宋体"/>
          <w:spacing w:val="20"/>
          <w:kern w:val="21"/>
          <w:sz w:val="30"/>
          <w:szCs w:val="30"/>
          <w:highlight w:val="none"/>
          <w:lang w:val="en-US" w:eastAsia="zh-CN"/>
        </w:rPr>
      </w:pPr>
      <w:r>
        <w:rPr>
          <w:rFonts w:hint="eastAsia" w:ascii="宋体" w:hAnsi="宋体"/>
          <w:spacing w:val="20"/>
          <w:kern w:val="21"/>
          <w:sz w:val="30"/>
          <w:szCs w:val="30"/>
          <w:highlight w:val="none"/>
        </w:rPr>
        <w:t>联系电话：</w:t>
      </w:r>
      <w:r>
        <w:rPr>
          <w:rFonts w:hint="eastAsia" w:hAnsi="宋体"/>
          <w:sz w:val="28"/>
          <w:highlight w:val="none"/>
          <w:u w:val="single"/>
        </w:rPr>
        <w:t>0576-</w:t>
      </w:r>
      <w:r>
        <w:rPr>
          <w:rFonts w:hint="eastAsia" w:hAnsi="宋体"/>
          <w:sz w:val="28"/>
          <w:highlight w:val="none"/>
          <w:u w:val="single"/>
          <w:lang w:val="en-US" w:eastAsia="zh-CN"/>
        </w:rPr>
        <w:t>88865683</w:t>
      </w:r>
    </w:p>
    <w:p>
      <w:pPr>
        <w:pStyle w:val="12"/>
        <w:numPr>
          <w:ilvl w:val="0"/>
          <w:numId w:val="0"/>
        </w:numPr>
      </w:pPr>
    </w:p>
    <w:p>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招标代理：</w:t>
      </w:r>
      <w:r>
        <w:rPr>
          <w:rFonts w:hint="eastAsia" w:ascii="宋体" w:hAnsi="宋体"/>
          <w:sz w:val="28"/>
          <w:u w:val="single"/>
          <w:lang w:eastAsia="zh-CN"/>
        </w:rPr>
        <w:t>台州中亿工程管理有限公司</w:t>
      </w:r>
      <w:r>
        <w:rPr>
          <w:rFonts w:hint="eastAsia" w:ascii="宋体" w:hAnsi="宋体"/>
          <w:spacing w:val="20"/>
          <w:kern w:val="21"/>
          <w:sz w:val="30"/>
          <w:szCs w:val="30"/>
        </w:rPr>
        <w:t>（盖章）</w:t>
      </w:r>
    </w:p>
    <w:p>
      <w:pPr>
        <w:spacing w:line="640" w:lineRule="exact"/>
        <w:ind w:firstLine="1020" w:firstLineChars="300"/>
        <w:outlineLvl w:val="0"/>
        <w:rPr>
          <w:rFonts w:hint="eastAsia" w:ascii="宋体" w:hAnsi="宋体" w:eastAsia="宋体"/>
          <w:spacing w:val="20"/>
          <w:kern w:val="21"/>
          <w:sz w:val="30"/>
          <w:szCs w:val="30"/>
          <w:lang w:eastAsia="zh-CN"/>
        </w:rPr>
      </w:pPr>
      <w:r>
        <w:rPr>
          <w:rFonts w:hint="eastAsia" w:ascii="宋体" w:hAnsi="宋体"/>
          <w:spacing w:val="20"/>
          <w:kern w:val="21"/>
          <w:sz w:val="30"/>
          <w:szCs w:val="30"/>
        </w:rPr>
        <w:t>联 系 人：</w:t>
      </w:r>
      <w:r>
        <w:rPr>
          <w:rFonts w:hint="eastAsia" w:ascii="宋体" w:hAnsi="宋体"/>
          <w:sz w:val="28"/>
          <w:u w:val="single"/>
          <w:lang w:eastAsia="zh-CN"/>
        </w:rPr>
        <w:t>李先生、戴先生</w:t>
      </w:r>
    </w:p>
    <w:p>
      <w:pPr>
        <w:spacing w:line="480" w:lineRule="auto"/>
        <w:ind w:firstLine="1020" w:firstLineChars="300"/>
        <w:rPr>
          <w:rFonts w:ascii="宋体" w:hAnsi="宋体"/>
          <w:spacing w:val="20"/>
          <w:kern w:val="21"/>
          <w:sz w:val="30"/>
          <w:szCs w:val="30"/>
        </w:rPr>
      </w:pPr>
      <w:r>
        <w:rPr>
          <w:rFonts w:hint="eastAsia" w:ascii="宋体" w:hAnsi="宋体"/>
          <w:spacing w:val="20"/>
          <w:kern w:val="21"/>
          <w:sz w:val="30"/>
          <w:szCs w:val="30"/>
        </w:rPr>
        <w:t>联系电话：</w:t>
      </w:r>
      <w:r>
        <w:rPr>
          <w:rFonts w:hint="eastAsia" w:ascii="宋体" w:hAnsi="宋体"/>
          <w:sz w:val="28"/>
          <w:u w:val="single"/>
        </w:rPr>
        <w:t>0576-</w:t>
      </w:r>
      <w:r>
        <w:rPr>
          <w:rFonts w:hint="eastAsia" w:ascii="宋体" w:hAnsi="宋体"/>
          <w:sz w:val="28"/>
          <w:u w:val="single"/>
          <w:lang w:val="en-US" w:eastAsia="zh-CN"/>
        </w:rPr>
        <w:t>88832068</w:t>
      </w:r>
    </w:p>
    <w:p>
      <w:pPr>
        <w:spacing w:line="640" w:lineRule="exact"/>
        <w:ind w:firstLine="1020" w:firstLineChars="300"/>
        <w:outlineLvl w:val="0"/>
        <w:rPr>
          <w:rFonts w:ascii="宋体" w:hAnsi="宋体"/>
          <w:b/>
          <w:sz w:val="36"/>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spacing w:val="20"/>
          <w:kern w:val="21"/>
          <w:sz w:val="30"/>
          <w:szCs w:val="30"/>
        </w:rPr>
        <w:t>日    期：2023年</w:t>
      </w:r>
      <w:r>
        <w:rPr>
          <w:rFonts w:hint="eastAsia" w:ascii="宋体" w:hAnsi="宋体"/>
          <w:spacing w:val="20"/>
          <w:kern w:val="21"/>
          <w:sz w:val="30"/>
          <w:szCs w:val="30"/>
          <w:lang w:val="en-US" w:eastAsia="zh-CN"/>
        </w:rPr>
        <w:t>9</w:t>
      </w:r>
      <w:r>
        <w:rPr>
          <w:rFonts w:hint="eastAsia" w:ascii="宋体" w:hAnsi="宋体"/>
          <w:spacing w:val="20"/>
          <w:kern w:val="21"/>
          <w:sz w:val="30"/>
          <w:szCs w:val="30"/>
        </w:rPr>
        <w:t>月</w:t>
      </w:r>
    </w:p>
    <w:p>
      <w:pPr>
        <w:pStyle w:val="33"/>
      </w:pPr>
    </w:p>
    <w:sdt>
      <w:sdtPr>
        <w:rPr>
          <w:rFonts w:ascii="宋体" w:hAnsi="宋体"/>
          <w:kern w:val="0"/>
          <w:sz w:val="28"/>
          <w:szCs w:val="28"/>
        </w:rPr>
        <w:id w:val="147471336"/>
        <w:docPartObj>
          <w:docPartGallery w:val="Table of Contents"/>
          <w:docPartUnique/>
        </w:docPartObj>
      </w:sdtPr>
      <w:sdtEndPr>
        <w:rPr>
          <w:rFonts w:ascii="宋体" w:hAnsi="宋体"/>
          <w:kern w:val="0"/>
          <w:sz w:val="28"/>
          <w:szCs w:val="28"/>
        </w:rPr>
      </w:sdtEndPr>
      <w:sdtContent>
        <w:p>
          <w:pPr>
            <w:spacing w:line="480" w:lineRule="auto"/>
            <w:jc w:val="center"/>
            <w:rPr>
              <w:rFonts w:ascii="宋体" w:hAnsi="宋体"/>
              <w:kern w:val="0"/>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7"/>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7"/>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7"/>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7"/>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17"/>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17"/>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4"/>
        <w:ind w:firstLine="480" w:firstLineChars="200"/>
        <w:rPr>
          <w:rFonts w:cs="宋体"/>
          <w:b w:val="0"/>
          <w:sz w:val="24"/>
          <w:szCs w:val="24"/>
          <w:highlight w:val="none"/>
        </w:rPr>
      </w:pPr>
      <w:bookmarkStart w:id="6" w:name="_Toc28359002"/>
      <w:bookmarkStart w:id="7" w:name="_Toc35393790"/>
      <w:bookmarkStart w:id="8" w:name="_Toc35393621"/>
      <w:bookmarkStart w:id="9" w:name="_Toc28359079"/>
      <w:bookmarkStart w:id="10" w:name="_Hlk24379207"/>
      <w:r>
        <w:rPr>
          <w:rFonts w:hint="eastAsia" w:cs="宋体"/>
          <w:b w:val="0"/>
          <w:sz w:val="24"/>
          <w:szCs w:val="24"/>
          <w:u w:val="single"/>
          <w:lang w:eastAsia="zh-CN"/>
        </w:rPr>
        <w:t>台州中亿工程管理有限公司</w:t>
      </w:r>
      <w:r>
        <w:rPr>
          <w:rFonts w:hint="eastAsia" w:cs="宋体"/>
          <w:b w:val="0"/>
          <w:sz w:val="24"/>
          <w:szCs w:val="24"/>
        </w:rPr>
        <w:t>受</w:t>
      </w:r>
      <w:r>
        <w:rPr>
          <w:rFonts w:hint="eastAsia" w:cs="宋体"/>
          <w:b w:val="0"/>
          <w:sz w:val="24"/>
          <w:szCs w:val="24"/>
          <w:u w:val="single"/>
          <w:lang w:eastAsia="zh-CN"/>
        </w:rPr>
        <w:t>台州市云湖小学</w:t>
      </w:r>
      <w:r>
        <w:rPr>
          <w:rFonts w:hint="eastAsia" w:cs="宋体"/>
          <w:b w:val="0"/>
          <w:sz w:val="24"/>
          <w:szCs w:val="24"/>
        </w:rPr>
        <w:t>委托，就</w:t>
      </w:r>
      <w:r>
        <w:rPr>
          <w:rFonts w:hint="eastAsia" w:cs="宋体"/>
          <w:b w:val="0"/>
          <w:sz w:val="24"/>
          <w:szCs w:val="24"/>
          <w:u w:val="single"/>
          <w:lang w:eastAsia="zh-CN"/>
        </w:rPr>
        <w:t>云湖小学校园安防系统补充</w:t>
      </w:r>
      <w:r>
        <w:rPr>
          <w:rFonts w:hint="eastAsia" w:cs="宋体"/>
          <w:b w:val="0"/>
          <w:sz w:val="24"/>
          <w:szCs w:val="24"/>
          <w:highlight w:val="none"/>
          <w:u w:val="single"/>
          <w:lang w:eastAsia="zh-CN"/>
        </w:rPr>
        <w:t>项目</w:t>
      </w:r>
      <w:r>
        <w:rPr>
          <w:rFonts w:hint="eastAsia" w:cs="宋体"/>
          <w:b w:val="0"/>
          <w:sz w:val="24"/>
          <w:szCs w:val="24"/>
          <w:highlight w:val="none"/>
        </w:rPr>
        <w:t>进行公开招标，欢迎符合资格条件的国内投标人参加投标。</w:t>
      </w:r>
    </w:p>
    <w:p>
      <w:pPr>
        <w:pStyle w:val="4"/>
        <w:ind w:firstLine="482" w:firstLineChars="200"/>
        <w:rPr>
          <w:rFonts w:cs="宋体"/>
          <w:bCs/>
          <w:sz w:val="24"/>
          <w:szCs w:val="24"/>
          <w:highlight w:val="none"/>
        </w:rPr>
      </w:pPr>
      <w:r>
        <w:rPr>
          <w:rFonts w:hint="eastAsia" w:cs="宋体"/>
          <w:bCs/>
          <w:sz w:val="24"/>
          <w:szCs w:val="24"/>
          <w:highlight w:val="none"/>
        </w:rPr>
        <w:t>一、项目基本情况</w:t>
      </w:r>
      <w:bookmarkEnd w:id="6"/>
      <w:bookmarkEnd w:id="7"/>
      <w:bookmarkEnd w:id="8"/>
      <w:bookmarkEnd w:id="9"/>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项目编号：HHJD2023003</w:t>
      </w:r>
    </w:p>
    <w:bookmarkEnd w:id="10"/>
    <w:p>
      <w:pPr>
        <w:spacing w:line="360" w:lineRule="auto"/>
        <w:ind w:firstLine="480" w:firstLineChars="200"/>
      </w:pPr>
      <w:r>
        <w:rPr>
          <w:rFonts w:hint="eastAsia" w:ascii="宋体" w:hAnsi="宋体" w:cs="宋体"/>
          <w:sz w:val="24"/>
        </w:rPr>
        <w:t>项目名称：</w:t>
      </w:r>
      <w:r>
        <w:rPr>
          <w:rFonts w:hint="eastAsia" w:ascii="宋体" w:hAnsi="宋体" w:cs="宋体"/>
          <w:sz w:val="24"/>
          <w:lang w:eastAsia="zh-CN"/>
        </w:rPr>
        <w:t>云湖小学校园安防系统补充项目</w:t>
      </w:r>
      <w:r>
        <w:t xml:space="preserve"> </w:t>
      </w:r>
    </w:p>
    <w:tbl>
      <w:tblPr>
        <w:tblStyle w:val="25"/>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235"/>
        <w:gridCol w:w="917"/>
        <w:gridCol w:w="799"/>
        <w:gridCol w:w="119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3235"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917"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19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372"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rPr>
              <w:t>1</w:t>
            </w:r>
          </w:p>
        </w:tc>
        <w:tc>
          <w:tcPr>
            <w:tcW w:w="3235" w:type="dxa"/>
            <w:vAlign w:val="center"/>
          </w:tcPr>
          <w:p>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lang w:eastAsia="zh-CN"/>
              </w:rPr>
              <w:t>云湖小学校园安防系统补充项目</w:t>
            </w:r>
          </w:p>
        </w:tc>
        <w:tc>
          <w:tcPr>
            <w:tcW w:w="917" w:type="dxa"/>
            <w:vAlign w:val="center"/>
          </w:tcPr>
          <w:p>
            <w:pPr>
              <w:tabs>
                <w:tab w:val="left" w:pos="8280"/>
              </w:tabs>
              <w:autoSpaceDE w:val="0"/>
              <w:autoSpaceDN w:val="0"/>
              <w:adjustRightInd w:val="0"/>
              <w:jc w:val="center"/>
              <w:rPr>
                <w:rFonts w:hint="eastAsia" w:ascii="宋体" w:hAnsi="宋体" w:eastAsia="宋体" w:cs="宋体"/>
                <w:b w:val="0"/>
                <w:bCs/>
                <w:szCs w:val="21"/>
                <w:lang w:val="en-US" w:eastAsia="zh-CN"/>
              </w:rPr>
            </w:pPr>
            <w:r>
              <w:rPr>
                <w:rFonts w:hint="eastAsia" w:ascii="宋体" w:hAnsi="宋体" w:cs="宋体"/>
                <w:b w:val="0"/>
                <w:bCs/>
                <w:szCs w:val="21"/>
                <w:lang w:val="en-US" w:eastAsia="zh-CN"/>
              </w:rPr>
              <w:t>1</w:t>
            </w:r>
          </w:p>
        </w:tc>
        <w:tc>
          <w:tcPr>
            <w:tcW w:w="799" w:type="dxa"/>
            <w:vAlign w:val="center"/>
          </w:tcPr>
          <w:p>
            <w:pPr>
              <w:tabs>
                <w:tab w:val="left" w:pos="8280"/>
              </w:tabs>
              <w:autoSpaceDE w:val="0"/>
              <w:autoSpaceDN w:val="0"/>
              <w:adjustRightInd w:val="0"/>
              <w:jc w:val="center"/>
              <w:rPr>
                <w:rFonts w:hint="eastAsia" w:ascii="宋体" w:hAnsi="宋体" w:eastAsia="宋体" w:cs="宋体"/>
                <w:b w:val="0"/>
                <w:bCs/>
                <w:szCs w:val="21"/>
                <w:lang w:eastAsia="zh-CN"/>
              </w:rPr>
            </w:pPr>
            <w:r>
              <w:rPr>
                <w:rFonts w:hint="eastAsia" w:ascii="宋体" w:hAnsi="宋体" w:cs="宋体"/>
                <w:b w:val="0"/>
                <w:bCs/>
                <w:szCs w:val="21"/>
                <w:lang w:eastAsia="zh-CN"/>
              </w:rPr>
              <w:t>项</w:t>
            </w:r>
          </w:p>
        </w:tc>
        <w:tc>
          <w:tcPr>
            <w:tcW w:w="1190" w:type="dxa"/>
            <w:vAlign w:val="center"/>
          </w:tcPr>
          <w:p>
            <w:pPr>
              <w:tabs>
                <w:tab w:val="left" w:pos="8280"/>
              </w:tabs>
              <w:autoSpaceDE w:val="0"/>
              <w:autoSpaceDN w:val="0"/>
              <w:adjustRightInd w:val="0"/>
              <w:jc w:val="center"/>
              <w:rPr>
                <w:rFonts w:hint="default" w:ascii="宋体" w:hAnsi="宋体" w:eastAsia="宋体" w:cs="宋体"/>
                <w:b w:val="0"/>
                <w:bCs/>
                <w:szCs w:val="21"/>
                <w:lang w:val="en-US" w:eastAsia="zh-CN"/>
              </w:rPr>
            </w:pPr>
            <w:r>
              <w:rPr>
                <w:rFonts w:hint="eastAsia" w:ascii="宋体" w:hAnsi="宋体" w:cs="宋体"/>
                <w:b w:val="0"/>
                <w:bCs/>
                <w:szCs w:val="21"/>
                <w:lang w:val="en-US" w:eastAsia="zh-CN"/>
              </w:rPr>
              <w:t>43.8</w:t>
            </w:r>
          </w:p>
        </w:tc>
        <w:tc>
          <w:tcPr>
            <w:tcW w:w="1372" w:type="dxa"/>
            <w:vAlign w:val="center"/>
          </w:tcPr>
          <w:p>
            <w:pPr>
              <w:tabs>
                <w:tab w:val="left" w:pos="8280"/>
              </w:tabs>
              <w:autoSpaceDE w:val="0"/>
              <w:autoSpaceDN w:val="0"/>
              <w:adjustRightInd w:val="0"/>
              <w:jc w:val="center"/>
              <w:rPr>
                <w:rStyle w:val="67"/>
                <w:rFonts w:hint="default" w:ascii="宋体" w:hAnsi="宋体" w:eastAsia="宋体"/>
                <w:b w:val="0"/>
                <w:bCs/>
                <w:szCs w:val="21"/>
                <w:lang w:val="en-US" w:eastAsia="zh-CN"/>
              </w:rPr>
            </w:pPr>
            <w:r>
              <w:rPr>
                <w:rStyle w:val="67"/>
                <w:rFonts w:hint="eastAsia" w:ascii="宋体" w:hAnsi="宋体"/>
                <w:b w:val="0"/>
                <w:bCs/>
                <w:szCs w:val="21"/>
                <w:lang w:val="en-US" w:eastAsia="zh-CN"/>
              </w:rPr>
              <w:t>43.8</w:t>
            </w:r>
          </w:p>
        </w:tc>
      </w:tr>
    </w:tbl>
    <w:p>
      <w:pPr>
        <w:pStyle w:val="4"/>
        <w:tabs>
          <w:tab w:val="left" w:pos="9660"/>
          <w:tab w:val="clear" w:pos="8280"/>
        </w:tabs>
        <w:ind w:right="23" w:firstLine="482" w:firstLineChars="200"/>
        <w:jc w:val="left"/>
        <w:rPr>
          <w:rFonts w:cs="宋体"/>
          <w:bCs/>
          <w:sz w:val="24"/>
          <w:szCs w:val="24"/>
        </w:rPr>
      </w:pPr>
      <w:bookmarkStart w:id="11" w:name="_Toc35393791"/>
      <w:bookmarkStart w:id="12" w:name="_Toc35393622"/>
      <w:bookmarkStart w:id="13" w:name="_Toc28359080"/>
      <w:bookmarkStart w:id="14" w:name="_Toc28359003"/>
      <w:r>
        <w:rPr>
          <w:rFonts w:hint="eastAsia" w:cs="宋体"/>
          <w:bCs/>
          <w:sz w:val="24"/>
          <w:szCs w:val="24"/>
        </w:rPr>
        <w:t>二、投标人的资格要求</w:t>
      </w:r>
      <w:bookmarkEnd w:id="11"/>
      <w:bookmarkEnd w:id="12"/>
      <w:bookmarkEnd w:id="13"/>
      <w:bookmarkEnd w:id="14"/>
    </w:p>
    <w:p>
      <w:pPr>
        <w:spacing w:line="360" w:lineRule="auto"/>
        <w:ind w:left="12"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rPr>
          <w:rFonts w:ascii="宋体" w:hAnsi="宋体" w:cs="宋体"/>
          <w:sz w:val="24"/>
        </w:rPr>
      </w:pPr>
      <w:bookmarkStart w:id="15" w:name="_Toc35393623"/>
      <w:bookmarkStart w:id="16" w:name="_Toc28359081"/>
      <w:bookmarkStart w:id="17" w:name="_Toc28359004"/>
      <w:bookmarkStart w:id="18" w:name="_Toc35393792"/>
      <w:r>
        <w:rPr>
          <w:rFonts w:hint="eastAsia" w:ascii="宋体" w:hAnsi="宋体" w:cs="宋体"/>
          <w:sz w:val="24"/>
        </w:rPr>
        <w:t>（二）本项目的特定资格要求：</w:t>
      </w:r>
      <w:r>
        <w:rPr>
          <w:rFonts w:hint="eastAsia" w:ascii="宋体" w:hAnsi="宋体"/>
          <w:sz w:val="24"/>
        </w:rPr>
        <w:t>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（三）本项目不接受联合体投标。</w:t>
      </w:r>
    </w:p>
    <w:p>
      <w:pPr>
        <w:spacing w:line="360" w:lineRule="auto"/>
        <w:ind w:firstLine="480" w:firstLineChars="200"/>
        <w:jc w:val="left"/>
        <w:rPr>
          <w:rFonts w:ascii="宋体" w:hAnsi="宋体" w:cs="宋体"/>
          <w:sz w:val="24"/>
          <w:highlight w:val="none"/>
        </w:rPr>
      </w:pPr>
      <w:r>
        <w:rPr>
          <w:rFonts w:hint="eastAsia" w:ascii="宋体" w:hAnsi="宋体" w:cs="宋体"/>
          <w:sz w:val="24"/>
        </w:rPr>
        <w:t>（四）信用记录：未被列入“信用中国”失信被执行人或重大税收违法案件当事人</w:t>
      </w:r>
      <w:r>
        <w:rPr>
          <w:rFonts w:hint="eastAsia" w:ascii="宋体" w:hAnsi="宋体" w:cs="宋体"/>
          <w:sz w:val="24"/>
          <w:highlight w:val="none"/>
        </w:rPr>
        <w:t>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ascii="宋体" w:hAnsi="宋体" w:cs="宋体"/>
          <w:sz w:val="24"/>
          <w:highlight w:val="none"/>
        </w:rPr>
        <w:fldChar w:fldCharType="end"/>
      </w:r>
    </w:p>
    <w:p>
      <w:pPr>
        <w:spacing w:line="360" w:lineRule="auto"/>
        <w:ind w:firstLine="480" w:firstLineChars="200"/>
        <w:jc w:val="left"/>
        <w:rPr>
          <w:rFonts w:ascii="宋体" w:hAnsi="宋体"/>
          <w:sz w:val="24"/>
          <w:highlight w:val="none"/>
        </w:rPr>
      </w:pPr>
      <w:r>
        <w:rPr>
          <w:rFonts w:hint="eastAsia" w:ascii="宋体" w:hAnsi="宋体" w:cs="宋体"/>
          <w:sz w:val="24"/>
          <w:highlight w:val="none"/>
        </w:rPr>
        <w:t>（五）</w:t>
      </w:r>
      <w:r>
        <w:rPr>
          <w:rFonts w:hint="eastAsia" w:ascii="宋体" w:hAnsi="宋体"/>
          <w:sz w:val="24"/>
          <w:highlight w:val="none"/>
        </w:rPr>
        <w:t>公益一类事业单位，既不属于政府购买服务的购买主体，也不属于承接主体，不得参与承接政府购买服务。</w:t>
      </w:r>
    </w:p>
    <w:p>
      <w:pPr>
        <w:spacing w:line="360" w:lineRule="auto"/>
        <w:ind w:firstLine="480" w:firstLineChars="200"/>
        <w:jc w:val="left"/>
        <w:rPr>
          <w:rFonts w:ascii="宋体" w:hAnsi="宋体" w:cs="宋体"/>
          <w:sz w:val="24"/>
        </w:rPr>
      </w:pPr>
      <w:r>
        <w:rPr>
          <w:rFonts w:hint="eastAsia" w:ascii="宋体" w:hAnsi="宋体"/>
          <w:sz w:val="24"/>
        </w:rPr>
        <w:t>（六）</w:t>
      </w:r>
      <w:r>
        <w:rPr>
          <w:rFonts w:hint="eastAsia" w:ascii="宋体" w:hAnsi="宋体" w:cs="宋体"/>
          <w:sz w:val="24"/>
        </w:rPr>
        <w:t>法律、行政法规规定的其他条件：单位负责人为同一人或者存在直接控股、管理关系的不同供应商，不得同时参加同一项目投标，不得再参与本项目投标。</w:t>
      </w:r>
    </w:p>
    <w:p>
      <w:pPr>
        <w:pStyle w:val="4"/>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jc w:val="left"/>
        <w:rPr>
          <w:rFonts w:ascii="宋体" w:hAnsi="宋体" w:cs="宋体"/>
          <w:sz w:val="24"/>
        </w:rPr>
      </w:pPr>
      <w:r>
        <w:rPr>
          <w:rFonts w:hint="eastAsia" w:ascii="宋体" w:hAnsi="宋体" w:cs="宋体"/>
          <w:sz w:val="24"/>
        </w:rPr>
        <w:t>（一）时间：项目发布之日起至</w:t>
      </w:r>
      <w:r>
        <w:rPr>
          <w:rFonts w:hint="eastAsia" w:ascii="宋体" w:hAnsi="宋体" w:cs="宋体"/>
          <w:sz w:val="24"/>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kern w:val="0"/>
          <w:sz w:val="24"/>
        </w:rPr>
      </w:pPr>
      <w:r>
        <w:rPr>
          <w:rFonts w:hint="eastAsia" w:ascii="宋体" w:hAnsi="宋体" w:cs="宋体"/>
          <w:sz w:val="24"/>
        </w:rPr>
        <w:t>（二）方式：</w:t>
      </w:r>
      <w:r>
        <w:rPr>
          <w:rFonts w:hint="eastAsia" w:ascii="宋体" w:hAnsi="宋体" w:cs="宋体"/>
          <w:b/>
          <w:kern w:val="0"/>
          <w:sz w:val="24"/>
        </w:rPr>
        <w:t>网上下载-台州湾新区小额工程电子交易平台（</w:t>
      </w:r>
      <w:r>
        <w:rPr>
          <w:rFonts w:ascii="宋体" w:hAnsi="宋体" w:cs="宋体"/>
          <w:b/>
          <w:kern w:val="0"/>
          <w:sz w:val="24"/>
        </w:rPr>
        <w:t>http://www.tzwztb.com/</w:t>
      </w:r>
      <w:r>
        <w:rPr>
          <w:rFonts w:hint="eastAsia" w:ascii="宋体" w:hAnsi="宋体" w:cs="宋体"/>
          <w:b/>
          <w:kern w:val="0"/>
          <w:sz w:val="24"/>
        </w:rPr>
        <w:t>)</w:t>
      </w:r>
    </w:p>
    <w:p>
      <w:pPr>
        <w:pStyle w:val="4"/>
        <w:ind w:right="0" w:firstLine="482" w:firstLineChars="200"/>
        <w:rPr>
          <w:rFonts w:cs="宋体"/>
          <w:bCs/>
          <w:sz w:val="24"/>
          <w:szCs w:val="24"/>
        </w:rPr>
      </w:pPr>
      <w:bookmarkStart w:id="19" w:name="_Toc28359005"/>
      <w:bookmarkStart w:id="20" w:name="_Toc35393624"/>
      <w:bookmarkStart w:id="21" w:name="_Toc28359082"/>
      <w:bookmarkStart w:id="22" w:name="_Toc35393793"/>
      <w:r>
        <w:rPr>
          <w:rFonts w:hint="eastAsia" w:cs="宋体"/>
          <w:bCs/>
          <w:sz w:val="24"/>
          <w:szCs w:val="24"/>
        </w:rPr>
        <w:t>四、提交投标文件</w:t>
      </w:r>
      <w:bookmarkEnd w:id="19"/>
      <w:bookmarkEnd w:id="20"/>
      <w:bookmarkEnd w:id="21"/>
      <w:bookmarkEnd w:id="22"/>
    </w:p>
    <w:p>
      <w:pPr>
        <w:spacing w:line="360" w:lineRule="auto"/>
        <w:ind w:firstLine="480" w:firstLineChars="200"/>
        <w:jc w:val="left"/>
        <w:rPr>
          <w:rFonts w:ascii="宋体" w:hAnsi="宋体" w:cs="宋体"/>
          <w:sz w:val="24"/>
        </w:rPr>
      </w:pPr>
      <w:bookmarkStart w:id="23" w:name="_Toc28359007"/>
      <w:bookmarkStart w:id="24" w:name="_Toc28359084"/>
      <w:bookmarkStart w:id="25" w:name="_Toc35393625"/>
      <w:bookmarkStart w:id="26" w:name="_Toc35393794"/>
      <w:r>
        <w:rPr>
          <w:rFonts w:hint="eastAsia" w:ascii="宋体" w:hAnsi="宋体" w:cs="宋体"/>
          <w:sz w:val="24"/>
        </w:rPr>
        <w:t>（一）截止时间（开</w:t>
      </w:r>
      <w:r>
        <w:rPr>
          <w:rFonts w:hint="eastAsia" w:ascii="宋体" w:hAnsi="宋体" w:cs="宋体"/>
          <w:sz w:val="24"/>
          <w:highlight w:val="none"/>
        </w:rPr>
        <w:t>标时间）：</w:t>
      </w:r>
      <w:r>
        <w:rPr>
          <w:rFonts w:hint="eastAsia" w:ascii="宋体" w:hAnsi="宋体" w:cs="宋体"/>
          <w:bCs/>
          <w:sz w:val="24"/>
          <w:highlight w:val="none"/>
          <w:u w:val="single"/>
        </w:rPr>
        <w:t>2023年</w:t>
      </w:r>
      <w:r>
        <w:rPr>
          <w:rFonts w:hint="eastAsia" w:ascii="宋体" w:hAnsi="宋体" w:cs="宋体"/>
          <w:sz w:val="24"/>
          <w:highlight w:val="none"/>
          <w:u w:val="single"/>
          <w:lang w:val="en-US" w:eastAsia="zh-CN"/>
        </w:rPr>
        <w:t>9</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21</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分</w:t>
      </w:r>
      <w:r>
        <w:rPr>
          <w:rFonts w:hint="eastAsia" w:ascii="宋体" w:hAnsi="宋体" w:cs="宋体"/>
          <w:sz w:val="24"/>
          <w:highlight w:val="none"/>
        </w:rPr>
        <w:t>（北</w:t>
      </w:r>
      <w:r>
        <w:rPr>
          <w:rFonts w:hint="eastAsia" w:ascii="宋体" w:hAnsi="宋体" w:cs="宋体"/>
          <w:sz w:val="24"/>
        </w:rPr>
        <w:t>京时间）</w:t>
      </w:r>
    </w:p>
    <w:p>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23"/>
    <w:bookmarkEnd w:id="24"/>
    <w:bookmarkEnd w:id="25"/>
    <w:bookmarkEnd w:id="26"/>
    <w:p>
      <w:pPr>
        <w:pStyle w:val="24"/>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（一）公告网址：台州湾新区小额工程电子交易平台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宋体"/>
          <w:sz w:val="24"/>
          <w:szCs w:val="20"/>
        </w:rPr>
      </w:pPr>
      <w:r>
        <w:rPr>
          <w:rFonts w:hint="eastAsia" w:ascii="宋体" w:hAnsi="宋体" w:cs="宋体"/>
          <w:b/>
          <w:bCs/>
          <w:sz w:val="24"/>
        </w:rPr>
        <w:t>七、投标保证金</w:t>
      </w:r>
      <w:r>
        <w:rPr>
          <w:rFonts w:hint="eastAsia" w:ascii="宋体" w:hAnsi="宋体" w:cs="宋体"/>
          <w:sz w:val="24"/>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1.投标保证金金额：</w:t>
      </w:r>
      <w:r>
        <w:rPr>
          <w:rFonts w:hint="eastAsia" w:ascii="宋体" w:hAnsi="宋体" w:cs="宋体"/>
          <w:bCs/>
          <w:kern w:val="0"/>
          <w:sz w:val="24"/>
          <w:highlight w:val="none"/>
          <w:u w:val="single"/>
          <w:lang w:val="en-US" w:eastAsia="zh-CN"/>
        </w:rPr>
        <w:t>4000</w:t>
      </w:r>
      <w:r>
        <w:rPr>
          <w:rFonts w:hint="eastAsia" w:ascii="宋体" w:hAnsi="宋体" w:cs="宋体"/>
          <w:bCs/>
          <w:kern w:val="0"/>
          <w:sz w:val="24"/>
          <w:highlight w:val="none"/>
        </w:rPr>
        <w:t>元。</w:t>
      </w:r>
    </w:p>
    <w:p>
      <w:pPr>
        <w:pStyle w:val="24"/>
        <w:ind w:left="0" w:leftChars="0" w:firstLine="480"/>
        <w:jc w:val="left"/>
        <w:rPr>
          <w:rFonts w:ascii="宋体" w:hAnsi="宋体" w:cs="宋体"/>
          <w:bCs/>
          <w:kern w:val="0"/>
          <w:sz w:val="24"/>
        </w:rPr>
      </w:pPr>
      <w:r>
        <w:rPr>
          <w:rFonts w:hint="eastAsia" w:ascii="宋体" w:hAnsi="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①工程保函的受益人：</w:t>
      </w:r>
      <w:r>
        <w:rPr>
          <w:rFonts w:hint="eastAsia" w:ascii="宋体" w:hAnsi="宋体" w:cs="宋体"/>
          <w:bCs/>
          <w:kern w:val="0"/>
          <w:sz w:val="24"/>
          <w:u w:val="single"/>
          <w:lang w:eastAsia="zh-CN"/>
        </w:rPr>
        <w:t>台州市云湖小学</w:t>
      </w: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highlight w:val="none"/>
        </w:rPr>
        <w:t>（2）若是投标人委托代理人递交工程保函的，应持针对本工程的法定代表人授权委托书原件（格式</w:t>
      </w:r>
      <w:r>
        <w:rPr>
          <w:rFonts w:hint="eastAsia" w:ascii="宋体" w:hAnsi="宋体" w:cs="宋体"/>
          <w:bCs/>
          <w:kern w:val="0"/>
          <w:sz w:val="24"/>
          <w:highlight w:val="none"/>
          <w:lang w:eastAsia="zh-CN"/>
        </w:rPr>
        <w:t>见附件</w:t>
      </w:r>
      <w:r>
        <w:rPr>
          <w:rFonts w:hint="eastAsia" w:ascii="宋体" w:hAnsi="宋体" w:cs="宋体"/>
          <w:bCs/>
          <w:kern w:val="0"/>
          <w:sz w:val="24"/>
          <w:highlight w:val="none"/>
        </w:rPr>
        <w:t>）及身份</w:t>
      </w:r>
      <w:r>
        <w:rPr>
          <w:rFonts w:hint="eastAsia" w:ascii="宋体" w:hAnsi="宋体" w:cs="宋体"/>
          <w:bCs/>
          <w:kern w:val="0"/>
          <w:sz w:val="24"/>
        </w:rPr>
        <w:t>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rPr>
        <w:t>（3）递交</w:t>
      </w:r>
      <w:r>
        <w:rPr>
          <w:rFonts w:hint="eastAsia" w:ascii="宋体" w:hAnsi="宋体" w:cs="宋体"/>
          <w:bCs/>
          <w:kern w:val="0"/>
          <w:sz w:val="24"/>
          <w:highlight w:val="none"/>
        </w:rPr>
        <w:t>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提交时间：</w:t>
      </w:r>
      <w:r>
        <w:rPr>
          <w:rFonts w:ascii="宋体" w:hAnsi="宋体" w:cs="宋体"/>
          <w:bCs/>
          <w:kern w:val="0"/>
          <w:sz w:val="24"/>
          <w:highlight w:val="none"/>
          <w:u w:val="single"/>
        </w:rPr>
        <w:t>2023年</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21</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13</w:t>
      </w:r>
      <w:r>
        <w:rPr>
          <w:rFonts w:ascii="宋体" w:hAnsi="宋体" w:cs="宋体"/>
          <w:bCs/>
          <w:kern w:val="0"/>
          <w:sz w:val="24"/>
          <w:highlight w:val="none"/>
          <w:u w:val="single"/>
        </w:rPr>
        <w:t>：</w:t>
      </w:r>
      <w:r>
        <w:rPr>
          <w:rFonts w:hint="eastAsia" w:ascii="宋体" w:hAnsi="宋体" w:cs="宋体"/>
          <w:bCs/>
          <w:kern w:val="0"/>
          <w:sz w:val="24"/>
          <w:highlight w:val="none"/>
          <w:u w:val="single"/>
        </w:rPr>
        <w:t>30-</w:t>
      </w:r>
      <w:r>
        <w:rPr>
          <w:rFonts w:hint="eastAsia" w:ascii="宋体" w:hAnsi="宋体" w:cs="宋体"/>
          <w:bCs/>
          <w:kern w:val="0"/>
          <w:sz w:val="24"/>
          <w:highlight w:val="none"/>
          <w:u w:val="single"/>
          <w:lang w:val="en-US" w:eastAsia="zh-CN"/>
        </w:rPr>
        <w:t>14</w:t>
      </w:r>
      <w:r>
        <w:rPr>
          <w:rFonts w:hint="eastAsia" w:ascii="宋体" w:hAnsi="宋体" w:cs="宋体"/>
          <w:bCs/>
          <w:kern w:val="0"/>
          <w:sz w:val="24"/>
          <w:highlight w:val="none"/>
          <w:u w:val="single"/>
        </w:rPr>
        <w:t>：00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lang w:eastAsia="zh-CN"/>
        </w:rPr>
        <w:t>台州中亿工程管理有限公司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lang w:val="en-US" w:eastAsia="zh-CN"/>
        </w:rPr>
      </w:pPr>
      <w:r>
        <w:rPr>
          <w:rFonts w:hint="eastAsia" w:ascii="宋体" w:hAnsi="宋体" w:cs="宋体"/>
          <w:bCs/>
          <w:kern w:val="0"/>
          <w:sz w:val="24"/>
        </w:rPr>
        <w:t>接</w:t>
      </w:r>
      <w:r>
        <w:rPr>
          <w:rFonts w:hint="eastAsia" w:ascii="宋体" w:hAnsi="宋体" w:cs="宋体"/>
          <w:bCs/>
          <w:kern w:val="0"/>
          <w:sz w:val="24"/>
          <w:highlight w:val="none"/>
        </w:rPr>
        <w:t>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88832068</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3、注意事项</w:t>
      </w:r>
    </w:p>
    <w:p>
      <w:pPr>
        <w:pStyle w:val="4"/>
        <w:ind w:firstLine="480" w:firstLineChars="200"/>
        <w:rPr>
          <w:rFonts w:cs="宋体"/>
          <w:b w:val="0"/>
          <w:bCs/>
          <w:kern w:val="0"/>
          <w:sz w:val="24"/>
          <w:szCs w:val="24"/>
        </w:rPr>
      </w:pPr>
      <w:r>
        <w:rPr>
          <w:rFonts w:hint="eastAsia" w:cs="宋体"/>
          <w:b w:val="0"/>
          <w:bCs/>
          <w:kern w:val="0"/>
          <w:sz w:val="24"/>
          <w:szCs w:val="24"/>
        </w:rPr>
        <w:t>① 若招标文件允许联合体投标且投标人以联合体身份投标的，由联合体牵头人提交投标保证金；</w:t>
      </w:r>
    </w:p>
    <w:p>
      <w:pPr>
        <w:pStyle w:val="4"/>
        <w:ind w:firstLine="480" w:firstLineChars="200"/>
        <w:rPr>
          <w:rFonts w:cs="宋体"/>
          <w:b w:val="0"/>
          <w:bCs/>
          <w:kern w:val="0"/>
          <w:sz w:val="24"/>
          <w:szCs w:val="24"/>
        </w:rPr>
      </w:pPr>
      <w:r>
        <w:rPr>
          <w:rFonts w:hint="eastAsia" w:cs="宋体"/>
          <w:b w:val="0"/>
          <w:bCs/>
          <w:kern w:val="0"/>
          <w:sz w:val="24"/>
          <w:szCs w:val="24"/>
        </w:rPr>
        <w:t>② 现金转账账号根据不同工程（标段）由系统随机生成，此账号只在本工程（标段）中使用有效，请注意核对。账号漏填、混填或错填均视为未按时缴纳保证金。</w:t>
      </w:r>
    </w:p>
    <w:p>
      <w:pPr>
        <w:pStyle w:val="4"/>
        <w:ind w:firstLine="482" w:firstLineChars="200"/>
        <w:rPr>
          <w:rFonts w:cs="宋体"/>
          <w:kern w:val="0"/>
          <w:sz w:val="24"/>
          <w:szCs w:val="24"/>
        </w:rPr>
      </w:pPr>
      <w:r>
        <w:rPr>
          <w:rFonts w:hint="eastAsia" w:cs="宋体"/>
          <w:kern w:val="0"/>
          <w:sz w:val="24"/>
          <w:szCs w:val="24"/>
        </w:rPr>
        <w:t>③ 以现金转账形式提交的投标保证金应当从投标人基本账户转出，购买工程保函的费用应当从投标人基本账户支付；</w:t>
      </w:r>
    </w:p>
    <w:p>
      <w:pPr>
        <w:pStyle w:val="4"/>
        <w:ind w:firstLine="482" w:firstLineChars="200"/>
        <w:rPr>
          <w:rFonts w:cs="宋体"/>
          <w:kern w:val="0"/>
          <w:sz w:val="24"/>
          <w:szCs w:val="24"/>
        </w:rPr>
      </w:pPr>
      <w:r>
        <w:rPr>
          <w:rFonts w:hint="eastAsia" w:cs="宋体"/>
          <w:kern w:val="0"/>
          <w:sz w:val="24"/>
          <w:szCs w:val="24"/>
        </w:rPr>
        <w:t>④ 电子保函或现金转账的缴款凭证，其扫描件（加盖公章）放进投标文件中。</w:t>
      </w:r>
    </w:p>
    <w:p>
      <w:pPr>
        <w:pStyle w:val="4"/>
        <w:ind w:firstLine="480" w:firstLineChars="200"/>
        <w:rPr>
          <w:rFonts w:cs="宋体"/>
          <w:b w:val="0"/>
          <w:bCs/>
          <w:kern w:val="0"/>
          <w:sz w:val="24"/>
          <w:szCs w:val="24"/>
        </w:rPr>
      </w:pPr>
      <w:r>
        <w:rPr>
          <w:rFonts w:hint="eastAsia" w:cs="宋体"/>
          <w:b w:val="0"/>
          <w:bCs/>
          <w:kern w:val="0"/>
          <w:sz w:val="24"/>
          <w:szCs w:val="24"/>
        </w:rPr>
        <w:t>⑤ 若有疑问，请咨询技术服务热线：0576-88865501</w:t>
      </w:r>
    </w:p>
    <w:p>
      <w:pPr>
        <w:pStyle w:val="4"/>
        <w:ind w:firstLine="480" w:firstLineChars="200"/>
        <w:rPr>
          <w:rFonts w:cs="宋体"/>
          <w:b w:val="0"/>
          <w:bCs/>
          <w:kern w:val="0"/>
          <w:sz w:val="24"/>
          <w:szCs w:val="24"/>
        </w:rPr>
      </w:pPr>
      <w:r>
        <w:rPr>
          <w:rFonts w:hint="eastAsia" w:cs="宋体"/>
          <w:b w:val="0"/>
          <w:bCs/>
          <w:kern w:val="0"/>
          <w:sz w:val="24"/>
          <w:szCs w:val="24"/>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sz w:val="24"/>
        </w:rPr>
      </w:pPr>
      <w:r>
        <w:rPr>
          <w:rFonts w:hint="eastAsia" w:ascii="宋体" w:hAnsi="宋体" w:cs="宋体"/>
          <w:b/>
          <w:kern w:val="0"/>
          <w:sz w:val="24"/>
        </w:rPr>
        <w:t>4、</w:t>
      </w:r>
      <w:r>
        <w:rPr>
          <w:rFonts w:hint="eastAsia" w:ascii="宋体" w:hAnsi="宋体" w:cs="宋体"/>
          <w:bCs/>
          <w:kern w:val="0"/>
          <w:sz w:val="24"/>
        </w:rPr>
        <w:t>购买工程电子保函</w:t>
      </w:r>
      <w:r>
        <w:rPr>
          <w:rFonts w:hint="eastAsia" w:ascii="宋体" w:hAnsi="宋体" w:cs="宋体"/>
          <w:bCs/>
          <w:kern w:val="0"/>
          <w:sz w:val="24"/>
          <w:highlight w:val="none"/>
        </w:rPr>
        <w:t>截止时间：</w:t>
      </w:r>
      <w:r>
        <w:rPr>
          <w:rFonts w:hint="eastAsia" w:ascii="宋体" w:hAnsi="宋体" w:cs="宋体"/>
          <w:b/>
          <w:bCs/>
          <w:color w:val="000000"/>
          <w:kern w:val="0"/>
          <w:sz w:val="24"/>
          <w:highlight w:val="none"/>
          <w:u w:val="single"/>
        </w:rPr>
        <w:t xml:space="preserve"> 2023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9</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20</w:t>
      </w:r>
      <w:r>
        <w:rPr>
          <w:rFonts w:hint="eastAsia" w:ascii="宋体" w:hAnsi="宋体" w:cs="宋体"/>
          <w:b/>
          <w:bCs/>
          <w:color w:val="000000"/>
          <w:kern w:val="0"/>
          <w:sz w:val="24"/>
          <w:highlight w:val="none"/>
          <w:lang w:val="en-US" w:eastAsia="zh-CN"/>
        </w:rPr>
        <w:t>日</w:t>
      </w:r>
      <w:r>
        <w:rPr>
          <w:rFonts w:hint="eastAsia" w:ascii="宋体" w:hAnsi="宋体" w:cs="宋体"/>
          <w:b/>
          <w:bCs/>
          <w:color w:val="000000"/>
          <w:kern w:val="0"/>
          <w:sz w:val="24"/>
          <w:highlight w:val="none"/>
        </w:rPr>
        <w:t>下午16点前</w:t>
      </w:r>
      <w:bookmarkStart w:id="78" w:name="_GoBack"/>
      <w:bookmarkEnd w:id="78"/>
    </w:p>
    <w:p>
      <w:pPr>
        <w:pStyle w:val="4"/>
        <w:ind w:right="0" w:firstLine="482" w:firstLineChars="200"/>
        <w:rPr>
          <w:rFonts w:cs="宋体"/>
          <w:bCs/>
          <w:sz w:val="24"/>
          <w:szCs w:val="24"/>
        </w:rPr>
      </w:pPr>
      <w:bookmarkStart w:id="29" w:name="_Toc35393627"/>
      <w:bookmarkStart w:id="30" w:name="_Toc28359085"/>
      <w:bookmarkStart w:id="31" w:name="_Toc35393796"/>
      <w:bookmarkStart w:id="32" w:name="_Toc28359008"/>
      <w:r>
        <w:rPr>
          <w:rFonts w:hint="eastAsia" w:cs="宋体"/>
          <w:bCs/>
          <w:sz w:val="24"/>
          <w:szCs w:val="24"/>
        </w:rPr>
        <w:t>八、</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cs="宋体"/>
          <w:sz w:val="24"/>
          <w:u w:val="single"/>
          <w:lang w:eastAsia="zh-CN"/>
        </w:rPr>
        <w:t>台州市云湖小学</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浙江省台州市台州湾新区荣和路281号</w:t>
      </w:r>
    </w:p>
    <w:p>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联系人：</w:t>
      </w:r>
      <w:bookmarkStart w:id="33" w:name="_Toc28359086"/>
      <w:bookmarkStart w:id="34" w:name="_Toc28359009"/>
      <w:r>
        <w:rPr>
          <w:rFonts w:hint="eastAsia" w:ascii="宋体" w:hAnsi="宋体" w:cs="宋体"/>
          <w:sz w:val="24"/>
          <w:highlight w:val="none"/>
          <w:u w:val="single"/>
          <w:lang w:eastAsia="zh-CN"/>
        </w:rPr>
        <w:t>李先生</w:t>
      </w:r>
    </w:p>
    <w:p>
      <w:p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联系电话：</w:t>
      </w:r>
      <w:r>
        <w:rPr>
          <w:rFonts w:hint="eastAsia" w:ascii="宋体" w:hAnsi="宋体" w:cs="宋体"/>
          <w:sz w:val="24"/>
          <w:highlight w:val="none"/>
          <w:u w:val="single"/>
        </w:rPr>
        <w:t>0576-</w:t>
      </w:r>
      <w:r>
        <w:rPr>
          <w:rFonts w:hint="eastAsia" w:ascii="宋体" w:hAnsi="宋体" w:cs="宋体"/>
          <w:sz w:val="24"/>
          <w:highlight w:val="none"/>
          <w:u w:val="single"/>
          <w:lang w:val="en-US" w:eastAsia="zh-CN"/>
        </w:rPr>
        <w:t>88865683</w:t>
      </w:r>
    </w:p>
    <w:bookmarkEnd w:id="33"/>
    <w:bookmarkEnd w:id="34"/>
    <w:p>
      <w:pPr>
        <w:spacing w:line="360" w:lineRule="auto"/>
        <w:ind w:firstLine="482" w:firstLineChars="200"/>
        <w:rPr>
          <w:rFonts w:ascii="宋体" w:hAnsi="宋体" w:cs="宋体"/>
          <w:b/>
          <w:sz w:val="24"/>
          <w:highlight w:val="none"/>
        </w:rPr>
      </w:pPr>
      <w:r>
        <w:rPr>
          <w:rFonts w:hint="eastAsia" w:ascii="宋体" w:hAnsi="宋体" w:cs="宋体"/>
          <w:b/>
          <w:bCs/>
          <w:sz w:val="24"/>
          <w:highlight w:val="none"/>
        </w:rPr>
        <w:t>（二）采购组织机构</w:t>
      </w:r>
    </w:p>
    <w:p>
      <w:pPr>
        <w:spacing w:line="360" w:lineRule="auto"/>
        <w:ind w:firstLine="480" w:firstLineChars="200"/>
        <w:rPr>
          <w:rFonts w:hint="default" w:ascii="宋体" w:hAnsi="宋体" w:eastAsia="宋体" w:cs="宋体"/>
          <w:sz w:val="24"/>
          <w:u w:val="single"/>
          <w:lang w:val="en-US" w:eastAsia="zh-CN"/>
        </w:rPr>
      </w:pPr>
      <w:bookmarkStart w:id="35" w:name="_Toc28359087"/>
      <w:bookmarkStart w:id="36" w:name="_Toc28359010"/>
      <w:r>
        <w:rPr>
          <w:rFonts w:hint="eastAsia" w:ascii="宋体" w:hAnsi="宋体" w:cs="宋体"/>
          <w:sz w:val="24"/>
        </w:rPr>
        <w:t>名 称：</w:t>
      </w:r>
      <w:r>
        <w:rPr>
          <w:rFonts w:hint="eastAsia" w:ascii="宋体" w:hAnsi="宋体" w:cs="宋体"/>
          <w:sz w:val="24"/>
          <w:u w:val="single"/>
        </w:rPr>
        <w:t>台州中亿工程管理有限公司</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浙江省台州市椒江区亿嘉路华中大厦1-701</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项目联系人：</w:t>
      </w:r>
      <w:r>
        <w:rPr>
          <w:rFonts w:hint="eastAsia" w:ascii="宋体" w:hAnsi="宋体" w:cs="宋体"/>
          <w:sz w:val="24"/>
          <w:u w:val="single"/>
          <w:lang w:eastAsia="zh-CN"/>
        </w:rPr>
        <w:t>李先生</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88832068</w:t>
      </w:r>
    </w:p>
    <w:p>
      <w:pPr>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戴林平</w:t>
      </w:r>
    </w:p>
    <w:p>
      <w:pPr>
        <w:spacing w:line="360" w:lineRule="auto"/>
        <w:ind w:firstLine="480" w:firstLineChars="200"/>
        <w:rPr>
          <w:rFonts w:hint="default" w:ascii="宋体" w:hAnsi="宋体" w:cs="宋体"/>
          <w:sz w:val="24"/>
          <w:u w:val="single"/>
          <w:lang w:val="en-US"/>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88832068</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Theme="minorEastAsia" w:hAnsiTheme="minorEastAsia" w:eastAsiaTheme="minorEastAsia" w:cstheme="minorEastAsia"/>
          <w:sz w:val="24"/>
          <w:u w:val="single"/>
        </w:rPr>
        <w:t>台州湾新区司法审计局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台州市甲南大道东段9号</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徐先生</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0576-88538849</w:t>
      </w:r>
    </w:p>
    <w:p>
      <w:pPr>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蔡先生、王女士</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cs="宋体"/>
          <w:sz w:val="24"/>
          <w:shd w:val="clear" w:color="auto" w:fill="FFFFFF"/>
          <w:lang w:eastAsia="zh-CN"/>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cs="宋体"/>
          <w:sz w:val="24"/>
          <w:shd w:val="clear" w:color="auto" w:fill="FFFFFF"/>
          <w:lang w:eastAsia="zh-CN"/>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lang w:eastAsia="zh-CN"/>
        </w:rPr>
        <w:t>台州中亿工程管理有限公司</w:t>
      </w:r>
      <w:r>
        <w:rPr>
          <w:rFonts w:hint="eastAsia" w:ascii="宋体" w:hAnsi="宋体" w:cs="宋体"/>
          <w:kern w:val="0"/>
          <w:sz w:val="24"/>
        </w:rPr>
        <w:t xml:space="preserve">  </w:t>
      </w:r>
    </w:p>
    <w:p>
      <w:pPr>
        <w:widowControl/>
        <w:spacing w:line="360" w:lineRule="auto"/>
        <w:ind w:firstLine="200"/>
        <w:jc w:val="right"/>
        <w:rPr>
          <w:rFonts w:asciiTheme="minorEastAsia" w:hAnsiTheme="minorEastAsia" w:eastAsiaTheme="minorEastAsia" w:cstheme="minorEastAsia"/>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2023年</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kern w:val="0"/>
          <w:sz w:val="24"/>
        </w:rPr>
        <w:t>月</w:t>
      </w: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0" w:firstLineChars="0"/>
        <w:rPr>
          <w:rFonts w:hint="eastAsia" w:asciiTheme="minorEastAsia" w:hAnsiTheme="minorEastAsia" w:eastAsiaTheme="minorEastAsia" w:cstheme="minorEastAsia"/>
          <w:kern w:val="0"/>
        </w:rPr>
      </w:pPr>
    </w:p>
    <w:bookmarkEnd w:id="35"/>
    <w:bookmarkEnd w:id="36"/>
    <w:p>
      <w:pPr>
        <w:numPr>
          <w:ilvl w:val="0"/>
          <w:numId w:val="6"/>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pPr>
        <w:numPr>
          <w:ilvl w:val="0"/>
          <w:numId w:val="7"/>
        </w:numPr>
        <w:ind w:firstLine="482" w:firstLineChars="200"/>
      </w:pPr>
      <w:r>
        <w:rPr>
          <w:rFonts w:hint="eastAsia" w:asciiTheme="minorEastAsia" w:hAnsiTheme="minorEastAsia" w:eastAsiaTheme="minorEastAsia"/>
          <w:b/>
          <w:sz w:val="24"/>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hint="eastAsia" w:ascii="宋体" w:hAnsi="宋体" w:eastAsia="宋体" w:cs="宋体"/>
                <w:lang w:eastAsia="zh-CN"/>
              </w:rPr>
            </w:pPr>
            <w:r>
              <w:rPr>
                <w:rFonts w:hint="eastAsia" w:ascii="宋体" w:hAnsi="宋体" w:cs="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rPr>
            </w:pPr>
            <w:r>
              <w:rPr>
                <w:rFonts w:hint="eastAsia" w:ascii="宋体" w:hAnsi="宋体" w:cs="宋体"/>
              </w:rPr>
              <w:t>2、电子投标文件上传步骤：</w:t>
            </w:r>
          </w:p>
          <w:p>
            <w:pPr>
              <w:spacing w:line="300" w:lineRule="auto"/>
              <w:ind w:firstLine="420" w:firstLineChars="200"/>
              <w:rPr>
                <w:rFonts w:ascii="宋体" w:hAnsi="宋体" w:cs="宋体"/>
              </w:rPr>
            </w:pPr>
            <w:r>
              <w:rPr>
                <w:rFonts w:hint="eastAsia" w:ascii="宋体" w:hAnsi="宋体" w:cs="宋体"/>
              </w:rPr>
              <w:t>1) 台州湾新区小额工程电子交易平台（网址：http://www.tzwztb.com/）；</w:t>
            </w:r>
          </w:p>
          <w:p>
            <w:pPr>
              <w:spacing w:line="300" w:lineRule="auto"/>
              <w:ind w:firstLine="420" w:firstLineChars="200"/>
              <w:rPr>
                <w:rFonts w:ascii="宋体" w:hAnsi="宋体" w:cs="宋体"/>
              </w:rPr>
            </w:pPr>
            <w:r>
              <w:rPr>
                <w:rFonts w:hint="eastAsia" w:ascii="宋体" w:hAnsi="宋体" w:cs="宋体"/>
              </w:rPr>
              <w:t>2) 投标人应提前办好ca锁（办理网址：http://www.tseal.cn/tcloud/common.xhtml?projId=295），绑定平台账户。</w:t>
            </w:r>
          </w:p>
          <w:p>
            <w:pPr>
              <w:spacing w:line="300" w:lineRule="auto"/>
              <w:ind w:firstLine="420" w:firstLineChars="200"/>
              <w:rPr>
                <w:rFonts w:ascii="宋体" w:hAnsi="宋体" w:cs="宋体"/>
              </w:rPr>
            </w:pPr>
            <w:r>
              <w:rPr>
                <w:rFonts w:hint="eastAsia" w:ascii="宋体" w:hAnsi="宋体" w:cs="宋体"/>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本项目投标应以人民币报价；</w:t>
            </w:r>
          </w:p>
          <w:p>
            <w:pPr>
              <w:spacing w:line="300" w:lineRule="auto"/>
              <w:rPr>
                <w:rFonts w:ascii="宋体" w:hAnsi="宋体" w:cs="宋体"/>
              </w:rPr>
            </w:pPr>
            <w:r>
              <w:rPr>
                <w:rFonts w:hint="eastAsia" w:ascii="宋体" w:hAnsi="宋体" w:cs="宋体"/>
                <w:highlight w:val="none"/>
              </w:rPr>
              <w:t>不论投标结果如何，投标人均应自行承担所有与投标有关的全部费用。</w:t>
            </w:r>
            <w:r>
              <w:rPr>
                <w:rFonts w:hint="eastAsia" w:ascii="宋体" w:hAnsi="宋体" w:cs="宋体"/>
                <w:szCs w:val="21"/>
                <w:highlight w:val="none"/>
              </w:rPr>
              <w:t>本项目招标代理服务费</w:t>
            </w:r>
            <w:r>
              <w:rPr>
                <w:rFonts w:hint="eastAsia" w:ascii="宋体" w:hAnsi="宋体" w:cs="宋体"/>
                <w:szCs w:val="21"/>
                <w:highlight w:val="none"/>
                <w:lang w:val="en-US" w:eastAsia="zh-CN"/>
              </w:rPr>
              <w:t>6000</w:t>
            </w:r>
            <w:r>
              <w:rPr>
                <w:rFonts w:hint="eastAsia" w:ascii="宋体" w:hAnsi="宋体" w:cs="宋体"/>
                <w:szCs w:val="21"/>
                <w:highlight w:val="none"/>
              </w:rPr>
              <w:t>元，由中标单位支付，请各投标人报价时综合考虑。</w:t>
            </w:r>
          </w:p>
        </w:tc>
      </w:tr>
    </w:tbl>
    <w:p>
      <w:pPr>
        <w:pStyle w:val="2"/>
        <w:rPr>
          <w:rFonts w:asciiTheme="minorEastAsia" w:hAnsiTheme="minorEastAsia" w:eastAsiaTheme="minorEastAsia"/>
          <w:b/>
          <w:sz w:val="24"/>
        </w:rPr>
      </w:pP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4"/>
        <w:numPr>
          <w:ilvl w:val="0"/>
          <w:numId w:val="8"/>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8"/>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本项目不接受联合体投标。</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lang w:eastAsia="zh-CN"/>
        </w:rPr>
        <w:t>台州中亿工程管理有限公司</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1.本项目不组织现场踏勘。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sz w:val="24"/>
        </w:rPr>
      </w:pPr>
      <w:r>
        <w:rPr>
          <w:rFonts w:hint="eastAsia" w:hAnsi="宋体"/>
          <w:b/>
          <w:sz w:val="24"/>
        </w:rPr>
        <w:t>（七）特别说明</w:t>
      </w:r>
    </w:p>
    <w:p>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34"/>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投标人获取招标文件后，按照采购组织机构的要求提供：资格标、技术标和商务标</w:t>
      </w:r>
      <w:r>
        <w:rPr>
          <w:rFonts w:hint="eastAsia" w:asciiTheme="minorEastAsia" w:hAnsiTheme="minorEastAsia" w:eastAsiaTheme="minorEastAsia"/>
          <w:kern w:val="0"/>
          <w:sz w:val="24"/>
          <w:lang w:val="zh-CN"/>
        </w:rPr>
        <w:t>。若参与多标项投标的，则按每个标项分别独立编制投标文件。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1.资格标</w:t>
      </w:r>
      <w:r>
        <w:rPr>
          <w:rFonts w:hint="eastAsia" w:ascii="宋体" w:hAnsi="宋体"/>
          <w:b/>
          <w:sz w:val="24"/>
        </w:rPr>
        <w:t>组成</w:t>
      </w:r>
    </w:p>
    <w:p>
      <w:pPr>
        <w:snapToGrid w:val="0"/>
        <w:spacing w:line="360" w:lineRule="auto"/>
        <w:ind w:firstLine="480" w:firstLineChars="200"/>
        <w:rPr>
          <w:rFonts w:ascii="宋体" w:hAnsi="宋体" w:cs="宋体"/>
          <w:sz w:val="24"/>
        </w:rPr>
      </w:pPr>
      <w:r>
        <w:rPr>
          <w:rFonts w:hint="eastAsia" w:ascii="宋体" w:hAnsi="宋体" w:cs="宋体"/>
          <w:sz w:val="24"/>
        </w:rPr>
        <w:t>（1）投标声明书（详见附件）；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（2）授权委托书（法定代表人亲自办理投标事宜的，则无需提交；详见附件）；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（3）法人或者其他组织的营业执照等证明文件；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）具有依法缴纳税收和社会保障资金证明的承诺函（详见附件）；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）具有良好的商业信誉和健全的财务会计制度的承诺函（详见附件）；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（6）具有履行合同所必须的设备和专业技术能力的承诺函（详见附件）；</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）需要说明的其他资料。</w:t>
      </w:r>
    </w:p>
    <w:p>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eastAsiaTheme="minorEastAsia"/>
          <w:b/>
          <w:sz w:val="24"/>
        </w:rPr>
        <w:t>技术标</w:t>
      </w:r>
      <w:r>
        <w:rPr>
          <w:rFonts w:hint="eastAsia" w:ascii="宋体" w:hAnsi="宋体"/>
          <w:b/>
          <w:sz w:val="24"/>
        </w:rPr>
        <w:t>组成</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1）</w:t>
      </w:r>
      <w:r>
        <w:rPr>
          <w:rFonts w:hint="eastAsia" w:ascii="宋体" w:hAnsi="宋体"/>
          <w:bCs/>
          <w:sz w:val="24"/>
          <w:highlight w:val="none"/>
        </w:rPr>
        <w:t>投标人基本情况表（详见附件）；</w:t>
      </w:r>
    </w:p>
    <w:p>
      <w:pP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）其余内容根据评标办法自拟（详见格式附件）</w:t>
      </w:r>
      <w:r>
        <w:rPr>
          <w:rFonts w:hint="eastAsia" w:ascii="宋体" w:hAnsi="宋体" w:eastAsia="宋体" w:cs="宋体"/>
          <w:kern w:val="0"/>
          <w:sz w:val="24"/>
          <w:highlight w:val="none"/>
        </w:rPr>
        <w:t>；</w:t>
      </w:r>
    </w:p>
    <w:p>
      <w:pPr>
        <w:pStyle w:val="6"/>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eastAsia="宋体" w:cs="宋体"/>
          <w:sz w:val="24"/>
          <w:szCs w:val="21"/>
          <w:highlight w:val="none"/>
        </w:rPr>
        <w:t>（</w:t>
      </w:r>
      <w:r>
        <w:rPr>
          <w:rFonts w:hint="eastAsia" w:ascii="宋体" w:hAnsi="宋体" w:eastAsia="宋体" w:cs="宋体"/>
          <w:sz w:val="24"/>
          <w:szCs w:val="21"/>
          <w:highlight w:val="none"/>
          <w:lang w:val="en-US" w:eastAsia="zh-CN"/>
        </w:rPr>
        <w:t>3</w:t>
      </w:r>
      <w:r>
        <w:rPr>
          <w:rFonts w:hint="eastAsia" w:ascii="宋体" w:hAnsi="宋体" w:eastAsia="宋体" w:cs="宋体"/>
          <w:sz w:val="24"/>
          <w:szCs w:val="21"/>
          <w:highlight w:val="none"/>
        </w:rPr>
        <w:t>）投标人认为需要提供的其他资料</w:t>
      </w:r>
      <w:r>
        <w:rPr>
          <w:rFonts w:hint="eastAsia" w:ascii="宋体" w:hAnsi="宋体" w:eastAsia="宋体" w:cs="宋体"/>
          <w:kern w:val="0"/>
          <w:sz w:val="24"/>
          <w:highlight w:val="none"/>
        </w:rPr>
        <w:t>。</w:t>
      </w:r>
    </w:p>
    <w:p>
      <w:pPr>
        <w:autoSpaceDE w:val="0"/>
        <w:autoSpaceDN w:val="0"/>
        <w:adjustRightInd w:val="0"/>
        <w:spacing w:line="360" w:lineRule="auto"/>
        <w:ind w:firstLine="482" w:firstLineChars="200"/>
        <w:rPr>
          <w:rFonts w:hint="eastAsia" w:asciiTheme="minorEastAsia" w:hAnsiTheme="minorEastAsia" w:eastAsiaTheme="minorEastAsia"/>
          <w:b/>
          <w:kern w:val="0"/>
          <w:sz w:val="24"/>
        </w:rPr>
      </w:pPr>
      <w:r>
        <w:rPr>
          <w:rFonts w:hint="eastAsia" w:ascii="宋体" w:hAnsi="宋体" w:eastAsia="宋体" w:cs="宋体"/>
          <w:b/>
          <w:kern w:val="0"/>
          <w:sz w:val="24"/>
          <w:highlight w:val="none"/>
        </w:rPr>
        <w:t>招标需求中要求提供的相关证明材料及根据评标办法提供的证明材料均需在磋商响应文件中提供扫描件。</w:t>
      </w:r>
    </w:p>
    <w:p>
      <w:pPr>
        <w:autoSpaceDE w:val="0"/>
        <w:autoSpaceDN w:val="0"/>
        <w:adjustRightInd w:val="0"/>
        <w:spacing w:line="360" w:lineRule="auto"/>
        <w:ind w:left="426" w:firstLine="65" w:firstLineChars="27"/>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3、商务标组成</w:t>
      </w:r>
    </w:p>
    <w:p>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（1）开标一览表（详见附件）；</w:t>
      </w:r>
    </w:p>
    <w:p>
      <w:pPr>
        <w:autoSpaceDE w:val="0"/>
        <w:autoSpaceDN w:val="0"/>
        <w:adjustRightInd w:val="0"/>
        <w:spacing w:line="360" w:lineRule="auto"/>
        <w:ind w:firstLine="480" w:firstLineChars="200"/>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lang w:val="en-US" w:eastAsia="zh-CN"/>
        </w:rPr>
        <w:t>2</w:t>
      </w:r>
      <w:r>
        <w:rPr>
          <w:rFonts w:hint="eastAsia" w:asciiTheme="minorEastAsia" w:hAnsiTheme="minorEastAsia" w:eastAsiaTheme="minorEastAsia"/>
          <w:kern w:val="0"/>
          <w:sz w:val="24"/>
          <w:highlight w:val="none"/>
          <w:lang w:eastAsia="zh-CN"/>
        </w:rPr>
        <w:t>）报价明细表</w:t>
      </w:r>
      <w:r>
        <w:rPr>
          <w:rFonts w:hint="eastAsia" w:asciiTheme="minorEastAsia" w:hAnsiTheme="minorEastAsia" w:eastAsiaTheme="minorEastAsia"/>
          <w:kern w:val="0"/>
          <w:sz w:val="24"/>
          <w:highlight w:val="none"/>
        </w:rPr>
        <w:t>（详见附件）</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2.投标报价是履行合同的最终价格，</w:t>
      </w:r>
      <w:r>
        <w:rPr>
          <w:rFonts w:hint="eastAsia" w:ascii="宋体" w:hAnsi="宋体"/>
          <w:bCs/>
          <w:spacing w:val="-4"/>
          <w:sz w:val="24"/>
          <w:lang w:bidi="ar"/>
        </w:rPr>
        <w:t>应包括主件、标准附件、备品备件、施工、服务、专用工具、安装、调试、检验、培训、运输、保险、税款等政策性文件规定及合同包含的所有风险、责任</w:t>
      </w:r>
      <w:r>
        <w:rPr>
          <w:rFonts w:hint="eastAsia" w:ascii="宋体" w:hAnsi="宋体"/>
          <w:bCs/>
          <w:spacing w:val="-4"/>
          <w:sz w:val="24"/>
          <w:lang w:eastAsia="zh-CN" w:bidi="ar"/>
        </w:rPr>
        <w:t>等</w:t>
      </w:r>
      <w:r>
        <w:rPr>
          <w:rFonts w:hint="eastAsia" w:ascii="宋体" w:hAnsi="宋体"/>
          <w:bCs/>
          <w:spacing w:val="-4"/>
          <w:sz w:val="24"/>
          <w:lang w:bidi="ar"/>
        </w:rPr>
        <w:t>所有费用</w:t>
      </w:r>
      <w:r>
        <w:rPr>
          <w:rFonts w:hint="eastAsia" w:asciiTheme="minorEastAsia" w:hAnsiTheme="minorEastAsia" w:eastAsiaTheme="minorEastAsia"/>
          <w:bCs/>
          <w:kern w:val="0"/>
          <w:sz w:val="24"/>
        </w:rPr>
        <w:t>。供应商须充分考虑实际服务内容和需求，针对自身实际情况，核算所需的成本及合理的利润，自行报价，结算时由供应商开具正式发票。各投标人应根据招标人提供的技术资料以及本</w:t>
      </w:r>
      <w:r>
        <w:rPr>
          <w:rFonts w:hint="eastAsia" w:asciiTheme="minorEastAsia" w:hAnsiTheme="minorEastAsia" w:eastAsiaTheme="minorEastAsia"/>
          <w:bCs/>
          <w:kern w:val="0"/>
          <w:sz w:val="24"/>
          <w:lang w:eastAsia="zh-CN"/>
        </w:rPr>
        <w:t>项目</w:t>
      </w:r>
      <w:r>
        <w:rPr>
          <w:rFonts w:hint="eastAsia" w:asciiTheme="minorEastAsia" w:hAnsiTheme="minorEastAsia" w:eastAsiaTheme="minorEastAsia"/>
          <w:bCs/>
          <w:kern w:val="0"/>
          <w:sz w:val="24"/>
        </w:rPr>
        <w:t>实际情况和自身的综合实力，竞报投标报价。总报价以人民币元计。知识产权等由投标人在投标报价时综合考虑，以后不作任何调整。</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pStyle w:val="13"/>
        <w:snapToGrid w:val="0"/>
        <w:spacing w:line="360" w:lineRule="auto"/>
        <w:ind w:firstLine="413" w:firstLineChars="196"/>
        <w:rPr>
          <w:rFonts w:hAnsi="宋体"/>
          <w:b/>
          <w:bCs/>
        </w:rPr>
      </w:pPr>
      <w:r>
        <w:rPr>
          <w:rFonts w:hAnsi="宋体"/>
          <w:b/>
          <w:bCs/>
        </w:rPr>
        <w:t>（一）开标</w:t>
      </w:r>
    </w:p>
    <w:p>
      <w:pPr>
        <w:pStyle w:val="20"/>
        <w:widowControl w:val="0"/>
        <w:snapToGrid w:val="0"/>
        <w:spacing w:before="156" w:beforeLines="50" w:beforeAutospacing="0" w:after="0" w:afterAutospacing="0" w:line="360" w:lineRule="auto"/>
        <w:ind w:firstLine="480" w:firstLineChars="200"/>
        <w:jc w:val="both"/>
        <w:rPr>
          <w:rFonts w:hint="default"/>
          <w:bCs/>
        </w:rPr>
      </w:pPr>
      <w:r>
        <w:rPr>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28"/>
        </w:rPr>
        <w:t>http://www.tzwztb.com/live/</w:t>
      </w:r>
      <w:r>
        <w:rPr>
          <w:rStyle w:val="28"/>
        </w:rPr>
        <w:fldChar w:fldCharType="end"/>
      </w:r>
      <w:r>
        <w:rPr>
          <w:rFonts w:hint="default"/>
        </w:rPr>
        <w:t xml:space="preserve"> </w:t>
      </w:r>
      <w:r>
        <w:t>。</w:t>
      </w:r>
    </w:p>
    <w:p>
      <w:pPr>
        <w:pStyle w:val="13"/>
        <w:snapToGrid w:val="0"/>
        <w:spacing w:before="120" w:after="120" w:line="360" w:lineRule="auto"/>
        <w:ind w:firstLine="482" w:firstLineChars="200"/>
        <w:rPr>
          <w:rFonts w:hAnsi="宋体" w:cs="宋体"/>
          <w:b/>
          <w:bCs/>
          <w:sz w:val="24"/>
        </w:rPr>
      </w:pPr>
      <w:r>
        <w:rPr>
          <w:rFonts w:hAnsi="宋体" w:cs="宋体"/>
          <w:b/>
          <w:bCs/>
          <w:sz w:val="24"/>
        </w:rPr>
        <w:t>（二） 开标程序：</w:t>
      </w:r>
    </w:p>
    <w:p>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3、采购人依法对资格文件进行审查，评标委员会对技术文件进行评审。</w:t>
      </w:r>
    </w:p>
    <w:p>
      <w:pPr>
        <w:snapToGrid w:val="0"/>
        <w:spacing w:line="360" w:lineRule="auto"/>
        <w:ind w:firstLine="480" w:firstLineChars="200"/>
        <w:rPr>
          <w:rFonts w:ascii="宋体" w:hAnsi="宋体" w:cs="宋体"/>
          <w:sz w:val="24"/>
        </w:rPr>
      </w:pPr>
      <w:r>
        <w:rPr>
          <w:rFonts w:ascii="宋体" w:hAnsi="宋体" w:cs="宋体"/>
          <w:sz w:val="24"/>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sz w:val="24"/>
        </w:rPr>
      </w:pPr>
      <w:r>
        <w:rPr>
          <w:rFonts w:ascii="宋体" w:hAnsi="宋体" w:cs="宋体"/>
          <w:sz w:val="24"/>
        </w:rPr>
        <w:t>5、开启各投标人</w:t>
      </w:r>
      <w:r>
        <w:rPr>
          <w:rFonts w:hint="eastAsia" w:ascii="宋体" w:hAnsi="宋体" w:cs="宋体"/>
          <w:sz w:val="24"/>
        </w:rPr>
        <w:t>商务</w:t>
      </w:r>
      <w:r>
        <w:rPr>
          <w:rFonts w:ascii="宋体" w:hAnsi="宋体" w:cs="宋体"/>
          <w:sz w:val="24"/>
        </w:rPr>
        <w:t>文件。</w:t>
      </w:r>
    </w:p>
    <w:p>
      <w:pPr>
        <w:snapToGrid w:val="0"/>
        <w:spacing w:line="360" w:lineRule="auto"/>
        <w:ind w:firstLine="480" w:firstLineChars="20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ascii="宋体" w:hAnsi="宋体" w:cs="宋体"/>
          <w:sz w:val="24"/>
        </w:rPr>
        <w:t>7、评标结束后，主持人公布投标</w:t>
      </w:r>
      <w:r>
        <w:rPr>
          <w:rFonts w:hint="eastAsia" w:ascii="宋体" w:hAnsi="宋体" w:cs="宋体"/>
          <w:sz w:val="24"/>
        </w:rPr>
        <w:t>商务</w:t>
      </w:r>
      <w:r>
        <w:rPr>
          <w:rFonts w:ascii="宋体" w:hAnsi="宋体" w:cs="宋体"/>
          <w:sz w:val="24"/>
        </w:rPr>
        <w:t>得分、综合得分以及推荐中标候选人排序名单。</w:t>
      </w:r>
    </w:p>
    <w:p>
      <w:pPr>
        <w:snapToGrid w:val="0"/>
        <w:spacing w:line="360" w:lineRule="auto"/>
        <w:ind w:firstLine="480" w:firstLineChars="200"/>
        <w:rPr>
          <w:rFonts w:ascii="宋体" w:hAnsi="宋体" w:cs="宋体"/>
          <w:sz w:val="24"/>
        </w:rPr>
      </w:pPr>
      <w:r>
        <w:rPr>
          <w:rFonts w:ascii="宋体" w:hAnsi="宋体" w:cs="宋体"/>
          <w:sz w:val="24"/>
        </w:rPr>
        <w:t>8、开标会议结束。</w:t>
      </w:r>
    </w:p>
    <w:p>
      <w:pPr>
        <w:snapToGrid w:val="0"/>
        <w:spacing w:line="360" w:lineRule="auto"/>
        <w:ind w:firstLine="480" w:firstLineChars="200"/>
        <w:rPr>
          <w:rFonts w:ascii="宋体" w:hAnsi="宋体" w:cs="宋体"/>
          <w:sz w:val="24"/>
        </w:rPr>
      </w:pPr>
      <w:r>
        <w:rPr>
          <w:rFonts w:ascii="宋体" w:hAnsi="宋体" w:cs="宋体"/>
          <w:sz w:val="24"/>
        </w:rPr>
        <w:t>9、其他注意事项：</w:t>
      </w:r>
    </w:p>
    <w:p>
      <w:pPr>
        <w:snapToGrid w:val="0"/>
        <w:spacing w:line="360" w:lineRule="auto"/>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pPr>
        <w:snapToGrid w:val="0"/>
        <w:spacing w:line="360" w:lineRule="auto"/>
        <w:ind w:firstLine="480" w:firstLineChars="200"/>
        <w:rPr>
          <w:rFonts w:ascii="宋体" w:hAnsi="宋体" w:cs="宋体"/>
          <w:sz w:val="24"/>
        </w:rPr>
      </w:pPr>
      <w:r>
        <w:rPr>
          <w:rFonts w:hint="eastAsia" w:ascii="宋体" w:hAnsi="宋体" w:cs="宋体"/>
          <w:sz w:val="24"/>
        </w:rPr>
        <w:t>（1）开标项目的时间均以国家授时中心发布的时间为准。</w:t>
      </w:r>
    </w:p>
    <w:p>
      <w:pPr>
        <w:snapToGrid w:val="0"/>
        <w:spacing w:line="360" w:lineRule="auto"/>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pPr>
        <w:snapToGrid w:val="0"/>
        <w:spacing w:line="360" w:lineRule="auto"/>
        <w:ind w:firstLine="480" w:firstLineChars="200"/>
        <w:rPr>
          <w:rFonts w:hAnsi="宋体"/>
          <w:bCs/>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kern w:val="0"/>
          <w:sz w:val="24"/>
        </w:rPr>
      </w:pPr>
      <w:r>
        <w:rPr>
          <w:rFonts w:hint="eastAsia" w:ascii="宋体" w:hAnsi="宋体"/>
          <w:b/>
          <w:kern w:val="0"/>
          <w:sz w:val="24"/>
        </w:rPr>
        <w:t>（三） 异常情况处理：</w:t>
      </w:r>
    </w:p>
    <w:p>
      <w:pPr>
        <w:snapToGrid w:val="0"/>
        <w:spacing w:line="360" w:lineRule="auto"/>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rPr>
      </w:pPr>
      <w:r>
        <w:rPr>
          <w:rFonts w:hint="eastAsia" w:ascii="宋体" w:hAnsi="宋体"/>
          <w:sz w:val="24"/>
        </w:rPr>
        <w:t>1、电子交易平台发生故障而无法登录访问的；</w:t>
      </w:r>
    </w:p>
    <w:p>
      <w:pPr>
        <w:snapToGrid w:val="0"/>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pPr>
        <w:snapToGrid w:val="0"/>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pPr>
        <w:snapToGrid w:val="0"/>
        <w:spacing w:line="360" w:lineRule="auto"/>
        <w:ind w:firstLine="480" w:firstLineChars="200"/>
        <w:rPr>
          <w:rFonts w:ascii="宋体" w:hAnsi="宋体"/>
          <w:sz w:val="24"/>
        </w:rPr>
      </w:pPr>
      <w:r>
        <w:rPr>
          <w:rFonts w:hint="eastAsia" w:ascii="宋体" w:hAnsi="宋体"/>
          <w:sz w:val="24"/>
        </w:rPr>
        <w:t>4、病毒发作导致不能进行正常操作的；</w:t>
      </w:r>
    </w:p>
    <w:p>
      <w:pPr>
        <w:snapToGrid w:val="0"/>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pPr>
        <w:pStyle w:val="6"/>
        <w:spacing w:line="360" w:lineRule="auto"/>
        <w:ind w:firstLine="480" w:firstLineChars="200"/>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pPr>
        <w:pStyle w:val="6"/>
        <w:spacing w:line="360" w:lineRule="auto"/>
        <w:ind w:firstLine="723" w:firstLineChars="300"/>
        <w:rPr>
          <w:b/>
          <w:bCs/>
          <w:sz w:val="24"/>
          <w:szCs w:val="22"/>
        </w:rPr>
      </w:pPr>
      <w:r>
        <w:rPr>
          <w:rFonts w:hint="eastAsia"/>
          <w:b/>
          <w:bCs/>
          <w:sz w:val="24"/>
          <w:szCs w:val="22"/>
        </w:rPr>
        <w:t>（四）开标异议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723" w:firstLineChars="300"/>
        <w:rPr>
          <w:sz w:val="24"/>
          <w:szCs w:val="22"/>
        </w:rPr>
      </w:pPr>
      <w:r>
        <w:rPr>
          <w:rFonts w:hint="eastAsia"/>
          <w:b/>
          <w:bCs/>
          <w:sz w:val="24"/>
          <w:szCs w:val="22"/>
        </w:rPr>
        <w:t>（五）</w:t>
      </w:r>
      <w:r>
        <w:rPr>
          <w:rFonts w:hint="eastAsia"/>
          <w:sz w:val="24"/>
          <w:szCs w:val="22"/>
        </w:rPr>
        <w:t>投标人不足三家，不得开标。</w:t>
      </w:r>
    </w:p>
    <w:p>
      <w:pPr>
        <w:pStyle w:val="13"/>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（一）</w:t>
      </w:r>
      <w:r>
        <w:rPr>
          <w:rFonts w:hint="eastAsia" w:ascii="宋体" w:hAnsi="宋体"/>
          <w:b/>
          <w:bCs/>
          <w:kern w:val="0"/>
          <w:sz w:val="24"/>
        </w:rPr>
        <w:t>发布</w:t>
      </w:r>
      <w:r>
        <w:rPr>
          <w:b/>
          <w:bCs/>
          <w:sz w:val="24"/>
        </w:rPr>
        <w:t>中标</w:t>
      </w:r>
      <w:r>
        <w:rPr>
          <w:rFonts w:hint="eastAsia" w:ascii="宋体" w:hAnsi="宋体"/>
          <w:b/>
          <w:bCs/>
          <w:kern w:val="0"/>
          <w:sz w:val="24"/>
        </w:rPr>
        <w:t>结果公示</w:t>
      </w:r>
    </w:p>
    <w:p>
      <w:pPr>
        <w:spacing w:line="360" w:lineRule="auto"/>
        <w:ind w:firstLine="480" w:firstLineChars="200"/>
        <w:rPr>
          <w:rFonts w:ascii="宋体" w:hAnsi="宋体"/>
          <w:kern w:val="0"/>
          <w:sz w:val="24"/>
        </w:rPr>
      </w:pPr>
      <w:r>
        <w:rPr>
          <w:rFonts w:hint="eastAsia" w:ascii="宋体" w:hAnsi="宋体"/>
          <w:kern w:val="0"/>
          <w:sz w:val="24"/>
        </w:rPr>
        <w:t>评标委员会推荐综合得分从高到低排名第一的为第一中标候选人，综合得分从高到低排名第二的为第二中标候选人，如综合得分相同的，按技术标得分</w:t>
      </w:r>
      <w:r>
        <w:rPr>
          <w:rFonts w:hint="eastAsia" w:ascii="宋体" w:hAnsi="宋体"/>
          <w:kern w:val="0"/>
          <w:sz w:val="24"/>
          <w:lang w:eastAsia="zh-CN"/>
        </w:rPr>
        <w:t>高者为先，</w:t>
      </w:r>
      <w:r>
        <w:rPr>
          <w:rFonts w:hint="eastAsia" w:ascii="宋体" w:hAnsi="宋体"/>
          <w:kern w:val="0"/>
          <w:sz w:val="24"/>
          <w:lang w:val="zh-CN"/>
        </w:rPr>
        <w:t>如均相同的</w:t>
      </w:r>
      <w:r>
        <w:rPr>
          <w:rFonts w:hint="eastAsia" w:ascii="宋体" w:hAnsi="宋体"/>
          <w:kern w:val="0"/>
          <w:sz w:val="24"/>
        </w:rPr>
        <w:t>则抽签确定。</w:t>
      </w:r>
    </w:p>
    <w:p>
      <w:pPr>
        <w:pStyle w:val="20"/>
        <w:spacing w:before="0" w:beforeAutospacing="0" w:after="0" w:afterAutospacing="0" w:line="360" w:lineRule="auto"/>
        <w:ind w:firstLine="480" w:firstLineChars="200"/>
        <w:jc w:val="both"/>
        <w:rPr>
          <w:rFonts w:hint="default"/>
        </w:rPr>
      </w:pPr>
      <w:r>
        <w:t>采购组织机构自中标候选人确定之日起3个工作日内，在浙江省政府采购网和</w:t>
      </w:r>
      <w:r>
        <w:rPr>
          <w:rFonts w:cs="宋体"/>
        </w:rPr>
        <w:t>台州湾新区小额工程电子交易平台</w:t>
      </w:r>
      <w:r>
        <w:t>公告中标结果，中标结果公示期为3日。</w:t>
      </w:r>
    </w:p>
    <w:p>
      <w:pPr>
        <w:pStyle w:val="20"/>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（二）</w:t>
      </w:r>
      <w:r>
        <w:rPr>
          <w:b/>
          <w:bCs/>
        </w:rPr>
        <w:t>确定中标人</w:t>
      </w:r>
    </w:p>
    <w:p>
      <w:pPr>
        <w:spacing w:line="360" w:lineRule="auto"/>
        <w:ind w:firstLine="480" w:firstLineChars="200"/>
        <w:rPr>
          <w:rFonts w:ascii="宋体" w:hAnsi="宋体"/>
          <w:kern w:val="0"/>
          <w:sz w:val="24"/>
        </w:rPr>
      </w:pPr>
      <w:r>
        <w:rPr>
          <w:rFonts w:hint="eastAsia" w:ascii="宋体" w:hAnsi="宋体"/>
          <w:kern w:val="0"/>
          <w:sz w:val="24"/>
        </w:rPr>
        <w:t>本项目</w:t>
      </w:r>
      <w:r>
        <w:rPr>
          <w:rFonts w:hint="eastAsia" w:ascii="宋体" w:hAnsi="宋体"/>
          <w:kern w:val="0"/>
          <w:sz w:val="24"/>
          <w:highlight w:val="none"/>
        </w:rPr>
        <w:t>确定一名中</w:t>
      </w:r>
      <w:r>
        <w:rPr>
          <w:rFonts w:hint="eastAsia" w:ascii="宋体" w:hAnsi="宋体"/>
          <w:kern w:val="0"/>
          <w:sz w:val="24"/>
        </w:rPr>
        <w:t>标人，公示期满后，采购人应确定本项目第一中标候选人为本项目中标人。</w:t>
      </w:r>
    </w:p>
    <w:p>
      <w:pPr>
        <w:pStyle w:val="9"/>
        <w:numPr>
          <w:ilvl w:val="0"/>
          <w:numId w:val="8"/>
        </w:numPr>
        <w:spacing w:line="360" w:lineRule="auto"/>
        <w:ind w:firstLine="482" w:firstLineChars="200"/>
        <w:jc w:val="both"/>
        <w:rPr>
          <w:b/>
          <w:bCs/>
          <w:sz w:val="24"/>
        </w:rPr>
      </w:pPr>
      <w:r>
        <w:rPr>
          <w:rFonts w:hint="eastAsia"/>
          <w:b/>
          <w:bCs/>
          <w:sz w:val="24"/>
        </w:rPr>
        <w:t>发放中标通知书</w:t>
      </w:r>
    </w:p>
    <w:p>
      <w:pPr>
        <w:pStyle w:val="10"/>
        <w:tabs>
          <w:tab w:val="left" w:pos="574"/>
        </w:tabs>
        <w:spacing w:line="400" w:lineRule="exact"/>
        <w:ind w:firstLine="480" w:firstLineChars="200"/>
      </w:pPr>
      <w:r>
        <w:rPr>
          <w:rFonts w:hint="eastAsia"/>
          <w:szCs w:val="32"/>
        </w:rPr>
        <w:t>采购人应当确定第一中标候选人为中标人。如涉及第二中标候选人和其他投标人资格无效的，评标结果不作调整。</w:t>
      </w:r>
    </w:p>
    <w:p>
      <w:pPr>
        <w:pStyle w:val="10"/>
        <w:tabs>
          <w:tab w:val="left" w:pos="574"/>
        </w:tabs>
        <w:spacing w:line="400" w:lineRule="exact"/>
        <w:ind w:firstLine="480" w:firstLineChars="200"/>
      </w:pPr>
      <w:r>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pPr>
        <w:pStyle w:val="10"/>
        <w:tabs>
          <w:tab w:val="left" w:pos="574"/>
        </w:tabs>
        <w:spacing w:line="400" w:lineRule="exact"/>
        <w:ind w:firstLine="480" w:firstLineChars="200"/>
      </w:pPr>
      <w:r>
        <w:rPr>
          <w:rFonts w:hint="eastAsia"/>
          <w:szCs w:val="32"/>
        </w:rPr>
        <w:t>中标人确定后，采购人应当向中标人发出《中标通知书》。</w:t>
      </w:r>
    </w:p>
    <w:p>
      <w:pPr>
        <w:pStyle w:val="10"/>
        <w:tabs>
          <w:tab w:val="left" w:pos="574"/>
        </w:tabs>
        <w:spacing w:line="400" w:lineRule="exact"/>
        <w:ind w:firstLine="480" w:firstLineChars="200"/>
        <w:rPr>
          <w:szCs w:val="32"/>
        </w:rPr>
      </w:pPr>
      <w:r>
        <w:rPr>
          <w:rFonts w:hint="eastAsia"/>
          <w:szCs w:val="32"/>
        </w:rPr>
        <w:t>采购人在发出《中标通知书》的同时，应当将中标结果在交易场所（发布招标公告的媒体上）通知所有未中标的投标人。</w:t>
      </w:r>
    </w:p>
    <w:p>
      <w:pPr>
        <w:pStyle w:val="10"/>
        <w:tabs>
          <w:tab w:val="left" w:pos="574"/>
        </w:tabs>
        <w:spacing w:line="400" w:lineRule="exact"/>
        <w:ind w:firstLine="480" w:firstLineChars="200"/>
        <w:rPr>
          <w:szCs w:val="32"/>
        </w:rPr>
      </w:pPr>
      <w:r>
        <w:rPr>
          <w:rFonts w:hint="eastAsia"/>
          <w:szCs w:val="32"/>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w:t>
      </w:r>
      <w:r>
        <w:rPr>
          <w:rFonts w:asciiTheme="minorEastAsia" w:hAnsiTheme="minorEastAsia" w:eastAsiaTheme="minorEastAsia" w:cstheme="minorEastAsia"/>
          <w:highlight w:val="none"/>
        </w:rPr>
        <w:t>政府采购活动。同时，拒绝与采购人签订合同的中标人，由同级财政部门依法作出处理。</w:t>
      </w:r>
    </w:p>
    <w:p>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9"/>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1.报名本项目的投标人认为招标文件、采购过程和中标结果使自己的权益受到损害的，通过书面形式一次性向采购人或采购组织机构提出质疑：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right="25"/>
        <w:rPr>
          <w:sz w:val="24"/>
        </w:rPr>
      </w:pPr>
      <w:r>
        <w:rPr>
          <w:rFonts w:hint="eastAsia"/>
          <w:b/>
          <w:sz w:val="24"/>
        </w:rPr>
        <w:t>一、招标项目一览表</w:t>
      </w:r>
    </w:p>
    <w:p>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5"/>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235"/>
        <w:gridCol w:w="917"/>
        <w:gridCol w:w="799"/>
        <w:gridCol w:w="119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3235"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917"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19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372"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rPr>
              <w:t>1</w:t>
            </w:r>
          </w:p>
        </w:tc>
        <w:tc>
          <w:tcPr>
            <w:tcW w:w="3235" w:type="dxa"/>
            <w:vAlign w:val="center"/>
          </w:tcPr>
          <w:p>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lang w:eastAsia="zh-CN"/>
              </w:rPr>
              <w:t>云湖小学校园安防系统补充项目</w:t>
            </w:r>
          </w:p>
        </w:tc>
        <w:tc>
          <w:tcPr>
            <w:tcW w:w="917" w:type="dxa"/>
            <w:vAlign w:val="center"/>
          </w:tcPr>
          <w:p>
            <w:pPr>
              <w:tabs>
                <w:tab w:val="left" w:pos="8280"/>
              </w:tabs>
              <w:autoSpaceDE w:val="0"/>
              <w:autoSpaceDN w:val="0"/>
              <w:adjustRightInd w:val="0"/>
              <w:jc w:val="center"/>
              <w:rPr>
                <w:rFonts w:hint="eastAsia" w:ascii="宋体" w:hAnsi="宋体" w:eastAsia="宋体" w:cs="宋体"/>
                <w:b w:val="0"/>
                <w:bCs/>
                <w:szCs w:val="21"/>
                <w:lang w:val="en-US" w:eastAsia="zh-CN"/>
              </w:rPr>
            </w:pPr>
            <w:r>
              <w:rPr>
                <w:rFonts w:hint="eastAsia" w:ascii="宋体" w:hAnsi="宋体" w:cs="宋体"/>
                <w:b w:val="0"/>
                <w:bCs/>
                <w:szCs w:val="21"/>
                <w:lang w:val="en-US" w:eastAsia="zh-CN"/>
              </w:rPr>
              <w:t>1</w:t>
            </w:r>
          </w:p>
        </w:tc>
        <w:tc>
          <w:tcPr>
            <w:tcW w:w="799" w:type="dxa"/>
            <w:vAlign w:val="center"/>
          </w:tcPr>
          <w:p>
            <w:pPr>
              <w:tabs>
                <w:tab w:val="left" w:pos="8280"/>
              </w:tabs>
              <w:autoSpaceDE w:val="0"/>
              <w:autoSpaceDN w:val="0"/>
              <w:adjustRightInd w:val="0"/>
              <w:jc w:val="center"/>
              <w:rPr>
                <w:rFonts w:hint="eastAsia" w:ascii="宋体" w:hAnsi="宋体" w:eastAsia="宋体" w:cs="宋体"/>
                <w:b w:val="0"/>
                <w:bCs/>
                <w:szCs w:val="21"/>
                <w:lang w:eastAsia="zh-CN"/>
              </w:rPr>
            </w:pPr>
            <w:r>
              <w:rPr>
                <w:rFonts w:hint="eastAsia" w:ascii="宋体" w:hAnsi="宋体" w:cs="宋体"/>
                <w:b w:val="0"/>
                <w:bCs/>
                <w:szCs w:val="21"/>
                <w:lang w:eastAsia="zh-CN"/>
              </w:rPr>
              <w:t>项</w:t>
            </w:r>
          </w:p>
        </w:tc>
        <w:tc>
          <w:tcPr>
            <w:tcW w:w="1190" w:type="dxa"/>
            <w:vAlign w:val="center"/>
          </w:tcPr>
          <w:p>
            <w:pPr>
              <w:tabs>
                <w:tab w:val="left" w:pos="8280"/>
              </w:tabs>
              <w:autoSpaceDE w:val="0"/>
              <w:autoSpaceDN w:val="0"/>
              <w:adjustRightInd w:val="0"/>
              <w:jc w:val="center"/>
              <w:rPr>
                <w:rFonts w:hint="default" w:ascii="宋体" w:hAnsi="宋体" w:eastAsia="宋体" w:cs="宋体"/>
                <w:b w:val="0"/>
                <w:bCs/>
                <w:szCs w:val="21"/>
                <w:lang w:val="en-US" w:eastAsia="zh-CN"/>
              </w:rPr>
            </w:pPr>
            <w:r>
              <w:rPr>
                <w:rFonts w:hint="eastAsia" w:ascii="宋体" w:hAnsi="宋体" w:cs="宋体"/>
                <w:b w:val="0"/>
                <w:bCs/>
                <w:szCs w:val="21"/>
                <w:lang w:val="en-US" w:eastAsia="zh-CN"/>
              </w:rPr>
              <w:t>43.8</w:t>
            </w:r>
          </w:p>
        </w:tc>
        <w:tc>
          <w:tcPr>
            <w:tcW w:w="1372" w:type="dxa"/>
            <w:vAlign w:val="center"/>
          </w:tcPr>
          <w:p>
            <w:pPr>
              <w:tabs>
                <w:tab w:val="left" w:pos="8280"/>
              </w:tabs>
              <w:autoSpaceDE w:val="0"/>
              <w:autoSpaceDN w:val="0"/>
              <w:adjustRightInd w:val="0"/>
              <w:jc w:val="center"/>
              <w:rPr>
                <w:rStyle w:val="67"/>
                <w:rFonts w:hint="default" w:ascii="宋体" w:hAnsi="宋体" w:eastAsia="宋体"/>
                <w:b w:val="0"/>
                <w:bCs/>
                <w:szCs w:val="21"/>
                <w:lang w:val="en-US" w:eastAsia="zh-CN"/>
              </w:rPr>
            </w:pPr>
            <w:r>
              <w:rPr>
                <w:rStyle w:val="67"/>
                <w:rFonts w:hint="eastAsia" w:ascii="宋体" w:hAnsi="宋体"/>
                <w:b w:val="0"/>
                <w:bCs/>
                <w:szCs w:val="21"/>
                <w:lang w:val="en-US" w:eastAsia="zh-CN"/>
              </w:rPr>
              <w:t>43.8</w:t>
            </w:r>
          </w:p>
        </w:tc>
      </w:tr>
    </w:tbl>
    <w:p>
      <w:pPr>
        <w:tabs>
          <w:tab w:val="left" w:pos="8280"/>
        </w:tabs>
        <w:autoSpaceDE w:val="0"/>
        <w:autoSpaceDN w:val="0"/>
        <w:adjustRightInd w:val="0"/>
        <w:spacing w:line="360" w:lineRule="auto"/>
        <w:ind w:right="25"/>
        <w:rPr>
          <w:b/>
          <w:sz w:val="24"/>
        </w:rPr>
      </w:pPr>
      <w:r>
        <w:rPr>
          <w:rFonts w:hint="eastAsia"/>
          <w:b/>
          <w:sz w:val="24"/>
        </w:rPr>
        <w:t>二、项目背景</w:t>
      </w:r>
    </w:p>
    <w:p>
      <w:pPr>
        <w:spacing w:line="360" w:lineRule="auto"/>
        <w:ind w:firstLine="480" w:firstLineChars="200"/>
        <w:rPr>
          <w:rFonts w:hint="eastAsia" w:ascii="宋体" w:hAnsi="宋体" w:cs="宋体"/>
          <w:sz w:val="24"/>
          <w:lang w:val="en-US" w:eastAsia="zh-CN"/>
        </w:rPr>
      </w:pPr>
      <w:bookmarkStart w:id="39" w:name="_Toc37599085"/>
      <w:r>
        <w:rPr>
          <w:rFonts w:hint="eastAsia" w:ascii="宋体" w:hAnsi="宋体" w:cs="宋体"/>
          <w:sz w:val="24"/>
          <w:lang w:val="en-US" w:eastAsia="zh-CN"/>
        </w:rPr>
        <w:t xml:space="preserve">校园安全作为一个国家公共安全领域比较重要的部分，一直以来都受到格外重视。近两年，国家与地方政府陆续发布了多项加强校园安全管理的政策、法规及标准规范，提出要不断完善学校的人防、物防、技防建设，构建“平安校园”。    </w:t>
      </w:r>
    </w:p>
    <w:p>
      <w:pPr>
        <w:spacing w:line="360" w:lineRule="auto"/>
        <w:ind w:firstLine="480" w:firstLineChars="200"/>
        <w:rPr>
          <w:rFonts w:ascii="宋体" w:hAnsi="宋体" w:cs="宋体"/>
          <w:sz w:val="24"/>
        </w:rPr>
      </w:pPr>
      <w:r>
        <w:rPr>
          <w:rFonts w:hint="eastAsia" w:ascii="宋体" w:hAnsi="宋体" w:cs="宋体"/>
          <w:sz w:val="24"/>
          <w:lang w:val="en-US" w:eastAsia="zh-CN"/>
        </w:rPr>
        <w:t>台州湾新区一直围绕“平安校园”建设，新区十分重视校园治安综合治理工作，全力打造综合管控的智慧校园治理。本项目根据台州湾新区校园安防平台建设要求，在云湖小学原有智能化工程设备建设基础上，根据校园安防要求补充完善云湖小学校园安防系统，本项目建设内容包含：</w:t>
      </w:r>
      <w:r>
        <w:rPr>
          <w:rFonts w:hint="default" w:ascii="宋体" w:hAnsi="宋体" w:cs="宋体"/>
          <w:sz w:val="24"/>
          <w:lang w:val="en-US" w:eastAsia="zh-CN"/>
        </w:rPr>
        <w:t>防撞柱</w:t>
      </w:r>
      <w:r>
        <w:rPr>
          <w:rFonts w:hint="eastAsia" w:ascii="宋体" w:hAnsi="宋体" w:cs="宋体"/>
          <w:sz w:val="24"/>
          <w:lang w:val="en-US" w:eastAsia="zh-CN"/>
        </w:rPr>
        <w:t>系统、视频</w:t>
      </w:r>
      <w:r>
        <w:rPr>
          <w:rFonts w:hint="default" w:ascii="宋体" w:hAnsi="宋体" w:cs="宋体"/>
          <w:sz w:val="24"/>
          <w:lang w:val="en-US" w:eastAsia="zh-CN"/>
        </w:rPr>
        <w:t>监控</w:t>
      </w:r>
      <w:r>
        <w:rPr>
          <w:rFonts w:hint="eastAsia" w:ascii="宋体" w:hAnsi="宋体" w:cs="宋体"/>
          <w:sz w:val="24"/>
          <w:lang w:val="en-US" w:eastAsia="zh-CN"/>
        </w:rPr>
        <w:t>系统、应急广播系统及云湖小学安防系统与台州湾新区校园安防平台对接服务。</w:t>
      </w:r>
    </w:p>
    <w:p>
      <w:pPr>
        <w:tabs>
          <w:tab w:val="left" w:pos="8280"/>
        </w:tabs>
        <w:autoSpaceDE w:val="0"/>
        <w:autoSpaceDN w:val="0"/>
        <w:adjustRightInd w:val="0"/>
        <w:spacing w:line="360" w:lineRule="auto"/>
        <w:ind w:right="25"/>
        <w:rPr>
          <w:rFonts w:hint="eastAsia" w:ascii="宋体" w:hAnsi="宋体" w:eastAsia="宋体" w:cs="宋体"/>
          <w:sz w:val="24"/>
          <w:lang w:eastAsia="zh-CN"/>
        </w:rPr>
      </w:pPr>
      <w:r>
        <w:rPr>
          <w:rFonts w:hint="eastAsia"/>
          <w:b/>
          <w:sz w:val="24"/>
        </w:rPr>
        <w:t>三、</w:t>
      </w:r>
      <w:bookmarkEnd w:id="39"/>
      <w:r>
        <w:rPr>
          <w:rFonts w:hint="eastAsia"/>
          <w:b/>
          <w:sz w:val="24"/>
          <w:lang w:eastAsia="zh-CN"/>
        </w:rPr>
        <w:t>技术要求</w:t>
      </w:r>
    </w:p>
    <w:tbl>
      <w:tblPr>
        <w:tblStyle w:val="25"/>
        <w:tblW w:w="9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3337"/>
        <w:gridCol w:w="5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7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序号</w:t>
            </w:r>
          </w:p>
        </w:tc>
        <w:tc>
          <w:tcPr>
            <w:tcW w:w="333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名称</w:t>
            </w:r>
          </w:p>
        </w:tc>
        <w:tc>
          <w:tcPr>
            <w:tcW w:w="50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防撞柱系统</w:t>
            </w:r>
          </w:p>
        </w:tc>
        <w:tc>
          <w:tcPr>
            <w:tcW w:w="50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学校门口布置6套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jc w:val="center"/>
        </w:trPr>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视频监控系统</w:t>
            </w:r>
          </w:p>
        </w:tc>
        <w:tc>
          <w:tcPr>
            <w:tcW w:w="50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本次提供监控盲区7</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个点位的监控，含存储。跟原学校监控系统对接。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应急广播系统</w:t>
            </w:r>
          </w:p>
        </w:tc>
        <w:tc>
          <w:tcPr>
            <w:tcW w:w="50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室外扩声系统及风雨操场扩声系统。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jc w:val="center"/>
        </w:trPr>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云湖小学安防子平台建设</w:t>
            </w:r>
          </w:p>
        </w:tc>
        <w:tc>
          <w:tcPr>
            <w:tcW w:w="50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校级驾驶舱建设</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原有安防设备平台对接</w:t>
            </w:r>
            <w:r>
              <w:rPr>
                <w:rFonts w:hint="eastAsia" w:ascii="宋体" w:hAnsi="宋体" w:cs="宋体"/>
                <w:i w:val="0"/>
                <w:iCs w:val="0"/>
                <w:color w:val="000000"/>
                <w:kern w:val="0"/>
                <w:sz w:val="24"/>
                <w:szCs w:val="24"/>
                <w:u w:val="none"/>
                <w:lang w:val="en-US" w:eastAsia="zh-CN" w:bidi="ar"/>
              </w:rPr>
              <w:t>、访客系统。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exact"/>
          <w:jc w:val="center"/>
        </w:trPr>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台州湾新区校园安防平台对接</w:t>
            </w:r>
          </w:p>
        </w:tc>
        <w:tc>
          <w:tcPr>
            <w:tcW w:w="50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云湖小学安防子平台对接台州湾新区校园安防平台，实现云端数据分析汇总</w:t>
            </w:r>
          </w:p>
        </w:tc>
      </w:tr>
    </w:tbl>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eastAsia="宋体" w:cs="宋体"/>
          <w:b/>
          <w:bCs/>
          <w:sz w:val="24"/>
          <w:lang w:val="en-US" w:eastAsia="zh-CN"/>
        </w:rPr>
      </w:pPr>
      <w:r>
        <w:rPr>
          <w:rFonts w:hint="eastAsia" w:ascii="宋体" w:hAnsi="宋体" w:cs="宋体"/>
          <w:b/>
          <w:bCs/>
          <w:sz w:val="24"/>
          <w:lang w:val="en-US" w:eastAsia="zh-CN"/>
        </w:rPr>
        <w:t>1、防撞柱系统</w:t>
      </w:r>
    </w:p>
    <w:tbl>
      <w:tblPr>
        <w:tblStyle w:val="25"/>
        <w:tblW w:w="9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0"/>
        <w:gridCol w:w="1753"/>
        <w:gridCol w:w="5885"/>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850"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3"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58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技术参数要求</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8" w:hRule="atLeast"/>
          <w:jc w:val="center"/>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智能升降路桩</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（含软件）</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1、动力系统 ：DC36V 机电驱动（安全电压）；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2、升降路桩内柱直径219mm，开挖深度1100mm；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3、升起高度：600mm；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4、柱体厚度：6mm；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5、材质：柱体为304不锈钢，内柱表面拉丝处理；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6、警示功能：360度红色警示灯；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7、机芯防护等级：机芯IP68；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8、整机外壳：内外柱体密封设计、防尘防水；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9、运动速度：≥150mm/s；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10、工作温度：-40℃~70℃（低温情况无需加热）；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11、防顶功能：升降路桩在上升过程中，遇到障碍物，遇阻力达到设定值时立刻停止上升动作；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12、连接电压：为了防止漏电安全隐患，控制柜到升降路桩之间的连接线电压须≤DC36V；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13、应急处理：停电状态可通过手动方式下降柱子，快速释放通道；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14、施工方式：挖孔施工+不需要做排水系统；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15、常用在人流量多的场景，比如：学校、景区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1、输入电压：AC 220V；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2、输出电压：DC 36V；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3、防护等级：IP54；</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4、控制方式：无线遥控；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5、安装方式：室内外安装均可；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6、温控装置：控制柜上设有独立进风过滤网、排风扇及调节温度控制器，实现环境温度触发设定值启动排风降温；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7、应急按钮：控制柜主板上预留有紧急上升及下降按钮；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8、可扩展接口：控制柜主板上预留警示灯、门禁系统、车牌识别、地感线圈、红外感应、蓝牙、射频（RFID）、远程控制（TCP/IP）、消防、治安等联动接口；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9、独立电源：每根升降路桩独立配480W电源，可对工作电压进行调节；</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应急手动装置</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1、输入电压：AC 220V；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2、输出电压：DC 36V；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3、容量：2.5AH；</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4、停电后可手动对单根柱子进行上升和下降操作150次以上；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无线遥控器</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1、控制方式：无线433Mhz FSK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2、控制距离：≥50m；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3、控制动作：路桩升、降、停，灯开关；</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4、采用调频调制，抗干扰，内置（AES）加密器，确保传输信号安全性；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配套辅材</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工具及线缆等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项</w:t>
            </w:r>
          </w:p>
        </w:tc>
      </w:tr>
    </w:tbl>
    <w:p>
      <w:pPr>
        <w:rPr>
          <w:rFonts w:hint="eastAsia" w:ascii="宋体" w:hAnsi="宋体" w:cs="宋体"/>
          <w:sz w:val="24"/>
          <w:lang w:val="en-US" w:eastAsia="zh-CN"/>
        </w:rPr>
      </w:pPr>
    </w:p>
    <w:p>
      <w:pPr>
        <w:rPr>
          <w:rFonts w:ascii="宋体" w:hAnsi="宋体" w:cs="宋体"/>
          <w:b/>
          <w:bCs/>
          <w:sz w:val="24"/>
        </w:rPr>
      </w:pPr>
      <w:r>
        <w:rPr>
          <w:rFonts w:hint="eastAsia" w:ascii="宋体" w:hAnsi="宋体" w:cs="宋体"/>
          <w:b/>
          <w:bCs/>
          <w:sz w:val="24"/>
          <w:lang w:val="en-US" w:eastAsia="zh-CN"/>
        </w:rPr>
        <w:t>2、</w:t>
      </w:r>
      <w:r>
        <w:rPr>
          <w:rFonts w:hint="default" w:ascii="宋体" w:hAnsi="宋体" w:cs="宋体"/>
          <w:b/>
          <w:bCs/>
          <w:sz w:val="24"/>
          <w:lang w:val="en-US" w:eastAsia="zh-CN"/>
        </w:rPr>
        <w:t>视频监控系统</w:t>
      </w:r>
    </w:p>
    <w:tbl>
      <w:tblPr>
        <w:tblStyle w:val="25"/>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1952"/>
        <w:gridCol w:w="5737"/>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784"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5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73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技术参数要求</w:t>
            </w:r>
          </w:p>
        </w:tc>
        <w:tc>
          <w:tcPr>
            <w:tcW w:w="70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4" w:hRule="atLeast"/>
          <w:jc w:val="center"/>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监控摄像设备</w:t>
            </w:r>
          </w:p>
        </w:tc>
        <w:tc>
          <w:tcPr>
            <w:tcW w:w="5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1、名称：彩色半球摄像机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2、规格：1080P红外，含支架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3、参数：200万 1/2.7" CMOS ICR日夜型半球型网络摄像机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（1）智能侦测：越界侦测，区域入侵侦测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（2）最低照度: 彩色：0.01 Lux @（F1.2，AGC ON），黑白：0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（4）补光灯类型: 红外灯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（5）补光距离: 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（6）波长范围: 850 nm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（8）防护: IP66</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4、附件：符合设计及规范要求</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2" w:hRule="atLeast"/>
          <w:jc w:val="center"/>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监控摄像设备</w:t>
            </w:r>
          </w:p>
        </w:tc>
        <w:tc>
          <w:tcPr>
            <w:tcW w:w="5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1、名称：彩转黑固定摄像机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2、规格：1080P红外，含支架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3、参数：200万1/2.7”CMOS ICR红外阵列筒型网络摄像机；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（1）最低照度彩色：0.001lx，黑白:0.0001lx，灰度等级不小于11级。;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（2）镜头焦距 4 mm、6 mm、8 mm、12 mm可选；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（3）宽动态范围: 120 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（4）红外补光距离不小于110米。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（5）不低于IP67防尘防水等级。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4、附件：符合设计及规范要求</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存储设备</w:t>
            </w:r>
          </w:p>
        </w:tc>
        <w:tc>
          <w:tcPr>
            <w:tcW w:w="5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1、名称：磁盘阵列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2、参数：（1）24盘位机架式磁盘阵列；1024Mbps接入带宽，2个千兆数据网口；支持视频流和图片、视频文件进行混合直写存储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（2）4U 24盘位，机架式、冗余电源、支持SATA硬盘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（3）64位多核处理器，4GB高速缓存（可扩展到32GB）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（4）24块6T企业级硬盘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（5）支持RAID 0、1、3、5、6、10、50，60、JBOD模式；网络协议：RTSP/ONVIF/PSIA/SIP（GB/T28181）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（6）网络中断后重新恢复，设备可续存断网期间存储在前端设备中的录像文件，并可通过IE浏览器设置自动回传和手动回传。支持256路4M的录像回传（以公安部检测报告为准）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（7）可对指定的录像段或指定事件的1个或多个前端的不同时间段的录像段添加标签，并自动备份到存档卷中，使之不会被覆盖删除。（以公安部检测报告为准）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（8）可根据事件名称查询所有相关联的不同前端或时间的录像段并进行回放和下载。（以公安部检测报告为准）</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视频系统设备</w:t>
            </w:r>
          </w:p>
        </w:tc>
        <w:tc>
          <w:tcPr>
            <w:tcW w:w="5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1、名称：监控硬盘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2、参数：SEAGATE,SKYHAWK,4TB,256MB,SATA 6Gb/s</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3、附件：符合设计及规范要求</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配套辅材</w:t>
            </w:r>
          </w:p>
        </w:tc>
        <w:tc>
          <w:tcPr>
            <w:tcW w:w="5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薄壁镀锌钢管、铜芯多股绝缘护套电线、六类非屏蔽双绞线</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项</w:t>
            </w:r>
          </w:p>
        </w:tc>
      </w:tr>
    </w:tbl>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lang w:val="en-US" w:eastAsia="zh-CN"/>
        </w:rPr>
      </w:pPr>
      <w:r>
        <w:rPr>
          <w:rFonts w:hint="eastAsia" w:ascii="宋体" w:hAnsi="宋体" w:cs="宋体"/>
          <w:b/>
          <w:bCs/>
          <w:sz w:val="24"/>
          <w:lang w:val="en-US" w:eastAsia="zh-CN"/>
        </w:rPr>
        <w:t>3、应急广播系统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b/>
          <w:bCs/>
          <w:lang w:val="en-US" w:eastAsia="zh-CN"/>
        </w:rPr>
        <w:t>（1）室外扩声系统</w:t>
      </w:r>
    </w:p>
    <w:tbl>
      <w:tblPr>
        <w:tblStyle w:val="25"/>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2100"/>
        <w:gridCol w:w="568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5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技术参数要求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室外音柱</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（含3米立杆）</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额定功率(W) 120W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输入电压（v） 70V-100V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频率响应(HZ) 100Hz-15KHz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灵敏度(1w,1n) 110db±3dB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防水等级 IPx6</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产品规格（mm）665x250x230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材质：Aluminium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构成  8"×2+1"×1</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  10kg</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纯后级广播功率放大器 1500W</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高档3U黑色氧化拉丝面板，美观大方；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设有RCA插口，XLR插口，接口更灵活；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设有100V、70V定压输出和4~16Ω定阻输出；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采用音频输出采用隔离纯铜变压器，防止多台功放同时使用时导致串音；输出音量可调节；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5单元LED显示，便于观察工作状态；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具有完善的输出短路保护和超温保护功能；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散热风扇温度控制启动；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额定输出功率：1500W；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输出方式:4-16 ohms(Ω)定阻输出，70V、100V定压输出；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输入灵敏度:10KΩ 260~470mV ,非平衡；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辅助输出:0、775V (0 dBV)；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频率响应:60 Hz ~ 15k Hz (± 3 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 非线性失真THD:&lt;0、5% at 1kHz,1/3的额定输出功率；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 信号噪声比S/N:&gt;105 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 阻尼系数:600；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 电压上升率:40V/uS；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 输出调整率:&lt; 3 dB,从无信号静态工作状态到满负荷工作状态；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 功能控制:音量调节一个,电源开关一个；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 冷却方式:DC 12V FAN强制风冷方式；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 指示灯:电源:‘POWER’,消顶:‘CLIP’,信号:‘SINGNAL’,保护:‘PROT’,高温:‘TEMP’；</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 保护:AC FUSE×20A AC FUSE×1,负载短路,温度过高,直流输出,输出过载；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 电源线:(3×1、5 mm2)×1、5M (标准)；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 电源:AC 220V ±10% 50-60Hz；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 电源消耗:2000W；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 机器尺寸:132(H)×486(W)×483(D)mm；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 净重:27kg；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机架式调音台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12个线路输入（4个单声道+4个立体声）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幻象电源供电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带有倒向晶体管电路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USB音频功能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内部全局供电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轻巧耐用的金属机身设计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高级效果器：SPX，含24组预置效果器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尺寸L×W×H(长宽高)：308×422×118（mm）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净重重量：4、2KG</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配套辅材</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配管、音响线等</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项</w:t>
            </w: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b/>
          <w:bCs/>
          <w:lang w:val="en-US" w:eastAsia="zh-CN"/>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w:t>
      </w:r>
      <w:r>
        <w:rPr>
          <w:rFonts w:hint="eastAsia"/>
          <w:b/>
          <w:bCs/>
          <w:lang w:val="en-US" w:eastAsia="zh-CN"/>
        </w:rPr>
        <w:t>风雨操场扩声系统</w:t>
      </w:r>
    </w:p>
    <w:tbl>
      <w:tblPr>
        <w:tblStyle w:val="25"/>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2100"/>
        <w:gridCol w:w="568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技术参数要求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主全频音箱</w:t>
            </w:r>
          </w:p>
        </w:tc>
        <w:tc>
          <w:tcPr>
            <w:tcW w:w="5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1、频响：45Hz-20KHz（-10dB），58Hz-19KHz（±3、5dB）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2、连续功率：500W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峰值功率：2000W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3、阻抗：8Ω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4、扩散角度（-6dB Point）：76°H×45°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5、构成：15"+3″ titanium compression driver</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6、灵敏度：99dB/W/M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7、最大声压：126dB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8、净尺寸:440×400×700mm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9、净重：32Kg</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10、毛重：34Kg</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单12寸全频音箱</w:t>
            </w:r>
          </w:p>
        </w:tc>
        <w:tc>
          <w:tcPr>
            <w:tcW w:w="5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1、频响：53Hz-20KHz（-10dB），65Hz-19KHz（±3、5dB）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2、连续功率：400W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峰值功率：1600W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3、阻抗：8Ω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4、扩散角度:（-6dB Point）：76°H×42°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5、构成：12"+1、7″ complex-diaphragm compression driver</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6、灵敏度：98dB/W/M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7、最大声压：124dB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8、净尺寸370×330×580mm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9、净重：22Kg</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10、毛重：24Kg</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音响支架</w:t>
            </w:r>
          </w:p>
        </w:tc>
        <w:tc>
          <w:tcPr>
            <w:tcW w:w="5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1、名称：壁挂支架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2、固定墙面尺寸：241*95mm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3、可伸缩长度：210MM~390MM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4、材料：铸钢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5、颜色：黑色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6、表面烤漆：烤漆无光黑色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7、重量：3、6KG</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8、承重:30kg</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辅助功放</w:t>
            </w:r>
          </w:p>
        </w:tc>
        <w:tc>
          <w:tcPr>
            <w:tcW w:w="5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80"/>
                <w:rFonts w:hint="eastAsia" w:ascii="宋体" w:hAnsi="宋体" w:eastAsia="宋体" w:cs="宋体"/>
                <w:i w:val="0"/>
                <w:iCs w:val="0"/>
                <w:color w:val="000000"/>
                <w:sz w:val="20"/>
                <w:szCs w:val="20"/>
                <w:lang w:val="en-US" w:eastAsia="zh-CN" w:bidi="ar"/>
              </w:rPr>
            </w:pPr>
            <w:r>
              <w:rPr>
                <w:rStyle w:val="80"/>
                <w:rFonts w:hint="eastAsia" w:ascii="宋体" w:hAnsi="宋体" w:eastAsia="宋体" w:cs="宋体"/>
                <w:i w:val="0"/>
                <w:iCs w:val="0"/>
                <w:color w:val="000000"/>
                <w:sz w:val="20"/>
                <w:szCs w:val="20"/>
                <w:lang w:val="en-US" w:eastAsia="zh-CN" w:bidi="ar"/>
              </w:rPr>
              <w:t xml:space="preserve">立体声输出功率8Ω：800W×2     </w:t>
            </w:r>
          </w:p>
          <w:p>
            <w:pPr>
              <w:keepNext w:val="0"/>
              <w:keepLines w:val="0"/>
              <w:widowControl/>
              <w:suppressLineNumbers w:val="0"/>
              <w:jc w:val="left"/>
              <w:textAlignment w:val="center"/>
              <w:rPr>
                <w:rStyle w:val="80"/>
                <w:rFonts w:hint="eastAsia" w:ascii="宋体" w:hAnsi="宋体" w:eastAsia="宋体" w:cs="宋体"/>
                <w:i w:val="0"/>
                <w:iCs w:val="0"/>
                <w:color w:val="000000"/>
                <w:sz w:val="20"/>
                <w:szCs w:val="20"/>
                <w:lang w:val="en-US" w:eastAsia="zh-CN" w:bidi="ar"/>
              </w:rPr>
            </w:pPr>
            <w:r>
              <w:rPr>
                <w:rStyle w:val="80"/>
                <w:rFonts w:hint="eastAsia" w:ascii="宋体" w:hAnsi="宋体" w:eastAsia="宋体" w:cs="宋体"/>
                <w:i w:val="0"/>
                <w:iCs w:val="0"/>
                <w:color w:val="000000"/>
                <w:sz w:val="20"/>
                <w:szCs w:val="20"/>
                <w:lang w:val="en-US" w:eastAsia="zh-CN" w:bidi="ar"/>
              </w:rPr>
              <w:t>立体声输出功率4Ω：1400W×2</w:t>
            </w:r>
          </w:p>
          <w:p>
            <w:pPr>
              <w:keepNext w:val="0"/>
              <w:keepLines w:val="0"/>
              <w:widowControl/>
              <w:suppressLineNumbers w:val="0"/>
              <w:jc w:val="left"/>
              <w:textAlignment w:val="center"/>
              <w:rPr>
                <w:rStyle w:val="80"/>
                <w:rFonts w:hint="eastAsia" w:ascii="宋体" w:hAnsi="宋体" w:eastAsia="宋体" w:cs="宋体"/>
                <w:i w:val="0"/>
                <w:iCs w:val="0"/>
                <w:color w:val="000000"/>
                <w:sz w:val="20"/>
                <w:szCs w:val="20"/>
                <w:lang w:val="en-US" w:eastAsia="zh-CN" w:bidi="ar"/>
              </w:rPr>
            </w:pPr>
            <w:r>
              <w:rPr>
                <w:rStyle w:val="80"/>
                <w:rFonts w:hint="eastAsia" w:ascii="宋体" w:hAnsi="宋体" w:eastAsia="宋体" w:cs="宋体"/>
                <w:i w:val="0"/>
                <w:iCs w:val="0"/>
                <w:color w:val="000000"/>
                <w:sz w:val="20"/>
                <w:szCs w:val="20"/>
                <w:lang w:val="en-US" w:eastAsia="zh-CN" w:bidi="ar"/>
              </w:rPr>
              <w:t>桥接功率 8Ω：2300W</w:t>
            </w:r>
          </w:p>
          <w:p>
            <w:pPr>
              <w:keepNext w:val="0"/>
              <w:keepLines w:val="0"/>
              <w:widowControl/>
              <w:suppressLineNumbers w:val="0"/>
              <w:jc w:val="left"/>
              <w:textAlignment w:val="center"/>
              <w:rPr>
                <w:rStyle w:val="80"/>
                <w:rFonts w:hint="eastAsia" w:ascii="宋体" w:hAnsi="宋体" w:eastAsia="宋体" w:cs="宋体"/>
                <w:i w:val="0"/>
                <w:iCs w:val="0"/>
                <w:color w:val="000000"/>
                <w:sz w:val="20"/>
                <w:szCs w:val="20"/>
                <w:lang w:val="en-US" w:eastAsia="zh-CN" w:bidi="ar"/>
              </w:rPr>
            </w:pPr>
            <w:r>
              <w:rPr>
                <w:rStyle w:val="80"/>
                <w:rFonts w:hint="eastAsia" w:ascii="宋体" w:hAnsi="宋体" w:eastAsia="宋体" w:cs="宋体"/>
                <w:i w:val="0"/>
                <w:iCs w:val="0"/>
                <w:color w:val="000000"/>
                <w:sz w:val="20"/>
                <w:szCs w:val="20"/>
                <w:lang w:val="en-US" w:eastAsia="zh-CN" w:bidi="ar"/>
              </w:rPr>
              <w:t>输入灵敏度： 0.775V/1.4V</w:t>
            </w:r>
          </w:p>
          <w:p>
            <w:pPr>
              <w:keepNext w:val="0"/>
              <w:keepLines w:val="0"/>
              <w:widowControl/>
              <w:suppressLineNumbers w:val="0"/>
              <w:jc w:val="left"/>
              <w:textAlignment w:val="center"/>
              <w:rPr>
                <w:rStyle w:val="80"/>
                <w:rFonts w:hint="eastAsia" w:ascii="宋体" w:hAnsi="宋体" w:eastAsia="宋体" w:cs="宋体"/>
                <w:sz w:val="20"/>
                <w:szCs w:val="20"/>
                <w:lang w:val="en-US" w:eastAsia="zh-CN" w:bidi="ar"/>
              </w:rPr>
            </w:pPr>
            <w:r>
              <w:rPr>
                <w:rStyle w:val="80"/>
                <w:rFonts w:hint="eastAsia" w:ascii="宋体" w:hAnsi="宋体" w:eastAsia="宋体" w:cs="宋体"/>
                <w:sz w:val="20"/>
                <w:szCs w:val="20"/>
                <w:lang w:val="en-US" w:eastAsia="zh-CN" w:bidi="ar"/>
              </w:rPr>
              <w:t>输出电源插座：四个万用插座</w:t>
            </w:r>
          </w:p>
          <w:p>
            <w:pPr>
              <w:keepNext w:val="0"/>
              <w:keepLines w:val="0"/>
              <w:widowControl/>
              <w:suppressLineNumbers w:val="0"/>
              <w:jc w:val="left"/>
              <w:textAlignment w:val="center"/>
              <w:rPr>
                <w:rStyle w:val="80"/>
                <w:rFonts w:hint="eastAsia" w:ascii="宋体" w:hAnsi="宋体" w:eastAsia="宋体" w:cs="宋体"/>
                <w:sz w:val="20"/>
                <w:szCs w:val="20"/>
                <w:lang w:val="en-US" w:eastAsia="zh-CN" w:bidi="ar"/>
              </w:rPr>
            </w:pPr>
            <w:r>
              <w:rPr>
                <w:rStyle w:val="80"/>
                <w:rFonts w:hint="eastAsia" w:ascii="宋体" w:hAnsi="宋体" w:eastAsia="宋体" w:cs="宋体"/>
                <w:sz w:val="20"/>
                <w:szCs w:val="20"/>
                <w:lang w:val="en-US" w:eastAsia="zh-CN" w:bidi="ar"/>
              </w:rPr>
              <w:t xml:space="preserve">频率响应：20-20000Hz(±0.3dB) </w:t>
            </w:r>
          </w:p>
          <w:p>
            <w:pPr>
              <w:keepNext w:val="0"/>
              <w:keepLines w:val="0"/>
              <w:widowControl/>
              <w:suppressLineNumbers w:val="0"/>
              <w:jc w:val="left"/>
              <w:textAlignment w:val="center"/>
              <w:rPr>
                <w:rStyle w:val="80"/>
                <w:rFonts w:hint="eastAsia" w:ascii="宋体" w:hAnsi="宋体" w:eastAsia="宋体" w:cs="宋体"/>
                <w:i w:val="0"/>
                <w:iCs w:val="0"/>
                <w:color w:val="000000"/>
                <w:sz w:val="20"/>
                <w:szCs w:val="20"/>
                <w:lang w:val="en-US" w:eastAsia="zh-CN" w:bidi="ar"/>
              </w:rPr>
            </w:pPr>
            <w:r>
              <w:rPr>
                <w:rStyle w:val="80"/>
                <w:rFonts w:hint="eastAsia" w:ascii="宋体" w:hAnsi="宋体" w:eastAsia="宋体" w:cs="宋体"/>
                <w:i w:val="0"/>
                <w:iCs w:val="0"/>
                <w:color w:val="000000"/>
                <w:sz w:val="20"/>
                <w:szCs w:val="20"/>
                <w:lang w:val="en-US" w:eastAsia="zh-CN" w:bidi="ar"/>
              </w:rPr>
              <w:t>转换速率：≥10V/µs</w:t>
            </w:r>
          </w:p>
          <w:p>
            <w:pPr>
              <w:keepNext w:val="0"/>
              <w:keepLines w:val="0"/>
              <w:widowControl/>
              <w:suppressLineNumbers w:val="0"/>
              <w:jc w:val="left"/>
              <w:textAlignment w:val="center"/>
              <w:rPr>
                <w:rStyle w:val="80"/>
                <w:rFonts w:hint="eastAsia" w:ascii="宋体" w:hAnsi="宋体" w:eastAsia="宋体" w:cs="宋体"/>
                <w:i w:val="0"/>
                <w:iCs w:val="0"/>
                <w:color w:val="000000"/>
                <w:sz w:val="20"/>
                <w:szCs w:val="20"/>
                <w:lang w:val="en-US" w:eastAsia="zh-CN" w:bidi="ar"/>
              </w:rPr>
            </w:pPr>
            <w:r>
              <w:rPr>
                <w:rStyle w:val="80"/>
                <w:rFonts w:hint="eastAsia" w:ascii="宋体" w:hAnsi="宋体" w:eastAsia="宋体" w:cs="宋体"/>
                <w:i w:val="0"/>
                <w:iCs w:val="0"/>
                <w:color w:val="000000"/>
                <w:sz w:val="20"/>
                <w:szCs w:val="20"/>
                <w:lang w:val="en-US" w:eastAsia="zh-CN" w:bidi="ar"/>
              </w:rPr>
              <w:t>阻尼系数：﹥200:1</w:t>
            </w:r>
          </w:p>
          <w:p>
            <w:pPr>
              <w:keepNext w:val="0"/>
              <w:keepLines w:val="0"/>
              <w:widowControl/>
              <w:suppressLineNumbers w:val="0"/>
              <w:jc w:val="left"/>
              <w:textAlignment w:val="center"/>
              <w:rPr>
                <w:rStyle w:val="80"/>
                <w:rFonts w:hint="eastAsia" w:ascii="宋体" w:hAnsi="宋体" w:eastAsia="宋体" w:cs="宋体"/>
                <w:i w:val="0"/>
                <w:iCs w:val="0"/>
                <w:color w:val="000000"/>
                <w:sz w:val="20"/>
                <w:szCs w:val="20"/>
                <w:lang w:val="en-US" w:eastAsia="zh-CN" w:bidi="ar"/>
              </w:rPr>
            </w:pPr>
            <w:r>
              <w:rPr>
                <w:rStyle w:val="80"/>
                <w:rFonts w:hint="eastAsia" w:ascii="宋体" w:hAnsi="宋体" w:eastAsia="宋体" w:cs="宋体"/>
                <w:i w:val="0"/>
                <w:iCs w:val="0"/>
                <w:color w:val="000000"/>
                <w:sz w:val="20"/>
                <w:szCs w:val="20"/>
                <w:lang w:val="en-US" w:eastAsia="zh-CN" w:bidi="ar"/>
              </w:rPr>
              <w:t>串音：&gt;70dB@1KHz</w:t>
            </w:r>
          </w:p>
          <w:p>
            <w:pPr>
              <w:keepNext w:val="0"/>
              <w:keepLines w:val="0"/>
              <w:widowControl/>
              <w:suppressLineNumbers w:val="0"/>
              <w:jc w:val="left"/>
              <w:textAlignment w:val="center"/>
              <w:rPr>
                <w:rStyle w:val="80"/>
                <w:rFonts w:hint="eastAsia" w:ascii="宋体" w:hAnsi="宋体" w:eastAsia="宋体" w:cs="宋体"/>
                <w:i w:val="0"/>
                <w:iCs w:val="0"/>
                <w:color w:val="000000"/>
                <w:sz w:val="20"/>
                <w:szCs w:val="20"/>
                <w:lang w:val="en-US" w:eastAsia="zh-CN" w:bidi="ar"/>
              </w:rPr>
            </w:pPr>
            <w:r>
              <w:rPr>
                <w:rStyle w:val="80"/>
                <w:rFonts w:hint="eastAsia" w:ascii="宋体" w:hAnsi="宋体" w:eastAsia="宋体" w:cs="宋体"/>
                <w:i w:val="0"/>
                <w:iCs w:val="0"/>
                <w:color w:val="000000"/>
                <w:sz w:val="20"/>
                <w:szCs w:val="20"/>
                <w:lang w:val="en-US" w:eastAsia="zh-CN" w:bidi="ar"/>
              </w:rPr>
              <w:t>信噪比：﹥100dB</w:t>
            </w:r>
          </w:p>
          <w:p>
            <w:pPr>
              <w:keepNext w:val="0"/>
              <w:keepLines w:val="0"/>
              <w:widowControl/>
              <w:suppressLineNumbers w:val="0"/>
              <w:jc w:val="left"/>
              <w:textAlignment w:val="center"/>
              <w:rPr>
                <w:rStyle w:val="80"/>
                <w:rFonts w:hint="eastAsia" w:ascii="宋体" w:hAnsi="宋体" w:eastAsia="宋体" w:cs="宋体"/>
                <w:i w:val="0"/>
                <w:iCs w:val="0"/>
                <w:color w:val="000000"/>
                <w:sz w:val="20"/>
                <w:szCs w:val="20"/>
                <w:lang w:val="en-US" w:eastAsia="zh-CN" w:bidi="ar"/>
              </w:rPr>
            </w:pPr>
            <w:r>
              <w:rPr>
                <w:rStyle w:val="80"/>
                <w:rFonts w:hint="eastAsia" w:ascii="宋体" w:hAnsi="宋体" w:eastAsia="宋体" w:cs="宋体"/>
                <w:i w:val="0"/>
                <w:iCs w:val="0"/>
                <w:color w:val="000000"/>
                <w:sz w:val="20"/>
                <w:szCs w:val="20"/>
                <w:lang w:val="en-US" w:eastAsia="zh-CN" w:bidi="ar"/>
              </w:rPr>
              <w:t>总谐波失真：＜0.5%，1KHz</w:t>
            </w:r>
          </w:p>
          <w:p>
            <w:pPr>
              <w:keepNext w:val="0"/>
              <w:keepLines w:val="0"/>
              <w:widowControl/>
              <w:suppressLineNumbers w:val="0"/>
              <w:jc w:val="left"/>
              <w:textAlignment w:val="center"/>
              <w:rPr>
                <w:rStyle w:val="80"/>
                <w:rFonts w:hint="eastAsia" w:ascii="宋体" w:hAnsi="宋体" w:eastAsia="宋体" w:cs="宋体"/>
                <w:i w:val="0"/>
                <w:iCs w:val="0"/>
                <w:color w:val="000000"/>
                <w:sz w:val="20"/>
                <w:szCs w:val="20"/>
                <w:lang w:val="en-US" w:eastAsia="zh-CN" w:bidi="ar"/>
              </w:rPr>
            </w:pPr>
            <w:r>
              <w:rPr>
                <w:rStyle w:val="80"/>
                <w:rFonts w:hint="eastAsia" w:ascii="宋体" w:hAnsi="宋体" w:eastAsia="宋体" w:cs="宋体"/>
                <w:i w:val="0"/>
                <w:iCs w:val="0"/>
                <w:color w:val="000000"/>
                <w:sz w:val="20"/>
                <w:szCs w:val="20"/>
                <w:lang w:val="en-US" w:eastAsia="zh-CN" w:bidi="ar"/>
              </w:rPr>
              <w:t>互调失真：﹤0.35%8Ω,1KHz1W</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0"/>
                <w:rFonts w:hint="eastAsia" w:ascii="宋体" w:hAnsi="宋体" w:eastAsia="宋体" w:cs="宋体"/>
                <w:i w:val="0"/>
                <w:iCs w:val="0"/>
                <w:color w:val="000000"/>
                <w:sz w:val="20"/>
                <w:szCs w:val="20"/>
                <w:lang w:val="en-US" w:eastAsia="zh-CN" w:bidi="ar"/>
              </w:rPr>
              <w:t>尺寸(W×H×D)：483×88×360mm"</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8进8出音频处理器</w:t>
            </w:r>
          </w:p>
        </w:tc>
        <w:tc>
          <w:tcPr>
            <w:tcW w:w="5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8路平衡式话筒／线路输入，具有48V幻象供电软开关；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8路平衡式线路输出；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提供24bit/48kHz的杰出音质；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优化的前级增益，具有0、6、30、36、42dB多级调节，适用MIC和LINE电平；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USB2.0音频接口，可快速播放和录制音频；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全功能矩阵混音，直观的信号路由表，交叉点可控的电平；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自适应反馈消除AFC，高速浮点的数字算法为每路麦克风提供反馈抑制，抑制系统啸叫；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自动增益控制AGC，确保音响系统的输出音量平稳，不受演讲者距话筒忽远忽近而影响观众区的音量；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即时响应的限幅器，可完美保护后级设备；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多种模式的自动混音AM，可选择门限型自动混音或增益分享型自动混音模式；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自适应回声消除AEC，快速消除视频会议中产生的回声；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多种参量均衡类型可选，包括PEQ、High-Shelf、Low-Shelf、</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LP、HP,可灵活应用于更多的场合；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自带中英文操作软件，直观、图形化软件控制界面; 灵活多样的控制方式：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以太网口轻松连接电脑及其他网络设备；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RS-232双向串行控制接口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GPIO可编程控制接口，8路逻辑输入，4路电压输入控制，4路逻辑 输出；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支持RC面板，采用TCP/IP连接；带1.5寸OLED显示屏和电平指示灯；</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12个通道，4个辅助通道+4对立体声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6个高性能话筒放大器带幻象电源开关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1-4通道内置通道压缩器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所有话筒输入均配置三段式通道均衡器和HPF</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2路辅助发送/立体声辅助返回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4母线（立体声，编组）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内置SPX效果器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极佳手感的60MM推子和发光ON/OFF开关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轻巧耐用的机身设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尺寸L×W×H(长宽高)：345×428×86（mm）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净重重量：4.2KG</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一拖二真分集无线话筒</w:t>
            </w:r>
          </w:p>
        </w:tc>
        <w:tc>
          <w:tcPr>
            <w:tcW w:w="5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接收机设有发射机的剩余电量显示,一键锁屏功能。真分集设计红外自动对频2通道无线麦克风, 接收距离150米，内置四个接收电路,任意一支话筒都有两个接收电路同时进行接收,采用杂音干扰较少的UHF频段PLL相位锁定技术。采用微电脑CPU控制，二次变频技术，声音还原度高，金属手持防摔效果极佳。200个频道可供选择，不分通道，使用更方便。适合高档专业舞台演唱、演讲、会议、俱乐部安装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接收机技术参数：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频率范围：612-850MHz (默认出厂使用频率为612-698MHz)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振荡模式：双相位锁定频率合成（PLL）</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调节方式：FM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最大频偏：±50KHz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灵敏度：18dBuV（可调）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信噪比：≥89dB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音频响应：60Hz-15KHz(±3dB)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音频输出：0-300mV/600Ω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平衡输出：0-300mV/600Ω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动态范围：≥105dB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工作电压：DC 14V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工作电流 800mA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工作温度：0℃至+40℃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发射机技术参数：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频率范围：612-850MHz  (默认出厂使用频率为612-698MHz)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发射功率：10mW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频率稳定度：≤ ±0.005%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调制方式：FM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最大频偏：±50KHz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频率选择：接收机选择，红外对频确定发射器工作频率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智能静音+智能关机功能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工作电源：2节5号电池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工作电流：≤100mA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工作温度：-10℃至+40℃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（可选配头戴，领夹）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麦克风天线放大器</w:t>
            </w:r>
          </w:p>
        </w:tc>
        <w:tc>
          <w:tcPr>
            <w:tcW w:w="5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1、频率范围：500-900MHz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2、输入截断点：+22dBm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3、噪声比：4、0dB Type(Center Band)</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4、增益：+6-9dB(Center Band)</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5、输出阻抗：15dB min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6、阻抗：50Ω  指向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7、频宽：300MHz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8、插座：BNC female</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9、电源供应：100-240V/50/60Hz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10、电源消耗：170mA    指向性：180度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11、提供使用2~4台UHF无线系列或其他系列各种自动选讯接收机的多頻道系统，共用一对天线，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12、以简化天线装配工程，提升接收距离及效能。采用高动态低难讯之主动元件及主动回馈稳流偏压的最新设计，具有超低內调失真特性，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能在多頻道同时使用排除混頻干扰，其输出增益约等于1。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13、天线输入插座可以直接配置适用頻帶范围內的各种单竿天线、同軸天线、延长天线组及对数定向天线组。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14、天线输入接座具有供应强波器的电源，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15、可直接连接具有天线强波器的延长天线组及內建强波器的对数定向天线组。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16、四组电源输出：12V/600~1000mA。</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8路电源时序器</w:t>
            </w:r>
          </w:p>
        </w:tc>
        <w:tc>
          <w:tcPr>
            <w:tcW w:w="5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1、额定输出电压:交流220V.50Hz-60Hz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2、大功率线路，满足较大功率用电系统使用。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3、磷铜万能插座，适合各种类型插头使用。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4、可控制电源：共8路受控制输出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5、时间间隔：开启顺序每路延时为1秒，关闭逆每路延时为1秒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6、供电电源：内置变压器，移动性强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7、MCU芯片控制，双面板贴片电路设计，稳定可靠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8、使用总电源:10路（面板2路直通220V.不受时序控制.受控后板8路）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9、单路输出功率最小极限2200W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10、单路输出功率最大极限3000W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11、整机输出总功率最大8000W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12、输出电源插座：万用插座，符合欧美标准，前面板带一路直通式万用插座，后面板8个受控万用插座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13、电压显示表：有，数字显示电压表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14、插座材质：每个插座材质均为磷铜，均通过检验才安装。符合欧盟环保标准。</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2mm冷板、钢化玻璃门、2风扇、黑色；</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产品尺寸（L*W*H）：600*600*1600mm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配套辅材</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配管、音响线等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项</w:t>
            </w:r>
          </w:p>
        </w:tc>
      </w:tr>
    </w:tbl>
    <w:p>
      <w:pPr>
        <w:pStyle w:val="23"/>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4、云湖小学安防子平台建设</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驾驶舱</w:t>
      </w:r>
    </w:p>
    <w:tbl>
      <w:tblPr>
        <w:tblStyle w:val="25"/>
        <w:tblpPr w:leftFromText="180" w:rightFromText="180" w:vertAnchor="text" w:tblpXSpec="center" w:tblpY="1"/>
        <w:tblOverlap w:val="never"/>
        <w:tblW w:w="9727" w:type="dxa"/>
        <w:jc w:val="center"/>
        <w:tblLayout w:type="autofit"/>
        <w:tblCellMar>
          <w:top w:w="0" w:type="dxa"/>
          <w:left w:w="108" w:type="dxa"/>
          <w:bottom w:w="0" w:type="dxa"/>
          <w:right w:w="108" w:type="dxa"/>
        </w:tblCellMar>
      </w:tblPr>
      <w:tblGrid>
        <w:gridCol w:w="489"/>
        <w:gridCol w:w="1392"/>
        <w:gridCol w:w="7846"/>
      </w:tblGrid>
      <w:tr>
        <w:tblPrEx>
          <w:tblCellMar>
            <w:top w:w="0" w:type="dxa"/>
            <w:left w:w="108" w:type="dxa"/>
            <w:bottom w:w="0" w:type="dxa"/>
            <w:right w:w="108" w:type="dxa"/>
          </w:tblCellMar>
        </w:tblPrEx>
        <w:trPr>
          <w:trHeight w:val="46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color w:val="auto"/>
                <w:kern w:val="0"/>
                <w:sz w:val="18"/>
                <w:szCs w:val="18"/>
                <w:highlight w:val="none"/>
                <w:lang w:val="en-US" w:eastAsia="zh-CN"/>
              </w:rPr>
              <w:t>序号</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top"/>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color w:val="auto"/>
                <w:kern w:val="0"/>
                <w:sz w:val="18"/>
                <w:szCs w:val="18"/>
                <w:highlight w:val="none"/>
                <w:lang w:val="en-US" w:eastAsia="zh-CN"/>
              </w:rPr>
              <w:t>平台</w:t>
            </w:r>
          </w:p>
        </w:tc>
        <w:tc>
          <w:tcPr>
            <w:tcW w:w="6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宋体" w:hAnsi="宋体" w:eastAsia="宋体" w:cs="宋体"/>
                <w:color w:val="auto"/>
                <w:sz w:val="18"/>
                <w:szCs w:val="18"/>
                <w:highlight w:val="none"/>
                <w:lang w:val="en-US" w:eastAsia="zh-CN"/>
              </w:rPr>
              <w:t>功能要求</w:t>
            </w:r>
          </w:p>
        </w:tc>
      </w:tr>
      <w:tr>
        <w:tblPrEx>
          <w:tblCellMar>
            <w:top w:w="0" w:type="dxa"/>
            <w:left w:w="108" w:type="dxa"/>
            <w:bottom w:w="0" w:type="dxa"/>
            <w:right w:w="108" w:type="dxa"/>
          </w:tblCellMar>
        </w:tblPrEx>
        <w:trPr>
          <w:trHeight w:val="46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cstheme="minorEastAsia"/>
                <w:color w:val="auto"/>
                <w:kern w:val="0"/>
                <w:sz w:val="20"/>
                <w:szCs w:val="20"/>
                <w:highlight w:val="none"/>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驾驶舱</w:t>
            </w:r>
          </w:p>
        </w:tc>
        <w:tc>
          <w:tcPr>
            <w:tcW w:w="6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 xml:space="preserve">学校访客防疫信息：统计学校访客防疫码情况，显示正常、异常人员数量。防疫上报情况，显示全部已上报人数数据。 </w:t>
            </w:r>
          </w:p>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学校基本信息：统计学校的基本信息，包括学生数量、老师数量等。</w:t>
            </w:r>
          </w:p>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硬件设备情况：展示学校安装设备总数量，包括摄像头、智能升降柱等，点击可查看各设备数量、状态等信息。</w:t>
            </w:r>
          </w:p>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预警汇总情况：展示学校发起预警的总数量，点击可查看各预警信息。</w:t>
            </w:r>
          </w:p>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5</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学校的布局图：展示学校布局图位置信息，并标志出各个设备的安装地点。</w:t>
            </w:r>
          </w:p>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6</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学校人员、车辆出入情况：统计今日出入、车辆出入数量、当前在校学生数量、当前离校学生数量。</w:t>
            </w:r>
          </w:p>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7</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视频监控：播放重点区域的实时视频，可点击某个视频进入查看监控详情。</w:t>
            </w:r>
          </w:p>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8</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访客人员出入：展示人员出入信息，出入时间等，点击可查看出入人员详细信息列表。</w:t>
            </w:r>
          </w:p>
          <w:p>
            <w:pP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9</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告警信息：当发生告警事件时，可实时联动最近摄像机弹出实时画面，如无摄像机，可弹窗显示告警相关信息</w:t>
            </w:r>
          </w:p>
          <w:p>
            <w:pPr>
              <w:rPr>
                <w:color w:val="auto"/>
                <w:sz w:val="20"/>
                <w:szCs w:val="22"/>
                <w:highlight w:val="none"/>
              </w:rPr>
            </w:pPr>
            <w:r>
              <w:rPr>
                <w:rFonts w:hint="eastAsia"/>
                <w:color w:val="auto"/>
                <w:sz w:val="20"/>
                <w:szCs w:val="22"/>
                <w:highlight w:val="none"/>
              </w:rPr>
              <w:t>10</w:t>
            </w:r>
            <w:r>
              <w:rPr>
                <w:rFonts w:hint="eastAsia"/>
                <w:color w:val="auto"/>
                <w:sz w:val="20"/>
                <w:szCs w:val="22"/>
                <w:highlight w:val="none"/>
                <w:lang w:eastAsia="zh-CN"/>
              </w:rPr>
              <w:t>、</w:t>
            </w:r>
            <w:r>
              <w:rPr>
                <w:rFonts w:hint="eastAsia"/>
                <w:color w:val="auto"/>
                <w:sz w:val="20"/>
                <w:szCs w:val="22"/>
                <w:highlight w:val="none"/>
              </w:rPr>
              <w:t>防欺凌信息：当触发告警时，弹窗显示告警信息：显示警情级别，状态，时间，类型，所在位置。</w:t>
            </w:r>
          </w:p>
          <w:p>
            <w:pPr>
              <w:pStyle w:val="24"/>
              <w:ind w:left="0" w:leftChars="0" w:firstLine="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11</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实现</w:t>
            </w:r>
            <w:r>
              <w:rPr>
                <w:rFonts w:hint="eastAsia" w:asciiTheme="minorEastAsia" w:hAnsiTheme="minorEastAsia" w:cstheme="minorEastAsia"/>
                <w:color w:val="auto"/>
                <w:kern w:val="0"/>
                <w:sz w:val="20"/>
                <w:szCs w:val="20"/>
                <w:highlight w:val="none"/>
                <w:lang w:val="en-US" w:eastAsia="zh-CN"/>
              </w:rPr>
              <w:t>学</w:t>
            </w:r>
            <w:r>
              <w:rPr>
                <w:rFonts w:hint="eastAsia" w:asciiTheme="minorEastAsia" w:hAnsiTheme="minorEastAsia" w:eastAsiaTheme="minorEastAsia" w:cstheme="minorEastAsia"/>
                <w:color w:val="auto"/>
                <w:kern w:val="0"/>
                <w:sz w:val="20"/>
                <w:szCs w:val="20"/>
                <w:highlight w:val="none"/>
              </w:rPr>
              <w:t>校信息的汇总、及时查看。</w:t>
            </w:r>
          </w:p>
        </w:tc>
      </w:tr>
    </w:tbl>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与原有安防设备平台对接</w:t>
      </w:r>
    </w:p>
    <w:p>
      <w:pPr>
        <w:pStyle w:val="2"/>
        <w:widowControl w:val="0"/>
        <w:numPr>
          <w:ilvl w:val="0"/>
          <w:numId w:val="0"/>
        </w:numPr>
        <w:snapToGrid w:val="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w:t>
      </w:r>
      <w:r>
        <w:rPr>
          <w:rFonts w:hint="eastAsia" w:ascii="宋体" w:hAnsi="宋体" w:cs="宋体"/>
          <w:b/>
          <w:bCs/>
          <w:kern w:val="2"/>
          <w:sz w:val="24"/>
          <w:szCs w:val="24"/>
          <w:lang w:val="en-US" w:eastAsia="zh-CN" w:bidi="ar-SA"/>
        </w:rPr>
        <w:t>1套</w:t>
      </w:r>
      <w:r>
        <w:rPr>
          <w:rFonts w:hint="eastAsia" w:ascii="宋体" w:hAnsi="宋体" w:eastAsia="宋体" w:cs="宋体"/>
          <w:b/>
          <w:bCs/>
          <w:kern w:val="2"/>
          <w:sz w:val="24"/>
          <w:szCs w:val="24"/>
          <w:lang w:val="en-US" w:eastAsia="zh-CN" w:bidi="ar-SA"/>
        </w:rPr>
        <w:t>访客系统</w:t>
      </w:r>
    </w:p>
    <w:p>
      <w:pPr>
        <w:pStyle w:val="2"/>
        <w:widowControl w:val="0"/>
        <w:numPr>
          <w:ilvl w:val="0"/>
          <w:numId w:val="0"/>
        </w:numPr>
        <w:snapToGrid w:val="0"/>
        <w:jc w:val="left"/>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kern w:val="2"/>
          <w:sz w:val="24"/>
          <w:szCs w:val="24"/>
          <w:lang w:val="en-US" w:eastAsia="zh-CN" w:bidi="ar-SA"/>
        </w:rPr>
        <w:t>台州湾新区校园安防平台对接</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val="0"/>
          <w:bCs w:val="0"/>
          <w:sz w:val="24"/>
          <w:szCs w:val="24"/>
        </w:rPr>
      </w:pPr>
      <w:r>
        <w:rPr>
          <w:rFonts w:hint="eastAsia" w:cstheme="minorBidi"/>
          <w:b w:val="0"/>
          <w:bCs w:val="0"/>
          <w:kern w:val="2"/>
          <w:sz w:val="24"/>
          <w:szCs w:val="24"/>
          <w:lang w:val="en-US" w:eastAsia="zh-CN" w:bidi="ar-SA"/>
        </w:rPr>
        <w:t>实现云湖小学安防子平台对接台州湾新区校园安防平台，实现云端数据分析汇总</w:t>
      </w:r>
    </w:p>
    <w:tbl>
      <w:tblPr>
        <w:tblStyle w:val="25"/>
        <w:tblpPr w:leftFromText="180" w:rightFromText="180" w:vertAnchor="text" w:tblpXSpec="center" w:tblpY="1"/>
        <w:tblOverlap w:val="never"/>
        <w:tblW w:w="9727" w:type="dxa"/>
        <w:jc w:val="center"/>
        <w:tblLayout w:type="autofit"/>
        <w:tblCellMar>
          <w:top w:w="0" w:type="dxa"/>
          <w:left w:w="108" w:type="dxa"/>
          <w:bottom w:w="0" w:type="dxa"/>
          <w:right w:w="108" w:type="dxa"/>
        </w:tblCellMar>
      </w:tblPr>
      <w:tblGrid>
        <w:gridCol w:w="489"/>
        <w:gridCol w:w="1392"/>
        <w:gridCol w:w="7846"/>
      </w:tblGrid>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top"/>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平台</w:t>
            </w:r>
          </w:p>
        </w:tc>
        <w:tc>
          <w:tcPr>
            <w:tcW w:w="7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功能要求</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top"/>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平台管理系统</w:t>
            </w:r>
          </w:p>
        </w:tc>
        <w:tc>
          <w:tcPr>
            <w:tcW w:w="7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智安校园管理平台，通过对校园相关数据进行整合，实现为用户提供网络、设备、告警、事件等方面的一体化运维服务。平台要求能为12个校区、1个区级提供一体化运维支持。</w:t>
            </w:r>
          </w:p>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支持同时在线人数≥100人</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建设期间可根据业主需求，双方经过协商后免费增设相应功能。</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392"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校园平面图</w:t>
            </w:r>
          </w:p>
        </w:tc>
        <w:tc>
          <w:tcPr>
            <w:tcW w:w="784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在校园平面图上进行设备点位展示，可以实时查看监控画面，实时查看设备报警信息，实时查看设备在线情况</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3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视频监控接入</w:t>
            </w:r>
          </w:p>
        </w:tc>
        <w:tc>
          <w:tcPr>
            <w:tcW w:w="78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对支持GB28181、ONVIF协议的视频监控通过平台、NVR、IPC等方式的接入。</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3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车辆道闸接入</w:t>
            </w:r>
          </w:p>
        </w:tc>
        <w:tc>
          <w:tcPr>
            <w:tcW w:w="78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对接学校现有的车辆道闸系统，显示车辆进出时间，图片，位置等信息预留数据接口可以对接新增设备。</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3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人脸道闸接入</w:t>
            </w:r>
          </w:p>
        </w:tc>
        <w:tc>
          <w:tcPr>
            <w:tcW w:w="78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对接学校现有人员信息，显示人员进出时间，照片，姓名，推送到至对应家长或教师端并预留数据接口可以对接新增设备。</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3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访客接入</w:t>
            </w:r>
          </w:p>
        </w:tc>
        <w:tc>
          <w:tcPr>
            <w:tcW w:w="78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对接学校的访客机信息，显示健康码信息，疫苗信息、核酸检测信息、人员温度、访客类型、访客人员名字，身份证号，联系方式，性别，访客事件等相关信息。</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3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AI周界报警</w:t>
            </w:r>
          </w:p>
        </w:tc>
        <w:tc>
          <w:tcPr>
            <w:tcW w:w="78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对接AI周界报警，实时显示报警图片，报警位置，报警内容，报警点实时画面</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3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防欺凌报警器接入</w:t>
            </w:r>
          </w:p>
        </w:tc>
        <w:tc>
          <w:tcPr>
            <w:tcW w:w="78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对接校园防欺凌报警器，针对设备端通过关键词语音识别触发报警，通过发送报警信息给至平台前端，同时实时联动最近摄像机弹出实时画面，点击详情后进入后台报警信息列表，点击详情调用报警器详情页面。</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39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视频监控管理</w:t>
            </w:r>
          </w:p>
        </w:tc>
        <w:tc>
          <w:tcPr>
            <w:tcW w:w="784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提供监测视频监控摄像头在线和不在线状态等设备状态显示服务，并分别统计设备数量，可同时查看一个或多个视频监控摄像头的实时监控画面，可对视频监控进行设备的增加、修改、删除操作</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消防设备接入</w:t>
            </w:r>
          </w:p>
        </w:tc>
        <w:tc>
          <w:tcPr>
            <w:tcW w:w="7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支持智慧消防设备接入和告警，以列表形式展示学校消防设备的详细信息，包括设备编号、设备在线状态等信息</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平台对接</w:t>
            </w:r>
          </w:p>
        </w:tc>
        <w:tc>
          <w:tcPr>
            <w:tcW w:w="7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提供相应模块与台州湾新区食品安全平台、市教育局教育数字防疫平台进行对接、整合。</w:t>
            </w:r>
          </w:p>
        </w:tc>
      </w:tr>
      <w:tr>
        <w:tblPrEx>
          <w:tblCellMar>
            <w:top w:w="0" w:type="dxa"/>
            <w:left w:w="108" w:type="dxa"/>
            <w:bottom w:w="0" w:type="dxa"/>
            <w:right w:w="108" w:type="dxa"/>
          </w:tblCellMar>
        </w:tblPrEx>
        <w:trPr>
          <w:trHeight w:val="46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设备管理</w:t>
            </w:r>
          </w:p>
        </w:tc>
        <w:tc>
          <w:tcPr>
            <w:tcW w:w="7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设备分布点位查看、设备运行相关数据查看，包括车辆信息、视频信息、人员进出信息、访客进出信息，访客人员健康码，疫苗，核酸检测，温度信息、消防信息、防欺凌设备信息</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highlight w:val="none"/>
          <w:lang w:val="en-US" w:eastAsia="zh-CN"/>
        </w:rPr>
      </w:pPr>
      <w:bookmarkStart w:id="40" w:name="_Toc525049748"/>
      <w:r>
        <w:rPr>
          <w:rFonts w:hint="eastAsia" w:ascii="宋体" w:hAnsi="宋体" w:eastAsia="宋体" w:cs="宋体"/>
          <w:b/>
          <w:bCs/>
          <w:sz w:val="24"/>
          <w:szCs w:val="24"/>
          <w:highlight w:val="none"/>
          <w:lang w:eastAsia="zh-CN"/>
        </w:rPr>
        <w:t>注：</w:t>
      </w:r>
      <w:r>
        <w:rPr>
          <w:rFonts w:cs="宋体"/>
          <w:highlight w:val="none"/>
        </w:rPr>
        <w:t>▲</w:t>
      </w:r>
      <w:r>
        <w:rPr>
          <w:rFonts w:hint="eastAsia" w:ascii="宋体" w:hAnsi="宋体" w:cs="宋体"/>
          <w:b/>
          <w:bCs/>
          <w:sz w:val="24"/>
          <w:szCs w:val="24"/>
          <w:highlight w:val="none"/>
          <w:lang w:val="en-US" w:eastAsia="zh-CN"/>
        </w:rPr>
        <w:t>1.以上设备清单（标准、数量）及系统是本项目服务的最低工程量，中标后，中标人的设备清单及系统工程量不得低于以上工程量。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r>
        <w:rPr>
          <w:rFonts w:cs="宋体"/>
          <w:highlight w:val="none"/>
        </w:rPr>
        <w:t>▲</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服务期</w:t>
      </w:r>
      <w:r>
        <w:rPr>
          <w:rFonts w:hint="eastAsia" w:ascii="宋体" w:hAnsi="宋体" w:eastAsia="宋体" w:cs="宋体"/>
          <w:b/>
          <w:bCs/>
          <w:sz w:val="24"/>
          <w:szCs w:val="24"/>
          <w:highlight w:val="none"/>
          <w:lang w:eastAsia="zh-CN"/>
        </w:rPr>
        <w:t>及运维期</w:t>
      </w:r>
      <w:r>
        <w:rPr>
          <w:rFonts w:hint="eastAsia" w:ascii="宋体" w:hAnsi="宋体" w:eastAsia="宋体" w:cs="宋体"/>
          <w:b/>
          <w:bCs/>
          <w:sz w:val="24"/>
          <w:szCs w:val="24"/>
          <w:highlight w:val="none"/>
        </w:rPr>
        <w:t>结束后，本项目</w:t>
      </w:r>
      <w:r>
        <w:rPr>
          <w:rFonts w:hint="eastAsia" w:ascii="宋体" w:hAnsi="宋体" w:eastAsia="宋体" w:cs="宋体"/>
          <w:b/>
          <w:bCs/>
          <w:sz w:val="24"/>
          <w:szCs w:val="24"/>
          <w:highlight w:val="none"/>
          <w:lang w:eastAsia="zh-CN"/>
        </w:rPr>
        <w:t>所有中标人</w:t>
      </w:r>
      <w:r>
        <w:rPr>
          <w:rFonts w:hint="eastAsia" w:ascii="宋体" w:hAnsi="宋体" w:eastAsia="宋体" w:cs="宋体"/>
          <w:b/>
          <w:bCs/>
          <w:sz w:val="24"/>
          <w:szCs w:val="24"/>
          <w:highlight w:val="none"/>
        </w:rPr>
        <w:t>投资的设备，全部归</w:t>
      </w:r>
      <w:r>
        <w:rPr>
          <w:rFonts w:hint="eastAsia" w:ascii="宋体" w:hAnsi="宋体" w:eastAsia="宋体" w:cs="宋体"/>
          <w:b/>
          <w:bCs/>
          <w:sz w:val="24"/>
          <w:szCs w:val="24"/>
          <w:highlight w:val="none"/>
          <w:lang w:eastAsia="zh-CN"/>
        </w:rPr>
        <w:t>采购人</w:t>
      </w:r>
      <w:r>
        <w:rPr>
          <w:rFonts w:hint="eastAsia" w:ascii="宋体" w:hAnsi="宋体" w:eastAsia="宋体" w:cs="宋体"/>
          <w:b/>
          <w:bCs/>
          <w:sz w:val="24"/>
          <w:szCs w:val="24"/>
          <w:highlight w:val="none"/>
        </w:rPr>
        <w:t>所有，不属于</w:t>
      </w:r>
      <w:r>
        <w:rPr>
          <w:rFonts w:hint="eastAsia" w:ascii="宋体" w:hAnsi="宋体" w:eastAsia="宋体" w:cs="宋体"/>
          <w:b/>
          <w:bCs/>
          <w:sz w:val="24"/>
          <w:szCs w:val="24"/>
          <w:highlight w:val="none"/>
          <w:lang w:eastAsia="zh-CN"/>
        </w:rPr>
        <w:t>中标人。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kern w:val="0"/>
          <w:sz w:val="24"/>
          <w:lang w:eastAsia="zh-CN" w:bidi="ar"/>
        </w:rPr>
      </w:pPr>
      <w:r>
        <w:rPr>
          <w:rFonts w:cs="宋体"/>
        </w:rPr>
        <w:t>▲</w:t>
      </w:r>
      <w:r>
        <w:rPr>
          <w:rFonts w:hint="eastAsia" w:ascii="宋体" w:hAnsi="宋体" w:cs="宋体"/>
          <w:b/>
          <w:kern w:val="0"/>
          <w:sz w:val="24"/>
          <w:lang w:eastAsia="zh-CN" w:bidi="ar"/>
        </w:rPr>
        <w:t>四、商务要求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lang w:eastAsia="zh-CN" w:bidi="ar"/>
        </w:rPr>
      </w:pPr>
      <w:r>
        <w:rPr>
          <w:rFonts w:hint="eastAsia" w:ascii="宋体" w:hAnsi="宋体" w:cs="宋体"/>
          <w:b/>
          <w:kern w:val="0"/>
          <w:sz w:val="24"/>
          <w:lang w:val="en-US" w:eastAsia="zh-CN" w:bidi="ar"/>
        </w:rPr>
        <w:t>1、</w:t>
      </w:r>
      <w:r>
        <w:rPr>
          <w:rFonts w:hint="eastAsia" w:ascii="宋体" w:hAnsi="宋体" w:cs="宋体"/>
          <w:b/>
          <w:kern w:val="0"/>
          <w:sz w:val="24"/>
          <w:lang w:eastAsia="zh-CN" w:bidi="ar"/>
        </w:rPr>
        <w:t>服务地点：</w:t>
      </w:r>
      <w:r>
        <w:rPr>
          <w:rFonts w:hint="eastAsia" w:ascii="宋体" w:hAnsi="宋体" w:cs="宋体"/>
          <w:sz w:val="24"/>
          <w:szCs w:val="24"/>
          <w:lang w:eastAsia="zh-CN"/>
        </w:rPr>
        <w:t>台州市云湖小学</w:t>
      </w:r>
      <w:r>
        <w:rPr>
          <w:rFonts w:hint="eastAsia" w:ascii="宋体" w:hAnsi="宋体" w:eastAsia="宋体" w:cs="宋体"/>
          <w:sz w:val="24"/>
          <w:szCs w:val="24"/>
          <w:lang w:val="en-US" w:eastAsia="zh-CN"/>
        </w:rPr>
        <w:t>。</w:t>
      </w:r>
    </w:p>
    <w:bookmarkEnd w:id="4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lang w:eastAsia="zh-CN" w:bidi="ar"/>
        </w:rPr>
      </w:pPr>
      <w:r>
        <w:rPr>
          <w:rFonts w:hint="eastAsia" w:ascii="宋体" w:hAnsi="宋体" w:cs="宋体"/>
          <w:b/>
          <w:kern w:val="0"/>
          <w:sz w:val="24"/>
          <w:szCs w:val="24"/>
          <w:lang w:val="en-US" w:eastAsia="zh-CN" w:bidi="ar"/>
        </w:rPr>
        <w:t>2、</w:t>
      </w:r>
      <w:r>
        <w:rPr>
          <w:rFonts w:hint="eastAsia" w:ascii="宋体" w:hAnsi="宋体" w:eastAsia="宋体" w:cs="宋体"/>
          <w:b/>
          <w:kern w:val="0"/>
          <w:sz w:val="24"/>
          <w:szCs w:val="24"/>
          <w:lang w:eastAsia="zh-CN" w:bidi="ar"/>
        </w:rPr>
        <w:t>建设服务期限与运维服务期限</w:t>
      </w:r>
      <w:r>
        <w:rPr>
          <w:rFonts w:hint="eastAsia" w:ascii="宋体" w:hAnsi="宋体" w:cs="宋体"/>
          <w:b/>
          <w:kern w:val="0"/>
          <w:sz w:val="24"/>
          <w:szCs w:val="24"/>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接到</w:t>
      </w:r>
      <w:r>
        <w:rPr>
          <w:rFonts w:hint="eastAsia" w:ascii="宋体" w:hAnsi="宋体" w:eastAsia="宋体" w:cs="宋体"/>
          <w:sz w:val="24"/>
          <w:szCs w:val="24"/>
          <w:highlight w:val="none"/>
        </w:rPr>
        <w:t>采购人通知</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天内完成系统</w:t>
      </w:r>
      <w:r>
        <w:rPr>
          <w:rFonts w:hint="eastAsia" w:ascii="宋体" w:hAnsi="宋体" w:eastAsia="宋体" w:cs="宋体"/>
          <w:sz w:val="24"/>
          <w:szCs w:val="24"/>
          <w:highlight w:val="none"/>
          <w:lang w:eastAsia="zh-CN"/>
        </w:rPr>
        <w:t>和平台建设</w:t>
      </w:r>
      <w:r>
        <w:rPr>
          <w:rFonts w:hint="eastAsia" w:ascii="宋体" w:hAnsi="宋体" w:eastAsia="宋体" w:cs="宋体"/>
          <w:sz w:val="24"/>
          <w:szCs w:val="24"/>
          <w:highlight w:val="none"/>
        </w:rPr>
        <w:t>、安装、运行</w:t>
      </w:r>
      <w:r>
        <w:rPr>
          <w:rFonts w:hint="eastAsia" w:ascii="宋体" w:hAnsi="宋体" w:eastAsia="宋体" w:cs="宋体"/>
          <w:sz w:val="24"/>
          <w:szCs w:val="24"/>
          <w:highlight w:val="none"/>
          <w:lang w:eastAsia="zh-CN"/>
        </w:rPr>
        <w:t>及对接</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系统及平台</w:t>
      </w:r>
      <w:r>
        <w:rPr>
          <w:rFonts w:hint="eastAsia" w:ascii="宋体" w:hAnsi="宋体" w:eastAsia="宋体" w:cs="宋体"/>
          <w:sz w:val="24"/>
          <w:szCs w:val="24"/>
          <w:highlight w:val="none"/>
        </w:rPr>
        <w:t>服务运维服务期：</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年（验收合格后之日起算）。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kern w:val="0"/>
          <w:sz w:val="24"/>
          <w:highlight w:val="none"/>
          <w:lang w:val="en-US" w:eastAsia="zh-CN" w:bidi="ar"/>
        </w:rPr>
      </w:pPr>
      <w:bookmarkStart w:id="41" w:name="_Toc525049753"/>
      <w:r>
        <w:rPr>
          <w:rFonts w:hint="eastAsia" w:ascii="宋体" w:hAnsi="宋体" w:cs="宋体"/>
          <w:b/>
          <w:kern w:val="0"/>
          <w:sz w:val="24"/>
          <w:highlight w:val="none"/>
          <w:lang w:val="en-US" w:eastAsia="zh-CN" w:bidi="ar"/>
        </w:rPr>
        <w:t>3</w:t>
      </w:r>
      <w:r>
        <w:rPr>
          <w:rFonts w:hint="eastAsia" w:ascii="宋体" w:hAnsi="宋体" w:cs="宋体"/>
          <w:b/>
          <w:kern w:val="0"/>
          <w:sz w:val="24"/>
          <w:highlight w:val="none"/>
          <w:lang w:bidi="ar"/>
        </w:rPr>
        <w:t>、付款方式</w:t>
      </w:r>
      <w:bookmarkEnd w:id="41"/>
      <w:r>
        <w:rPr>
          <w:rFonts w:hint="eastAsia" w:ascii="宋体" w:hAnsi="宋体" w:cs="宋体"/>
          <w:b/>
          <w:kern w:val="0"/>
          <w:sz w:val="24"/>
          <w:highlight w:val="none"/>
          <w:lang w:eastAsia="zh-CN" w:bidi="ar"/>
        </w:rPr>
        <w:t>：</w:t>
      </w:r>
      <w:r>
        <w:rPr>
          <w:rFonts w:hint="eastAsia" w:ascii="宋体" w:hAnsi="宋体" w:cs="宋体"/>
          <w:b w:val="0"/>
          <w:bCs/>
          <w:kern w:val="0"/>
          <w:sz w:val="24"/>
          <w:highlight w:val="none"/>
          <w:lang w:eastAsia="zh-CN" w:bidi="ar"/>
        </w:rPr>
        <w:t>完成所有</w:t>
      </w:r>
      <w:r>
        <w:rPr>
          <w:rFonts w:hint="eastAsia" w:ascii="宋体" w:hAnsi="宋体" w:cs="宋体"/>
          <w:b w:val="0"/>
          <w:bCs/>
          <w:kern w:val="0"/>
          <w:sz w:val="24"/>
          <w:highlight w:val="none"/>
          <w:lang w:val="en-US" w:eastAsia="zh-CN" w:bidi="ar"/>
        </w:rPr>
        <w:t>系统</w:t>
      </w:r>
      <w:r>
        <w:rPr>
          <w:rFonts w:hint="eastAsia" w:ascii="宋体" w:hAnsi="宋体" w:cs="宋体"/>
          <w:b w:val="0"/>
          <w:bCs/>
          <w:kern w:val="0"/>
          <w:sz w:val="24"/>
          <w:highlight w:val="none"/>
          <w:lang w:eastAsia="zh-CN" w:bidi="ar"/>
        </w:rPr>
        <w:t>的建设、安装、运行及对接且验收合格后</w:t>
      </w:r>
      <w:r>
        <w:rPr>
          <w:rFonts w:hint="eastAsia" w:ascii="宋体" w:hAnsi="宋体" w:cs="宋体"/>
          <w:b w:val="0"/>
          <w:bCs/>
          <w:kern w:val="0"/>
          <w:sz w:val="24"/>
          <w:highlight w:val="none"/>
          <w:lang w:val="en-US" w:eastAsia="zh-CN" w:bidi="ar"/>
        </w:rPr>
        <w:t>30</w:t>
      </w:r>
      <w:r>
        <w:rPr>
          <w:rFonts w:hint="eastAsia" w:ascii="宋体" w:hAnsi="宋体" w:cs="宋体"/>
          <w:b w:val="0"/>
          <w:bCs/>
          <w:kern w:val="0"/>
          <w:sz w:val="24"/>
          <w:highlight w:val="none"/>
          <w:lang w:eastAsia="zh-CN" w:bidi="ar"/>
        </w:rPr>
        <w:t>日内</w:t>
      </w:r>
      <w:r>
        <w:rPr>
          <w:rFonts w:hint="eastAsia" w:ascii="宋体" w:hAnsi="宋体" w:cs="宋体"/>
          <w:b w:val="0"/>
          <w:bCs/>
          <w:kern w:val="0"/>
          <w:sz w:val="24"/>
          <w:highlight w:val="none"/>
          <w:lang w:val="en-US" w:eastAsia="zh-CN" w:bidi="ar"/>
        </w:rPr>
        <w:t>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4、履约保证金：</w:t>
      </w:r>
      <w:r>
        <w:rPr>
          <w:rFonts w:hint="eastAsia" w:ascii="宋体" w:hAnsi="宋体" w:eastAsia="宋体" w:cs="宋体"/>
          <w:sz w:val="24"/>
          <w:szCs w:val="24"/>
        </w:rPr>
        <w:t>合同价的</w:t>
      </w:r>
      <w:r>
        <w:rPr>
          <w:rFonts w:hint="eastAsia" w:ascii="宋体" w:hAnsi="宋体" w:eastAsia="宋体" w:cs="宋体"/>
          <w:sz w:val="24"/>
          <w:szCs w:val="24"/>
          <w:lang w:val="en-US" w:eastAsia="zh-CN"/>
        </w:rPr>
        <w:t>1</w:t>
      </w:r>
      <w:r>
        <w:rPr>
          <w:rFonts w:hint="eastAsia" w:ascii="宋体" w:hAnsi="宋体" w:eastAsia="宋体" w:cs="宋体"/>
          <w:sz w:val="24"/>
          <w:szCs w:val="24"/>
        </w:rPr>
        <w:t>%，可采用银行独立保函、保险机构独立保函、保兑支票、银行汇票或现金支票（若为转账，则完成</w:t>
      </w:r>
      <w:r>
        <w:rPr>
          <w:rFonts w:hint="eastAsia" w:ascii="宋体" w:hAnsi="宋体" w:eastAsia="宋体" w:cs="宋体"/>
          <w:sz w:val="24"/>
          <w:szCs w:val="24"/>
          <w:lang w:eastAsia="zh-CN"/>
        </w:rPr>
        <w:t>建设</w:t>
      </w:r>
      <w:r>
        <w:rPr>
          <w:rFonts w:hint="eastAsia" w:ascii="宋体" w:hAnsi="宋体" w:eastAsia="宋体" w:cs="宋体"/>
          <w:sz w:val="24"/>
          <w:szCs w:val="24"/>
        </w:rPr>
        <w:t>、安装、运行</w:t>
      </w:r>
      <w:r>
        <w:rPr>
          <w:rFonts w:hint="eastAsia" w:ascii="宋体" w:hAnsi="宋体" w:eastAsia="宋体" w:cs="宋体"/>
          <w:sz w:val="24"/>
          <w:szCs w:val="24"/>
          <w:lang w:eastAsia="zh-CN"/>
        </w:rPr>
        <w:t>、对接</w:t>
      </w:r>
      <w:r>
        <w:rPr>
          <w:rFonts w:hint="eastAsia" w:ascii="宋体" w:hAnsi="宋体" w:eastAsia="宋体" w:cs="宋体"/>
          <w:sz w:val="24"/>
          <w:szCs w:val="24"/>
        </w:rPr>
        <w:t>且经验收合格后10个工作日内无息退还剩余部分，若为保单保函的则担保有效期截止日须为所有工作完成且验收合格之日）。</w:t>
      </w:r>
    </w:p>
    <w:p>
      <w:pPr>
        <w:snapToGrid w:val="0"/>
        <w:spacing w:line="360" w:lineRule="auto"/>
        <w:ind w:firstLine="354" w:firstLineChars="169"/>
        <w:jc w:val="left"/>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numPr>
          <w:ilvl w:val="0"/>
          <w:numId w:val="6"/>
        </w:numPr>
        <w:spacing w:line="360" w:lineRule="auto"/>
        <w:jc w:val="center"/>
        <w:rPr>
          <w:rFonts w:asciiTheme="minorEastAsia" w:hAnsiTheme="minorEastAsia" w:eastAsiaTheme="minorEastAsia"/>
          <w:b/>
          <w:sz w:val="36"/>
          <w:szCs w:val="36"/>
        </w:rPr>
      </w:pPr>
      <w:bookmarkStart w:id="42" w:name="_Toc31173_WPSOffice_Level1"/>
      <w:r>
        <w:rPr>
          <w:rFonts w:hint="eastAsia" w:asciiTheme="minorEastAsia" w:hAnsiTheme="minorEastAsia" w:eastAsiaTheme="minorEastAsia"/>
          <w:b/>
          <w:sz w:val="36"/>
          <w:szCs w:val="36"/>
        </w:rPr>
        <w:t>评标</w:t>
      </w:r>
      <w:bookmarkEnd w:id="42"/>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4"/>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（一）在资格标或技术标中出现投标报价的，或者报价文件中报价的服务跟技术文件中的投标服务出现重大偏差的；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0"/>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（十三）两家或两家以上投标单位上传投标文件的ip地址（或工程清单锁地址）相同，视为串标行为，取消评标资格。</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（十四）被拒绝的投标文件为无效。</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（十五）其他不符合法律法规相关规定的。</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六、投标人有下列情形之一的，投标保证金将不予退还</w:t>
      </w:r>
    </w:p>
    <w:p>
      <w:pPr>
        <w:snapToGrid w:val="0"/>
        <w:spacing w:line="400" w:lineRule="exact"/>
        <w:ind w:firstLine="470" w:firstLineChars="196"/>
        <w:jc w:val="left"/>
        <w:rPr>
          <w:rFonts w:ascii="宋体" w:hAnsi="宋体"/>
          <w:sz w:val="24"/>
        </w:rPr>
      </w:pPr>
      <w:r>
        <w:rPr>
          <w:rFonts w:hint="eastAsia" w:ascii="宋体" w:hAnsi="宋体"/>
          <w:sz w:val="24"/>
        </w:rPr>
        <w:t>（一）投标人在投标有效期内撤回投标文件的；</w:t>
      </w:r>
    </w:p>
    <w:p>
      <w:pPr>
        <w:snapToGrid w:val="0"/>
        <w:spacing w:line="400" w:lineRule="exact"/>
        <w:ind w:firstLine="470" w:firstLineChars="196"/>
        <w:jc w:val="left"/>
        <w:rPr>
          <w:rFonts w:ascii="宋体" w:hAnsi="宋体"/>
          <w:sz w:val="24"/>
        </w:rPr>
      </w:pPr>
      <w:r>
        <w:rPr>
          <w:rFonts w:hint="eastAsia" w:ascii="宋体" w:hAnsi="宋体"/>
          <w:sz w:val="24"/>
        </w:rPr>
        <w:t>（二）未按规定提交履约保证金的；</w:t>
      </w:r>
    </w:p>
    <w:p>
      <w:pPr>
        <w:snapToGrid w:val="0"/>
        <w:spacing w:line="400" w:lineRule="exact"/>
        <w:ind w:firstLine="470" w:firstLineChars="196"/>
        <w:jc w:val="left"/>
        <w:rPr>
          <w:rFonts w:ascii="宋体" w:hAnsi="宋体"/>
          <w:sz w:val="24"/>
        </w:rPr>
      </w:pPr>
      <w:r>
        <w:rPr>
          <w:rFonts w:hint="eastAsia" w:ascii="宋体" w:hAnsi="宋体"/>
          <w:sz w:val="24"/>
        </w:rPr>
        <w:t>（三）投标人在投标过程中弄虚作假，提供虚假材料的；</w:t>
      </w:r>
    </w:p>
    <w:p>
      <w:pPr>
        <w:snapToGrid w:val="0"/>
        <w:spacing w:line="400" w:lineRule="exact"/>
        <w:ind w:firstLine="470" w:firstLineChars="196"/>
        <w:rPr>
          <w:rFonts w:ascii="宋体" w:hAnsi="宋体"/>
          <w:sz w:val="24"/>
        </w:rPr>
      </w:pPr>
      <w:r>
        <w:rPr>
          <w:rFonts w:hint="eastAsia" w:ascii="宋体" w:hAnsi="宋体"/>
          <w:sz w:val="24"/>
        </w:rPr>
        <w:t>（四）中标人无正当理由不与采购单位签订合同的；</w:t>
      </w:r>
    </w:p>
    <w:p>
      <w:pPr>
        <w:snapToGrid w:val="0"/>
        <w:spacing w:line="400" w:lineRule="exact"/>
        <w:ind w:firstLine="470" w:firstLineChars="196"/>
        <w:rPr>
          <w:rFonts w:ascii="宋体" w:hAnsi="宋体"/>
          <w:sz w:val="24"/>
        </w:rPr>
      </w:pPr>
      <w:r>
        <w:rPr>
          <w:rFonts w:hint="eastAsia" w:ascii="宋体" w:hAnsi="宋体"/>
          <w:sz w:val="24"/>
        </w:rPr>
        <w:t>（五）</w:t>
      </w:r>
      <w:r>
        <w:rPr>
          <w:rFonts w:hint="eastAsia" w:ascii="宋体" w:hAnsi="宋体"/>
          <w:bCs/>
          <w:sz w:val="24"/>
        </w:rPr>
        <w:t>将中标项目转让给他人或者在投标文件中未说明且未经招标人同意，将中标项目分包给他人的；</w:t>
      </w:r>
    </w:p>
    <w:p>
      <w:pPr>
        <w:snapToGrid w:val="0"/>
        <w:spacing w:line="400" w:lineRule="exact"/>
        <w:ind w:firstLine="480" w:firstLineChars="200"/>
        <w:rPr>
          <w:rFonts w:ascii="宋体" w:hAnsi="宋体"/>
          <w:sz w:val="24"/>
        </w:rPr>
      </w:pPr>
      <w:r>
        <w:rPr>
          <w:rFonts w:hint="eastAsia" w:ascii="宋体" w:hAnsi="宋体"/>
          <w:sz w:val="24"/>
        </w:rPr>
        <w:t>（六）拒绝履行合同义务的；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七、评标过程的监控</w:t>
      </w:r>
    </w:p>
    <w:p>
      <w:pPr>
        <w:pStyle w:val="20"/>
        <w:spacing w:before="0" w:beforeAutospacing="0" w:after="0" w:afterAutospacing="0" w:line="360" w:lineRule="auto"/>
        <w:ind w:firstLine="480" w:firstLineChars="200"/>
        <w:jc w:val="both"/>
        <w:rPr>
          <w:rFonts w:hint="default"/>
        </w:rPr>
      </w:pPr>
      <w:r>
        <w:t>本项目评标过程实行全程录音、录像监控，投标人在评标过程中所进行的试图影响评标结果的不公正活动，可能导致其投标被拒绝。</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sz w:val="24"/>
        </w:rPr>
        <w:t>询问</w:t>
      </w:r>
      <w:r>
        <w:rPr>
          <w:rFonts w:asciiTheme="minorEastAsia" w:hAnsiTheme="minorEastAsia" w:eastAsiaTheme="minorEastAsia"/>
          <w:sz w:val="24"/>
        </w:rPr>
        <w:t>，</w:t>
      </w:r>
      <w:r>
        <w:rPr>
          <w:rFonts w:hint="eastAsia"/>
          <w:sz w:val="24"/>
        </w:rPr>
        <w:t>在</w:t>
      </w:r>
      <w:r>
        <w:rPr>
          <w:rFonts w:hint="eastAsia" w:ascii="宋体" w:hAnsi="宋体" w:cs="宋体"/>
          <w:sz w:val="24"/>
        </w:rPr>
        <w:t>台州湾新区小额工程电子交易平台</w:t>
      </w:r>
      <w:r>
        <w:rPr>
          <w:rFonts w:hint="eastAsia"/>
          <w:sz w:val="24"/>
        </w:rPr>
        <w:t>公布</w:t>
      </w:r>
      <w:r>
        <w:rPr>
          <w:rFonts w:asciiTheme="minorEastAsia" w:hAnsiTheme="minorEastAsia" w:eastAsiaTheme="minorEastAsia"/>
          <w:sz w:val="24"/>
        </w:rPr>
        <w:t>无效投标的投标人名单、投标无效的原因。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具有独立承担民事责任的能力</w:t>
            </w:r>
          </w:p>
        </w:tc>
        <w:tc>
          <w:tcPr>
            <w:tcW w:w="7092" w:type="dxa"/>
            <w:tcMar>
              <w:top w:w="57" w:type="dxa"/>
              <w:left w:w="108" w:type="dxa"/>
              <w:bottom w:w="0" w:type="dxa"/>
              <w:right w:w="108" w:type="dxa"/>
            </w:tcMar>
            <w:vAlign w:val="center"/>
          </w:tcPr>
          <w:p>
            <w:pPr>
              <w:pStyle w:val="53"/>
              <w:spacing w:line="300" w:lineRule="auto"/>
              <w:ind w:left="15" w:leftChars="7" w:right="-17" w:rightChars="-8" w:firstLine="403" w:firstLineChars="192"/>
              <w:rPr>
                <w:szCs w:val="21"/>
              </w:rPr>
            </w:pPr>
            <w:r>
              <w:rPr>
                <w:rFonts w:hint="eastAsia"/>
                <w:szCs w:val="21"/>
              </w:rPr>
              <w:t>在中华人民共和国境内注册的法人或其他组织，投标时提交有效的营业执照（或事业法人登记证或身份证等相关证明）扫描件（以联合体形式投标时，联合体各方均须满足该条款）。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3"/>
              <w:spacing w:line="300" w:lineRule="auto"/>
              <w:ind w:left="15" w:leftChars="7" w:right="-17" w:rightChars="-8" w:firstLine="403" w:firstLineChars="192"/>
              <w:rPr>
                <w:szCs w:val="21"/>
              </w:rPr>
            </w:pPr>
            <w:r>
              <w:rPr>
                <w:rFonts w:hint="eastAsia"/>
                <w:szCs w:val="21"/>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pPr>
              <w:pStyle w:val="53"/>
              <w:spacing w:before="117" w:line="300" w:lineRule="auto"/>
              <w:ind w:left="15" w:leftChars="7" w:right="-17" w:rightChars="-8" w:firstLine="403" w:firstLineChars="192"/>
              <w:rPr>
                <w:szCs w:val="21"/>
              </w:rPr>
            </w:pPr>
            <w:r>
              <w:rPr>
                <w:rFonts w:hint="eastAsia"/>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3"/>
              <w:spacing w:before="1" w:line="300" w:lineRule="auto"/>
              <w:ind w:left="15" w:leftChars="7" w:right="-17" w:rightChars="-8" w:firstLine="403" w:firstLineChars="192"/>
              <w:rPr>
                <w:szCs w:val="21"/>
              </w:rPr>
            </w:pPr>
            <w:r>
              <w:rPr>
                <w:rFonts w:hint="eastAsia"/>
                <w:szCs w:val="21"/>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rPr>
            </w:pPr>
            <w:r>
              <w:rPr>
                <w:rFonts w:hint="eastAsia" w:ascii="宋体" w:hAnsi="宋体" w:cs="宋体"/>
              </w:rPr>
              <w:t>1.截止时点：开标后评标前。</w:t>
            </w:r>
          </w:p>
          <w:p>
            <w:pPr>
              <w:spacing w:line="300" w:lineRule="auto"/>
              <w:ind w:left="15" w:leftChars="7" w:right="-17" w:rightChars="-8" w:firstLine="403" w:firstLineChars="192"/>
              <w:rPr>
                <w:rFonts w:ascii="宋体" w:hAnsi="宋体" w:cs="宋体"/>
                <w:szCs w:val="21"/>
              </w:rPr>
            </w:pPr>
            <w:r>
              <w:rPr>
                <w:rFonts w:hint="eastAsia" w:ascii="宋体" w:hAnsi="宋体" w:cs="宋体"/>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1.单位负责人为同一人或者存在直接控股、管理关系的不同供应商，不得同时参加本项目投标。</w:t>
            </w:r>
          </w:p>
          <w:p>
            <w:pPr>
              <w:pStyle w:val="53"/>
              <w:spacing w:before="48" w:line="300" w:lineRule="auto"/>
              <w:ind w:left="15" w:leftChars="7" w:right="-17" w:rightChars="-8" w:firstLine="403" w:firstLineChars="192"/>
              <w:rPr>
                <w:szCs w:val="21"/>
              </w:rPr>
            </w:pPr>
            <w:r>
              <w:rPr>
                <w:rFonts w:hint="eastAsia"/>
                <w:szCs w:val="21"/>
              </w:rPr>
              <w:t>2.为本项目提供整体设计、规范编制或者项目管理、监理、检测等服务的供应商，不得再参与本项目投标。</w:t>
            </w:r>
          </w:p>
          <w:p>
            <w:pPr>
              <w:pStyle w:val="53"/>
              <w:spacing w:before="48" w:line="300" w:lineRule="auto"/>
              <w:ind w:left="15" w:leftChars="7" w:right="-17" w:rightChars="-8" w:firstLine="403" w:firstLineChars="192"/>
              <w:rPr>
                <w:szCs w:val="21"/>
              </w:rPr>
            </w:pPr>
            <w:r>
              <w:rPr>
                <w:rFonts w:hint="eastAsia"/>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无</w:t>
            </w: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在台州湾新区小额工程电子交易平台公布无效投标的投标人名单、投标无效的原因</w:t>
      </w:r>
      <w:r>
        <w:rPr>
          <w:rFonts w:hint="eastAsia" w:asciiTheme="minorEastAsia" w:hAnsiTheme="minorEastAsia" w:eastAsiaTheme="minorEastAsia"/>
          <w:sz w:val="24"/>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投标文件未含有采购人不可接受的附加条件。</w:t>
            </w:r>
          </w:p>
        </w:tc>
      </w:tr>
    </w:tbl>
    <w:p>
      <w:pPr>
        <w:pStyle w:val="20"/>
        <w:spacing w:before="0" w:beforeAutospacing="0" w:after="0" w:afterAutospacing="0" w:line="360" w:lineRule="auto"/>
        <w:jc w:val="both"/>
        <w:rPr>
          <w:rFonts w:hint="default" w:asciiTheme="minorEastAsia" w:hAnsiTheme="minorEastAsia" w:eastAsiaTheme="minorEastAsia"/>
          <w:b/>
          <w:bCs/>
        </w:rPr>
      </w:pPr>
    </w:p>
    <w:p>
      <w:pPr>
        <w:pStyle w:val="20"/>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20"/>
        <w:spacing w:before="0" w:beforeAutospacing="0" w:after="0" w:afterAutospacing="0" w:line="360" w:lineRule="auto"/>
        <w:jc w:val="both"/>
        <w:rPr>
          <w:rFonts w:hint="default" w:asciiTheme="minorEastAsia" w:hAnsiTheme="minorEastAsia" w:eastAsiaTheme="minorEastAsia"/>
          <w:b/>
          <w:bCs/>
        </w:rPr>
      </w:pPr>
    </w:p>
    <w:p>
      <w:pPr>
        <w:pStyle w:val="20"/>
        <w:spacing w:before="0" w:beforeAutospacing="0" w:after="0" w:afterAutospacing="0" w:line="360" w:lineRule="auto"/>
        <w:jc w:val="both"/>
        <w:rPr>
          <w:rFonts w:hint="default" w:asciiTheme="minorEastAsia" w:hAnsiTheme="minorEastAsia" w:eastAsiaTheme="minorEastAsia"/>
          <w:b/>
          <w:bCs/>
        </w:rPr>
      </w:pPr>
    </w:p>
    <w:p>
      <w:pPr>
        <w:pStyle w:val="20"/>
        <w:spacing w:before="0" w:beforeAutospacing="0" w:after="0" w:afterAutospacing="0" w:line="360" w:lineRule="auto"/>
        <w:jc w:val="both"/>
        <w:rPr>
          <w:rFonts w:hint="default" w:asciiTheme="minorEastAsia" w:hAnsiTheme="minorEastAsia" w:eastAsiaTheme="minorEastAsia"/>
          <w:b/>
          <w:bCs/>
        </w:rPr>
      </w:pPr>
    </w:p>
    <w:p>
      <w:pPr>
        <w:pStyle w:val="20"/>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技术标及商务标评审</w:t>
      </w:r>
    </w:p>
    <w:p>
      <w:pPr>
        <w:autoSpaceDE w:val="0"/>
        <w:autoSpaceDN w:val="0"/>
        <w:adjustRightInd w:val="0"/>
        <w:spacing w:line="360" w:lineRule="auto"/>
        <w:ind w:right="85" w:firstLine="240" w:firstLineChars="100"/>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项目评标方法为综合评分法，总计100分，评标按以下标准及要求进行：</w:t>
      </w:r>
    </w:p>
    <w:p>
      <w:pPr>
        <w:autoSpaceDE w:val="0"/>
        <w:autoSpaceDN w:val="0"/>
        <w:adjustRightInd w:val="0"/>
        <w:spacing w:line="360" w:lineRule="auto"/>
        <w:ind w:right="85" w:firstLine="241" w:firstLineChars="100"/>
        <w:rPr>
          <w:highlight w:val="none"/>
        </w:rPr>
      </w:pPr>
      <w:r>
        <w:rPr>
          <w:rFonts w:hint="eastAsia" w:ascii="宋体"/>
          <w:b/>
          <w:bCs/>
          <w:sz w:val="24"/>
          <w:highlight w:val="none"/>
        </w:rPr>
        <w:t>1、评分标准</w:t>
      </w:r>
    </w:p>
    <w:tbl>
      <w:tblPr>
        <w:tblStyle w:val="25"/>
        <w:tblW w:w="51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125"/>
        <w:gridCol w:w="6885"/>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07" w:type="dxa"/>
            <w:vAlign w:val="center"/>
          </w:tcPr>
          <w:p>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评分</w:t>
            </w:r>
            <w:r>
              <w:rPr>
                <w:rFonts w:hint="eastAsia" w:ascii="宋体" w:hAnsi="宋体" w:eastAsia="宋体" w:cs="宋体"/>
                <w:sz w:val="21"/>
                <w:szCs w:val="21"/>
              </w:rPr>
              <w:t>项目</w:t>
            </w:r>
          </w:p>
        </w:tc>
        <w:tc>
          <w:tcPr>
            <w:tcW w:w="1125" w:type="dxa"/>
            <w:vAlign w:val="center"/>
          </w:tcPr>
          <w:p>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评审内容</w:t>
            </w:r>
          </w:p>
        </w:tc>
        <w:tc>
          <w:tcPr>
            <w:tcW w:w="6885" w:type="dxa"/>
            <w:vAlign w:val="center"/>
          </w:tcPr>
          <w:p>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1"/>
                <w:szCs w:val="21"/>
              </w:rPr>
            </w:pPr>
            <w:r>
              <w:rPr>
                <w:rFonts w:hint="eastAsia" w:ascii="宋体" w:hAnsi="宋体" w:eastAsia="宋体" w:cs="宋体"/>
                <w:sz w:val="21"/>
                <w:szCs w:val="21"/>
              </w:rPr>
              <w:t>评分标准</w:t>
            </w:r>
          </w:p>
        </w:tc>
        <w:tc>
          <w:tcPr>
            <w:tcW w:w="790" w:type="dxa"/>
            <w:vAlign w:val="center"/>
          </w:tcPr>
          <w:p>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1"/>
                <w:szCs w:val="21"/>
                <w:lang w:eastAsia="zh-CN"/>
              </w:rPr>
            </w:pPr>
            <w:r>
              <w:rPr>
                <w:rFonts w:hint="eastAsia" w:ascii="宋体" w:hAnsi="宋体" w:eastAsia="宋体" w:cs="宋体"/>
                <w:b w:val="0"/>
                <w:bCs w:val="0"/>
                <w:sz w:val="21"/>
                <w:szCs w:val="21"/>
                <w:lang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07" w:type="dxa"/>
            <w:vMerge w:val="restart"/>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技术分（</w:t>
            </w:r>
            <w:r>
              <w:rPr>
                <w:rFonts w:hint="eastAsia" w:ascii="宋体" w:hAnsi="宋体" w:eastAsia="宋体" w:cs="宋体"/>
                <w:sz w:val="21"/>
                <w:szCs w:val="21"/>
                <w:lang w:val="en-US" w:eastAsia="zh-CN"/>
              </w:rPr>
              <w:t>70分</w:t>
            </w:r>
            <w:r>
              <w:rPr>
                <w:rFonts w:hint="eastAsia" w:ascii="宋体" w:hAnsi="宋体" w:eastAsia="宋体" w:cs="宋体"/>
                <w:sz w:val="21"/>
                <w:szCs w:val="21"/>
                <w:lang w:eastAsia="zh-CN"/>
              </w:rPr>
              <w:t>）</w:t>
            </w:r>
          </w:p>
        </w:tc>
        <w:tc>
          <w:tcPr>
            <w:tcW w:w="1125"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企业综合实力</w:t>
            </w:r>
          </w:p>
        </w:tc>
        <w:tc>
          <w:tcPr>
            <w:tcW w:w="6885" w:type="dxa"/>
            <w:vAlign w:val="center"/>
          </w:tcPr>
          <w:p>
            <w:pPr>
              <w:keepNext w:val="0"/>
              <w:keepLines w:val="0"/>
              <w:pageBreakBefore w:val="0"/>
              <w:kinsoku/>
              <w:wordWrap/>
              <w:overflowPunct/>
              <w:topLinePunct w:val="0"/>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投标人具有质量管理体系认证、环境管理体系认证、职业健康安全管理体系认证的每项得</w:t>
            </w:r>
            <w:r>
              <w:rPr>
                <w:rFonts w:hint="eastAsia" w:ascii="宋体" w:hAnsi="宋体" w:eastAsia="宋体" w:cs="宋体"/>
                <w:sz w:val="21"/>
                <w:szCs w:val="21"/>
                <w:lang w:val="en-US" w:eastAsia="zh-CN"/>
              </w:rPr>
              <w:t>2</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注：须提供有效的证书</w:t>
            </w:r>
            <w:r>
              <w:rPr>
                <w:rFonts w:hint="eastAsia" w:ascii="宋体" w:hAnsi="宋体" w:eastAsia="宋体" w:cs="宋体"/>
                <w:b/>
                <w:bCs/>
                <w:sz w:val="21"/>
                <w:szCs w:val="21"/>
                <w:lang w:eastAsia="zh-CN"/>
              </w:rPr>
              <w:t>扫描件</w:t>
            </w:r>
            <w:r>
              <w:rPr>
                <w:rFonts w:hint="eastAsia" w:ascii="宋体" w:hAnsi="宋体" w:eastAsia="宋体" w:cs="宋体"/>
                <w:b/>
                <w:bCs/>
                <w:sz w:val="21"/>
                <w:szCs w:val="21"/>
              </w:rPr>
              <w:t>，否则不得分。</w:t>
            </w:r>
          </w:p>
        </w:tc>
        <w:tc>
          <w:tcPr>
            <w:tcW w:w="790" w:type="dxa"/>
            <w:vAlign w:val="center"/>
          </w:tcPr>
          <w:p>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6</w:t>
            </w:r>
            <w:r>
              <w:rPr>
                <w:rFonts w:hint="eastAsia" w:ascii="宋体" w:hAnsi="宋体" w:eastAsia="宋体" w:cs="宋体"/>
                <w:b w:val="0"/>
                <w:bCs w:val="0"/>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rPr>
            </w:pPr>
          </w:p>
        </w:tc>
        <w:tc>
          <w:tcPr>
            <w:tcW w:w="1125"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企业业绩</w:t>
            </w:r>
          </w:p>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rPr>
            </w:pPr>
          </w:p>
        </w:tc>
        <w:tc>
          <w:tcPr>
            <w:tcW w:w="6885" w:type="dxa"/>
            <w:vAlign w:val="center"/>
          </w:tcPr>
          <w:p>
            <w:pPr>
              <w:keepNext w:val="0"/>
              <w:keepLines w:val="0"/>
              <w:pageBreakBefore w:val="0"/>
              <w:kinsoku/>
              <w:wordWrap/>
              <w:overflowPunct/>
              <w:topLinePunct w:val="0"/>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自20</w:t>
            </w:r>
            <w:r>
              <w:rPr>
                <w:rFonts w:hint="eastAsia" w:ascii="宋体" w:hAnsi="宋体" w:eastAsia="宋体" w:cs="宋体"/>
                <w:sz w:val="21"/>
                <w:szCs w:val="21"/>
                <w:lang w:val="en-US" w:eastAsia="zh-CN"/>
              </w:rPr>
              <w:t>20</w:t>
            </w:r>
            <w:r>
              <w:rPr>
                <w:rFonts w:hint="eastAsia" w:ascii="宋体" w:hAnsi="宋体" w:eastAsia="宋体" w:cs="宋体"/>
                <w:sz w:val="21"/>
                <w:szCs w:val="21"/>
              </w:rPr>
              <w:t>年1月1日以来（时间以签订合同日期为准）承接过相关</w:t>
            </w:r>
            <w:r>
              <w:rPr>
                <w:rFonts w:hint="eastAsia" w:ascii="宋体" w:hAnsi="宋体" w:eastAsia="宋体" w:cs="宋体"/>
                <w:sz w:val="21"/>
                <w:szCs w:val="21"/>
                <w:lang w:eastAsia="zh-CN"/>
              </w:rPr>
              <w:t>监控系统集成类</w:t>
            </w:r>
            <w:r>
              <w:rPr>
                <w:rFonts w:hint="eastAsia" w:ascii="宋体" w:hAnsi="宋体" w:eastAsia="宋体" w:cs="宋体"/>
                <w:sz w:val="21"/>
                <w:szCs w:val="21"/>
              </w:rPr>
              <w:t>项目业绩的，每提供1个得2分，本项最高得2分。</w:t>
            </w:r>
          </w:p>
          <w:p>
            <w:pPr>
              <w:keepNext w:val="0"/>
              <w:keepLines w:val="0"/>
              <w:pageBreakBefore w:val="0"/>
              <w:widowControl/>
              <w:kinsoku/>
              <w:wordWrap/>
              <w:overflowPunct/>
              <w:topLinePunct w:val="0"/>
              <w:bidi w:val="0"/>
              <w:adjustRightInd/>
              <w:snapToGrid/>
              <w:spacing w:line="240" w:lineRule="auto"/>
              <w:rPr>
                <w:rFonts w:hint="eastAsia" w:ascii="宋体" w:hAnsi="宋体" w:eastAsia="宋体" w:cs="宋体"/>
                <w:sz w:val="21"/>
                <w:szCs w:val="21"/>
              </w:rPr>
            </w:pPr>
            <w:r>
              <w:rPr>
                <w:rFonts w:hint="eastAsia" w:ascii="宋体" w:hAnsi="宋体" w:eastAsia="宋体" w:cs="宋体"/>
                <w:b/>
                <w:bCs/>
                <w:sz w:val="21"/>
                <w:szCs w:val="21"/>
              </w:rPr>
              <w:t>注：须提供合同</w:t>
            </w:r>
            <w:r>
              <w:rPr>
                <w:rFonts w:hint="eastAsia" w:ascii="宋体" w:hAnsi="宋体" w:eastAsia="宋体" w:cs="宋体"/>
                <w:b/>
                <w:bCs/>
                <w:sz w:val="21"/>
                <w:szCs w:val="21"/>
                <w:lang w:eastAsia="zh-CN"/>
              </w:rPr>
              <w:t>扫描件</w:t>
            </w:r>
            <w:r>
              <w:rPr>
                <w:rFonts w:hint="eastAsia" w:ascii="宋体" w:hAnsi="宋体" w:eastAsia="宋体" w:cs="宋体"/>
                <w:b/>
                <w:bCs/>
                <w:sz w:val="21"/>
                <w:szCs w:val="21"/>
              </w:rPr>
              <w:t>，否则不得分。</w:t>
            </w:r>
          </w:p>
        </w:tc>
        <w:tc>
          <w:tcPr>
            <w:tcW w:w="790"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0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112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投入本项目的项目技术力量和人员配置情况</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6885"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项目负责人具有智能化系统集成项目经理（高级）、注册信息安全工程师（CISE）、CDPSE-数据隐私解决方案工程师，每提供一个得2分，本项最高得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bCs/>
                <w:sz w:val="21"/>
                <w:szCs w:val="21"/>
              </w:rPr>
              <w:t>注：须同时提供相关</w:t>
            </w:r>
            <w:r>
              <w:rPr>
                <w:rFonts w:hint="eastAsia" w:ascii="宋体" w:hAnsi="宋体" w:eastAsia="宋体" w:cs="宋体"/>
                <w:b/>
                <w:bCs/>
                <w:sz w:val="21"/>
                <w:szCs w:val="21"/>
                <w:lang w:eastAsia="zh-CN"/>
              </w:rPr>
              <w:t>有效</w:t>
            </w:r>
            <w:r>
              <w:rPr>
                <w:rFonts w:hint="eastAsia" w:ascii="宋体" w:hAnsi="宋体" w:eastAsia="宋体" w:cs="宋体"/>
                <w:b/>
                <w:bCs/>
                <w:sz w:val="21"/>
                <w:szCs w:val="21"/>
              </w:rPr>
              <w:t>证书</w:t>
            </w:r>
            <w:r>
              <w:rPr>
                <w:rFonts w:hint="eastAsia" w:ascii="宋体" w:hAnsi="宋体" w:eastAsia="宋体" w:cs="宋体"/>
                <w:b/>
                <w:bCs/>
                <w:sz w:val="21"/>
                <w:szCs w:val="21"/>
                <w:lang w:eastAsia="zh-CN"/>
              </w:rPr>
              <w:t>扫描件</w:t>
            </w:r>
            <w:r>
              <w:rPr>
                <w:rFonts w:hint="eastAsia" w:ascii="宋体" w:hAnsi="宋体" w:eastAsia="宋体" w:cs="宋体"/>
                <w:b/>
                <w:bCs/>
                <w:sz w:val="21"/>
                <w:szCs w:val="21"/>
              </w:rPr>
              <w:t>和近三个月</w:t>
            </w:r>
            <w:r>
              <w:rPr>
                <w:rFonts w:hint="eastAsia" w:ascii="宋体" w:hAnsi="宋体" w:eastAsia="宋体" w:cs="宋体"/>
                <w:b/>
                <w:bCs/>
                <w:sz w:val="21"/>
                <w:szCs w:val="21"/>
                <w:lang w:eastAsia="zh-CN"/>
              </w:rPr>
              <w:t>内的其中一个月</w:t>
            </w:r>
            <w:r>
              <w:rPr>
                <w:rFonts w:hint="eastAsia" w:ascii="宋体" w:hAnsi="宋体" w:eastAsia="宋体" w:cs="宋体"/>
                <w:b/>
                <w:bCs/>
                <w:sz w:val="21"/>
                <w:szCs w:val="21"/>
              </w:rPr>
              <w:t>在本单位缴纳的社保证明材料，否则不得分。</w:t>
            </w:r>
          </w:p>
        </w:tc>
        <w:tc>
          <w:tcPr>
            <w:tcW w:w="79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0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112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6885"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项目技术负责人具有注册信息安全工程师（CISE）、智能化系统工程师（高级）、网络规划设计师、安防系统工程师(高级)、信息安全工程师，每提供一个得</w:t>
            </w:r>
            <w:r>
              <w:rPr>
                <w:rFonts w:hint="eastAsia" w:ascii="宋体" w:hAnsi="宋体" w:eastAsia="宋体" w:cs="宋体"/>
                <w:sz w:val="21"/>
                <w:szCs w:val="21"/>
                <w:lang w:val="en-US" w:eastAsia="zh-CN"/>
              </w:rPr>
              <w:t>1</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bCs/>
                <w:sz w:val="21"/>
                <w:szCs w:val="21"/>
              </w:rPr>
              <w:t>注：须同时提供相关</w:t>
            </w:r>
            <w:r>
              <w:rPr>
                <w:rFonts w:hint="eastAsia" w:ascii="宋体" w:hAnsi="宋体" w:eastAsia="宋体" w:cs="宋体"/>
                <w:b/>
                <w:bCs/>
                <w:sz w:val="21"/>
                <w:szCs w:val="21"/>
                <w:lang w:eastAsia="zh-CN"/>
              </w:rPr>
              <w:t>有效</w:t>
            </w:r>
            <w:r>
              <w:rPr>
                <w:rFonts w:hint="eastAsia" w:ascii="宋体" w:hAnsi="宋体" w:eastAsia="宋体" w:cs="宋体"/>
                <w:b/>
                <w:bCs/>
                <w:sz w:val="21"/>
                <w:szCs w:val="21"/>
              </w:rPr>
              <w:t>证书</w:t>
            </w:r>
            <w:r>
              <w:rPr>
                <w:rFonts w:hint="eastAsia" w:ascii="宋体" w:hAnsi="宋体" w:eastAsia="宋体" w:cs="宋体"/>
                <w:b/>
                <w:bCs/>
                <w:sz w:val="21"/>
                <w:szCs w:val="21"/>
                <w:lang w:eastAsia="zh-CN"/>
              </w:rPr>
              <w:t>扫描件</w:t>
            </w:r>
            <w:r>
              <w:rPr>
                <w:rFonts w:hint="eastAsia" w:ascii="宋体" w:hAnsi="宋体" w:eastAsia="宋体" w:cs="宋体"/>
                <w:b/>
                <w:bCs/>
                <w:sz w:val="21"/>
                <w:szCs w:val="21"/>
              </w:rPr>
              <w:t>和近三个月</w:t>
            </w:r>
            <w:r>
              <w:rPr>
                <w:rFonts w:hint="eastAsia" w:ascii="宋体" w:hAnsi="宋体" w:eastAsia="宋体" w:cs="宋体"/>
                <w:b/>
                <w:bCs/>
                <w:sz w:val="21"/>
                <w:szCs w:val="21"/>
                <w:lang w:eastAsia="zh-CN"/>
              </w:rPr>
              <w:t>内的其中一个月</w:t>
            </w:r>
            <w:r>
              <w:rPr>
                <w:rFonts w:hint="eastAsia" w:ascii="宋体" w:hAnsi="宋体" w:eastAsia="宋体" w:cs="宋体"/>
                <w:b/>
                <w:bCs/>
                <w:sz w:val="21"/>
                <w:szCs w:val="21"/>
              </w:rPr>
              <w:t>在本单位缴纳的社保证明材料，否则不得分。</w:t>
            </w:r>
          </w:p>
        </w:tc>
        <w:tc>
          <w:tcPr>
            <w:tcW w:w="79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112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6885" w:type="dxa"/>
            <w:vAlign w:val="center"/>
          </w:tcPr>
          <w:p>
            <w:pPr>
              <w:keepNext w:val="0"/>
              <w:keepLines w:val="0"/>
              <w:pageBreakBefore w:val="0"/>
              <w:kinsoku/>
              <w:wordWrap/>
              <w:overflowPunct/>
              <w:topLinePunct w:val="0"/>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z w:val="21"/>
                <w:szCs w:val="21"/>
              </w:rPr>
              <w:t>项目组其他成员（除项目负责人、项目技术负责人外）中配备高级工程师证书、网络工程师证书、高级软件技术开发工程师证书、CISP证书（信息安全工程师证书）、信息系统项目管理师证书、中级工程师的得</w:t>
            </w:r>
            <w:r>
              <w:rPr>
                <w:rFonts w:hint="eastAsia" w:ascii="宋体" w:hAnsi="宋体" w:eastAsia="宋体" w:cs="宋体"/>
                <w:sz w:val="21"/>
                <w:szCs w:val="21"/>
                <w:lang w:val="en-US" w:eastAsia="zh-CN"/>
              </w:rPr>
              <w:t>2</w:t>
            </w:r>
            <w:r>
              <w:rPr>
                <w:rFonts w:hint="eastAsia" w:ascii="宋体" w:hAnsi="宋体" w:eastAsia="宋体" w:cs="宋体"/>
                <w:sz w:val="21"/>
                <w:szCs w:val="21"/>
              </w:rPr>
              <w:t>分，缺少任意一本,每本扣</w:t>
            </w:r>
            <w:r>
              <w:rPr>
                <w:rFonts w:hint="eastAsia" w:ascii="宋体" w:hAnsi="宋体" w:eastAsia="宋体" w:cs="宋体"/>
                <w:sz w:val="21"/>
                <w:szCs w:val="21"/>
                <w:lang w:val="en-US" w:eastAsia="zh-CN"/>
              </w:rPr>
              <w:t>0.5</w:t>
            </w:r>
            <w:r>
              <w:rPr>
                <w:rFonts w:hint="eastAsia" w:ascii="宋体" w:hAnsi="宋体" w:eastAsia="宋体" w:cs="宋体"/>
                <w:sz w:val="21"/>
                <w:szCs w:val="21"/>
              </w:rPr>
              <w:t>分，扣完为止。本项最高得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注：须同时提供相关</w:t>
            </w:r>
            <w:r>
              <w:rPr>
                <w:rFonts w:hint="eastAsia" w:ascii="宋体" w:hAnsi="宋体" w:eastAsia="宋体" w:cs="宋体"/>
                <w:b/>
                <w:bCs/>
                <w:sz w:val="21"/>
                <w:szCs w:val="21"/>
                <w:lang w:eastAsia="zh-CN"/>
              </w:rPr>
              <w:t>有效</w:t>
            </w:r>
            <w:r>
              <w:rPr>
                <w:rFonts w:hint="eastAsia" w:ascii="宋体" w:hAnsi="宋体" w:eastAsia="宋体" w:cs="宋体"/>
                <w:b/>
                <w:bCs/>
                <w:sz w:val="21"/>
                <w:szCs w:val="21"/>
              </w:rPr>
              <w:t>证书</w:t>
            </w:r>
            <w:r>
              <w:rPr>
                <w:rFonts w:hint="eastAsia" w:ascii="宋体" w:hAnsi="宋体" w:eastAsia="宋体" w:cs="宋体"/>
                <w:b/>
                <w:bCs/>
                <w:sz w:val="21"/>
                <w:szCs w:val="21"/>
                <w:lang w:eastAsia="zh-CN"/>
              </w:rPr>
              <w:t>扫描件</w:t>
            </w:r>
            <w:r>
              <w:rPr>
                <w:rFonts w:hint="eastAsia" w:ascii="宋体" w:hAnsi="宋体" w:eastAsia="宋体" w:cs="宋体"/>
                <w:b/>
                <w:bCs/>
                <w:sz w:val="21"/>
                <w:szCs w:val="21"/>
              </w:rPr>
              <w:t>和近三个月</w:t>
            </w:r>
            <w:r>
              <w:rPr>
                <w:rFonts w:hint="eastAsia" w:ascii="宋体" w:hAnsi="宋体" w:eastAsia="宋体" w:cs="宋体"/>
                <w:b/>
                <w:bCs/>
                <w:sz w:val="21"/>
                <w:szCs w:val="21"/>
                <w:lang w:eastAsia="zh-CN"/>
              </w:rPr>
              <w:t>内的其中一个月</w:t>
            </w:r>
            <w:r>
              <w:rPr>
                <w:rFonts w:hint="eastAsia" w:ascii="宋体" w:hAnsi="宋体" w:eastAsia="宋体" w:cs="宋体"/>
                <w:b/>
                <w:bCs/>
                <w:sz w:val="21"/>
                <w:szCs w:val="21"/>
              </w:rPr>
              <w:t>在本单位缴纳的社保证明材料，否则不得分。</w:t>
            </w:r>
          </w:p>
        </w:tc>
        <w:tc>
          <w:tcPr>
            <w:tcW w:w="79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lang w:eastAsia="zh-CN"/>
              </w:rPr>
            </w:pPr>
            <w:r>
              <w:rPr>
                <w:rFonts w:hint="eastAsia" w:ascii="宋体" w:hAnsi="宋体" w:eastAsia="宋体" w:cs="宋体"/>
                <w:color w:val="auto"/>
                <w:kern w:val="0"/>
                <w:sz w:val="21"/>
                <w:szCs w:val="21"/>
                <w:highlight w:val="none"/>
              </w:rPr>
              <w:t>项目理解和设计方案</w:t>
            </w:r>
          </w:p>
        </w:tc>
        <w:tc>
          <w:tcPr>
            <w:tcW w:w="6885" w:type="dxa"/>
            <w:vAlign w:val="center"/>
          </w:tcPr>
          <w:p>
            <w:pPr>
              <w:keepNext w:val="0"/>
              <w:keepLines w:val="0"/>
              <w:pageBreakBefore w:val="0"/>
              <w:widowControl/>
              <w:kinsoku/>
              <w:wordWrap/>
              <w:overflowPunct/>
              <w:topLinePunct w:val="0"/>
              <w:bidi w:val="0"/>
              <w:adjustRightInd/>
              <w:snapToGrid/>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根据投标人对用户需求的理解程度</w:t>
            </w:r>
            <w:r>
              <w:rPr>
                <w:rFonts w:hint="eastAsia" w:ascii="宋体" w:hAnsi="宋体" w:eastAsia="宋体" w:cs="宋体"/>
                <w:color w:val="auto"/>
                <w:kern w:val="0"/>
                <w:sz w:val="21"/>
                <w:szCs w:val="21"/>
                <w:highlight w:val="none"/>
                <w:lang w:eastAsia="zh-CN"/>
              </w:rPr>
              <w:t>和设计</w:t>
            </w:r>
            <w:r>
              <w:rPr>
                <w:rFonts w:hint="eastAsia" w:ascii="宋体" w:hAnsi="宋体" w:eastAsia="宋体" w:cs="宋体"/>
                <w:color w:val="auto"/>
                <w:kern w:val="0"/>
                <w:sz w:val="21"/>
                <w:szCs w:val="21"/>
                <w:highlight w:val="none"/>
              </w:rPr>
              <w:t>方案（包括整体技术解决方案</w:t>
            </w:r>
            <w:r>
              <w:rPr>
                <w:rFonts w:hint="eastAsia" w:ascii="宋体" w:hAnsi="宋体" w:eastAsia="宋体" w:cs="宋体"/>
                <w:color w:val="auto"/>
                <w:kern w:val="0"/>
                <w:sz w:val="21"/>
                <w:szCs w:val="21"/>
                <w:highlight w:val="none"/>
                <w:lang w:eastAsia="zh-CN"/>
              </w:rPr>
              <w:t>，含台州湾新区校园安防平台对接</w:t>
            </w:r>
            <w:r>
              <w:rPr>
                <w:rFonts w:hint="eastAsia" w:ascii="宋体" w:hAnsi="宋体" w:eastAsia="宋体" w:cs="宋体"/>
                <w:color w:val="auto"/>
                <w:kern w:val="0"/>
                <w:sz w:val="21"/>
                <w:szCs w:val="21"/>
                <w:highlight w:val="none"/>
              </w:rPr>
              <w:t>）的科学性、先进性、可靠性、成熟性、合理性、完整性和扩展性进行打分。</w:t>
            </w:r>
          </w:p>
          <w:p>
            <w:pPr>
              <w:keepNext w:val="0"/>
              <w:keepLines w:val="0"/>
              <w:pageBreakBefore w:val="0"/>
              <w:widowControl/>
              <w:kinsoku/>
              <w:wordWrap/>
              <w:overflowPunct/>
              <w:topLinePunct w:val="0"/>
              <w:bidi w:val="0"/>
              <w:adjustRightInd/>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1、方案内容</w:t>
            </w:r>
            <w:r>
              <w:rPr>
                <w:rFonts w:hint="eastAsia" w:ascii="宋体" w:hAnsi="宋体" w:eastAsia="宋体" w:cs="宋体"/>
                <w:color w:val="auto"/>
                <w:kern w:val="0"/>
                <w:sz w:val="21"/>
                <w:szCs w:val="21"/>
                <w:highlight w:val="none"/>
              </w:rPr>
              <w:t>科学性、先进性、可靠性、成熟性、合理性、完整性和扩展性</w:t>
            </w:r>
            <w:r>
              <w:rPr>
                <w:rFonts w:hint="eastAsia" w:ascii="宋体" w:hAnsi="宋体" w:eastAsia="宋体" w:cs="宋体"/>
                <w:color w:val="auto"/>
                <w:kern w:val="0"/>
                <w:sz w:val="21"/>
                <w:szCs w:val="21"/>
                <w:highlight w:val="none"/>
                <w:lang w:eastAsia="zh-CN"/>
              </w:rPr>
              <w:t>好的得</w:t>
            </w:r>
            <w:r>
              <w:rPr>
                <w:rFonts w:hint="eastAsia" w:ascii="宋体" w:hAnsi="宋体" w:eastAsia="宋体" w:cs="宋体"/>
                <w:color w:val="auto"/>
                <w:kern w:val="0"/>
                <w:sz w:val="21"/>
                <w:szCs w:val="21"/>
                <w:highlight w:val="none"/>
                <w:lang w:val="en-US" w:eastAsia="zh-CN"/>
              </w:rPr>
              <w:t>6.1-8分；</w:t>
            </w:r>
          </w:p>
          <w:p>
            <w:pPr>
              <w:pStyle w:val="24"/>
              <w:keepNext w:val="0"/>
              <w:keepLines w:val="0"/>
              <w:pageBreakBefore w:val="0"/>
              <w:kinsoku/>
              <w:wordWrap/>
              <w:overflowPunct/>
              <w:topLinePunct w:val="0"/>
              <w:bidi w:val="0"/>
              <w:adjustRightInd/>
              <w:snapToGrid/>
              <w:spacing w:after="0" w:line="24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2、方案内容</w:t>
            </w:r>
            <w:r>
              <w:rPr>
                <w:rFonts w:hint="eastAsia" w:ascii="宋体" w:hAnsi="宋体" w:eastAsia="宋体" w:cs="宋体"/>
                <w:color w:val="auto"/>
                <w:kern w:val="0"/>
                <w:sz w:val="21"/>
                <w:szCs w:val="21"/>
                <w:highlight w:val="none"/>
              </w:rPr>
              <w:t>科学性、先进性、可靠性、成熟性、合理性、完整性和扩展性</w:t>
            </w:r>
            <w:r>
              <w:rPr>
                <w:rFonts w:hint="eastAsia" w:ascii="宋体" w:hAnsi="宋体" w:eastAsia="宋体" w:cs="宋体"/>
                <w:color w:val="auto"/>
                <w:kern w:val="0"/>
                <w:sz w:val="21"/>
                <w:szCs w:val="21"/>
                <w:highlight w:val="none"/>
                <w:lang w:eastAsia="zh-CN"/>
              </w:rPr>
              <w:t>一般的得</w:t>
            </w:r>
            <w:r>
              <w:rPr>
                <w:rFonts w:hint="eastAsia" w:ascii="宋体" w:hAnsi="宋体" w:eastAsia="宋体" w:cs="宋体"/>
                <w:color w:val="auto"/>
                <w:kern w:val="0"/>
                <w:sz w:val="21"/>
                <w:szCs w:val="21"/>
                <w:highlight w:val="none"/>
                <w:lang w:val="en-US" w:eastAsia="zh-CN"/>
              </w:rPr>
              <w:t>3.1-6分；</w:t>
            </w:r>
          </w:p>
          <w:p>
            <w:pPr>
              <w:keepNext w:val="0"/>
              <w:keepLines w:val="0"/>
              <w:pageBreakBefore w:val="0"/>
              <w:kinsoku/>
              <w:wordWrap/>
              <w:overflowPunct/>
              <w:topLinePunct w:val="0"/>
              <w:bidi w:val="0"/>
              <w:adjustRightInd/>
              <w:snapToGrid/>
              <w:spacing w:line="240" w:lineRule="auto"/>
              <w:rPr>
                <w:rFonts w:hint="eastAsia" w:ascii="宋体" w:hAnsi="宋体" w:eastAsia="宋体" w:cs="宋体"/>
                <w:sz w:val="21"/>
                <w:szCs w:val="21"/>
                <w:highlight w:val="none"/>
                <w:lang w:val="en-US" w:eastAsia="zh-CN"/>
              </w:rPr>
            </w:pPr>
            <w:r>
              <w:rPr>
                <w:rFonts w:hint="eastAsia" w:ascii="宋体" w:hAnsi="宋体" w:eastAsia="宋体" w:cs="宋体"/>
                <w:color w:val="auto"/>
                <w:kern w:val="0"/>
                <w:sz w:val="21"/>
                <w:szCs w:val="21"/>
                <w:highlight w:val="none"/>
                <w:lang w:val="en-US" w:eastAsia="zh-CN"/>
              </w:rPr>
              <w:t>3、方案内容</w:t>
            </w:r>
            <w:r>
              <w:rPr>
                <w:rFonts w:hint="eastAsia" w:ascii="宋体" w:hAnsi="宋体" w:eastAsia="宋体" w:cs="宋体"/>
                <w:color w:val="auto"/>
                <w:kern w:val="0"/>
                <w:sz w:val="21"/>
                <w:szCs w:val="21"/>
                <w:highlight w:val="none"/>
              </w:rPr>
              <w:t>科学性、先进性、可靠性、成熟性、合理性、完整性和扩展性</w:t>
            </w:r>
            <w:r>
              <w:rPr>
                <w:rFonts w:hint="eastAsia" w:ascii="宋体" w:hAnsi="宋体" w:eastAsia="宋体" w:cs="宋体"/>
                <w:color w:val="auto"/>
                <w:kern w:val="0"/>
                <w:sz w:val="21"/>
                <w:szCs w:val="21"/>
                <w:highlight w:val="none"/>
                <w:lang w:eastAsia="zh-CN"/>
              </w:rPr>
              <w:t>差的得</w:t>
            </w:r>
            <w:r>
              <w:rPr>
                <w:rFonts w:hint="eastAsia" w:ascii="宋体" w:hAnsi="宋体" w:eastAsia="宋体" w:cs="宋体"/>
                <w:color w:val="auto"/>
                <w:kern w:val="0"/>
                <w:sz w:val="21"/>
                <w:szCs w:val="21"/>
                <w:highlight w:val="none"/>
                <w:lang w:val="en-US" w:eastAsia="zh-CN"/>
              </w:rPr>
              <w:t>0-3分。</w:t>
            </w:r>
          </w:p>
        </w:tc>
        <w:tc>
          <w:tcPr>
            <w:tcW w:w="790"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b/>
                <w:bCs/>
                <w:sz w:val="21"/>
                <w:szCs w:val="21"/>
                <w:lang w:val="en-US"/>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实施方案</w:t>
            </w:r>
          </w:p>
        </w:tc>
        <w:tc>
          <w:tcPr>
            <w:tcW w:w="6885" w:type="dxa"/>
            <w:vAlign w:val="center"/>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w:t>
            </w:r>
            <w:r>
              <w:rPr>
                <w:rFonts w:hint="eastAsia" w:ascii="宋体" w:hAnsi="宋体" w:eastAsia="宋体" w:cs="宋体"/>
                <w:color w:val="auto"/>
                <w:kern w:val="0"/>
                <w:sz w:val="21"/>
                <w:szCs w:val="21"/>
                <w:highlight w:val="none"/>
              </w:rPr>
              <w:t>投标人组织实施方案的科学性、合理性、规范性和可操作性，包括产品供货、验货、安装调试、测试、调优、维护等内容，以及组织机构、工作时间进度表、工作程序和步骤、管理和协调方法、关键步骤的思路和要点等进行综合打分</w:t>
            </w:r>
            <w:r>
              <w:rPr>
                <w:rFonts w:hint="eastAsia" w:ascii="宋体" w:hAnsi="宋体" w:eastAsia="宋体" w:cs="宋体"/>
                <w:color w:val="auto"/>
                <w:kern w:val="0"/>
                <w:sz w:val="21"/>
                <w:szCs w:val="21"/>
                <w:highlight w:val="none"/>
                <w:lang w:eastAsia="zh-CN"/>
              </w:rPr>
              <w:t>。</w:t>
            </w:r>
          </w:p>
          <w:p>
            <w:pPr>
              <w:pStyle w:val="24"/>
              <w:keepNext w:val="0"/>
              <w:keepLines w:val="0"/>
              <w:pageBreakBefore w:val="0"/>
              <w:kinsoku/>
              <w:wordWrap/>
              <w:overflowPunct/>
              <w:topLinePunct w:val="0"/>
              <w:bidi w:val="0"/>
              <w:adjustRightInd/>
              <w:snapToGrid/>
              <w:spacing w:after="0" w:line="24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实施方案</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科学性、合理性、规范性和可操作性</w:t>
            </w:r>
            <w:r>
              <w:rPr>
                <w:rFonts w:hint="eastAsia" w:ascii="宋体" w:hAnsi="宋体" w:eastAsia="宋体" w:cs="宋体"/>
                <w:color w:val="auto"/>
                <w:kern w:val="0"/>
                <w:sz w:val="21"/>
                <w:szCs w:val="21"/>
                <w:highlight w:val="none"/>
                <w:lang w:eastAsia="zh-CN"/>
              </w:rPr>
              <w:t>好的得</w:t>
            </w:r>
            <w:r>
              <w:rPr>
                <w:rFonts w:hint="eastAsia" w:ascii="宋体" w:hAnsi="宋体" w:eastAsia="宋体" w:cs="宋体"/>
                <w:color w:val="auto"/>
                <w:kern w:val="0"/>
                <w:sz w:val="21"/>
                <w:szCs w:val="21"/>
                <w:highlight w:val="none"/>
                <w:lang w:val="en-US" w:eastAsia="zh-CN"/>
              </w:rPr>
              <w:t>6.1-8分</w:t>
            </w:r>
          </w:p>
          <w:p>
            <w:pPr>
              <w:keepNext w:val="0"/>
              <w:keepLines w:val="0"/>
              <w:pageBreakBefore w:val="0"/>
              <w:kinsoku/>
              <w:wordWrap/>
              <w:overflowPunct/>
              <w:topLinePunct w:val="0"/>
              <w:bidi w:val="0"/>
              <w:adjustRightInd/>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实施方案</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科学性、合理性、规范性和可操作性</w:t>
            </w:r>
            <w:r>
              <w:rPr>
                <w:rFonts w:hint="eastAsia" w:ascii="宋体" w:hAnsi="宋体" w:eastAsia="宋体" w:cs="宋体"/>
                <w:color w:val="auto"/>
                <w:kern w:val="0"/>
                <w:sz w:val="21"/>
                <w:szCs w:val="21"/>
                <w:highlight w:val="none"/>
                <w:lang w:eastAsia="zh-CN"/>
              </w:rPr>
              <w:t>一般的得</w:t>
            </w:r>
            <w:r>
              <w:rPr>
                <w:rFonts w:hint="eastAsia" w:ascii="宋体" w:hAnsi="宋体" w:eastAsia="宋体" w:cs="宋体"/>
                <w:color w:val="auto"/>
                <w:kern w:val="0"/>
                <w:sz w:val="21"/>
                <w:szCs w:val="21"/>
                <w:highlight w:val="none"/>
                <w:lang w:val="en-US" w:eastAsia="zh-CN"/>
              </w:rPr>
              <w:t>3.1-6分</w:t>
            </w:r>
          </w:p>
          <w:p>
            <w:pPr>
              <w:pStyle w:val="24"/>
              <w:keepNext w:val="0"/>
              <w:keepLines w:val="0"/>
              <w:pageBreakBefore w:val="0"/>
              <w:kinsoku/>
              <w:wordWrap/>
              <w:overflowPunct/>
              <w:topLinePunct w:val="0"/>
              <w:bidi w:val="0"/>
              <w:adjustRightInd/>
              <w:snapToGrid/>
              <w:spacing w:after="0"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实施方案</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科学性、合理性、规范性和可操作性</w:t>
            </w:r>
            <w:r>
              <w:rPr>
                <w:rFonts w:hint="eastAsia" w:ascii="宋体" w:hAnsi="宋体" w:eastAsia="宋体" w:cs="宋体"/>
                <w:color w:val="auto"/>
                <w:kern w:val="0"/>
                <w:sz w:val="21"/>
                <w:szCs w:val="21"/>
                <w:highlight w:val="none"/>
                <w:lang w:eastAsia="zh-CN"/>
              </w:rPr>
              <w:t>差的得</w:t>
            </w:r>
            <w:r>
              <w:rPr>
                <w:rFonts w:hint="eastAsia" w:ascii="宋体" w:hAnsi="宋体" w:eastAsia="宋体" w:cs="宋体"/>
                <w:color w:val="auto"/>
                <w:kern w:val="0"/>
                <w:sz w:val="21"/>
                <w:szCs w:val="21"/>
                <w:highlight w:val="none"/>
                <w:lang w:val="en-US" w:eastAsia="zh-CN"/>
              </w:rPr>
              <w:t>0-3分</w:t>
            </w:r>
          </w:p>
        </w:tc>
        <w:tc>
          <w:tcPr>
            <w:tcW w:w="790"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kern w:val="0"/>
                <w:sz w:val="21"/>
                <w:szCs w:val="21"/>
                <w:highlight w:val="none"/>
              </w:rPr>
              <w:t>质量保证措施</w:t>
            </w:r>
          </w:p>
        </w:tc>
        <w:tc>
          <w:tcPr>
            <w:tcW w:w="6885" w:type="dxa"/>
            <w:vAlign w:val="center"/>
          </w:tcPr>
          <w:p>
            <w:pPr>
              <w:pStyle w:val="11"/>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根据投标人针对本项目的质量保证措施方案</w:t>
            </w:r>
            <w:r>
              <w:rPr>
                <w:rFonts w:hint="eastAsia" w:ascii="宋体" w:hAnsi="宋体" w:cs="宋体"/>
                <w:color w:val="auto"/>
                <w:kern w:val="2"/>
                <w:sz w:val="21"/>
                <w:szCs w:val="21"/>
                <w:highlight w:val="none"/>
                <w:lang w:val="en-US" w:eastAsia="zh-CN"/>
              </w:rPr>
              <w:t>（含偏离情况）</w:t>
            </w:r>
            <w:r>
              <w:rPr>
                <w:rFonts w:hint="eastAsia" w:ascii="宋体" w:hAnsi="宋体" w:eastAsia="宋体" w:cs="宋体"/>
                <w:color w:val="auto"/>
                <w:kern w:val="2"/>
                <w:sz w:val="21"/>
                <w:szCs w:val="21"/>
                <w:highlight w:val="none"/>
                <w:lang w:val="en-US" w:eastAsia="zh-CN"/>
              </w:rPr>
              <w:t>进行打分：</w:t>
            </w:r>
          </w:p>
          <w:p>
            <w:pPr>
              <w:pStyle w:val="11"/>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rPr>
              <w:t>质量保证措施方案</w:t>
            </w:r>
            <w:r>
              <w:rPr>
                <w:rFonts w:hint="eastAsia" w:ascii="宋体" w:hAnsi="宋体" w:eastAsia="宋体" w:cs="宋体"/>
                <w:color w:val="auto"/>
                <w:kern w:val="2"/>
                <w:sz w:val="21"/>
                <w:szCs w:val="21"/>
                <w:highlight w:val="none"/>
                <w:lang w:val="en-US" w:eastAsia="zh-CN" w:bidi="ar-SA"/>
              </w:rPr>
              <w:t>内容清晰、完整、合理的得4.1-6分；</w:t>
            </w:r>
          </w:p>
          <w:p>
            <w:pPr>
              <w:pStyle w:val="11"/>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240" w:lineRule="auto"/>
              <w:ind w:left="0" w:leftChars="0" w:right="-164" w:rightChars="-78"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rPr>
              <w:t>质量保证措施方案</w:t>
            </w:r>
            <w:r>
              <w:rPr>
                <w:rFonts w:hint="eastAsia" w:ascii="宋体" w:hAnsi="宋体" w:eastAsia="宋体" w:cs="宋体"/>
                <w:color w:val="auto"/>
                <w:kern w:val="2"/>
                <w:sz w:val="21"/>
                <w:szCs w:val="21"/>
                <w:highlight w:val="none"/>
                <w:lang w:val="en-US" w:eastAsia="zh-CN" w:bidi="ar-SA"/>
              </w:rPr>
              <w:t>内容一般，基本满足项目实际需求的得2.1-4分；</w:t>
            </w:r>
          </w:p>
          <w:p>
            <w:pPr>
              <w:keepNext w:val="0"/>
              <w:keepLines w:val="0"/>
              <w:pageBreakBefore w:val="0"/>
              <w:widowControl/>
              <w:kinsoku/>
              <w:wordWrap/>
              <w:overflowPunct/>
              <w:topLinePunct w:val="0"/>
              <w:bidi w:val="0"/>
              <w:adjustRightInd/>
              <w:snapToGrid/>
              <w:spacing w:line="240" w:lineRule="auto"/>
              <w:ind w:left="0" w:leftChars="0" w:firstLine="0" w:firstLineChars="0"/>
              <w:rPr>
                <w:rFonts w:hint="eastAsia" w:ascii="宋体" w:hAnsi="宋体" w:eastAsia="宋体" w:cs="宋体"/>
                <w:b/>
                <w:bCs/>
                <w:sz w:val="21"/>
                <w:szCs w:val="21"/>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rPr>
              <w:t>质量保证措施方案</w:t>
            </w:r>
            <w:r>
              <w:rPr>
                <w:rFonts w:hint="eastAsia" w:ascii="宋体" w:hAnsi="宋体" w:eastAsia="宋体" w:cs="宋体"/>
                <w:color w:val="auto"/>
                <w:kern w:val="2"/>
                <w:sz w:val="21"/>
                <w:szCs w:val="21"/>
                <w:highlight w:val="none"/>
                <w:lang w:val="en-US" w:eastAsia="zh-CN" w:bidi="ar-SA"/>
              </w:rPr>
              <w:t>内容简陋、缺失的得0-2分。</w:t>
            </w:r>
          </w:p>
        </w:tc>
        <w:tc>
          <w:tcPr>
            <w:tcW w:w="790"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kern w:val="0"/>
                <w:sz w:val="21"/>
                <w:szCs w:val="21"/>
                <w:highlight w:val="none"/>
                <w:lang w:val="en-US" w:eastAsia="zh-CN"/>
              </w:rPr>
              <w:t>6</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应急响应措施</w:t>
            </w:r>
          </w:p>
        </w:tc>
        <w:tc>
          <w:tcPr>
            <w:tcW w:w="68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根据</w:t>
            </w:r>
            <w:r>
              <w:rPr>
                <w:rFonts w:hint="eastAsia" w:ascii="宋体" w:hAnsi="宋体" w:eastAsia="宋体" w:cs="宋体"/>
                <w:color w:val="auto"/>
                <w:kern w:val="0"/>
                <w:sz w:val="21"/>
                <w:szCs w:val="21"/>
                <w:highlight w:val="none"/>
              </w:rPr>
              <w:t>投标人是否建立完善的应急响应方案，故障处理流程、应急响应预案</w:t>
            </w:r>
            <w:r>
              <w:rPr>
                <w:rFonts w:hint="eastAsia" w:ascii="宋体" w:hAnsi="宋体" w:eastAsia="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rPr>
              <w:t>应急响应</w:t>
            </w:r>
            <w:r>
              <w:rPr>
                <w:rFonts w:hint="eastAsia" w:ascii="宋体" w:hAnsi="宋体" w:eastAsia="宋体" w:cs="宋体"/>
                <w:color w:val="auto"/>
                <w:kern w:val="0"/>
                <w:sz w:val="21"/>
                <w:szCs w:val="21"/>
                <w:highlight w:val="none"/>
                <w:lang w:eastAsia="zh-CN"/>
              </w:rPr>
              <w:t>措施进行综合打分</w:t>
            </w:r>
            <w:r>
              <w:rPr>
                <w:rFonts w:hint="eastAsia" w:ascii="宋体" w:hAnsi="宋体" w:eastAsia="宋体" w:cs="宋体"/>
                <w:color w:val="auto"/>
                <w:kern w:val="0"/>
                <w:sz w:val="21"/>
                <w:szCs w:val="21"/>
                <w:highlight w:val="none"/>
              </w:rPr>
              <w:t>。</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应急响应</w:t>
            </w:r>
            <w:r>
              <w:rPr>
                <w:rFonts w:hint="eastAsia" w:ascii="宋体" w:hAnsi="宋体" w:eastAsia="宋体" w:cs="宋体"/>
                <w:color w:val="auto"/>
                <w:kern w:val="0"/>
                <w:sz w:val="21"/>
                <w:szCs w:val="21"/>
                <w:highlight w:val="none"/>
                <w:lang w:eastAsia="zh-CN"/>
              </w:rPr>
              <w:t>措施完善、合理、科学的得</w:t>
            </w:r>
            <w:r>
              <w:rPr>
                <w:rFonts w:hint="eastAsia" w:ascii="宋体" w:hAnsi="宋体" w:eastAsia="宋体" w:cs="宋体"/>
                <w:color w:val="auto"/>
                <w:kern w:val="0"/>
                <w:sz w:val="21"/>
                <w:szCs w:val="21"/>
                <w:highlight w:val="none"/>
                <w:lang w:val="en-US" w:eastAsia="zh-CN"/>
              </w:rPr>
              <w:t>4.1-6分；</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应急响应</w:t>
            </w:r>
            <w:r>
              <w:rPr>
                <w:rFonts w:hint="eastAsia" w:ascii="宋体" w:hAnsi="宋体" w:eastAsia="宋体" w:cs="宋体"/>
                <w:color w:val="auto"/>
                <w:kern w:val="0"/>
                <w:sz w:val="21"/>
                <w:szCs w:val="21"/>
                <w:highlight w:val="none"/>
                <w:lang w:eastAsia="zh-CN"/>
              </w:rPr>
              <w:t>措施完善、合理、科学的得</w:t>
            </w:r>
            <w:r>
              <w:rPr>
                <w:rFonts w:hint="eastAsia" w:ascii="宋体" w:hAnsi="宋体" w:eastAsia="宋体" w:cs="宋体"/>
                <w:color w:val="auto"/>
                <w:kern w:val="0"/>
                <w:sz w:val="21"/>
                <w:szCs w:val="21"/>
                <w:highlight w:val="none"/>
                <w:lang w:val="en-US" w:eastAsia="zh-CN"/>
              </w:rPr>
              <w:t>2.1-4分；</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应急响应</w:t>
            </w:r>
            <w:r>
              <w:rPr>
                <w:rFonts w:hint="eastAsia" w:ascii="宋体" w:hAnsi="宋体" w:eastAsia="宋体" w:cs="宋体"/>
                <w:color w:val="auto"/>
                <w:kern w:val="0"/>
                <w:sz w:val="21"/>
                <w:szCs w:val="21"/>
                <w:highlight w:val="none"/>
                <w:lang w:eastAsia="zh-CN"/>
              </w:rPr>
              <w:t>措施完善、合理、科学的得</w:t>
            </w:r>
            <w:r>
              <w:rPr>
                <w:rFonts w:hint="eastAsia" w:ascii="宋体" w:hAnsi="宋体" w:eastAsia="宋体" w:cs="宋体"/>
                <w:color w:val="auto"/>
                <w:kern w:val="0"/>
                <w:sz w:val="21"/>
                <w:szCs w:val="21"/>
                <w:highlight w:val="none"/>
                <w:lang w:val="en-US" w:eastAsia="zh-CN"/>
              </w:rPr>
              <w:t>0-2分。</w:t>
            </w:r>
          </w:p>
        </w:tc>
        <w:tc>
          <w:tcPr>
            <w:tcW w:w="790"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kern w:val="0"/>
                <w:sz w:val="21"/>
                <w:szCs w:val="21"/>
                <w:highlight w:val="none"/>
              </w:rPr>
              <w:t>安装调试与验收</w:t>
            </w:r>
          </w:p>
        </w:tc>
        <w:tc>
          <w:tcPr>
            <w:tcW w:w="688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根据投标人提供的安装调试及验收方案，对项目现场情况是否充分认识和考虑，是否有利于项目实施等情况进行综合打分。</w:t>
            </w:r>
          </w:p>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方案</w:t>
            </w:r>
          </w:p>
          <w:p>
            <w:pPr>
              <w:keepNext w:val="0"/>
              <w:keepLines w:val="0"/>
              <w:pageBreakBefore w:val="0"/>
              <w:kinsoku/>
              <w:wordWrap/>
              <w:overflowPunct/>
              <w:topLinePunct w:val="0"/>
              <w:bidi w:val="0"/>
              <w:adjustRightInd/>
              <w:snapToGrid/>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内容</w:t>
            </w:r>
            <w:r>
              <w:rPr>
                <w:rFonts w:hint="eastAsia" w:ascii="宋体" w:hAnsi="宋体" w:eastAsia="宋体" w:cs="宋体"/>
                <w:sz w:val="21"/>
                <w:szCs w:val="21"/>
              </w:rPr>
              <w:t>完整</w:t>
            </w:r>
            <w:r>
              <w:rPr>
                <w:rFonts w:hint="eastAsia" w:ascii="宋体" w:hAnsi="宋体" w:eastAsia="宋体" w:cs="宋体"/>
                <w:sz w:val="21"/>
                <w:szCs w:val="21"/>
                <w:lang w:eastAsia="zh-CN"/>
              </w:rPr>
              <w:t>、</w:t>
            </w:r>
            <w:r>
              <w:rPr>
                <w:rFonts w:hint="eastAsia" w:ascii="宋体" w:hAnsi="宋体" w:eastAsia="宋体" w:cs="宋体"/>
                <w:sz w:val="21"/>
                <w:szCs w:val="21"/>
              </w:rPr>
              <w:t>清晰</w:t>
            </w:r>
            <w:r>
              <w:rPr>
                <w:rFonts w:hint="eastAsia" w:ascii="宋体" w:hAnsi="宋体" w:eastAsia="宋体" w:cs="宋体"/>
                <w:sz w:val="21"/>
                <w:szCs w:val="21"/>
                <w:lang w:eastAsia="zh-CN"/>
              </w:rPr>
              <w:t>，合理、</w:t>
            </w:r>
            <w:r>
              <w:rPr>
                <w:rFonts w:hint="eastAsia" w:ascii="宋体" w:hAnsi="宋体" w:eastAsia="宋体" w:cs="宋体"/>
                <w:sz w:val="21"/>
                <w:szCs w:val="21"/>
              </w:rPr>
              <w:t>可行的得</w:t>
            </w:r>
            <w:r>
              <w:rPr>
                <w:rFonts w:hint="eastAsia" w:ascii="宋体" w:hAnsi="宋体" w:eastAsia="宋体" w:cs="宋体"/>
                <w:sz w:val="21"/>
                <w:szCs w:val="21"/>
                <w:lang w:val="en-US" w:eastAsia="zh-CN"/>
              </w:rPr>
              <w:t>6.1-9</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内容基本</w:t>
            </w:r>
            <w:r>
              <w:rPr>
                <w:rFonts w:hint="eastAsia" w:ascii="宋体" w:hAnsi="宋体" w:eastAsia="宋体" w:cs="宋体"/>
                <w:sz w:val="21"/>
                <w:szCs w:val="21"/>
              </w:rPr>
              <w:t>完整</w:t>
            </w:r>
            <w:r>
              <w:rPr>
                <w:rFonts w:hint="eastAsia" w:ascii="宋体" w:hAnsi="宋体" w:eastAsia="宋体" w:cs="宋体"/>
                <w:sz w:val="21"/>
                <w:szCs w:val="21"/>
                <w:lang w:eastAsia="zh-CN"/>
              </w:rPr>
              <w:t>、</w:t>
            </w:r>
            <w:r>
              <w:rPr>
                <w:rFonts w:hint="eastAsia" w:ascii="宋体" w:hAnsi="宋体" w:eastAsia="宋体" w:cs="宋体"/>
                <w:sz w:val="21"/>
                <w:szCs w:val="21"/>
              </w:rPr>
              <w:t>清晰</w:t>
            </w:r>
            <w:r>
              <w:rPr>
                <w:rFonts w:hint="eastAsia" w:ascii="宋体" w:hAnsi="宋体" w:eastAsia="宋体" w:cs="宋体"/>
                <w:sz w:val="21"/>
                <w:szCs w:val="21"/>
                <w:lang w:eastAsia="zh-CN"/>
              </w:rPr>
              <w:t>，基本合理、</w:t>
            </w:r>
            <w:r>
              <w:rPr>
                <w:rFonts w:hint="eastAsia" w:ascii="宋体" w:hAnsi="宋体" w:eastAsia="宋体" w:cs="宋体"/>
                <w:sz w:val="21"/>
                <w:szCs w:val="21"/>
              </w:rPr>
              <w:t>可行的得</w:t>
            </w:r>
            <w:r>
              <w:rPr>
                <w:rFonts w:hint="eastAsia" w:ascii="宋体" w:hAnsi="宋体" w:eastAsia="宋体" w:cs="宋体"/>
                <w:sz w:val="21"/>
                <w:szCs w:val="21"/>
                <w:lang w:val="en-US" w:eastAsia="zh-CN"/>
              </w:rPr>
              <w:t>3.1-6</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240" w:lineRule="auto"/>
              <w:textAlignment w:val="baseline"/>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内容不够完整，阐述模糊，不够合理的</w:t>
            </w:r>
            <w:r>
              <w:rPr>
                <w:rFonts w:hint="eastAsia" w:ascii="宋体" w:hAnsi="宋体" w:eastAsia="宋体" w:cs="宋体"/>
                <w:sz w:val="21"/>
                <w:szCs w:val="21"/>
              </w:rPr>
              <w:t>得</w:t>
            </w:r>
            <w:r>
              <w:rPr>
                <w:rFonts w:hint="eastAsia" w:ascii="宋体" w:hAnsi="宋体" w:eastAsia="宋体" w:cs="宋体"/>
                <w:sz w:val="21"/>
                <w:szCs w:val="21"/>
                <w:lang w:val="en-US" w:eastAsia="zh-CN"/>
              </w:rPr>
              <w:t>0-3</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790"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kern w:val="0"/>
                <w:sz w:val="21"/>
                <w:szCs w:val="21"/>
                <w:highlight w:val="none"/>
              </w:rPr>
            </w:pPr>
            <w:r>
              <w:rPr>
                <w:rFonts w:hint="eastAsia" w:ascii="宋体" w:hAnsi="宋体" w:eastAsia="宋体" w:cs="宋体"/>
                <w:spacing w:val="11"/>
                <w:sz w:val="21"/>
                <w:szCs w:val="21"/>
              </w:rPr>
              <w:t>运维方案</w:t>
            </w:r>
          </w:p>
        </w:tc>
        <w:tc>
          <w:tcPr>
            <w:tcW w:w="6885" w:type="dxa"/>
            <w:vAlign w:val="center"/>
          </w:tcPr>
          <w:p>
            <w:pPr>
              <w:pStyle w:val="82"/>
              <w:keepNext w:val="0"/>
              <w:keepLines w:val="0"/>
              <w:pageBreakBefore w:val="0"/>
              <w:kinsoku/>
              <w:wordWrap/>
              <w:overflowPunct/>
              <w:topLinePunct w:val="0"/>
              <w:bidi w:val="0"/>
              <w:adjustRightInd/>
              <w:snapToGrid/>
              <w:spacing w:line="24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根据投标人的</w:t>
            </w:r>
            <w:r>
              <w:rPr>
                <w:rFonts w:hint="eastAsia" w:ascii="宋体" w:hAnsi="宋体" w:eastAsia="宋体" w:cs="宋体"/>
                <w:spacing w:val="11"/>
                <w:sz w:val="21"/>
                <w:szCs w:val="21"/>
              </w:rPr>
              <w:t>运维</w:t>
            </w:r>
            <w:r>
              <w:rPr>
                <w:rFonts w:hint="eastAsia" w:ascii="宋体" w:hAnsi="宋体" w:eastAsia="宋体" w:cs="宋体"/>
                <w:kern w:val="2"/>
                <w:sz w:val="21"/>
                <w:szCs w:val="21"/>
              </w:rPr>
              <w:t>方案进行综合评分</w:t>
            </w:r>
          </w:p>
          <w:p>
            <w:pPr>
              <w:pStyle w:val="82"/>
              <w:keepNext w:val="0"/>
              <w:keepLines w:val="0"/>
              <w:pageBreakBefore w:val="0"/>
              <w:kinsoku/>
              <w:wordWrap/>
              <w:overflowPunct/>
              <w:topLinePunct w:val="0"/>
              <w:bidi w:val="0"/>
              <w:adjustRightInd/>
              <w:snapToGrid/>
              <w:spacing w:line="240" w:lineRule="auto"/>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对</w:t>
            </w:r>
            <w:r>
              <w:rPr>
                <w:rFonts w:hint="eastAsia" w:ascii="宋体" w:hAnsi="宋体" w:eastAsia="宋体" w:cs="宋体"/>
                <w:spacing w:val="11"/>
                <w:sz w:val="21"/>
                <w:szCs w:val="21"/>
              </w:rPr>
              <w:t>运维</w:t>
            </w:r>
            <w:r>
              <w:rPr>
                <w:rFonts w:hint="eastAsia" w:ascii="宋体" w:hAnsi="宋体" w:eastAsia="宋体" w:cs="宋体"/>
                <w:kern w:val="2"/>
                <w:sz w:val="21"/>
                <w:szCs w:val="21"/>
              </w:rPr>
              <w:t>重点部位、重点内容阐述正确、具体，维修、更换时间迅速，且有切实可行措施的得</w:t>
            </w:r>
            <w:r>
              <w:rPr>
                <w:rFonts w:hint="eastAsia" w:ascii="宋体" w:hAnsi="宋体" w:eastAsia="宋体" w:cs="宋体"/>
                <w:kern w:val="2"/>
                <w:sz w:val="21"/>
                <w:szCs w:val="21"/>
                <w:lang w:val="en-US" w:eastAsia="zh-CN"/>
              </w:rPr>
              <w:t>6.1-8</w:t>
            </w:r>
            <w:r>
              <w:rPr>
                <w:rFonts w:hint="eastAsia" w:ascii="宋体" w:hAnsi="宋体" w:eastAsia="宋体" w:cs="宋体"/>
                <w:kern w:val="2"/>
                <w:sz w:val="21"/>
                <w:szCs w:val="21"/>
              </w:rPr>
              <w:t>分；</w:t>
            </w:r>
          </w:p>
          <w:p>
            <w:pPr>
              <w:pStyle w:val="82"/>
              <w:keepNext w:val="0"/>
              <w:keepLines w:val="0"/>
              <w:pageBreakBefore w:val="0"/>
              <w:kinsoku/>
              <w:wordWrap/>
              <w:overflowPunct/>
              <w:topLinePunct w:val="0"/>
              <w:bidi w:val="0"/>
              <w:adjustRightInd/>
              <w:snapToGrid/>
              <w:spacing w:line="240" w:lineRule="auto"/>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对</w:t>
            </w:r>
            <w:r>
              <w:rPr>
                <w:rFonts w:hint="eastAsia" w:ascii="宋体" w:hAnsi="宋体" w:eastAsia="宋体" w:cs="宋体"/>
                <w:spacing w:val="11"/>
                <w:sz w:val="21"/>
                <w:szCs w:val="21"/>
              </w:rPr>
              <w:t>运维</w:t>
            </w:r>
            <w:r>
              <w:rPr>
                <w:rFonts w:hint="eastAsia" w:ascii="宋体" w:hAnsi="宋体" w:eastAsia="宋体" w:cs="宋体"/>
                <w:kern w:val="2"/>
                <w:sz w:val="21"/>
                <w:szCs w:val="21"/>
              </w:rPr>
              <w:t>重点部位、重点内容阐述</w:t>
            </w:r>
            <w:r>
              <w:rPr>
                <w:rFonts w:hint="eastAsia" w:ascii="宋体" w:hAnsi="宋体" w:eastAsia="宋体" w:cs="宋体"/>
                <w:kern w:val="2"/>
                <w:sz w:val="21"/>
                <w:szCs w:val="21"/>
                <w:lang w:eastAsia="zh-CN"/>
              </w:rPr>
              <w:t>较为</w:t>
            </w:r>
            <w:r>
              <w:rPr>
                <w:rFonts w:hint="eastAsia" w:ascii="宋体" w:hAnsi="宋体" w:eastAsia="宋体" w:cs="宋体"/>
                <w:kern w:val="2"/>
                <w:sz w:val="21"/>
                <w:szCs w:val="21"/>
              </w:rPr>
              <w:t>正确、具体，维修、更换时间</w:t>
            </w:r>
            <w:r>
              <w:rPr>
                <w:rFonts w:hint="eastAsia" w:ascii="宋体" w:hAnsi="宋体" w:eastAsia="宋体" w:cs="宋体"/>
                <w:kern w:val="2"/>
                <w:sz w:val="21"/>
                <w:szCs w:val="21"/>
                <w:lang w:eastAsia="zh-CN"/>
              </w:rPr>
              <w:t>较为</w:t>
            </w:r>
            <w:r>
              <w:rPr>
                <w:rFonts w:hint="eastAsia" w:ascii="宋体" w:hAnsi="宋体" w:eastAsia="宋体" w:cs="宋体"/>
                <w:kern w:val="2"/>
                <w:sz w:val="21"/>
                <w:szCs w:val="21"/>
              </w:rPr>
              <w:t>迅速，且有切实可行措施的得</w:t>
            </w:r>
            <w:r>
              <w:rPr>
                <w:rFonts w:hint="eastAsia" w:ascii="宋体" w:hAnsi="宋体" w:eastAsia="宋体" w:cs="宋体"/>
                <w:kern w:val="2"/>
                <w:sz w:val="21"/>
                <w:szCs w:val="21"/>
                <w:lang w:val="en-US" w:eastAsia="zh-CN"/>
              </w:rPr>
              <w:t>3.1-6</w:t>
            </w:r>
            <w:r>
              <w:rPr>
                <w:rFonts w:hint="eastAsia" w:ascii="宋体" w:hAnsi="宋体" w:eastAsia="宋体" w:cs="宋体"/>
                <w:kern w:val="2"/>
                <w:sz w:val="21"/>
                <w:szCs w:val="21"/>
              </w:rPr>
              <w:t>分</w:t>
            </w:r>
          </w:p>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kern w:val="0"/>
                <w:sz w:val="21"/>
                <w:szCs w:val="21"/>
                <w:highlight w:val="none"/>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对</w:t>
            </w:r>
            <w:r>
              <w:rPr>
                <w:rFonts w:hint="eastAsia" w:ascii="宋体" w:hAnsi="宋体" w:eastAsia="宋体" w:cs="宋体"/>
                <w:spacing w:val="11"/>
                <w:sz w:val="21"/>
                <w:szCs w:val="21"/>
              </w:rPr>
              <w:t>运维</w:t>
            </w:r>
            <w:r>
              <w:rPr>
                <w:rFonts w:hint="eastAsia" w:ascii="宋体" w:hAnsi="宋体" w:eastAsia="宋体" w:cs="宋体"/>
                <w:kern w:val="2"/>
                <w:sz w:val="21"/>
                <w:szCs w:val="21"/>
              </w:rPr>
              <w:t>重点部位、重点内容阐述有缺陷，维修、更换时间尚可，但无切实可行措施的得</w:t>
            </w:r>
            <w:r>
              <w:rPr>
                <w:rFonts w:hint="eastAsia" w:ascii="宋体" w:hAnsi="宋体" w:eastAsia="宋体" w:cs="宋体"/>
                <w:kern w:val="2"/>
                <w:sz w:val="21"/>
                <w:szCs w:val="21"/>
                <w:lang w:val="en-US" w:eastAsia="zh-CN"/>
              </w:rPr>
              <w:t>0-3</w:t>
            </w:r>
            <w:r>
              <w:rPr>
                <w:rFonts w:hint="eastAsia" w:ascii="宋体" w:hAnsi="宋体" w:eastAsia="宋体" w:cs="宋体"/>
                <w:kern w:val="2"/>
                <w:sz w:val="21"/>
                <w:szCs w:val="21"/>
              </w:rPr>
              <w:t>分。</w:t>
            </w:r>
          </w:p>
        </w:tc>
        <w:tc>
          <w:tcPr>
            <w:tcW w:w="790"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left"/>
              <w:rPr>
                <w:rFonts w:hint="eastAsia" w:ascii="宋体" w:hAnsi="宋体" w:eastAsia="宋体" w:cs="宋体"/>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kern w:val="0"/>
                <w:sz w:val="21"/>
                <w:szCs w:val="21"/>
                <w:highlight w:val="none"/>
              </w:rPr>
              <w:t>培训方案</w:t>
            </w:r>
          </w:p>
        </w:tc>
        <w:tc>
          <w:tcPr>
            <w:tcW w:w="688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根据投标人提出</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rPr>
              <w:t>培训计划、地点、组织、人员配备、软硬件资料等</w:t>
            </w:r>
            <w:r>
              <w:rPr>
                <w:rFonts w:hint="eastAsia" w:ascii="宋体" w:hAnsi="宋体" w:eastAsia="宋体" w:cs="宋体"/>
                <w:kern w:val="0"/>
                <w:sz w:val="21"/>
                <w:szCs w:val="21"/>
                <w:highlight w:val="none"/>
                <w:lang w:eastAsia="zh-CN"/>
              </w:rPr>
              <w:t>方案</w:t>
            </w:r>
            <w:r>
              <w:rPr>
                <w:rFonts w:hint="eastAsia" w:ascii="宋体" w:hAnsi="宋体" w:eastAsia="宋体" w:cs="宋体"/>
                <w:kern w:val="0"/>
                <w:sz w:val="21"/>
                <w:szCs w:val="21"/>
                <w:highlight w:val="none"/>
              </w:rPr>
              <w:t>内容是否完整、</w:t>
            </w:r>
            <w:r>
              <w:rPr>
                <w:rFonts w:hint="eastAsia" w:ascii="宋体" w:hAnsi="宋体" w:eastAsia="宋体" w:cs="宋体"/>
                <w:color w:val="auto"/>
                <w:kern w:val="0"/>
                <w:sz w:val="21"/>
                <w:szCs w:val="21"/>
                <w:highlight w:val="none"/>
              </w:rPr>
              <w:t>科学合理综合打分。</w:t>
            </w:r>
          </w:p>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方案内容完整、科学的得</w:t>
            </w:r>
            <w:r>
              <w:rPr>
                <w:rFonts w:hint="eastAsia" w:ascii="宋体" w:hAnsi="宋体" w:eastAsia="宋体" w:cs="宋体"/>
                <w:color w:val="auto"/>
                <w:kern w:val="0"/>
                <w:sz w:val="21"/>
                <w:szCs w:val="21"/>
                <w:highlight w:val="none"/>
                <w:lang w:val="en-US" w:eastAsia="zh-CN"/>
              </w:rPr>
              <w:t>2.1-3分；</w:t>
            </w:r>
          </w:p>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方案内容完整、科学的得</w:t>
            </w:r>
            <w:r>
              <w:rPr>
                <w:rFonts w:hint="eastAsia" w:ascii="宋体" w:hAnsi="宋体" w:eastAsia="宋体" w:cs="宋体"/>
                <w:color w:val="auto"/>
                <w:kern w:val="0"/>
                <w:sz w:val="21"/>
                <w:szCs w:val="21"/>
                <w:highlight w:val="none"/>
                <w:lang w:val="en-US" w:eastAsia="zh-CN"/>
              </w:rPr>
              <w:t>1.1-2分；</w:t>
            </w:r>
          </w:p>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方案内容完整、科学的得</w:t>
            </w:r>
            <w:r>
              <w:rPr>
                <w:rFonts w:hint="eastAsia" w:ascii="宋体" w:hAnsi="宋体" w:eastAsia="宋体" w:cs="宋体"/>
                <w:color w:val="auto"/>
                <w:kern w:val="0"/>
                <w:sz w:val="21"/>
                <w:szCs w:val="21"/>
                <w:highlight w:val="none"/>
                <w:lang w:val="en-US" w:eastAsia="zh-CN"/>
              </w:rPr>
              <w:t>0-1分。</w:t>
            </w:r>
          </w:p>
        </w:tc>
        <w:tc>
          <w:tcPr>
            <w:tcW w:w="790"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left"/>
              <w:rPr>
                <w:rFonts w:hint="eastAsia" w:ascii="宋体" w:hAnsi="宋体" w:eastAsia="宋体" w:cs="宋体"/>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售后服务</w:t>
            </w:r>
            <w:r>
              <w:rPr>
                <w:rFonts w:hint="eastAsia" w:ascii="宋体" w:hAnsi="宋体" w:eastAsia="宋体" w:cs="宋体"/>
                <w:kern w:val="0"/>
                <w:sz w:val="21"/>
                <w:szCs w:val="21"/>
                <w:highlight w:val="none"/>
                <w:lang w:eastAsia="zh-CN"/>
              </w:rPr>
              <w:t>承诺</w:t>
            </w:r>
          </w:p>
        </w:tc>
        <w:tc>
          <w:tcPr>
            <w:tcW w:w="6885" w:type="dxa"/>
            <w:vAlign w:val="center"/>
          </w:tcPr>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根据投标人</w:t>
            </w:r>
            <w:r>
              <w:rPr>
                <w:rFonts w:hint="eastAsia" w:ascii="宋体" w:hAnsi="宋体" w:eastAsia="宋体" w:cs="宋体"/>
                <w:kern w:val="0"/>
                <w:sz w:val="21"/>
                <w:szCs w:val="21"/>
                <w:highlight w:val="none"/>
                <w:lang w:eastAsia="zh-CN"/>
              </w:rPr>
              <w:t>的售后服务承诺，包括</w:t>
            </w:r>
            <w:r>
              <w:rPr>
                <w:rFonts w:hint="eastAsia" w:ascii="宋体" w:hAnsi="宋体" w:eastAsia="宋体" w:cs="宋体"/>
                <w:kern w:val="0"/>
                <w:sz w:val="21"/>
                <w:szCs w:val="21"/>
                <w:highlight w:val="none"/>
              </w:rPr>
              <w:t>响应及时性、到达现场的时间、项目运维期间配合服务</w:t>
            </w:r>
            <w:r>
              <w:rPr>
                <w:rFonts w:hint="eastAsia" w:ascii="宋体" w:hAnsi="宋体" w:eastAsia="宋体" w:cs="宋体"/>
                <w:kern w:val="0"/>
                <w:sz w:val="21"/>
                <w:szCs w:val="21"/>
                <w:highlight w:val="none"/>
                <w:lang w:eastAsia="zh-CN"/>
              </w:rPr>
              <w:t>程度</w:t>
            </w:r>
            <w:r>
              <w:rPr>
                <w:rFonts w:hint="eastAsia" w:ascii="宋体" w:hAnsi="宋体" w:eastAsia="宋体" w:cs="宋体"/>
                <w:kern w:val="0"/>
                <w:sz w:val="21"/>
                <w:szCs w:val="21"/>
                <w:highlight w:val="none"/>
              </w:rPr>
              <w:t>、人员</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设备</w:t>
            </w:r>
            <w:r>
              <w:rPr>
                <w:rFonts w:hint="eastAsia" w:ascii="宋体" w:hAnsi="宋体" w:eastAsia="宋体" w:cs="宋体"/>
                <w:kern w:val="0"/>
                <w:sz w:val="21"/>
                <w:szCs w:val="21"/>
                <w:highlight w:val="none"/>
                <w:lang w:eastAsia="zh-CN"/>
              </w:rPr>
              <w:t>及备品备件</w:t>
            </w:r>
            <w:r>
              <w:rPr>
                <w:rFonts w:hint="eastAsia" w:ascii="宋体" w:hAnsi="宋体" w:eastAsia="宋体" w:cs="宋体"/>
                <w:kern w:val="0"/>
                <w:sz w:val="21"/>
                <w:szCs w:val="21"/>
                <w:highlight w:val="none"/>
              </w:rPr>
              <w:t>等方面进行</w:t>
            </w:r>
            <w:r>
              <w:rPr>
                <w:rFonts w:hint="eastAsia" w:ascii="宋体" w:hAnsi="宋体" w:eastAsia="宋体" w:cs="宋体"/>
                <w:kern w:val="0"/>
                <w:sz w:val="21"/>
                <w:szCs w:val="21"/>
                <w:highlight w:val="none"/>
                <w:lang w:eastAsia="zh-CN"/>
              </w:rPr>
              <w:t>综合打分。</w:t>
            </w:r>
          </w:p>
          <w:p>
            <w:pPr>
              <w:pStyle w:val="2"/>
              <w:keepNext w:val="0"/>
              <w:keepLines w:val="0"/>
              <w:pageBreakBefore w:val="0"/>
              <w:kinsoku/>
              <w:wordWrap/>
              <w:overflowPunct/>
              <w:topLinePunct w:val="0"/>
              <w:bidi w:val="0"/>
              <w:adjustRightInd/>
              <w:snapToGrid/>
              <w:spacing w:line="240" w:lineRule="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1、承诺响应及时、到达时间短、</w:t>
            </w:r>
            <w:r>
              <w:rPr>
                <w:rFonts w:hint="eastAsia" w:ascii="宋体" w:hAnsi="宋体" w:eastAsia="宋体" w:cs="宋体"/>
                <w:kern w:val="0"/>
                <w:sz w:val="21"/>
                <w:szCs w:val="21"/>
                <w:highlight w:val="none"/>
              </w:rPr>
              <w:t>运维期间</w:t>
            </w:r>
            <w:r>
              <w:rPr>
                <w:rFonts w:hint="eastAsia" w:ascii="宋体" w:hAnsi="宋体" w:eastAsia="宋体" w:cs="宋体"/>
                <w:kern w:val="0"/>
                <w:sz w:val="21"/>
                <w:szCs w:val="21"/>
                <w:highlight w:val="none"/>
                <w:lang w:eastAsia="zh-CN"/>
              </w:rPr>
              <w:t>积极</w:t>
            </w:r>
            <w:r>
              <w:rPr>
                <w:rFonts w:hint="eastAsia" w:ascii="宋体" w:hAnsi="宋体" w:eastAsia="宋体" w:cs="宋体"/>
                <w:kern w:val="0"/>
                <w:sz w:val="21"/>
                <w:szCs w:val="21"/>
                <w:highlight w:val="none"/>
              </w:rPr>
              <w:t>配合</w:t>
            </w:r>
            <w:r>
              <w:rPr>
                <w:rFonts w:hint="eastAsia" w:ascii="宋体" w:hAnsi="宋体" w:eastAsia="宋体" w:cs="宋体"/>
                <w:kern w:val="0"/>
                <w:sz w:val="21"/>
                <w:szCs w:val="21"/>
                <w:highlight w:val="none"/>
                <w:lang w:eastAsia="zh-CN"/>
              </w:rPr>
              <w:t>，人员及备品备件充足的得</w:t>
            </w:r>
            <w:r>
              <w:rPr>
                <w:rFonts w:hint="eastAsia" w:ascii="宋体" w:hAnsi="宋体" w:eastAsia="宋体" w:cs="宋体"/>
                <w:kern w:val="0"/>
                <w:sz w:val="21"/>
                <w:szCs w:val="21"/>
                <w:highlight w:val="none"/>
                <w:lang w:val="en-US" w:eastAsia="zh-CN"/>
              </w:rPr>
              <w:t>2.1-3分；</w:t>
            </w:r>
          </w:p>
          <w:p>
            <w:pPr>
              <w:pStyle w:val="2"/>
              <w:keepNext w:val="0"/>
              <w:keepLines w:val="0"/>
              <w:pageBreakBefore w:val="0"/>
              <w:kinsoku/>
              <w:wordWrap/>
              <w:overflowPunct/>
              <w:topLinePunct w:val="0"/>
              <w:bidi w:val="0"/>
              <w:adjustRightInd/>
              <w:snapToGrid/>
              <w:spacing w:line="240" w:lineRule="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2、承诺响应比较及时、到达时间较短、</w:t>
            </w:r>
            <w:r>
              <w:rPr>
                <w:rFonts w:hint="eastAsia" w:ascii="宋体" w:hAnsi="宋体" w:eastAsia="宋体" w:cs="宋体"/>
                <w:kern w:val="0"/>
                <w:sz w:val="21"/>
                <w:szCs w:val="21"/>
                <w:highlight w:val="none"/>
              </w:rPr>
              <w:t>运维期间</w:t>
            </w:r>
            <w:r>
              <w:rPr>
                <w:rFonts w:hint="eastAsia" w:ascii="宋体" w:hAnsi="宋体" w:eastAsia="宋体" w:cs="宋体"/>
                <w:kern w:val="0"/>
                <w:sz w:val="21"/>
                <w:szCs w:val="21"/>
                <w:highlight w:val="none"/>
                <w:lang w:eastAsia="zh-CN"/>
              </w:rPr>
              <w:t>较为积极</w:t>
            </w:r>
            <w:r>
              <w:rPr>
                <w:rFonts w:hint="eastAsia" w:ascii="宋体" w:hAnsi="宋体" w:eastAsia="宋体" w:cs="宋体"/>
                <w:kern w:val="0"/>
                <w:sz w:val="21"/>
                <w:szCs w:val="21"/>
                <w:highlight w:val="none"/>
              </w:rPr>
              <w:t>配合</w:t>
            </w:r>
            <w:r>
              <w:rPr>
                <w:rFonts w:hint="eastAsia" w:ascii="宋体" w:hAnsi="宋体" w:eastAsia="宋体" w:cs="宋体"/>
                <w:kern w:val="0"/>
                <w:sz w:val="21"/>
                <w:szCs w:val="21"/>
                <w:highlight w:val="none"/>
                <w:lang w:eastAsia="zh-CN"/>
              </w:rPr>
              <w:t>，人员及备品备件较为充足的得</w:t>
            </w:r>
            <w:r>
              <w:rPr>
                <w:rFonts w:hint="eastAsia" w:ascii="宋体" w:hAnsi="宋体" w:eastAsia="宋体" w:cs="宋体"/>
                <w:kern w:val="0"/>
                <w:sz w:val="21"/>
                <w:szCs w:val="21"/>
                <w:highlight w:val="none"/>
                <w:lang w:val="en-US" w:eastAsia="zh-CN"/>
              </w:rPr>
              <w:t>1.1-2分；</w:t>
            </w:r>
          </w:p>
          <w:p>
            <w:pPr>
              <w:pStyle w:val="2"/>
              <w:keepNext w:val="0"/>
              <w:keepLines w:val="0"/>
              <w:pageBreakBefore w:val="0"/>
              <w:kinsoku/>
              <w:wordWrap/>
              <w:overflowPunct/>
              <w:topLinePunct w:val="0"/>
              <w:bidi w:val="0"/>
              <w:adjustRightInd/>
              <w:snapToGrid/>
              <w:spacing w:line="240" w:lineRule="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3、承诺响应时间、到达时间长、</w:t>
            </w:r>
            <w:r>
              <w:rPr>
                <w:rFonts w:hint="eastAsia" w:ascii="宋体" w:hAnsi="宋体" w:eastAsia="宋体" w:cs="宋体"/>
                <w:kern w:val="0"/>
                <w:sz w:val="21"/>
                <w:szCs w:val="21"/>
                <w:highlight w:val="none"/>
              </w:rPr>
              <w:t>运维期间配合</w:t>
            </w:r>
            <w:r>
              <w:rPr>
                <w:rFonts w:hint="eastAsia" w:ascii="宋体" w:hAnsi="宋体" w:eastAsia="宋体" w:cs="宋体"/>
                <w:kern w:val="0"/>
                <w:sz w:val="21"/>
                <w:szCs w:val="21"/>
                <w:highlight w:val="none"/>
                <w:lang w:eastAsia="zh-CN"/>
              </w:rPr>
              <w:t>性差，人员及备品备件不够充足的得</w:t>
            </w:r>
            <w:r>
              <w:rPr>
                <w:rFonts w:hint="eastAsia" w:ascii="宋体" w:hAnsi="宋体" w:eastAsia="宋体" w:cs="宋体"/>
                <w:kern w:val="0"/>
                <w:sz w:val="21"/>
                <w:szCs w:val="21"/>
                <w:highlight w:val="none"/>
                <w:lang w:val="en-US" w:eastAsia="zh-CN"/>
              </w:rPr>
              <w:t>0-1分。</w:t>
            </w:r>
          </w:p>
        </w:tc>
        <w:tc>
          <w:tcPr>
            <w:tcW w:w="790"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932" w:type="dxa"/>
            <w:gridSpan w:val="2"/>
            <w:vAlign w:val="center"/>
          </w:tcPr>
          <w:p>
            <w:pPr>
              <w:keepNext w:val="0"/>
              <w:keepLines w:val="0"/>
              <w:pageBreakBefore w:val="0"/>
              <w:widowControl/>
              <w:kinsoku/>
              <w:wordWrap/>
              <w:overflowPunct/>
              <w:topLinePunct w:val="0"/>
              <w:bidi w:val="0"/>
              <w:adjustRightInd/>
              <w:snapToGrid/>
              <w:spacing w:line="24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价格分</w:t>
            </w:r>
          </w:p>
          <w:p>
            <w:pPr>
              <w:keepNext w:val="0"/>
              <w:keepLines w:val="0"/>
              <w:pageBreakBefore w:val="0"/>
              <w:widowControl/>
              <w:kinsoku/>
              <w:wordWrap/>
              <w:overflowPunct/>
              <w:topLinePunct w:val="0"/>
              <w:bidi w:val="0"/>
              <w:adjustRightInd/>
              <w:snapToGrid/>
              <w:spacing w:line="240" w:lineRule="auto"/>
              <w:jc w:val="center"/>
              <w:rPr>
                <w:rFonts w:hint="eastAsia" w:hAnsi="宋体" w:cs="宋体"/>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（30分）</w:t>
            </w:r>
          </w:p>
        </w:tc>
        <w:tc>
          <w:tcPr>
            <w:tcW w:w="6885" w:type="dxa"/>
            <w:vAlign w:val="center"/>
          </w:tcPr>
          <w:p>
            <w:pPr>
              <w:keepNext w:val="0"/>
              <w:keepLines w:val="0"/>
              <w:pageBreakBefore w:val="0"/>
              <w:kinsoku/>
              <w:wordWrap/>
              <w:overflowPunct/>
              <w:topLinePunct w:val="0"/>
              <w:bidi w:val="0"/>
              <w:adjustRightInd/>
              <w:snapToGrid/>
              <w:spacing w:line="240" w:lineRule="auto"/>
              <w:rPr>
                <w:rFonts w:hint="eastAsia" w:hAnsi="宋体" w:cs="宋体"/>
                <w:kern w:val="0"/>
                <w:sz w:val="21"/>
                <w:szCs w:val="21"/>
                <w:highlight w:val="none"/>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790" w:type="dxa"/>
            <w:vAlign w:val="center"/>
          </w:tcPr>
          <w:p>
            <w:pPr>
              <w:keepNext w:val="0"/>
              <w:keepLines w:val="0"/>
              <w:pageBreakBefore w:val="0"/>
              <w:widowControl/>
              <w:kinsoku/>
              <w:wordWrap/>
              <w:overflowPunct/>
              <w:topLinePunct w:val="0"/>
              <w:bidi w:val="0"/>
              <w:adjustRightInd/>
              <w:snapToGrid/>
              <w:spacing w:line="240" w:lineRule="auto"/>
              <w:jc w:val="center"/>
              <w:rPr>
                <w:rFonts w:hint="default" w:hAnsi="宋体" w:cs="宋体" w:eastAsiaTheme="minorEastAsia"/>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30</w:t>
            </w:r>
          </w:p>
        </w:tc>
      </w:tr>
    </w:tbl>
    <w:p>
      <w:pPr>
        <w:spacing w:line="360" w:lineRule="auto"/>
      </w:pPr>
      <w:r>
        <w:rPr>
          <w:rFonts w:hint="eastAsia"/>
          <w:b/>
          <w:bCs/>
        </w:rPr>
        <w:t>注</w:t>
      </w:r>
      <w:r>
        <w:rPr>
          <w:rFonts w:hint="eastAsia"/>
        </w:rPr>
        <w:t>：①请扫描上传合同、证书、报告及其他相关证明材料的</w:t>
      </w:r>
      <w:r>
        <w:rPr>
          <w:rFonts w:hint="eastAsia"/>
          <w:lang w:val="en-US" w:eastAsia="zh-CN"/>
        </w:rPr>
        <w:t>扫描件</w:t>
      </w:r>
      <w:r>
        <w:rPr>
          <w:rFonts w:hint="eastAsia"/>
        </w:rPr>
        <w:t>至投标文件，并加盖公章。</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2" w:firstLineChars="200"/>
        <w:rPr>
          <w:rFonts w:ascii="宋体" w:hAnsi="宋体" w:cs="宋体"/>
          <w:b/>
          <w:bCs/>
          <w:sz w:val="24"/>
        </w:rPr>
      </w:pPr>
      <w:r>
        <w:rPr>
          <w:rFonts w:hint="eastAsia" w:ascii="宋体" w:hAnsi="宋体" w:cs="宋体"/>
          <w:b/>
          <w:bCs/>
          <w:sz w:val="24"/>
        </w:rPr>
        <w:t>（2）对于投标文件报价出现前后不一致的，除招标文件另有规定外，按照下列规定修正：</w:t>
      </w:r>
    </w:p>
    <w:p>
      <w:pPr>
        <w:spacing w:line="360" w:lineRule="auto"/>
        <w:ind w:firstLine="482" w:firstLineChars="200"/>
        <w:rPr>
          <w:rFonts w:ascii="宋体" w:hAnsi="宋体" w:cs="宋体"/>
          <w:b/>
          <w:bCs/>
          <w:sz w:val="24"/>
        </w:rPr>
      </w:pPr>
      <w:r>
        <w:rPr>
          <w:rFonts w:hint="eastAsia" w:ascii="宋体" w:hAnsi="宋体" w:cs="宋体"/>
          <w:b/>
          <w:bCs/>
          <w:sz w:val="24"/>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②投标文件中开标一览表（报价表）内容与投标文件中相应内容不一致的，以开标一览表（报价表）为准；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③大写金额和小写金额不一致的，以大写金额为准。</w:t>
      </w:r>
    </w:p>
    <w:p>
      <w:pPr>
        <w:spacing w:line="360" w:lineRule="auto"/>
        <w:ind w:firstLine="482" w:firstLineChars="200"/>
        <w:rPr>
          <w:rFonts w:ascii="宋体" w:hAnsi="宋体" w:cs="宋体"/>
          <w:b/>
          <w:bCs/>
          <w:sz w:val="24"/>
        </w:rPr>
      </w:pPr>
      <w:r>
        <w:rPr>
          <w:rFonts w:hint="eastAsia" w:ascii="宋体" w:hAnsi="宋体" w:cs="宋体"/>
          <w:b/>
          <w:bCs/>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投标文件满足招标文件全部实质性要求，且按照评审因素的量化指标评审得分最高的投标人为排名第一的为第一中标候选人，排名第二的为第二中标后选人。</w:t>
      </w:r>
      <w:r>
        <w:rPr>
          <w:rFonts w:hint="eastAsia" w:ascii="宋体" w:hAnsi="宋体"/>
          <w:bCs/>
          <w:sz w:val="24"/>
        </w:rPr>
        <w:t>若出现总得分相同时，按技术标得分由高到低顺序排列；若以上均相同的，则抽签确定。</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rPr>
          <w:rFonts w:hint="eastAsia" w:ascii="宋体" w:hAnsi="宋体" w:cs="宋体"/>
          <w:sz w:val="24"/>
        </w:rPr>
      </w:pPr>
      <w:r>
        <w:rPr>
          <w:rFonts w:hint="eastAsia" w:ascii="宋体" w:hAnsi="宋体" w:cs="宋体"/>
          <w:sz w:val="24"/>
        </w:rPr>
        <w:t>评标委员会根据全体评标成员签字的原始评标记录和评标结果编写评标报告。</w:t>
      </w:r>
    </w:p>
    <w:p>
      <w:pPr>
        <w:pStyle w:val="10"/>
        <w:rPr>
          <w:rFonts w:hint="eastAsia" w:ascii="宋体" w:hAnsi="宋体" w:cs="宋体"/>
          <w:sz w:val="24"/>
        </w:rPr>
      </w:pPr>
    </w:p>
    <w:p>
      <w:pPr>
        <w:rPr>
          <w:rFonts w:hint="eastAsia" w:ascii="宋体" w:hAnsi="宋体" w:cs="宋体"/>
          <w:sz w:val="24"/>
        </w:rPr>
      </w:pPr>
    </w:p>
    <w:p>
      <w:pPr>
        <w:pStyle w:val="10"/>
      </w:pP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拟签订的合同文本</w:t>
      </w:r>
    </w:p>
    <w:p>
      <w:pPr>
        <w:widowControl/>
        <w:shd w:val="clear" w:color="auto" w:fill="FFFFFF"/>
        <w:spacing w:after="150" w:line="375" w:lineRule="atLeast"/>
        <w:ind w:firstLine="480"/>
        <w:jc w:val="left"/>
        <w:rPr>
          <w:rFonts w:ascii="宋体"/>
          <w:sz w:val="24"/>
        </w:rPr>
      </w:pPr>
      <w:r>
        <w:rPr>
          <w:rFonts w:ascii="宋体"/>
          <w:sz w:val="24"/>
        </w:rPr>
        <w:t>以下为</w:t>
      </w:r>
      <w:r>
        <w:rPr>
          <w:rFonts w:hint="eastAsia" w:ascii="宋体"/>
          <w:sz w:val="24"/>
          <w:lang w:eastAsia="zh-CN"/>
        </w:rPr>
        <w:t>中标</w:t>
      </w:r>
      <w:r>
        <w:rPr>
          <w:rFonts w:ascii="宋体"/>
          <w:sz w:val="24"/>
        </w:rPr>
        <w:t>后签定本项目合同的通用条款，</w:t>
      </w:r>
      <w:r>
        <w:rPr>
          <w:rFonts w:hint="eastAsia" w:ascii="宋体"/>
          <w:sz w:val="24"/>
          <w:lang w:eastAsia="zh-CN"/>
        </w:rPr>
        <w:t>中标</w:t>
      </w:r>
      <w:r>
        <w:rPr>
          <w:rFonts w:ascii="宋体"/>
          <w:sz w:val="24"/>
        </w:rPr>
        <w:t>供应商不得提出实质性的修改，关于专用条款将由采购人与</w:t>
      </w:r>
      <w:r>
        <w:rPr>
          <w:rFonts w:hint="eastAsia" w:ascii="宋体"/>
          <w:sz w:val="24"/>
          <w:lang w:eastAsia="zh-CN"/>
        </w:rPr>
        <w:t>中标</w:t>
      </w:r>
      <w:r>
        <w:rPr>
          <w:rFonts w:ascii="宋体"/>
          <w:sz w:val="24"/>
        </w:rPr>
        <w:t>供应商结合本项目具体情况协商后签订。</w:t>
      </w:r>
    </w:p>
    <w:p>
      <w:pPr>
        <w:snapToGrid w:val="0"/>
        <w:spacing w:beforeLines="50" w:afterLines="50" w:line="360" w:lineRule="auto"/>
        <w:rPr>
          <w:rFonts w:ascii="宋体"/>
          <w:sz w:val="24"/>
        </w:rPr>
      </w:pPr>
      <w:r>
        <w:rPr>
          <w:rFonts w:ascii="宋体"/>
          <w:sz w:val="24"/>
        </w:rPr>
        <w:t>项目名称：                                       项目编号：</w:t>
      </w:r>
    </w:p>
    <w:p>
      <w:pPr>
        <w:snapToGrid w:val="0"/>
        <w:spacing w:beforeLines="50" w:afterLines="50" w:line="360" w:lineRule="auto"/>
        <w:rPr>
          <w:rFonts w:ascii="宋体"/>
          <w:sz w:val="24"/>
        </w:rPr>
      </w:pPr>
      <w:r>
        <w:rPr>
          <w:rFonts w:ascii="宋体"/>
          <w:sz w:val="24"/>
        </w:rPr>
        <w:t>甲方：（</w:t>
      </w:r>
      <w:r>
        <w:rPr>
          <w:rFonts w:hint="eastAsia" w:ascii="宋体"/>
          <w:sz w:val="24"/>
        </w:rPr>
        <w:t>采购单位</w:t>
      </w:r>
      <w:r>
        <w:rPr>
          <w:rFonts w:ascii="宋体"/>
          <w:sz w:val="24"/>
        </w:rPr>
        <w:t>）</w:t>
      </w:r>
    </w:p>
    <w:p>
      <w:pPr>
        <w:snapToGrid w:val="0"/>
        <w:spacing w:beforeLines="50" w:afterLines="50" w:line="360" w:lineRule="auto"/>
        <w:rPr>
          <w:rFonts w:ascii="宋体"/>
          <w:sz w:val="24"/>
        </w:rPr>
      </w:pPr>
      <w:r>
        <w:rPr>
          <w:rFonts w:ascii="宋体"/>
          <w:sz w:val="24"/>
        </w:rPr>
        <w:t>乙方：（</w:t>
      </w:r>
      <w:r>
        <w:rPr>
          <w:rFonts w:hint="eastAsia" w:ascii="宋体"/>
          <w:sz w:val="24"/>
        </w:rPr>
        <w:t>中标供应商</w:t>
      </w:r>
      <w:r>
        <w:rPr>
          <w:rFonts w:ascii="宋体"/>
          <w:sz w:val="24"/>
        </w:rPr>
        <w:t>）</w:t>
      </w:r>
    </w:p>
    <w:p>
      <w:pPr>
        <w:snapToGrid w:val="0"/>
        <w:spacing w:beforeLines="50" w:afterLines="50" w:line="360" w:lineRule="auto"/>
        <w:ind w:left="410" w:hanging="410" w:hangingChars="171"/>
        <w:rPr>
          <w:rFonts w:ascii="宋体"/>
          <w:sz w:val="24"/>
        </w:rPr>
      </w:pPr>
      <w:r>
        <w:rPr>
          <w:rFonts w:hint="eastAsia" w:ascii="宋体"/>
          <w:sz w:val="24"/>
        </w:rPr>
        <w:t>甲、乙双方关于</w:t>
      </w:r>
      <w:r>
        <w:rPr>
          <w:rFonts w:hint="eastAsia" w:ascii="宋体"/>
          <w:sz w:val="24"/>
          <w:u w:val="single"/>
        </w:rPr>
        <w:t xml:space="preserve"> </w:t>
      </w:r>
      <w:r>
        <w:rPr>
          <w:rFonts w:ascii="宋体"/>
          <w:sz w:val="24"/>
          <w:u w:val="single"/>
        </w:rPr>
        <w:t xml:space="preserve">                      </w:t>
      </w:r>
      <w:r>
        <w:rPr>
          <w:rFonts w:hint="eastAsia" w:ascii="宋体"/>
          <w:sz w:val="24"/>
        </w:rPr>
        <w:t>（项目名称）的结果，签署本合同</w:t>
      </w:r>
    </w:p>
    <w:p>
      <w:pPr>
        <w:snapToGrid w:val="0"/>
        <w:spacing w:beforeLines="50" w:afterLines="50" w:line="360" w:lineRule="auto"/>
      </w:pPr>
      <w:r>
        <w:rPr>
          <w:rFonts w:ascii="宋体"/>
          <w:b/>
          <w:sz w:val="24"/>
        </w:rPr>
        <w:t>一、</w:t>
      </w:r>
      <w:r>
        <w:rPr>
          <w:rFonts w:hint="eastAsia" w:ascii="宋体"/>
          <w:b/>
          <w:sz w:val="24"/>
        </w:rPr>
        <w:t>服务</w:t>
      </w:r>
      <w:r>
        <w:rPr>
          <w:rFonts w:ascii="宋体"/>
          <w:b/>
          <w:sz w:val="24"/>
        </w:rPr>
        <w:t>内容</w:t>
      </w:r>
    </w:p>
    <w:p>
      <w:pPr>
        <w:pStyle w:val="13"/>
        <w:snapToGrid w:val="0"/>
        <w:spacing w:line="360" w:lineRule="auto"/>
        <w:rPr>
          <w:rFonts w:ascii="宋体" w:hAnsi="宋体" w:eastAsia="宋体" w:cs="宋体"/>
          <w:b/>
          <w:snapToGrid w:val="0"/>
          <w:kern w:val="0"/>
          <w:sz w:val="24"/>
        </w:rPr>
      </w:pPr>
      <w:r>
        <w:rPr>
          <w:rFonts w:hint="eastAsia" w:hAnsi="宋体" w:cs="宋体"/>
          <w:sz w:val="24"/>
          <w:szCs w:val="24"/>
        </w:rPr>
        <w:t>（具体见项目</w:t>
      </w:r>
      <w:r>
        <w:rPr>
          <w:rFonts w:hint="eastAsia" w:hAnsi="宋体" w:cs="宋体"/>
          <w:sz w:val="24"/>
          <w:szCs w:val="24"/>
          <w:lang w:eastAsia="zh-CN"/>
        </w:rPr>
        <w:t>招标</w:t>
      </w:r>
      <w:r>
        <w:rPr>
          <w:rFonts w:hint="eastAsia" w:hAnsi="宋体" w:cs="宋体"/>
          <w:sz w:val="24"/>
          <w:szCs w:val="24"/>
        </w:rPr>
        <w:t>需求）</w:t>
      </w:r>
    </w:p>
    <w:p>
      <w:pPr>
        <w:snapToGrid w:val="0"/>
        <w:spacing w:beforeLines="50" w:afterLines="50"/>
        <w:rPr>
          <w:rFonts w:ascii="宋体"/>
          <w:b/>
          <w:sz w:val="24"/>
          <w:highlight w:val="none"/>
        </w:rPr>
      </w:pPr>
      <w:r>
        <w:rPr>
          <w:rFonts w:ascii="宋体"/>
          <w:b/>
          <w:sz w:val="24"/>
          <w:highlight w:val="none"/>
        </w:rPr>
        <w:t>二、合同金额</w:t>
      </w:r>
      <w:r>
        <w:rPr>
          <w:rFonts w:hint="eastAsia" w:ascii="宋体"/>
          <w:b/>
          <w:sz w:val="24"/>
          <w:highlight w:val="none"/>
        </w:rPr>
        <w:t>及</w:t>
      </w:r>
      <w:r>
        <w:rPr>
          <w:rFonts w:hint="eastAsia" w:ascii="宋体"/>
          <w:b/>
          <w:bCs/>
          <w:sz w:val="24"/>
          <w:highlight w:val="none"/>
        </w:rPr>
        <w:t>结算办法</w:t>
      </w:r>
    </w:p>
    <w:p>
      <w:pPr>
        <w:snapToGrid w:val="0"/>
        <w:spacing w:beforeLines="50" w:afterLines="50" w:line="360" w:lineRule="auto"/>
        <w:rPr>
          <w:rFonts w:hint="eastAsia" w:ascii="宋体" w:hAnsi="宋体" w:cs="宋体"/>
          <w:bCs/>
          <w:snapToGrid w:val="0"/>
          <w:kern w:val="0"/>
          <w:sz w:val="24"/>
          <w:highlight w:val="none"/>
        </w:rPr>
      </w:pPr>
      <w:r>
        <w:rPr>
          <w:rFonts w:ascii="宋体"/>
          <w:sz w:val="24"/>
        </w:rPr>
        <w:t>本合同金额为（大写）：___________元（￥_______________元）人民币。</w:t>
      </w:r>
    </w:p>
    <w:p>
      <w:pPr>
        <w:snapToGrid w:val="0"/>
        <w:spacing w:beforeLines="50" w:afterLines="50" w:line="360" w:lineRule="auto"/>
        <w:rPr>
          <w:rFonts w:ascii="宋体"/>
          <w:b/>
          <w:sz w:val="24"/>
        </w:rPr>
      </w:pPr>
      <w:r>
        <w:rPr>
          <w:rFonts w:ascii="宋体"/>
          <w:b/>
          <w:sz w:val="24"/>
        </w:rPr>
        <w:t>三、技术资料</w:t>
      </w:r>
    </w:p>
    <w:p>
      <w:pPr>
        <w:snapToGrid w:val="0"/>
        <w:spacing w:beforeLines="50" w:afterLines="50" w:line="360" w:lineRule="auto"/>
        <w:rPr>
          <w:rFonts w:ascii="宋体"/>
          <w:sz w:val="24"/>
        </w:rPr>
      </w:pPr>
      <w:r>
        <w:rPr>
          <w:rFonts w:ascii="宋体"/>
          <w:sz w:val="24"/>
        </w:rPr>
        <w:t>1</w:t>
      </w:r>
      <w:r>
        <w:rPr>
          <w:rFonts w:hint="eastAsia" w:ascii="宋体"/>
          <w:sz w:val="24"/>
        </w:rPr>
        <w:t>.</w:t>
      </w:r>
      <w:r>
        <w:rPr>
          <w:rFonts w:ascii="宋体"/>
          <w:sz w:val="24"/>
        </w:rPr>
        <w:t>乙方应按招标文件规定的时间向甲方提供有关技术资料。</w:t>
      </w:r>
    </w:p>
    <w:p>
      <w:pPr>
        <w:snapToGrid w:val="0"/>
        <w:spacing w:beforeLines="50" w:afterLines="50" w:line="360" w:lineRule="auto"/>
        <w:rPr>
          <w:rFonts w:ascii="宋体"/>
          <w:sz w:val="24"/>
        </w:rPr>
      </w:pPr>
      <w:r>
        <w:rPr>
          <w:rFonts w:ascii="宋体"/>
          <w:sz w:val="24"/>
        </w:rPr>
        <w:t>2</w:t>
      </w:r>
      <w:r>
        <w:rPr>
          <w:rFonts w:hint="eastAsia" w:ascii="宋体"/>
          <w:sz w:val="24"/>
        </w:rPr>
        <w:t>.</w:t>
      </w:r>
      <w:r>
        <w:rPr>
          <w:rFonts w:ascii="宋体"/>
          <w:sz w:val="24"/>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napToGrid w:val="0"/>
        <w:spacing w:beforeLines="50" w:afterLines="50" w:line="360" w:lineRule="auto"/>
        <w:ind w:left="412" w:hanging="412" w:hangingChars="171"/>
        <w:rPr>
          <w:rFonts w:ascii="宋体"/>
          <w:b/>
          <w:sz w:val="24"/>
        </w:rPr>
      </w:pPr>
      <w:r>
        <w:rPr>
          <w:rFonts w:ascii="宋体"/>
          <w:b/>
          <w:sz w:val="24"/>
        </w:rPr>
        <w:t>四、知识产权</w:t>
      </w:r>
    </w:p>
    <w:p>
      <w:pPr>
        <w:keepNext w:val="0"/>
        <w:keepLines w:val="0"/>
        <w:pageBreakBefore w:val="0"/>
        <w:widowControl w:val="0"/>
        <w:kinsoku/>
        <w:wordWrap/>
        <w:overflowPunct/>
        <w:topLinePunct w:val="0"/>
        <w:autoSpaceDE/>
        <w:autoSpaceDN/>
        <w:bidi w:val="0"/>
        <w:adjustRightInd/>
        <w:snapToGrid w:val="0"/>
        <w:spacing w:beforeLines="50" w:afterLines="50" w:line="360" w:lineRule="auto"/>
        <w:ind w:left="0" w:leftChars="0" w:firstLine="480" w:firstLineChars="200"/>
        <w:textAlignment w:val="auto"/>
        <w:rPr>
          <w:rFonts w:ascii="宋体"/>
          <w:sz w:val="24"/>
        </w:rPr>
      </w:pPr>
      <w:r>
        <w:rPr>
          <w:rFonts w:hint="eastAsia" w:ascii="宋体"/>
          <w:sz w:val="24"/>
        </w:rPr>
        <w:t>乙方应保证提供服务过程中不会侵犯任何第三方的知识产权和其他权利，若侵权，应承担甲方因此造成的所有损失。</w:t>
      </w:r>
    </w:p>
    <w:p>
      <w:pPr>
        <w:tabs>
          <w:tab w:val="left" w:pos="1418"/>
        </w:tabs>
        <w:autoSpaceDE w:val="0"/>
        <w:autoSpaceDN w:val="0"/>
        <w:adjustRightInd w:val="0"/>
        <w:spacing w:line="360" w:lineRule="auto"/>
        <w:rPr>
          <w:b/>
          <w:sz w:val="24"/>
        </w:rPr>
      </w:pPr>
      <w:r>
        <w:rPr>
          <w:rFonts w:hint="eastAsia"/>
          <w:b/>
          <w:sz w:val="24"/>
        </w:rPr>
        <w:t>五</w:t>
      </w:r>
      <w:r>
        <w:rPr>
          <w:b/>
          <w:sz w:val="24"/>
        </w:rPr>
        <w:t>、履约保证金</w:t>
      </w:r>
      <w:r>
        <w:rPr>
          <w:rFonts w:hint="eastAsia"/>
          <w:b/>
          <w:sz w:val="24"/>
        </w:rPr>
        <w:t xml:space="preserve">: </w:t>
      </w:r>
    </w:p>
    <w:p>
      <w:pPr>
        <w:tabs>
          <w:tab w:val="left" w:pos="1418"/>
        </w:tabs>
        <w:autoSpaceDE w:val="0"/>
        <w:autoSpaceDN w:val="0"/>
        <w:adjustRightInd w:val="0"/>
        <w:spacing w:line="360" w:lineRule="auto"/>
        <w:ind w:firstLine="480" w:firstLineChars="200"/>
        <w:rPr>
          <w:rFonts w:ascii="宋体"/>
          <w:kern w:val="0"/>
          <w:sz w:val="24"/>
        </w:rPr>
      </w:pPr>
      <w:r>
        <w:rPr>
          <w:rFonts w:hint="eastAsia"/>
          <w:sz w:val="24"/>
        </w:rPr>
        <w:t>合同价的1%，可采用银行独立保函、保险机构独立保函、保兑支票、银行汇票或现金支票（若为转账，则完成建设、安装、运行、对接且经验收合格后10个工作日内无息退还剩余部分，若为保单保函的则担保有效期截止日须为所有工作完成且验收合格之日）。</w:t>
      </w:r>
    </w:p>
    <w:p>
      <w:pPr>
        <w:snapToGrid w:val="0"/>
        <w:spacing w:beforeLines="50" w:afterLines="50" w:line="360" w:lineRule="auto"/>
        <w:ind w:left="410" w:hanging="410" w:hangingChars="170"/>
        <w:rPr>
          <w:rFonts w:ascii="宋体"/>
          <w:b/>
          <w:sz w:val="24"/>
        </w:rPr>
      </w:pPr>
      <w:r>
        <w:rPr>
          <w:rFonts w:hint="eastAsia" w:ascii="宋体"/>
          <w:b/>
          <w:sz w:val="24"/>
        </w:rPr>
        <w:t>六、转包或分包</w:t>
      </w:r>
    </w:p>
    <w:p>
      <w:pPr>
        <w:snapToGrid w:val="0"/>
        <w:spacing w:beforeLines="50" w:afterLines="50" w:line="360" w:lineRule="auto"/>
        <w:rPr>
          <w:rFonts w:ascii="宋体"/>
          <w:sz w:val="24"/>
        </w:rPr>
      </w:pPr>
      <w:r>
        <w:rPr>
          <w:rFonts w:hint="eastAsia" w:ascii="宋体"/>
          <w:sz w:val="24"/>
        </w:rPr>
        <w:t>1.本合同范围的服务，应由乙方直接提供服务，不得转让他人提供服务；</w:t>
      </w:r>
    </w:p>
    <w:p>
      <w:pPr>
        <w:snapToGrid w:val="0"/>
        <w:spacing w:beforeLines="50" w:afterLines="50" w:line="360" w:lineRule="auto"/>
        <w:rPr>
          <w:rFonts w:ascii="宋体"/>
          <w:sz w:val="24"/>
        </w:rPr>
      </w:pPr>
      <w:r>
        <w:rPr>
          <w:rFonts w:hint="eastAsia" w:ascii="宋体"/>
          <w:sz w:val="24"/>
        </w:rPr>
        <w:t>2.除非得到甲方的书面同意，乙方不得将本合同范围的服务全部或部分分包给他人供应；</w:t>
      </w:r>
    </w:p>
    <w:p>
      <w:pPr>
        <w:snapToGrid w:val="0"/>
        <w:spacing w:beforeLines="50" w:afterLines="50" w:line="360" w:lineRule="auto"/>
        <w:ind w:right="-483" w:rightChars="-230"/>
        <w:rPr>
          <w:rFonts w:ascii="宋体"/>
          <w:sz w:val="24"/>
        </w:rPr>
      </w:pPr>
      <w:r>
        <w:rPr>
          <w:rFonts w:hint="eastAsia" w:ascii="宋体"/>
          <w:sz w:val="24"/>
        </w:rPr>
        <w:t>3.如有转让和未经甲方同意的分包行为，甲方有权解除合同，追究乙方的违约责任。</w:t>
      </w:r>
    </w:p>
    <w:p>
      <w:pPr>
        <w:snapToGrid w:val="0"/>
        <w:spacing w:beforeLines="50" w:afterLines="50" w:line="360" w:lineRule="auto"/>
        <w:rPr>
          <w:rFonts w:ascii="宋体"/>
          <w:b/>
          <w:sz w:val="24"/>
        </w:rPr>
      </w:pPr>
      <w:r>
        <w:rPr>
          <w:rFonts w:hint="eastAsia" w:ascii="宋体"/>
          <w:b/>
          <w:sz w:val="24"/>
        </w:rPr>
        <w:t>七、合同履行时间、履行方式及履行地点</w:t>
      </w:r>
    </w:p>
    <w:p>
      <w:pPr>
        <w:snapToGrid w:val="0"/>
        <w:spacing w:beforeLines="50" w:afterLines="50" w:line="360" w:lineRule="auto"/>
        <w:ind w:left="410" w:hanging="410" w:hangingChars="171"/>
        <w:rPr>
          <w:rFonts w:ascii="宋体"/>
          <w:sz w:val="24"/>
        </w:rPr>
      </w:pPr>
      <w:r>
        <w:rPr>
          <w:rFonts w:hint="eastAsia" w:ascii="宋体"/>
          <w:sz w:val="24"/>
        </w:rPr>
        <w:t>1.履行时间：</w:t>
      </w:r>
    </w:p>
    <w:p>
      <w:pPr>
        <w:snapToGrid w:val="0"/>
        <w:spacing w:beforeLines="50" w:afterLines="50" w:line="360" w:lineRule="auto"/>
        <w:ind w:left="410" w:hanging="410" w:hangingChars="171"/>
        <w:rPr>
          <w:rFonts w:ascii="宋体"/>
          <w:sz w:val="24"/>
        </w:rPr>
      </w:pPr>
      <w:r>
        <w:rPr>
          <w:rFonts w:hint="eastAsia" w:ascii="宋体"/>
          <w:sz w:val="24"/>
        </w:rPr>
        <w:t>2.履行方式：</w:t>
      </w:r>
    </w:p>
    <w:p>
      <w:pPr>
        <w:snapToGrid w:val="0"/>
        <w:spacing w:beforeLines="50" w:afterLines="50" w:line="360" w:lineRule="auto"/>
        <w:ind w:left="410" w:hanging="410" w:hangingChars="171"/>
        <w:rPr>
          <w:rFonts w:ascii="宋体"/>
          <w:sz w:val="24"/>
        </w:rPr>
      </w:pPr>
      <w:r>
        <w:rPr>
          <w:rFonts w:hint="eastAsia" w:ascii="宋体"/>
          <w:sz w:val="24"/>
        </w:rPr>
        <w:t>3.履行地点：</w:t>
      </w:r>
    </w:p>
    <w:p>
      <w:pPr>
        <w:snapToGrid w:val="0"/>
        <w:spacing w:beforeLines="50" w:afterLines="50" w:line="360" w:lineRule="auto"/>
        <w:ind w:left="412" w:hanging="412" w:hangingChars="171"/>
        <w:rPr>
          <w:rFonts w:ascii="宋体"/>
          <w:b/>
          <w:sz w:val="24"/>
        </w:rPr>
      </w:pPr>
      <w:r>
        <w:rPr>
          <w:rFonts w:hint="eastAsia" w:ascii="宋体"/>
          <w:b/>
          <w:sz w:val="24"/>
        </w:rPr>
        <w:t>八</w:t>
      </w:r>
      <w:r>
        <w:rPr>
          <w:rFonts w:ascii="宋体"/>
          <w:b/>
          <w:sz w:val="24"/>
        </w:rPr>
        <w:t>、</w:t>
      </w:r>
      <w:r>
        <w:rPr>
          <w:rFonts w:hint="eastAsia" w:ascii="宋体"/>
          <w:b/>
          <w:sz w:val="24"/>
        </w:rPr>
        <w:t>服务款</w:t>
      </w:r>
      <w:r>
        <w:rPr>
          <w:rFonts w:ascii="宋体"/>
          <w:b/>
          <w:sz w:val="24"/>
        </w:rPr>
        <w:t>支付</w:t>
      </w:r>
    </w:p>
    <w:p>
      <w:pPr>
        <w:snapToGrid w:val="0"/>
        <w:spacing w:beforeLines="50" w:afterLines="50" w:line="360" w:lineRule="auto"/>
        <w:rPr>
          <w:rFonts w:ascii="宋体"/>
          <w:bCs/>
          <w:sz w:val="24"/>
        </w:rPr>
      </w:pPr>
      <w:r>
        <w:rPr>
          <w:rFonts w:ascii="宋体"/>
          <w:bCs/>
          <w:sz w:val="24"/>
        </w:rPr>
        <w:t>1</w:t>
      </w:r>
      <w:r>
        <w:rPr>
          <w:rFonts w:hint="eastAsia" w:ascii="宋体"/>
          <w:bCs/>
          <w:sz w:val="24"/>
        </w:rPr>
        <w:t>.</w:t>
      </w:r>
      <w:r>
        <w:rPr>
          <w:rFonts w:ascii="宋体"/>
          <w:bCs/>
          <w:sz w:val="24"/>
        </w:rPr>
        <w:t>付</w:t>
      </w:r>
      <w:r>
        <w:rPr>
          <w:rFonts w:ascii="宋体"/>
          <w:bCs/>
          <w:sz w:val="24"/>
          <w:highlight w:val="none"/>
        </w:rPr>
        <w:t>款方式：</w:t>
      </w:r>
      <w:r>
        <w:rPr>
          <w:rFonts w:hint="eastAsia" w:ascii="宋体" w:hAnsi="宋体" w:cs="宋体"/>
          <w:b w:val="0"/>
          <w:bCs/>
          <w:kern w:val="0"/>
          <w:sz w:val="24"/>
          <w:highlight w:val="none"/>
          <w:lang w:eastAsia="zh-CN" w:bidi="ar"/>
        </w:rPr>
        <w:t>完成所有</w:t>
      </w:r>
      <w:r>
        <w:rPr>
          <w:rFonts w:hint="eastAsia" w:ascii="宋体" w:hAnsi="宋体" w:cs="宋体"/>
          <w:b w:val="0"/>
          <w:bCs/>
          <w:kern w:val="0"/>
          <w:sz w:val="24"/>
          <w:highlight w:val="none"/>
          <w:lang w:val="en-US" w:eastAsia="zh-CN" w:bidi="ar"/>
        </w:rPr>
        <w:t>系统</w:t>
      </w:r>
      <w:r>
        <w:rPr>
          <w:rFonts w:hint="eastAsia" w:ascii="宋体" w:hAnsi="宋体" w:cs="宋体"/>
          <w:b w:val="0"/>
          <w:bCs/>
          <w:kern w:val="0"/>
          <w:sz w:val="24"/>
          <w:highlight w:val="none"/>
          <w:lang w:eastAsia="zh-CN" w:bidi="ar"/>
        </w:rPr>
        <w:t>的建设、安装、运行及对接且验收合格后</w:t>
      </w:r>
      <w:r>
        <w:rPr>
          <w:rFonts w:hint="eastAsia" w:ascii="宋体" w:hAnsi="宋体" w:cs="宋体"/>
          <w:b w:val="0"/>
          <w:bCs/>
          <w:kern w:val="0"/>
          <w:sz w:val="24"/>
          <w:highlight w:val="none"/>
          <w:lang w:val="en-US" w:eastAsia="zh-CN" w:bidi="ar"/>
        </w:rPr>
        <w:t>30</w:t>
      </w:r>
      <w:r>
        <w:rPr>
          <w:rFonts w:hint="eastAsia" w:ascii="宋体" w:hAnsi="宋体" w:cs="宋体"/>
          <w:b w:val="0"/>
          <w:bCs/>
          <w:kern w:val="0"/>
          <w:sz w:val="24"/>
          <w:highlight w:val="none"/>
          <w:lang w:eastAsia="zh-CN" w:bidi="ar"/>
        </w:rPr>
        <w:t>日内</w:t>
      </w:r>
      <w:r>
        <w:rPr>
          <w:rFonts w:hint="eastAsia" w:ascii="宋体" w:hAnsi="宋体" w:cs="宋体"/>
          <w:b w:val="0"/>
          <w:bCs/>
          <w:kern w:val="0"/>
          <w:sz w:val="24"/>
          <w:highlight w:val="none"/>
          <w:lang w:val="en-US" w:eastAsia="zh-CN" w:bidi="ar"/>
        </w:rPr>
        <w:t>付清。</w:t>
      </w:r>
    </w:p>
    <w:p>
      <w:pPr>
        <w:snapToGrid w:val="0"/>
        <w:spacing w:beforeLines="50" w:afterLines="50" w:line="360" w:lineRule="auto"/>
        <w:rPr>
          <w:rFonts w:ascii="宋体"/>
          <w:b/>
          <w:sz w:val="24"/>
        </w:rPr>
      </w:pPr>
      <w:r>
        <w:rPr>
          <w:rFonts w:hint="eastAsia" w:ascii="宋体"/>
          <w:b/>
          <w:sz w:val="24"/>
        </w:rPr>
        <w:t>九、税费</w:t>
      </w:r>
    </w:p>
    <w:p>
      <w:pPr>
        <w:snapToGrid w:val="0"/>
        <w:spacing w:beforeLines="50" w:afterLines="50" w:line="360" w:lineRule="auto"/>
        <w:rPr>
          <w:rFonts w:ascii="宋体"/>
          <w:sz w:val="24"/>
        </w:rPr>
      </w:pPr>
      <w:r>
        <w:rPr>
          <w:rFonts w:hint="eastAsia" w:ascii="宋体"/>
          <w:sz w:val="24"/>
        </w:rPr>
        <w:t>本合同执行中相关的一切税费均由</w:t>
      </w:r>
      <w:r>
        <w:rPr>
          <w:rFonts w:ascii="宋体"/>
          <w:sz w:val="24"/>
        </w:rPr>
        <w:t>乙</w:t>
      </w:r>
      <w:r>
        <w:rPr>
          <w:rFonts w:hint="eastAsia" w:ascii="宋体"/>
          <w:sz w:val="24"/>
        </w:rPr>
        <w:t>方负担。</w:t>
      </w:r>
    </w:p>
    <w:p>
      <w:pPr>
        <w:snapToGrid w:val="0"/>
        <w:spacing w:beforeLines="50" w:afterLines="50" w:line="360" w:lineRule="auto"/>
        <w:ind w:left="412" w:hanging="412" w:hangingChars="171"/>
        <w:rPr>
          <w:rFonts w:ascii="宋体"/>
          <w:sz w:val="24"/>
        </w:rPr>
      </w:pPr>
      <w:r>
        <w:rPr>
          <w:rFonts w:ascii="宋体"/>
          <w:b/>
          <w:sz w:val="24"/>
        </w:rPr>
        <w:t>十、质量保证</w:t>
      </w:r>
      <w:r>
        <w:rPr>
          <w:rFonts w:hint="eastAsia" w:ascii="宋体"/>
          <w:b/>
          <w:sz w:val="24"/>
        </w:rPr>
        <w:t>、</w:t>
      </w:r>
      <w:r>
        <w:rPr>
          <w:rFonts w:ascii="宋体"/>
          <w:b/>
          <w:sz w:val="24"/>
        </w:rPr>
        <w:t>售后服务</w:t>
      </w:r>
      <w:r>
        <w:rPr>
          <w:rFonts w:hint="eastAsia" w:ascii="宋体"/>
          <w:b/>
          <w:sz w:val="24"/>
        </w:rPr>
        <w:t>及安全责任</w:t>
      </w:r>
    </w:p>
    <w:p>
      <w:pPr>
        <w:snapToGrid w:val="0"/>
        <w:spacing w:beforeLines="50" w:afterLines="50" w:line="360" w:lineRule="auto"/>
        <w:rPr>
          <w:rFonts w:ascii="宋体"/>
          <w:sz w:val="24"/>
          <w:highlight w:val="none"/>
        </w:rPr>
      </w:pPr>
      <w:r>
        <w:rPr>
          <w:rFonts w:hint="eastAsia" w:ascii="宋体"/>
          <w:sz w:val="24"/>
        </w:rPr>
        <w:t>1</w:t>
      </w:r>
      <w:r>
        <w:rPr>
          <w:rFonts w:hint="eastAsia" w:ascii="宋体"/>
          <w:sz w:val="24"/>
          <w:lang w:val="en-US" w:eastAsia="zh-CN"/>
        </w:rPr>
        <w:t>.</w:t>
      </w:r>
      <w:r>
        <w:rPr>
          <w:rFonts w:hint="eastAsia" w:ascii="宋体"/>
          <w:sz w:val="24"/>
          <w:highlight w:val="none"/>
        </w:rPr>
        <w:t>乙方应按招标文件规定向甲方提供服务。</w:t>
      </w:r>
    </w:p>
    <w:p>
      <w:pPr>
        <w:snapToGrid w:val="0"/>
        <w:spacing w:beforeLines="50" w:afterLines="50" w:line="360" w:lineRule="auto"/>
        <w:rPr>
          <w:rFonts w:ascii="宋体"/>
          <w:sz w:val="24"/>
          <w:highlight w:val="none"/>
        </w:rPr>
      </w:pPr>
      <w:r>
        <w:rPr>
          <w:rFonts w:hint="eastAsia" w:ascii="宋体"/>
          <w:sz w:val="24"/>
          <w:highlight w:val="none"/>
        </w:rPr>
        <w:t>2.根椐实际情况分别进行</w:t>
      </w:r>
      <w:r>
        <w:rPr>
          <w:rFonts w:hint="eastAsia" w:ascii="宋体"/>
          <w:sz w:val="24"/>
          <w:highlight w:val="none"/>
          <w:lang w:eastAsia="zh-CN"/>
        </w:rPr>
        <w:t>分批</w:t>
      </w:r>
      <w:r>
        <w:rPr>
          <w:rFonts w:hint="eastAsia" w:ascii="宋体"/>
          <w:sz w:val="24"/>
          <w:highlight w:val="none"/>
        </w:rPr>
        <w:t>验收。</w:t>
      </w:r>
    </w:p>
    <w:p>
      <w:pPr>
        <w:snapToGrid w:val="0"/>
        <w:spacing w:beforeLines="50" w:afterLines="50" w:line="360" w:lineRule="auto"/>
        <w:rPr>
          <w:rFonts w:ascii="宋体"/>
          <w:sz w:val="24"/>
        </w:rPr>
      </w:pPr>
      <w:r>
        <w:rPr>
          <w:rFonts w:hint="eastAsia" w:ascii="宋体"/>
          <w:sz w:val="24"/>
        </w:rPr>
        <w:t>3</w:t>
      </w:r>
      <w:r>
        <w:rPr>
          <w:rFonts w:hint="eastAsia" w:ascii="宋体"/>
          <w:sz w:val="24"/>
          <w:lang w:val="en-US" w:eastAsia="zh-CN"/>
        </w:rPr>
        <w:t>.</w:t>
      </w:r>
      <w:r>
        <w:rPr>
          <w:rFonts w:hint="eastAsia" w:ascii="宋体"/>
          <w:sz w:val="24"/>
        </w:rPr>
        <w:t>乙方提供的服务成果对达不到要求者，根据实际情况，经双方协商，可按以下办法处理：</w:t>
      </w:r>
    </w:p>
    <w:p>
      <w:pPr>
        <w:snapToGrid w:val="0"/>
        <w:spacing w:beforeLines="50" w:afterLines="50" w:line="360" w:lineRule="auto"/>
        <w:rPr>
          <w:rFonts w:ascii="宋体"/>
          <w:sz w:val="24"/>
        </w:rPr>
      </w:pPr>
      <w:r>
        <w:rPr>
          <w:rFonts w:hint="eastAsia" w:ascii="宋体"/>
          <w:sz w:val="24"/>
        </w:rPr>
        <w:t>⑴重做：由乙方承担所发生的全部费用。</w:t>
      </w:r>
    </w:p>
    <w:p>
      <w:pPr>
        <w:snapToGrid w:val="0"/>
        <w:spacing w:beforeLines="50" w:afterLines="50" w:line="360" w:lineRule="auto"/>
        <w:rPr>
          <w:rFonts w:ascii="宋体"/>
          <w:sz w:val="24"/>
        </w:rPr>
      </w:pPr>
      <w:r>
        <w:rPr>
          <w:rFonts w:hint="eastAsia" w:ascii="宋体"/>
          <w:sz w:val="24"/>
        </w:rPr>
        <w:t>⑵解除合同。</w:t>
      </w:r>
    </w:p>
    <w:p>
      <w:pPr>
        <w:snapToGrid w:val="0"/>
        <w:spacing w:beforeLines="50" w:afterLines="50" w:line="360" w:lineRule="auto"/>
        <w:rPr>
          <w:rFonts w:ascii="宋体"/>
          <w:sz w:val="24"/>
        </w:rPr>
      </w:pPr>
      <w:r>
        <w:rPr>
          <w:rFonts w:hint="eastAsia" w:ascii="宋体"/>
          <w:sz w:val="24"/>
        </w:rPr>
        <w:t>4</w:t>
      </w:r>
      <w:r>
        <w:rPr>
          <w:rFonts w:hint="eastAsia" w:ascii="宋体"/>
          <w:sz w:val="24"/>
          <w:lang w:val="en-US" w:eastAsia="zh-CN"/>
        </w:rPr>
        <w:t>.</w:t>
      </w:r>
      <w:r>
        <w:rPr>
          <w:rFonts w:hint="eastAsia" w:ascii="宋体"/>
          <w:sz w:val="24"/>
        </w:rPr>
        <w:t>如在服务过程中发生问题，乙方在接到甲方通知后在1小时内到达甲方现场。</w:t>
      </w:r>
    </w:p>
    <w:p>
      <w:pPr>
        <w:snapToGrid w:val="0"/>
        <w:spacing w:beforeLines="50" w:afterLines="50" w:line="360" w:lineRule="auto"/>
        <w:rPr>
          <w:rFonts w:ascii="宋体"/>
          <w:sz w:val="24"/>
        </w:rPr>
      </w:pPr>
      <w:r>
        <w:rPr>
          <w:rFonts w:hint="eastAsia" w:ascii="宋体"/>
          <w:sz w:val="24"/>
        </w:rPr>
        <w:t>5.服务期内设备保养、维护、更换等维保事项均由乙方负责，且保证设备完好、运行正常。除不可抗力外及非乙方原因引起的损坏，以上责任均在乙方（不可抗力外及非乙方原因引起的损坏责任双主协商解决）</w:t>
      </w:r>
    </w:p>
    <w:p>
      <w:pPr>
        <w:snapToGrid w:val="0"/>
        <w:spacing w:beforeLines="50" w:afterLines="50" w:line="360" w:lineRule="auto"/>
        <w:rPr>
          <w:rFonts w:ascii="宋体" w:hAnsi="宋体"/>
          <w:b/>
          <w:snapToGrid w:val="0"/>
          <w:kern w:val="0"/>
          <w:sz w:val="24"/>
        </w:rPr>
      </w:pPr>
      <w:r>
        <w:rPr>
          <w:rFonts w:hint="eastAsia" w:ascii="宋体"/>
          <w:sz w:val="24"/>
        </w:rPr>
        <w:t>6</w:t>
      </w:r>
      <w:r>
        <w:rPr>
          <w:rFonts w:ascii="宋体"/>
          <w:sz w:val="24"/>
        </w:rPr>
        <w:t>.</w:t>
      </w:r>
      <w:r>
        <w:rPr>
          <w:rFonts w:hint="eastAsia" w:ascii="宋体"/>
          <w:sz w:val="24"/>
        </w:rPr>
        <w:t>项目实施及运维过程中非甲方原因造成的安全事故全部由乙方自行负责。</w:t>
      </w:r>
    </w:p>
    <w:p>
      <w:pPr>
        <w:snapToGrid w:val="0"/>
        <w:spacing w:beforeLines="50" w:afterLines="50" w:line="360" w:lineRule="auto"/>
        <w:rPr>
          <w:rFonts w:ascii="宋体"/>
          <w:b/>
          <w:sz w:val="24"/>
        </w:rPr>
      </w:pPr>
      <w:r>
        <w:rPr>
          <w:rFonts w:ascii="宋体"/>
          <w:b/>
          <w:sz w:val="24"/>
        </w:rPr>
        <w:t>十</w:t>
      </w:r>
      <w:r>
        <w:rPr>
          <w:rFonts w:hint="eastAsia" w:ascii="宋体"/>
          <w:b/>
          <w:sz w:val="24"/>
        </w:rPr>
        <w:t>一</w:t>
      </w:r>
      <w:r>
        <w:rPr>
          <w:rFonts w:ascii="宋体"/>
          <w:b/>
          <w:sz w:val="24"/>
        </w:rPr>
        <w:t>、违约责任</w:t>
      </w:r>
    </w:p>
    <w:p>
      <w:pPr>
        <w:snapToGrid w:val="0"/>
        <w:spacing w:beforeLines="50" w:afterLines="50" w:line="360" w:lineRule="auto"/>
        <w:rPr>
          <w:rFonts w:ascii="宋体"/>
          <w:sz w:val="24"/>
        </w:rPr>
      </w:pPr>
      <w:r>
        <w:rPr>
          <w:rFonts w:hint="eastAsia" w:ascii="宋体"/>
          <w:sz w:val="24"/>
        </w:rPr>
        <w:t>1</w:t>
      </w:r>
      <w:r>
        <w:rPr>
          <w:rFonts w:hint="eastAsia" w:ascii="宋体"/>
          <w:sz w:val="24"/>
          <w:lang w:val="en-US" w:eastAsia="zh-CN"/>
        </w:rPr>
        <w:t>.</w:t>
      </w:r>
      <w:r>
        <w:rPr>
          <w:rFonts w:hint="eastAsia" w:ascii="宋体"/>
          <w:sz w:val="24"/>
        </w:rPr>
        <w:t>甲方无正当理由拒收接受服务的，甲方向乙方偿付合同款项百分之五作为违约金。</w:t>
      </w:r>
    </w:p>
    <w:p>
      <w:pPr>
        <w:snapToGrid w:val="0"/>
        <w:spacing w:beforeLines="50" w:afterLines="50" w:line="360" w:lineRule="auto"/>
        <w:rPr>
          <w:rFonts w:ascii="宋体"/>
          <w:sz w:val="24"/>
        </w:rPr>
      </w:pPr>
      <w:r>
        <w:rPr>
          <w:rFonts w:hint="eastAsia" w:ascii="宋体"/>
          <w:sz w:val="24"/>
        </w:rPr>
        <w:t>2.甲方无故逾期验收和办理款项支付手续的,甲方应按逾期付款总额每日万分之五向乙方支付违约金。</w:t>
      </w:r>
    </w:p>
    <w:p>
      <w:pPr>
        <w:snapToGrid w:val="0"/>
        <w:spacing w:beforeLines="50" w:afterLines="50" w:line="360" w:lineRule="auto"/>
        <w:rPr>
          <w:rFonts w:ascii="宋体"/>
          <w:sz w:val="24"/>
        </w:rPr>
      </w:pPr>
      <w:r>
        <w:rPr>
          <w:rFonts w:hint="eastAsia" w:ascii="宋体"/>
          <w:sz w:val="24"/>
        </w:rPr>
        <w:t>3.乙方未能如期提供服务的，每日向甲方支付合同款项的千分之六作为违约金。乙方超过约定日期1个月仍不能提供服务的（或在</w:t>
      </w:r>
      <w:r>
        <w:rPr>
          <w:rFonts w:hint="eastAsia" w:ascii="宋体"/>
          <w:sz w:val="24"/>
          <w:lang w:eastAsia="zh-CN"/>
        </w:rPr>
        <w:t>服务期</w:t>
      </w:r>
      <w:r>
        <w:rPr>
          <w:rFonts w:hint="eastAsia" w:ascii="宋体"/>
          <w:sz w:val="24"/>
        </w:rPr>
        <w:t>不能完成</w:t>
      </w:r>
      <w:r>
        <w:rPr>
          <w:rFonts w:hint="eastAsia" w:ascii="宋体"/>
          <w:sz w:val="24"/>
          <w:lang w:eastAsia="zh-CN"/>
        </w:rPr>
        <w:t>并</w:t>
      </w:r>
      <w:r>
        <w:rPr>
          <w:rFonts w:hint="eastAsia" w:ascii="宋体"/>
          <w:sz w:val="24"/>
        </w:rPr>
        <w:t xml:space="preserve">验收合格的），甲方可解除本合同。乙方因未能如期提供服务或因其他违约行为导致甲方解除合同的，乙方应向甲方支付合同总值5%的违约金，如造成甲方损失超过违约金的，超出部分由乙方继续承担赔偿责任。 </w:t>
      </w:r>
    </w:p>
    <w:p>
      <w:pPr>
        <w:snapToGrid w:val="0"/>
        <w:spacing w:beforeLines="50" w:afterLines="50" w:line="360" w:lineRule="auto"/>
        <w:rPr>
          <w:rFonts w:ascii="宋体"/>
          <w:sz w:val="24"/>
        </w:rPr>
      </w:pPr>
      <w:r>
        <w:rPr>
          <w:rFonts w:hint="eastAsia" w:ascii="宋体"/>
          <w:sz w:val="24"/>
        </w:rPr>
        <w:t>4.乙方违反合同第约定使用、转让本项目的数据图文资料，或违反保密义务向第三方泄露项目资料的，按合同总价的30%承担违约责任，违约金不足以弥补甲方损失的，甲方有权要求乙方赔偿甲方损失。</w:t>
      </w:r>
    </w:p>
    <w:p>
      <w:pPr>
        <w:snapToGrid w:val="0"/>
        <w:spacing w:beforeLines="50" w:afterLines="50" w:line="360" w:lineRule="auto"/>
        <w:rPr>
          <w:rFonts w:ascii="宋体"/>
          <w:sz w:val="24"/>
        </w:rPr>
      </w:pPr>
      <w:r>
        <w:rPr>
          <w:rFonts w:hint="eastAsia" w:ascii="宋体"/>
          <w:sz w:val="24"/>
          <w:lang w:val="en-US" w:eastAsia="zh-CN"/>
        </w:rPr>
        <w:t>5.</w:t>
      </w:r>
      <w:r>
        <w:rPr>
          <w:rFonts w:hint="eastAsia" w:ascii="宋体"/>
          <w:sz w:val="24"/>
        </w:rPr>
        <w:t>乙方违反合同约定发生设备损坏，在3日内没有修复，造成运行不能正常进行的，按500元/次承担违约责任。</w:t>
      </w:r>
    </w:p>
    <w:p>
      <w:pPr>
        <w:snapToGrid w:val="0"/>
        <w:spacing w:beforeLines="50" w:afterLines="50" w:line="360" w:lineRule="auto"/>
        <w:rPr>
          <w:rFonts w:ascii="宋体"/>
          <w:sz w:val="24"/>
        </w:rPr>
      </w:pPr>
      <w:r>
        <w:rPr>
          <w:rFonts w:hint="eastAsia" w:ascii="宋体"/>
          <w:sz w:val="24"/>
          <w:lang w:val="en-US" w:eastAsia="zh-CN"/>
        </w:rPr>
        <w:t>6.</w:t>
      </w:r>
      <w:r>
        <w:rPr>
          <w:rFonts w:hint="eastAsia" w:ascii="宋体"/>
          <w:sz w:val="24"/>
        </w:rPr>
        <w:t>乙方违反合同约定将项目转让给第三方的、未经甲方允许分包或分包不符合要求的，按合同总价金额的30%向甲方承担违约责任。</w:t>
      </w:r>
    </w:p>
    <w:p>
      <w:pPr>
        <w:snapToGrid w:val="0"/>
        <w:spacing w:beforeLines="50" w:afterLines="50" w:line="360" w:lineRule="auto"/>
        <w:rPr>
          <w:rFonts w:ascii="宋体"/>
          <w:sz w:val="24"/>
        </w:rPr>
      </w:pPr>
      <w:r>
        <w:rPr>
          <w:rFonts w:hint="eastAsia" w:ascii="宋体"/>
          <w:sz w:val="24"/>
          <w:lang w:val="en-US" w:eastAsia="zh-CN"/>
        </w:rPr>
        <w:t>7.</w:t>
      </w:r>
      <w:r>
        <w:rPr>
          <w:rFonts w:hint="eastAsia" w:ascii="宋体"/>
          <w:sz w:val="24"/>
        </w:rPr>
        <w:t>项目建成但无法通过验收的，甲方有权不预支付一切费用，且有权单方解除合同，并要求乙方向甲方承担合同总价30%计算的违约金。</w:t>
      </w:r>
    </w:p>
    <w:p>
      <w:pPr>
        <w:snapToGrid w:val="0"/>
        <w:spacing w:beforeLines="50" w:afterLines="50" w:line="360" w:lineRule="auto"/>
        <w:rPr>
          <w:rFonts w:ascii="宋体"/>
          <w:sz w:val="24"/>
        </w:rPr>
      </w:pPr>
      <w:r>
        <w:rPr>
          <w:rFonts w:hint="eastAsia" w:ascii="宋体"/>
          <w:sz w:val="24"/>
          <w:lang w:val="en-US" w:eastAsia="zh-CN"/>
        </w:rPr>
        <w:t>8.</w:t>
      </w:r>
      <w:r>
        <w:rPr>
          <w:rFonts w:hint="eastAsia" w:ascii="宋体"/>
          <w:sz w:val="24"/>
        </w:rPr>
        <w:t>后续服务中，乙方提供的数据图片不符合要求、或调供系统出现重大故障，经整改后仍未达到要求的，甲方有权单方解除合同，并要求乙方返还甲方已支付的款项，且乙方应向甲方承担按合同总价30%计算的违约金</w:t>
      </w:r>
    </w:p>
    <w:p>
      <w:pPr>
        <w:snapToGrid w:val="0"/>
        <w:spacing w:beforeLines="50" w:afterLines="50" w:line="360" w:lineRule="auto"/>
        <w:rPr>
          <w:rFonts w:ascii="宋体"/>
          <w:b/>
          <w:sz w:val="24"/>
        </w:rPr>
      </w:pPr>
      <w:r>
        <w:rPr>
          <w:rFonts w:ascii="宋体"/>
          <w:b/>
          <w:sz w:val="24"/>
        </w:rPr>
        <w:t>十</w:t>
      </w:r>
      <w:r>
        <w:rPr>
          <w:rFonts w:hint="eastAsia" w:ascii="宋体"/>
          <w:b/>
          <w:sz w:val="24"/>
        </w:rPr>
        <w:t>二</w:t>
      </w:r>
      <w:r>
        <w:rPr>
          <w:rFonts w:ascii="宋体"/>
          <w:b/>
          <w:sz w:val="24"/>
        </w:rPr>
        <w:t>、不可抗力事件处理</w:t>
      </w:r>
    </w:p>
    <w:p>
      <w:pPr>
        <w:snapToGrid w:val="0"/>
        <w:spacing w:beforeLines="50" w:afterLines="50" w:line="360" w:lineRule="auto"/>
        <w:rPr>
          <w:rFonts w:ascii="宋体"/>
          <w:b/>
          <w:sz w:val="24"/>
        </w:rPr>
      </w:pPr>
      <w:r>
        <w:rPr>
          <w:rFonts w:ascii="宋体"/>
          <w:sz w:val="24"/>
        </w:rPr>
        <w:t>1</w:t>
      </w:r>
      <w:r>
        <w:rPr>
          <w:rFonts w:hint="eastAsia" w:ascii="宋体"/>
          <w:sz w:val="24"/>
        </w:rPr>
        <w:t>.</w:t>
      </w:r>
      <w:r>
        <w:rPr>
          <w:rFonts w:ascii="宋体"/>
          <w:sz w:val="24"/>
        </w:rPr>
        <w:t>在合同有效期内，任何一方因不可抗力事件导致不能履行合同，则合同履行期可延长，其延长期与不可抗力影响期相同。</w:t>
      </w:r>
    </w:p>
    <w:p>
      <w:pPr>
        <w:snapToGrid w:val="0"/>
        <w:spacing w:beforeLines="50" w:afterLines="50" w:line="360" w:lineRule="auto"/>
        <w:rPr>
          <w:rFonts w:ascii="宋体"/>
          <w:sz w:val="24"/>
        </w:rPr>
      </w:pPr>
      <w:r>
        <w:rPr>
          <w:rFonts w:ascii="宋体"/>
          <w:sz w:val="24"/>
        </w:rPr>
        <w:t>2.不可抗力事件发生后，应立即通知对方，并寄送有关权威机构出具的证明。</w:t>
      </w:r>
    </w:p>
    <w:p>
      <w:pPr>
        <w:snapToGrid w:val="0"/>
        <w:spacing w:beforeLines="50" w:afterLines="50" w:line="360" w:lineRule="auto"/>
        <w:rPr>
          <w:rFonts w:ascii="宋体"/>
          <w:sz w:val="24"/>
        </w:rPr>
      </w:pPr>
      <w:r>
        <w:rPr>
          <w:rFonts w:ascii="宋体"/>
          <w:sz w:val="24"/>
        </w:rPr>
        <w:t>3.不可抗力事件延续120天以上，双方应通过友好协商，确定是否继续履行合同。</w:t>
      </w:r>
    </w:p>
    <w:p>
      <w:pPr>
        <w:snapToGrid w:val="0"/>
        <w:spacing w:beforeLines="50" w:afterLines="50" w:line="360" w:lineRule="auto"/>
        <w:rPr>
          <w:rFonts w:ascii="宋体"/>
          <w:b/>
          <w:sz w:val="24"/>
        </w:rPr>
      </w:pPr>
      <w:r>
        <w:rPr>
          <w:rFonts w:ascii="宋体"/>
          <w:b/>
          <w:sz w:val="24"/>
        </w:rPr>
        <w:t>十</w:t>
      </w:r>
      <w:r>
        <w:rPr>
          <w:rFonts w:hint="eastAsia" w:ascii="宋体"/>
          <w:b/>
          <w:sz w:val="24"/>
        </w:rPr>
        <w:t>三</w:t>
      </w:r>
      <w:r>
        <w:rPr>
          <w:rFonts w:ascii="宋体"/>
          <w:b/>
          <w:sz w:val="24"/>
        </w:rPr>
        <w:t>、诉讼</w:t>
      </w:r>
    </w:p>
    <w:p>
      <w:pPr>
        <w:snapToGrid w:val="0"/>
        <w:spacing w:beforeLines="50" w:afterLines="50" w:line="360" w:lineRule="auto"/>
        <w:ind w:firstLine="480" w:firstLineChars="200"/>
        <w:rPr>
          <w:rFonts w:ascii="宋体"/>
          <w:sz w:val="24"/>
        </w:rPr>
      </w:pPr>
      <w:r>
        <w:rPr>
          <w:rFonts w:ascii="宋体"/>
          <w:sz w:val="24"/>
        </w:rPr>
        <w:t>双方在执行合同中所发生的一切争议，应通过协商解决。如协商不成，</w:t>
      </w:r>
      <w:r>
        <w:rPr>
          <w:rFonts w:hint="eastAsia" w:ascii="宋体"/>
          <w:sz w:val="24"/>
        </w:rPr>
        <w:t>可向甲方所在地</w:t>
      </w:r>
      <w:r>
        <w:rPr>
          <w:rFonts w:hint="eastAsia" w:ascii="宋体"/>
          <w:sz w:val="24"/>
          <w:u w:val="single"/>
        </w:rPr>
        <w:t>人民法院</w:t>
      </w:r>
      <w:r>
        <w:rPr>
          <w:rFonts w:hint="eastAsia" w:ascii="宋体"/>
          <w:sz w:val="24"/>
        </w:rPr>
        <w:t>提起诉讼。</w:t>
      </w:r>
    </w:p>
    <w:p>
      <w:pPr>
        <w:snapToGrid w:val="0"/>
        <w:spacing w:beforeLines="50" w:afterLines="50" w:line="360" w:lineRule="auto"/>
        <w:rPr>
          <w:rFonts w:ascii="宋体"/>
          <w:b/>
          <w:sz w:val="24"/>
        </w:rPr>
      </w:pPr>
      <w:r>
        <w:rPr>
          <w:rFonts w:ascii="宋体"/>
          <w:b/>
          <w:sz w:val="24"/>
        </w:rPr>
        <w:t>十</w:t>
      </w:r>
      <w:r>
        <w:rPr>
          <w:rFonts w:hint="eastAsia" w:ascii="宋体"/>
          <w:b/>
          <w:sz w:val="24"/>
        </w:rPr>
        <w:t>四</w:t>
      </w:r>
      <w:r>
        <w:rPr>
          <w:rFonts w:ascii="宋体"/>
          <w:b/>
          <w:sz w:val="24"/>
        </w:rPr>
        <w:t>、合同生效及其它</w:t>
      </w:r>
    </w:p>
    <w:p>
      <w:pPr>
        <w:snapToGrid w:val="0"/>
        <w:spacing w:beforeLines="50" w:afterLines="50" w:line="360" w:lineRule="auto"/>
        <w:rPr>
          <w:rFonts w:ascii="宋体"/>
          <w:sz w:val="24"/>
        </w:rPr>
      </w:pPr>
      <w:r>
        <w:rPr>
          <w:rFonts w:ascii="宋体"/>
          <w:sz w:val="24"/>
        </w:rPr>
        <w:t>1</w:t>
      </w:r>
      <w:r>
        <w:rPr>
          <w:rFonts w:hint="eastAsia" w:ascii="宋体"/>
          <w:sz w:val="24"/>
        </w:rPr>
        <w:t>.</w:t>
      </w:r>
      <w:r>
        <w:rPr>
          <w:rFonts w:ascii="宋体"/>
          <w:sz w:val="24"/>
        </w:rPr>
        <w:t>合同经双方法定代表人或授权代表签字并加盖单位公章后生效。</w:t>
      </w:r>
    </w:p>
    <w:p>
      <w:pPr>
        <w:snapToGrid w:val="0"/>
        <w:spacing w:beforeLines="50" w:afterLines="50" w:line="360" w:lineRule="auto"/>
        <w:ind w:left="480" w:hanging="480" w:hangingChars="200"/>
        <w:rPr>
          <w:rFonts w:ascii="宋体"/>
          <w:sz w:val="24"/>
        </w:rPr>
      </w:pPr>
      <w:r>
        <w:rPr>
          <w:rFonts w:hint="eastAsia" w:ascii="宋体"/>
          <w:sz w:val="24"/>
        </w:rPr>
        <w:t>2.</w:t>
      </w:r>
      <w:r>
        <w:rPr>
          <w:rFonts w:ascii="宋体"/>
          <w:sz w:val="24"/>
        </w:rPr>
        <w:t>本合同未尽事宜，遵照《中华人民共和国民法典》有关条文执行。</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sz w:val="24"/>
        </w:rPr>
        <w:t>3.</w:t>
      </w:r>
      <w:r>
        <w:rPr>
          <w:rFonts w:hint="eastAsia" w:ascii="宋体"/>
          <w:kern w:val="0"/>
          <w:sz w:val="24"/>
        </w:rPr>
        <w:t xml:space="preserve"> </w:t>
      </w:r>
      <w:r>
        <w:rPr>
          <w:rFonts w:hint="eastAsia" w:ascii="宋体"/>
          <w:b/>
          <w:sz w:val="24"/>
        </w:rPr>
        <w:t>本合同一式</w:t>
      </w:r>
      <w:r>
        <w:rPr>
          <w:rFonts w:hint="eastAsia" w:ascii="宋体"/>
          <w:b/>
          <w:sz w:val="24"/>
          <w:lang w:val="en-US" w:eastAsia="zh-CN"/>
        </w:rPr>
        <w:t>陆</w:t>
      </w:r>
      <w:r>
        <w:rPr>
          <w:rFonts w:hint="eastAsia" w:ascii="宋体"/>
          <w:b/>
          <w:sz w:val="24"/>
        </w:rPr>
        <w:t>份。甲、乙双方各执叁份。本项目未尽事宜以招标文件、投标文件及澄清文件等为准，并作为合同的组成部分。</w:t>
      </w:r>
    </w:p>
    <w:p>
      <w:pPr>
        <w:widowControl/>
        <w:spacing w:line="360" w:lineRule="auto"/>
        <w:rPr>
          <w:rFonts w:hint="eastAsia" w:ascii="宋体" w:hAnsi="宋体" w:eastAsia="宋体" w:cs="宋体"/>
          <w:kern w:val="0"/>
          <w:sz w:val="24"/>
          <w:szCs w:val="24"/>
        </w:rPr>
      </w:pPr>
    </w:p>
    <w:p>
      <w:pPr>
        <w:widowControl/>
        <w:spacing w:line="360" w:lineRule="auto"/>
        <w:rPr>
          <w:rFonts w:hint="eastAsia" w:ascii="宋体" w:hAnsi="宋体" w:eastAsia="宋体" w:cs="宋体"/>
          <w:b/>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甲方（公章）                             乙方（公章）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联系电话：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账号：                                   账号：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                                   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sz w:val="24"/>
          <w:szCs w:val="24"/>
        </w:rPr>
        <w:t>签订时间：    年   月    日</w:t>
      </w:r>
    </w:p>
    <w:p>
      <w:pPr>
        <w:rPr>
          <w:b/>
          <w:bCs/>
        </w:rPr>
      </w:pPr>
    </w:p>
    <w:p>
      <w:pPr>
        <w:rPr>
          <w:b/>
          <w:bCs/>
        </w:rPr>
      </w:pPr>
    </w:p>
    <w:p>
      <w:pPr>
        <w:rPr>
          <w:b/>
          <w:bCs/>
        </w:rPr>
      </w:pPr>
    </w:p>
    <w:p>
      <w:pPr>
        <w:rPr>
          <w:b/>
          <w:bCs/>
        </w:rPr>
      </w:pPr>
    </w:p>
    <w:p>
      <w:pPr>
        <w:rPr>
          <w:b/>
          <w:bCs/>
        </w:rPr>
      </w:pPr>
    </w:p>
    <w:p>
      <w:pPr>
        <w:rPr>
          <w:b/>
          <w:bCs/>
        </w:rPr>
      </w:pPr>
    </w:p>
    <w:p>
      <w:pPr>
        <w:rPr>
          <w:b/>
          <w:bCs/>
          <w:sz w:val="30"/>
          <w:szCs w:val="30"/>
        </w:rPr>
      </w:pPr>
    </w:p>
    <w:p>
      <w:pPr>
        <w:ind w:firstLine="1807" w:firstLineChars="600"/>
        <w:rPr>
          <w:b/>
          <w:bCs/>
          <w:sz w:val="30"/>
          <w:szCs w:val="30"/>
        </w:rPr>
      </w:pPr>
    </w:p>
    <w:p>
      <w:pPr>
        <w:ind w:firstLine="1807" w:firstLineChars="600"/>
        <w:rPr>
          <w:b/>
          <w:bCs/>
          <w:sz w:val="30"/>
          <w:szCs w:val="30"/>
        </w:rPr>
      </w:pPr>
    </w:p>
    <w:p>
      <w:pPr>
        <w:ind w:firstLine="1807" w:firstLineChars="600"/>
        <w:rPr>
          <w:b/>
          <w:bCs/>
          <w:sz w:val="30"/>
          <w:szCs w:val="30"/>
        </w:rPr>
      </w:pPr>
    </w:p>
    <w:p>
      <w:pPr>
        <w:spacing w:line="460" w:lineRule="exact"/>
        <w:ind w:firstLine="495"/>
      </w:pPr>
    </w:p>
    <w:p>
      <w:pPr>
        <w:pStyle w:val="3"/>
        <w:numPr>
          <w:ilvl w:val="0"/>
          <w:numId w:val="0"/>
        </w:numPr>
        <w:spacing w:before="0" w:after="0" w:line="360" w:lineRule="auto"/>
        <w:ind w:left="425"/>
        <w:jc w:val="both"/>
        <w:rPr>
          <w:sz w:val="32"/>
          <w:szCs w:val="32"/>
        </w:rPr>
      </w:pPr>
    </w:p>
    <w:p>
      <w:pPr>
        <w:rPr>
          <w:rFonts w:hAnsi="宋体"/>
          <w:b/>
          <w:sz w:val="28"/>
          <w:szCs w:val="28"/>
        </w:rPr>
        <w:sectPr>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Theme="minorEastAsia" w:hAnsiTheme="minorEastAsia" w:eastAsiaTheme="minorEastAsia"/>
          <w:b/>
          <w:sz w:val="36"/>
          <w:szCs w:val="36"/>
        </w:rPr>
      </w:pPr>
      <w:bookmarkStart w:id="43" w:name="_Toc5481_WPSOffice_Level1"/>
      <w:r>
        <w:rPr>
          <w:rFonts w:hint="eastAsia" w:asciiTheme="minorEastAsia" w:hAnsiTheme="minorEastAsia" w:eastAsiaTheme="minorEastAsia"/>
          <w:b/>
          <w:sz w:val="36"/>
          <w:szCs w:val="36"/>
        </w:rPr>
        <w:t>第六章 投标文件格式</w:t>
      </w:r>
      <w:bookmarkEnd w:id="43"/>
    </w:p>
    <w:p>
      <w:pPr>
        <w:spacing w:line="360" w:lineRule="auto"/>
        <w:rPr>
          <w:rFonts w:asciiTheme="minorEastAsia" w:hAnsiTheme="minorEastAsia" w:eastAsiaTheme="minorEastAsia"/>
          <w:b/>
          <w:sz w:val="30"/>
          <w:szCs w:val="30"/>
        </w:rPr>
      </w:pPr>
    </w:p>
    <w:p>
      <w:pPr>
        <w:jc w:val="center"/>
        <w:rPr>
          <w:sz w:val="44"/>
          <w:szCs w:val="44"/>
        </w:rPr>
      </w:pPr>
      <w:r>
        <w:rPr>
          <w:rFonts w:hint="eastAsia"/>
          <w:sz w:val="44"/>
          <w:szCs w:val="44"/>
          <w:lang w:eastAsia="zh-CN"/>
        </w:rPr>
        <w:t>云湖小学校园安防系统补充项目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pStyle w:val="24"/>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资格标）</w:t>
      </w:r>
    </w:p>
    <w:p>
      <w:pPr>
        <w:pStyle w:val="24"/>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10"/>
        <w:rPr>
          <w:rFonts w:ascii="仿宋_GB2312" w:hAnsi="宋体" w:eastAsia="仿宋_GB2312"/>
          <w:b/>
          <w:sz w:val="36"/>
          <w:szCs w:val="36"/>
        </w:rPr>
      </w:pPr>
    </w:p>
    <w:p>
      <w:pPr>
        <w:pStyle w:val="23"/>
        <w:ind w:firstLine="480"/>
      </w:pPr>
    </w:p>
    <w:p>
      <w:pPr>
        <w:pStyle w:val="6"/>
        <w:rPr>
          <w:rFonts w:ascii="仿宋_GB2312" w:hAnsi="宋体" w:eastAsia="仿宋_GB2312"/>
          <w:b/>
          <w:sz w:val="36"/>
          <w:szCs w:val="36"/>
        </w:rPr>
      </w:pPr>
    </w:p>
    <w:p>
      <w:pPr>
        <w:spacing w:line="360" w:lineRule="auto"/>
        <w:jc w:val="center"/>
        <w:rPr>
          <w:b/>
          <w:bCs/>
          <w:sz w:val="36"/>
          <w:szCs w:val="36"/>
        </w:rPr>
      </w:pPr>
      <w:r>
        <w:rPr>
          <w:rFonts w:hint="eastAsia"/>
          <w:b/>
          <w:bCs/>
          <w:sz w:val="36"/>
          <w:szCs w:val="36"/>
        </w:rPr>
        <w:t>资格标目录</w:t>
      </w:r>
    </w:p>
    <w:p>
      <w:pPr>
        <w:spacing w:line="360" w:lineRule="auto"/>
        <w:ind w:firstLine="560" w:firstLineChars="200"/>
        <w:rPr>
          <w:sz w:val="28"/>
          <w:szCs w:val="36"/>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（1）投标声明书（</w:t>
      </w:r>
      <w:r>
        <w:rPr>
          <w:rFonts w:hint="eastAsia" w:ascii="宋体" w:hAnsi="宋体" w:cs="宋体"/>
          <w:sz w:val="24"/>
          <w:highlight w:val="none"/>
        </w:rPr>
        <w:t>详见附件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（2）授权委托书（法定代表人亲自办理投标事宜的，则无需提交；详见附件）；</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（3）法人或者其他组织的营业执照等证明文件；</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（4）具有依法缴纳税收和社会保障资金证明的承诺函（</w:t>
      </w:r>
      <w:r>
        <w:rPr>
          <w:rFonts w:hint="eastAsia" w:ascii="宋体" w:hAnsi="宋体" w:cs="宋体"/>
          <w:sz w:val="24"/>
          <w:highlight w:val="none"/>
        </w:rPr>
        <w:t>详见附件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（5）具有良好的商业信誉和健全的财务会计制度的承诺函（</w:t>
      </w:r>
      <w:r>
        <w:rPr>
          <w:rFonts w:hint="eastAsia" w:ascii="宋体" w:hAnsi="宋体" w:cs="宋体"/>
          <w:sz w:val="24"/>
          <w:highlight w:val="none"/>
        </w:rPr>
        <w:t>详见附件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（6）具有履行合同所必须的设备和专业技术能力的承诺函（</w:t>
      </w:r>
      <w:r>
        <w:rPr>
          <w:rFonts w:hint="eastAsia" w:ascii="宋体" w:hAnsi="宋体" w:cs="宋体"/>
          <w:sz w:val="24"/>
          <w:highlight w:val="none"/>
        </w:rPr>
        <w:t>详见附件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（7）需要说明的其他资料。</w:t>
      </w:r>
    </w:p>
    <w:p>
      <w:pPr>
        <w:spacing w:line="360" w:lineRule="auto"/>
        <w:rPr>
          <w:rFonts w:ascii="宋体" w:hAnsi="宋体"/>
          <w:b/>
          <w:sz w:val="28"/>
        </w:rPr>
      </w:pPr>
    </w:p>
    <w:p>
      <w:pPr>
        <w:spacing w:line="360" w:lineRule="auto"/>
        <w:ind w:left="420"/>
        <w:rPr>
          <w:rFonts w:ascii="宋体" w:hAnsi="宋体"/>
          <w:b/>
          <w:sz w:val="28"/>
        </w:rPr>
      </w:pPr>
    </w:p>
    <w:p>
      <w:pPr>
        <w:pStyle w:val="33"/>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3"/>
        <w:numPr>
          <w:ilvl w:val="0"/>
          <w:numId w:val="0"/>
        </w:numPr>
        <w:ind w:left="425"/>
        <w:jc w:val="both"/>
      </w:pPr>
    </w:p>
    <w:p/>
    <w:p>
      <w:pPr>
        <w:pStyle w:val="6"/>
        <w:rPr>
          <w:rFonts w:ascii="宋体" w:hAnsi="宋体"/>
          <w:b/>
          <w:sz w:val="28"/>
        </w:rPr>
      </w:pPr>
    </w:p>
    <w:p>
      <w:pPr>
        <w:pStyle w:val="6"/>
        <w:rPr>
          <w:rFonts w:ascii="宋体" w:hAnsi="宋体"/>
          <w:b/>
          <w:sz w:val="28"/>
        </w:rPr>
      </w:pPr>
    </w:p>
    <w:p>
      <w:pPr>
        <w:pStyle w:val="6"/>
        <w:rPr>
          <w:rFonts w:ascii="宋体" w:hAnsi="宋体"/>
          <w:b/>
          <w:sz w:val="28"/>
        </w:rPr>
      </w:pPr>
    </w:p>
    <w:p>
      <w:pPr>
        <w:spacing w:line="312" w:lineRule="auto"/>
        <w:rPr>
          <w:rFonts w:hint="eastAsia" w:ascii="宋体" w:hAnsi="宋体"/>
          <w:b/>
          <w:sz w:val="28"/>
        </w:rPr>
      </w:pPr>
    </w:p>
    <w:p>
      <w:pPr>
        <w:pStyle w:val="2"/>
        <w:rPr>
          <w:rFonts w:hint="eastAsia"/>
        </w:rPr>
      </w:pPr>
    </w:p>
    <w:p>
      <w:pPr>
        <w:spacing w:line="312" w:lineRule="auto"/>
        <w:rPr>
          <w:rFonts w:hint="eastAsia"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44" w:name="_Toc31708_WPSOffice_Level1"/>
      <w:bookmarkStart w:id="45" w:name="_Toc30723_WPSOffice_Level1"/>
      <w:r>
        <w:rPr>
          <w:rFonts w:hint="eastAsia" w:ascii="宋体" w:hAnsi="宋体"/>
          <w:b/>
          <w:kern w:val="0"/>
          <w:sz w:val="32"/>
          <w:szCs w:val="32"/>
          <w:lang w:val="zh-CN"/>
        </w:rPr>
        <w:t>投标声明书</w:t>
      </w:r>
      <w:bookmarkEnd w:id="44"/>
      <w:bookmarkEnd w:id="45"/>
    </w:p>
    <w:p>
      <w:pPr>
        <w:snapToGrid w:val="0"/>
        <w:spacing w:before="156" w:beforeLines="50" w:after="50" w:line="312" w:lineRule="auto"/>
        <w:rPr>
          <w:rFonts w:ascii="宋体" w:hAnsi="宋体" w:cs="宋体"/>
          <w:kern w:val="0"/>
          <w:sz w:val="24"/>
        </w:rPr>
      </w:pPr>
      <w:r>
        <w:rPr>
          <w:rFonts w:hint="eastAsia" w:ascii="宋体" w:hAnsi="宋体" w:cs="宋体"/>
          <w:kern w:val="0"/>
          <w:sz w:val="24"/>
          <w:u w:val="single"/>
          <w:lang w:eastAsia="zh-CN"/>
        </w:rPr>
        <w:t>台州市云湖小学</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姓名 ）</w:t>
      </w:r>
      <w:r>
        <w:rPr>
          <w:rFonts w:hint="eastAsia" w:ascii="宋体" w:hAnsi="宋体" w:cs="宋体"/>
          <w:kern w:val="0"/>
          <w:sz w:val="24"/>
        </w:rPr>
        <w:t>系</w:t>
      </w:r>
      <w:r>
        <w:rPr>
          <w:rFonts w:hint="eastAsia" w:ascii="宋体" w:hAnsi="宋体" w:cs="宋体"/>
          <w:kern w:val="0"/>
          <w:sz w:val="24"/>
          <w:u w:val="single"/>
        </w:rPr>
        <w:t>（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招标项目名称                </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numPr>
          <w:ilvl w:val="0"/>
          <w:numId w:val="10"/>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0"/>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0"/>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0"/>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0"/>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0"/>
        </w:numPr>
        <w:snapToGrid w:val="0"/>
        <w:spacing w:line="360" w:lineRule="auto"/>
        <w:ind w:left="5" w:firstLine="415"/>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080" w:firstLineChars="1700"/>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080" w:firstLineChars="1700"/>
        <w:rPr>
          <w:rFonts w:ascii="宋体" w:hAnsi="宋体" w:cs="仿宋_GB2312"/>
          <w:kern w:val="0"/>
          <w:sz w:val="24"/>
          <w:lang w:val="zh-CN"/>
        </w:rPr>
      </w:pPr>
      <w:r>
        <w:rPr>
          <w:rFonts w:hint="eastAsia" w:ascii="宋体" w:hAnsi="宋体" w:cs="仿宋_GB2312"/>
          <w:kern w:val="0"/>
          <w:sz w:val="24"/>
          <w:lang w:val="zh-CN"/>
        </w:rPr>
        <w:t>法定代表人或授权委托人签字或盖章：</w:t>
      </w:r>
    </w:p>
    <w:p>
      <w:pPr>
        <w:adjustRightInd w:val="0"/>
        <w:snapToGrid w:val="0"/>
        <w:spacing w:line="360" w:lineRule="auto"/>
        <w:ind w:firstLine="4080" w:firstLineChars="1700"/>
        <w:rPr>
          <w:rFonts w:ascii="宋体" w:hAnsi="宋体"/>
          <w:b/>
          <w:sz w:val="28"/>
        </w:rPr>
      </w:pPr>
      <w:r>
        <w:rPr>
          <w:rFonts w:hint="eastAsia" w:ascii="宋体" w:hAnsi="宋体" w:cs="仿宋_GB2312"/>
          <w:kern w:val="0"/>
          <w:sz w:val="24"/>
          <w:lang w:val="zh-CN"/>
        </w:rPr>
        <w:t>日期：    年   月   日</w:t>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46" w:name="_Toc24373_WPSOffice_Level1"/>
      <w:bookmarkStart w:id="47" w:name="_Toc6870_WPSOffice_Level1"/>
      <w:r>
        <w:rPr>
          <w:b/>
          <w:sz w:val="32"/>
          <w:szCs w:val="32"/>
        </w:rPr>
        <w:t>授权</w:t>
      </w:r>
      <w:r>
        <w:rPr>
          <w:rFonts w:hint="eastAsia"/>
          <w:b/>
          <w:sz w:val="32"/>
          <w:szCs w:val="32"/>
        </w:rPr>
        <w:t>委托</w:t>
      </w:r>
      <w:r>
        <w:rPr>
          <w:b/>
          <w:sz w:val="32"/>
          <w:szCs w:val="32"/>
        </w:rPr>
        <w:t>书</w:t>
      </w:r>
      <w:bookmarkEnd w:id="46"/>
      <w:bookmarkEnd w:id="47"/>
    </w:p>
    <w:p>
      <w:pPr>
        <w:snapToGrid w:val="0"/>
        <w:spacing w:before="156" w:beforeLines="50" w:after="50" w:line="360" w:lineRule="auto"/>
        <w:rPr>
          <w:rFonts w:ascii="宋体" w:hAnsi="宋体" w:cs="宋体"/>
          <w:kern w:val="0"/>
          <w:sz w:val="24"/>
        </w:rPr>
      </w:pPr>
      <w:r>
        <w:rPr>
          <w:rFonts w:hint="eastAsia" w:ascii="宋体" w:hAnsi="宋体" w:cs="宋体"/>
          <w:kern w:val="0"/>
          <w:sz w:val="24"/>
          <w:u w:val="single"/>
          <w:lang w:eastAsia="zh-CN"/>
        </w:rPr>
        <w:t>台州市云湖小学</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w:t>
      </w:r>
      <w:r>
        <w:rPr>
          <w:rFonts w:hint="eastAsia" w:hAnsi="宋体" w:cs="宋体"/>
          <w:kern w:val="0"/>
          <w:sz w:val="24"/>
        </w:rPr>
        <w:t>（编号为</w:t>
      </w:r>
      <w:r>
        <w:rPr>
          <w:rFonts w:hint="eastAsia" w:hAnsi="宋体" w:cs="宋体"/>
          <w:kern w:val="0"/>
          <w:sz w:val="24"/>
          <w:u w:val="single"/>
        </w:rPr>
        <w:t xml:space="preserve">           </w:t>
      </w:r>
      <w:r>
        <w:rPr>
          <w:rFonts w:hint="eastAsia"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bookmarkStart w:id="48" w:name="_Toc12331_WPSOffice_Level1"/>
      <w:bookmarkStart w:id="49" w:name="_Toc26389_WPSOffice_Level1"/>
      <w:bookmarkStart w:id="50" w:name="_Toc16825_WPSOffice_Level1"/>
    </w:p>
    <w:p>
      <w:pPr>
        <w:rPr>
          <w:rFonts w:ascii="宋体" w:hAnsi="宋体"/>
          <w:b/>
          <w:sz w:val="28"/>
        </w:rPr>
      </w:pPr>
      <w:r>
        <w:rPr>
          <w:rFonts w:hint="eastAsia" w:ascii="宋体" w:hAnsi="宋体"/>
          <w:b/>
          <w:sz w:val="28"/>
        </w:rPr>
        <w:t>附件3</w:t>
      </w:r>
    </w:p>
    <w:p>
      <w:pPr>
        <w:widowControl/>
        <w:adjustRightInd w:val="0"/>
        <w:snapToGrid w:val="0"/>
        <w:jc w:val="center"/>
        <w:rPr>
          <w:rFonts w:ascii="宋体" w:hAnsi="宋体"/>
          <w:b/>
          <w:kern w:val="0"/>
          <w:sz w:val="32"/>
          <w:szCs w:val="32"/>
        </w:rPr>
      </w:pPr>
      <w:r>
        <w:rPr>
          <w:rFonts w:hint="eastAsia" w:ascii="宋体" w:hAnsi="宋体"/>
          <w:b/>
          <w:kern w:val="0"/>
          <w:sz w:val="32"/>
          <w:szCs w:val="32"/>
        </w:rPr>
        <w:t>具有</w:t>
      </w:r>
      <w:r>
        <w:rPr>
          <w:rFonts w:ascii="宋体" w:hAnsi="宋体"/>
          <w:b/>
          <w:kern w:val="0"/>
          <w:sz w:val="32"/>
          <w:szCs w:val="32"/>
        </w:rPr>
        <w:t>依法缴纳税收和</w:t>
      </w:r>
      <w:r>
        <w:rPr>
          <w:rFonts w:hint="eastAsia" w:ascii="宋体" w:hAnsi="宋体"/>
          <w:b/>
          <w:kern w:val="0"/>
          <w:sz w:val="32"/>
          <w:szCs w:val="32"/>
        </w:rPr>
        <w:t>社会保障资金证明</w:t>
      </w:r>
      <w:r>
        <w:rPr>
          <w:rFonts w:ascii="宋体" w:hAnsi="宋体"/>
          <w:b/>
          <w:kern w:val="0"/>
          <w:sz w:val="32"/>
          <w:szCs w:val="32"/>
        </w:rPr>
        <w:t>的承诺函</w:t>
      </w:r>
    </w:p>
    <w:p>
      <w:pPr>
        <w:widowControl/>
        <w:adjustRightInd w:val="0"/>
        <w:snapToGrid w:val="0"/>
        <w:jc w:val="center"/>
        <w:rPr>
          <w:rFonts w:ascii="宋体" w:hAnsi="宋体"/>
          <w:b/>
          <w:kern w:val="0"/>
          <w:sz w:val="32"/>
          <w:szCs w:val="32"/>
        </w:rPr>
      </w:pPr>
    </w:p>
    <w:p>
      <w:pPr>
        <w:widowControl/>
        <w:adjustRightInd w:val="0"/>
        <w:snapToGrid w:val="0"/>
        <w:jc w:val="left"/>
        <w:rPr>
          <w:rFonts w:ascii="宋体" w:hAnsi="宋体"/>
          <w:kern w:val="0"/>
          <w:sz w:val="28"/>
          <w:szCs w:val="32"/>
        </w:rPr>
      </w:pPr>
      <w:r>
        <w:rPr>
          <w:rFonts w:hint="eastAsia" w:ascii="宋体" w:hAnsi="宋体"/>
          <w:kern w:val="0"/>
          <w:sz w:val="28"/>
          <w:szCs w:val="32"/>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lang w:eastAsia="zh-CN"/>
        </w:rPr>
        <w:t>台州市云湖小学</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w:t>
      </w:r>
      <w:r>
        <w:rPr>
          <w:rFonts w:hint="eastAsia" w:ascii="宋体" w:hAnsi="宋体"/>
          <w:kern w:val="0"/>
          <w:sz w:val="24"/>
        </w:rPr>
        <w:t>具有</w:t>
      </w:r>
      <w:r>
        <w:rPr>
          <w:rFonts w:ascii="宋体" w:hAnsi="宋体"/>
          <w:kern w:val="0"/>
          <w:sz w:val="24"/>
        </w:rPr>
        <w:t>依法缴纳税收和</w:t>
      </w:r>
      <w:r>
        <w:rPr>
          <w:rFonts w:hint="eastAsia" w:ascii="宋体" w:hAnsi="宋体"/>
          <w:kern w:val="0"/>
          <w:sz w:val="24"/>
        </w:rPr>
        <w:t>社会保障资金</w:t>
      </w:r>
      <w:r>
        <w:rPr>
          <w:rFonts w:ascii="宋体" w:hAnsi="宋体"/>
          <w:kern w:val="0"/>
          <w:sz w:val="24"/>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jc w:val="center"/>
        <w:rPr>
          <w:rFonts w:ascii="宋体" w:hAnsi="宋体" w:cs="仿宋_GB2312"/>
          <w:kern w:val="0"/>
          <w:sz w:val="24"/>
          <w:lang w:val="zh-CN"/>
        </w:rPr>
      </w:pPr>
      <w:r>
        <w:rPr>
          <w:rFonts w:hint="eastAsia" w:ascii="宋体" w:hAnsi="宋体" w:cs="仿宋_GB2312"/>
          <w:kern w:val="0"/>
          <w:sz w:val="24"/>
          <w:lang w:val="en-US" w:eastAsia="zh-CN"/>
        </w:rPr>
        <w:t xml:space="preserve">           </w:t>
      </w:r>
      <w:r>
        <w:rPr>
          <w:rFonts w:hint="eastAsia" w:ascii="宋体" w:hAnsi="宋体" w:cs="仿宋_GB2312"/>
          <w:kern w:val="0"/>
          <w:sz w:val="24"/>
          <w:lang w:val="zh-CN"/>
        </w:rPr>
        <w:t>投标人名称（公章）：</w:t>
      </w:r>
    </w:p>
    <w:p>
      <w:pPr>
        <w:adjustRightInd w:val="0"/>
        <w:snapToGrid w:val="0"/>
        <w:spacing w:line="360" w:lineRule="auto"/>
        <w:jc w:val="center"/>
        <w:rPr>
          <w:rFonts w:ascii="宋体" w:hAnsi="宋体" w:cs="仿宋_GB2312"/>
          <w:kern w:val="0"/>
          <w:sz w:val="24"/>
          <w:lang w:val="zh-CN"/>
        </w:rPr>
      </w:pP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法定代表人或授权委托人签字或盖章：</w:t>
      </w:r>
    </w:p>
    <w:p>
      <w:pPr>
        <w:adjustRightInd w:val="0"/>
        <w:snapToGrid w:val="0"/>
        <w:spacing w:line="360" w:lineRule="auto"/>
        <w:ind w:firstLine="3600" w:firstLineChars="1500"/>
        <w:rPr>
          <w:rFonts w:ascii="宋体" w:hAnsi="宋体" w:cs="仿宋_GB2312"/>
          <w:kern w:val="0"/>
          <w:sz w:val="24"/>
          <w:lang w:val="zh-CN"/>
        </w:rPr>
      </w:pPr>
      <w:r>
        <w:rPr>
          <w:rFonts w:hint="eastAsia" w:ascii="宋体" w:hAnsi="宋体" w:cs="仿宋_GB2312"/>
          <w:kern w:val="0"/>
          <w:sz w:val="24"/>
          <w:lang w:val="zh-CN"/>
        </w:rPr>
        <w:t>日期：    年   月   日</w:t>
      </w:r>
    </w:p>
    <w:p>
      <w:pPr>
        <w:rPr>
          <w:rFonts w:ascii="宋体" w:hAnsi="宋体"/>
          <w:b/>
          <w:sz w:val="28"/>
        </w:rPr>
      </w:pPr>
      <w:r>
        <w:rPr>
          <w:rFonts w:hint="eastAsia" w:ascii="宋体" w:hAnsi="宋体"/>
          <w:b/>
          <w:sz w:val="28"/>
        </w:rPr>
        <w:br w:type="page"/>
      </w:r>
      <w:r>
        <w:rPr>
          <w:rFonts w:hint="eastAsia" w:ascii="宋体" w:hAnsi="宋体"/>
          <w:b/>
          <w:sz w:val="28"/>
        </w:rPr>
        <w:t>附件4</w:t>
      </w:r>
    </w:p>
    <w:p>
      <w:pPr>
        <w:jc w:val="center"/>
        <w:rPr>
          <w:rFonts w:ascii="宋体" w:hAnsi="宋体"/>
          <w:b/>
          <w:kern w:val="0"/>
          <w:sz w:val="32"/>
          <w:szCs w:val="32"/>
        </w:rPr>
      </w:pPr>
      <w:r>
        <w:rPr>
          <w:rFonts w:ascii="宋体" w:hAnsi="宋体"/>
          <w:b/>
          <w:kern w:val="0"/>
          <w:sz w:val="32"/>
          <w:szCs w:val="32"/>
        </w:rPr>
        <w:t>具有良好的商业信誉和健全的财务会计制度的承诺函</w:t>
      </w:r>
    </w:p>
    <w:p>
      <w:pPr>
        <w:jc w:val="center"/>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lang w:eastAsia="zh-CN"/>
        </w:rPr>
        <w:t>台州市云湖小学</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320" w:firstLineChars="1800"/>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320" w:firstLineChars="1800"/>
        <w:rPr>
          <w:rFonts w:ascii="宋体" w:hAnsi="宋体" w:cs="仿宋_GB2312"/>
          <w:kern w:val="0"/>
          <w:sz w:val="24"/>
          <w:lang w:val="zh-CN"/>
        </w:rPr>
      </w:pPr>
      <w:r>
        <w:rPr>
          <w:rFonts w:hint="eastAsia" w:ascii="宋体" w:hAnsi="宋体" w:cs="仿宋_GB2312"/>
          <w:kern w:val="0"/>
          <w:sz w:val="24"/>
          <w:lang w:val="zh-CN"/>
        </w:rPr>
        <w:t>法定代表人或授权委托人签字或盖章：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rFonts w:ascii="宋体" w:hAnsi="宋体"/>
          <w:b/>
          <w:kern w:val="0"/>
          <w:sz w:val="32"/>
          <w:szCs w:val="32"/>
        </w:rPr>
      </w:pPr>
    </w:p>
    <w:p>
      <w:pPr>
        <w:jc w:val="center"/>
        <w:rPr>
          <w:rFonts w:ascii="宋体" w:hAnsi="宋体"/>
          <w:b/>
          <w:kern w:val="0"/>
          <w:sz w:val="32"/>
          <w:szCs w:val="32"/>
        </w:rPr>
      </w:pPr>
    </w:p>
    <w:p>
      <w:pPr>
        <w:rPr>
          <w:rFonts w:ascii="宋体" w:hAnsi="宋体"/>
          <w:b/>
          <w:kern w:val="0"/>
          <w:sz w:val="32"/>
          <w:szCs w:val="32"/>
        </w:rPr>
      </w:pPr>
      <w:r>
        <w:rPr>
          <w:rFonts w:ascii="宋体" w:hAnsi="宋体"/>
          <w:b/>
          <w:kern w:val="0"/>
          <w:sz w:val="32"/>
          <w:szCs w:val="32"/>
        </w:rPr>
        <w:br w:type="page"/>
      </w:r>
    </w:p>
    <w:p>
      <w:pPr>
        <w:jc w:val="left"/>
        <w:rPr>
          <w:rFonts w:ascii="宋体" w:hAnsi="宋体"/>
          <w:b/>
          <w:kern w:val="0"/>
          <w:sz w:val="32"/>
          <w:szCs w:val="32"/>
        </w:rPr>
      </w:pPr>
      <w:r>
        <w:rPr>
          <w:rFonts w:hint="eastAsia" w:ascii="宋体" w:hAnsi="宋体"/>
          <w:b/>
          <w:kern w:val="0"/>
          <w:sz w:val="32"/>
          <w:szCs w:val="32"/>
        </w:rPr>
        <w:t>附件5</w:t>
      </w:r>
    </w:p>
    <w:p>
      <w:pPr>
        <w:jc w:val="center"/>
        <w:rPr>
          <w:rFonts w:ascii="宋体" w:hAnsi="宋体"/>
          <w:b/>
          <w:sz w:val="28"/>
        </w:rPr>
      </w:pPr>
      <w:r>
        <w:rPr>
          <w:rFonts w:ascii="宋体" w:hAnsi="宋体"/>
          <w:b/>
          <w:kern w:val="0"/>
          <w:sz w:val="32"/>
          <w:szCs w:val="32"/>
        </w:rPr>
        <w:t>具有履行合同所必须的设备和专业技术能力的承诺函</w:t>
      </w:r>
    </w:p>
    <w:p>
      <w:pPr>
        <w:jc w:val="center"/>
        <w:rPr>
          <w:rFonts w:ascii="宋体" w:hAnsi="宋体"/>
          <w:b/>
          <w:sz w:val="28"/>
        </w:rPr>
      </w:pPr>
    </w:p>
    <w:p>
      <w:pPr>
        <w:widowControl/>
        <w:shd w:val="clear" w:color="auto" w:fill="FFFFFF"/>
        <w:snapToGrid w:val="0"/>
        <w:spacing w:after="50" w:line="480" w:lineRule="auto"/>
        <w:jc w:val="left"/>
        <w:rPr>
          <w:rFonts w:ascii="宋体" w:hAnsi="宋体"/>
          <w:kern w:val="0"/>
          <w:sz w:val="24"/>
        </w:rPr>
      </w:pPr>
      <w:r>
        <w:rPr>
          <w:rFonts w:hint="eastAsia" w:ascii="宋体" w:hAnsi="宋体"/>
          <w:kern w:val="0"/>
          <w:sz w:val="24"/>
          <w:u w:val="single"/>
          <w:lang w:eastAsia="zh-CN"/>
        </w:rPr>
        <w:t>台州市云湖小学</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若我单位有幸成为</w:t>
      </w:r>
      <w:r>
        <w:rPr>
          <w:rFonts w:hint="eastAsia" w:ascii="宋体" w:hAnsi="宋体"/>
          <w:sz w:val="24"/>
          <w:u w:val="single"/>
          <w:lang w:eastAsia="zh-CN"/>
        </w:rPr>
        <w:t>云湖小学校园安防系统补充项目</w:t>
      </w:r>
      <w:r>
        <w:rPr>
          <w:rFonts w:hint="eastAsia" w:hAnsi="宋体"/>
          <w:sz w:val="24"/>
        </w:rPr>
        <w:t>（</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hAnsi="宋体" w:cs="宋体"/>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jc w:val="center"/>
        <w:rPr>
          <w:rFonts w:ascii="宋体" w:hAnsi="宋体" w:cs="仿宋_GB2312"/>
          <w:kern w:val="0"/>
          <w:sz w:val="24"/>
          <w:lang w:val="zh-CN"/>
        </w:rPr>
      </w:pPr>
      <w:r>
        <w:rPr>
          <w:rFonts w:hint="eastAsia" w:ascii="宋体" w:hAnsi="宋体" w:cs="仿宋_GB2312"/>
          <w:kern w:val="0"/>
          <w:sz w:val="24"/>
          <w:lang w:val="en-US" w:eastAsia="zh-CN"/>
        </w:rPr>
        <w:t xml:space="preserve">                    </w:t>
      </w:r>
      <w:r>
        <w:rPr>
          <w:rFonts w:hint="eastAsia" w:ascii="宋体" w:hAnsi="宋体" w:cs="仿宋_GB2312"/>
          <w:kern w:val="0"/>
          <w:sz w:val="24"/>
          <w:lang w:val="zh-CN"/>
        </w:rPr>
        <w:t>投标人名称（公章）：</w:t>
      </w:r>
    </w:p>
    <w:p>
      <w:pPr>
        <w:adjustRightInd w:val="0"/>
        <w:snapToGrid w:val="0"/>
        <w:spacing w:line="360" w:lineRule="auto"/>
        <w:jc w:val="center"/>
        <w:rPr>
          <w:rFonts w:ascii="宋体" w:hAnsi="宋体" w:cs="仿宋_GB2312"/>
          <w:kern w:val="0"/>
          <w:sz w:val="24"/>
          <w:lang w:val="zh-CN"/>
        </w:rPr>
      </w:pP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法定代表人或授权委托人签字或盖章：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sz w:val="52"/>
          <w:szCs w:val="52"/>
        </w:rPr>
      </w:pPr>
    </w:p>
    <w:p>
      <w:pPr>
        <w:jc w:val="center"/>
        <w:rPr>
          <w:sz w:val="52"/>
          <w:szCs w:val="52"/>
        </w:rPr>
      </w:pPr>
    </w:p>
    <w:p>
      <w:pPr>
        <w:jc w:val="center"/>
        <w:rPr>
          <w:sz w:val="52"/>
          <w:szCs w:val="52"/>
        </w:rPr>
      </w:pPr>
    </w:p>
    <w:p>
      <w:pPr>
        <w:rPr>
          <w:sz w:val="52"/>
          <w:szCs w:val="52"/>
        </w:rPr>
      </w:pPr>
    </w:p>
    <w:p>
      <w:pPr>
        <w:pStyle w:val="3"/>
        <w:numPr>
          <w:ilvl w:val="0"/>
          <w:numId w:val="0"/>
        </w:numPr>
        <w:jc w:val="both"/>
      </w:pPr>
    </w:p>
    <w:p>
      <w:pPr>
        <w:jc w:val="center"/>
        <w:rPr>
          <w:sz w:val="52"/>
          <w:szCs w:val="52"/>
        </w:rPr>
      </w:pPr>
    </w:p>
    <w:p>
      <w:pPr>
        <w:pStyle w:val="3"/>
        <w:numPr>
          <w:ilvl w:val="0"/>
          <w:numId w:val="0"/>
        </w:numPr>
        <w:ind w:left="425"/>
        <w:jc w:val="both"/>
      </w:pPr>
    </w:p>
    <w:p/>
    <w:bookmarkEnd w:id="48"/>
    <w:bookmarkEnd w:id="49"/>
    <w:bookmarkEnd w:id="50"/>
    <w:p>
      <w:pPr>
        <w:jc w:val="center"/>
      </w:pPr>
    </w:p>
    <w:p>
      <w:pPr>
        <w:spacing w:before="312" w:beforeLines="100" w:line="360" w:lineRule="auto"/>
        <w:ind w:right="-108"/>
        <w:jc w:val="center"/>
        <w:rPr>
          <w:rFonts w:ascii="宋体" w:hAnsi="宋体"/>
          <w:sz w:val="44"/>
          <w:szCs w:val="44"/>
        </w:rPr>
      </w:pPr>
      <w:r>
        <w:rPr>
          <w:rFonts w:hint="eastAsia" w:ascii="宋体" w:hAnsi="宋体"/>
          <w:sz w:val="44"/>
          <w:szCs w:val="44"/>
        </w:rPr>
        <w:t>云湖小学校园安防系统补充项目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rPr>
        <w:t>技术标</w:t>
      </w:r>
      <w:r>
        <w:rPr>
          <w:rFonts w:hint="eastAsia" w:ascii="宋体" w:hAnsi="宋体"/>
          <w:b/>
          <w:sz w:val="28"/>
          <w:szCs w:val="28"/>
        </w:rPr>
        <w:t>）</w:t>
      </w:r>
    </w:p>
    <w:p>
      <w:pPr>
        <w:pStyle w:val="24"/>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6"/>
        <w:rPr>
          <w:rFonts w:ascii="仿宋_GB2312" w:hAnsi="宋体" w:eastAsia="仿宋_GB2312"/>
          <w:b/>
          <w:sz w:val="36"/>
          <w:szCs w:val="36"/>
        </w:rPr>
      </w:pPr>
    </w:p>
    <w:p>
      <w:pPr>
        <w:rPr>
          <w:b/>
          <w:bCs/>
          <w:sz w:val="32"/>
          <w:szCs w:val="32"/>
          <w:lang w:val="zh-CN"/>
        </w:rPr>
      </w:pPr>
      <w:bookmarkStart w:id="51" w:name="_Toc5889_WPSOffice_Level1"/>
      <w:bookmarkStart w:id="52" w:name="_Toc11308_WPSOffice_Level1"/>
    </w:p>
    <w:p>
      <w:pPr>
        <w:jc w:val="center"/>
        <w:rPr>
          <w:b/>
          <w:bCs/>
          <w:sz w:val="36"/>
          <w:szCs w:val="36"/>
          <w:lang w:val="zh-CN"/>
        </w:rPr>
      </w:pPr>
    </w:p>
    <w:p>
      <w:pPr>
        <w:jc w:val="both"/>
        <w:rPr>
          <w:b/>
          <w:bCs/>
          <w:sz w:val="36"/>
          <w:szCs w:val="36"/>
          <w:lang w:val="zh-CN"/>
        </w:rPr>
      </w:pPr>
    </w:p>
    <w:p>
      <w:pPr>
        <w:jc w:val="center"/>
        <w:rPr>
          <w:b/>
          <w:bCs/>
          <w:sz w:val="36"/>
          <w:szCs w:val="36"/>
        </w:rPr>
      </w:pPr>
      <w:r>
        <w:rPr>
          <w:rFonts w:hint="eastAsia"/>
          <w:b/>
          <w:bCs/>
          <w:sz w:val="36"/>
          <w:szCs w:val="36"/>
        </w:rPr>
        <w:t>技术标目录</w:t>
      </w:r>
      <w:bookmarkEnd w:id="51"/>
      <w:bookmarkEnd w:id="52"/>
    </w:p>
    <w:p>
      <w:pPr>
        <w:spacing w:line="360" w:lineRule="auto"/>
        <w:rPr>
          <w:sz w:val="24"/>
          <w:highlight w:val="none"/>
        </w:rPr>
      </w:pP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1）</w:t>
      </w:r>
      <w:r>
        <w:rPr>
          <w:rFonts w:hint="eastAsia" w:ascii="宋体" w:hAnsi="宋体"/>
          <w:bCs/>
          <w:sz w:val="24"/>
          <w:highlight w:val="none"/>
        </w:rPr>
        <w:t>投标人基本情况表（详见附件）；</w:t>
      </w:r>
    </w:p>
    <w:p>
      <w:pP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）其余内容根据评标办法自拟（详见格式附件）</w:t>
      </w:r>
      <w:r>
        <w:rPr>
          <w:rFonts w:hint="eastAsia" w:ascii="宋体" w:hAnsi="宋体" w:eastAsia="宋体" w:cs="宋体"/>
          <w:kern w:val="0"/>
          <w:sz w:val="24"/>
          <w:highlight w:val="none"/>
        </w:rPr>
        <w:t>；</w:t>
      </w:r>
    </w:p>
    <w:p>
      <w:pPr>
        <w:pStyle w:val="6"/>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eastAsia="宋体" w:cs="宋体"/>
          <w:sz w:val="24"/>
          <w:szCs w:val="21"/>
          <w:highlight w:val="none"/>
        </w:rPr>
        <w:t>（</w:t>
      </w:r>
      <w:r>
        <w:rPr>
          <w:rFonts w:hint="eastAsia" w:ascii="宋体" w:hAnsi="宋体" w:eastAsia="宋体" w:cs="宋体"/>
          <w:sz w:val="24"/>
          <w:szCs w:val="21"/>
          <w:highlight w:val="none"/>
          <w:lang w:val="en-US" w:eastAsia="zh-CN"/>
        </w:rPr>
        <w:t>3</w:t>
      </w:r>
      <w:r>
        <w:rPr>
          <w:rFonts w:hint="eastAsia" w:ascii="宋体" w:hAnsi="宋体" w:eastAsia="宋体" w:cs="宋体"/>
          <w:sz w:val="24"/>
          <w:szCs w:val="21"/>
          <w:highlight w:val="none"/>
        </w:rPr>
        <w:t>）投标人认为需要提供的其他资料</w:t>
      </w:r>
      <w:r>
        <w:rPr>
          <w:rFonts w:hint="eastAsia" w:ascii="宋体" w:hAnsi="宋体" w:eastAsia="宋体" w:cs="宋体"/>
          <w:kern w:val="0"/>
          <w:sz w:val="24"/>
          <w:highlight w:val="none"/>
        </w:rPr>
        <w:t>。</w:t>
      </w: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b/>
          <w:sz w:val="28"/>
        </w:rPr>
      </w:pPr>
      <w:r>
        <w:rPr>
          <w:rFonts w:hint="eastAsia"/>
          <w:b/>
          <w:sz w:val="28"/>
        </w:rPr>
        <w:t>附件6</w:t>
      </w:r>
    </w:p>
    <w:p>
      <w:pPr>
        <w:pStyle w:val="37"/>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3" w:name="_Toc14261_WPSOffice_Level1"/>
      <w:bookmarkStart w:id="54" w:name="_Toc13307_WPSOffice_Level1"/>
      <w:r>
        <w:rPr>
          <w:rFonts w:hint="eastAsia"/>
          <w:b/>
          <w:sz w:val="32"/>
          <w:szCs w:val="32"/>
        </w:rPr>
        <w:t>投标</w:t>
      </w:r>
      <w:r>
        <w:rPr>
          <w:rFonts w:hint="eastAsia"/>
          <w:b/>
          <w:bCs/>
          <w:sz w:val="32"/>
          <w:szCs w:val="32"/>
        </w:rPr>
        <w:t>人基本情况表</w:t>
      </w:r>
      <w:bookmarkEnd w:id="53"/>
      <w:bookmarkEnd w:id="54"/>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bCs/>
              </w:rPr>
              <w:t>1</w:t>
            </w:r>
            <w:r>
              <w:rPr>
                <w:rFonts w:hint="eastAsia"/>
                <w:bCs/>
              </w:rPr>
              <w:t>.</w:t>
            </w:r>
          </w:p>
          <w:p>
            <w:pPr>
              <w:pStyle w:val="37"/>
              <w:shd w:val="clear" w:color="auto" w:fill="FFFFFF"/>
              <w:spacing w:before="0" w:beforeAutospacing="0" w:after="0" w:afterAutospacing="0"/>
              <w:jc w:val="center"/>
              <w:rPr>
                <w:bCs/>
              </w:rPr>
            </w:pPr>
            <w:r>
              <w:rPr>
                <w:rFonts w:hint="eastAsia"/>
                <w:bCs/>
              </w:rPr>
              <w:t>企</w:t>
            </w:r>
          </w:p>
          <w:p>
            <w:pPr>
              <w:pStyle w:val="37"/>
              <w:shd w:val="clear" w:color="auto" w:fill="FFFFFF"/>
              <w:spacing w:before="0" w:beforeAutospacing="0" w:after="0" w:afterAutospacing="0"/>
              <w:jc w:val="center"/>
              <w:rPr>
                <w:bCs/>
              </w:rPr>
            </w:pPr>
            <w:r>
              <w:rPr>
                <w:rFonts w:hint="eastAsia"/>
                <w:bCs/>
              </w:rPr>
              <w:t>业</w:t>
            </w:r>
          </w:p>
          <w:p>
            <w:pPr>
              <w:pStyle w:val="37"/>
              <w:shd w:val="clear" w:color="auto" w:fill="FFFFFF"/>
              <w:spacing w:before="0" w:beforeAutospacing="0" w:after="0" w:afterAutospacing="0"/>
              <w:jc w:val="center"/>
              <w:rPr>
                <w:bCs/>
              </w:rPr>
            </w:pPr>
            <w:r>
              <w:rPr>
                <w:rFonts w:hint="eastAsia"/>
                <w:bCs/>
              </w:rPr>
              <w:t>概</w:t>
            </w:r>
          </w:p>
          <w:p>
            <w:pPr>
              <w:pStyle w:val="37"/>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bCs/>
              </w:rPr>
              <w:t>2</w:t>
            </w:r>
            <w:r>
              <w:rPr>
                <w:rFonts w:hint="eastAsia"/>
                <w:bCs/>
              </w:rPr>
              <w:t>．</w:t>
            </w:r>
          </w:p>
          <w:p>
            <w:pPr>
              <w:pStyle w:val="37"/>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7"/>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7"/>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rPr>
            </w:pPr>
          </w:p>
        </w:tc>
        <w:tc>
          <w:tcPr>
            <w:tcW w:w="933" w:type="dxa"/>
            <w:tcMar>
              <w:top w:w="57" w:type="dxa"/>
              <w:left w:w="85" w:type="dxa"/>
              <w:bottom w:w="0" w:type="dxa"/>
              <w:right w:w="85" w:type="dxa"/>
            </w:tcMar>
            <w:vAlign w:val="center"/>
          </w:tcPr>
          <w:p>
            <w:pPr>
              <w:pStyle w:val="37"/>
              <w:spacing w:before="0" w:beforeAutospacing="0" w:after="0" w:afterAutospacing="0"/>
              <w:jc w:val="center"/>
            </w:pPr>
          </w:p>
        </w:tc>
      </w:tr>
    </w:tbl>
    <w:p>
      <w:pPr>
        <w:pStyle w:val="37"/>
        <w:shd w:val="clear" w:color="auto" w:fill="FFFFFF"/>
        <w:spacing w:before="0" w:beforeAutospacing="0" w:after="0" w:afterAutospacing="0" w:line="360" w:lineRule="auto"/>
        <w:rPr>
          <w:b/>
          <w:sz w:val="21"/>
          <w:szCs w:val="21"/>
        </w:rPr>
      </w:pPr>
      <w:r>
        <w:rPr>
          <w:rFonts w:hint="eastAsia"/>
          <w:b/>
          <w:sz w:val="21"/>
          <w:szCs w:val="21"/>
        </w:rPr>
        <w:t>要求：</w:t>
      </w:r>
    </w:p>
    <w:p>
      <w:pPr>
        <w:pStyle w:val="37"/>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法定代表人或授权委托人签字或盖章：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7"/>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jc w:val="left"/>
        <w:rPr>
          <w:rFonts w:hint="eastAsia" w:ascii="宋体" w:hAnsi="宋体" w:eastAsia="宋体"/>
          <w:b/>
          <w:bCs/>
          <w:kern w:val="0"/>
          <w:sz w:val="32"/>
          <w:szCs w:val="32"/>
          <w:lang w:eastAsia="zh-CN"/>
        </w:rPr>
      </w:pPr>
      <w:bookmarkStart w:id="55" w:name="_Toc12856_WPSOffice_Level1"/>
      <w:bookmarkStart w:id="56" w:name="_Toc26601_WPSOffice_Level1"/>
      <w:r>
        <w:rPr>
          <w:rFonts w:hint="eastAsia" w:ascii="宋体" w:hAnsi="宋体"/>
          <w:b/>
          <w:bCs/>
          <w:kern w:val="0"/>
          <w:sz w:val="32"/>
          <w:szCs w:val="32"/>
        </w:rPr>
        <w:t>附件</w:t>
      </w:r>
      <w:r>
        <w:rPr>
          <w:rFonts w:hint="eastAsia" w:ascii="宋体" w:hAnsi="宋体"/>
          <w:b/>
          <w:bCs/>
          <w:kern w:val="0"/>
          <w:sz w:val="32"/>
          <w:szCs w:val="32"/>
          <w:lang w:val="en-US" w:eastAsia="zh-CN"/>
        </w:rPr>
        <w:t>7</w:t>
      </w:r>
    </w:p>
    <w:p>
      <w:pPr>
        <w:snapToGrid w:val="0"/>
        <w:spacing w:line="360" w:lineRule="auto"/>
        <w:jc w:val="center"/>
        <w:rPr>
          <w:rFonts w:ascii="宋体" w:hAnsi="宋体"/>
          <w:b/>
          <w:sz w:val="32"/>
          <w:szCs w:val="32"/>
        </w:rPr>
      </w:pPr>
      <w:r>
        <w:rPr>
          <w:rFonts w:hint="eastAsia" w:ascii="宋体" w:hAnsi="宋体"/>
          <w:b/>
          <w:sz w:val="32"/>
          <w:szCs w:val="32"/>
        </w:rPr>
        <w:t>项目实施人员一览表</w:t>
      </w:r>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8"/>
        <w:spacing w:line="360" w:lineRule="auto"/>
        <w:ind w:left="424" w:leftChars="202"/>
        <w:rPr>
          <w:rFonts w:ascii="宋体" w:hAnsi="宋体"/>
          <w:szCs w:val="21"/>
        </w:rPr>
      </w:pPr>
      <w:r>
        <w:rPr>
          <w:rFonts w:hint="eastAsia" w:ascii="宋体" w:hAnsi="宋体"/>
          <w:szCs w:val="21"/>
        </w:rPr>
        <w:t>2.附人员证书扫描件。</w:t>
      </w:r>
    </w:p>
    <w:p>
      <w:pPr>
        <w:pStyle w:val="38"/>
        <w:spacing w:line="360" w:lineRule="auto"/>
        <w:rPr>
          <w:rFonts w:ascii="宋体" w:hAnsi="宋体"/>
          <w:szCs w:val="21"/>
        </w:rPr>
      </w:pPr>
      <w:r>
        <w:rPr>
          <w:rFonts w:hint="eastAsia" w:ascii="宋体" w:hAnsi="宋体"/>
          <w:szCs w:val="21"/>
        </w:rPr>
        <w:t>　　3.出具上述人员在本单位服务的</w:t>
      </w:r>
      <w:r>
        <w:rPr>
          <w:rFonts w:hint="eastAsia" w:ascii="宋体" w:hAnsi="宋体"/>
          <w:szCs w:val="21"/>
          <w:lang w:eastAsia="zh-CN"/>
        </w:rPr>
        <w:t>社保</w:t>
      </w:r>
      <w:r>
        <w:rPr>
          <w:rFonts w:hint="eastAsia" w:ascii="宋体" w:hAnsi="宋体"/>
          <w:szCs w:val="21"/>
        </w:rPr>
        <w:t>证明，按评标办法要求提供。</w:t>
      </w: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法定代表人或授权委托人签字或盖章：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left"/>
        <w:rPr>
          <w:rFonts w:ascii="宋体" w:hAnsi="宋体"/>
          <w:b/>
          <w:bCs/>
          <w:kern w:val="0"/>
          <w:sz w:val="32"/>
          <w:szCs w:val="32"/>
        </w:rPr>
      </w:pPr>
    </w:p>
    <w:p>
      <w:pPr>
        <w:jc w:val="left"/>
        <w:rPr>
          <w:rFonts w:ascii="宋体" w:hAnsi="宋体"/>
          <w:b/>
          <w:bCs/>
          <w:kern w:val="0"/>
          <w:sz w:val="32"/>
          <w:szCs w:val="32"/>
        </w:rPr>
      </w:pPr>
      <w:r>
        <w:rPr>
          <w:rFonts w:ascii="宋体" w:hAnsi="宋体"/>
          <w:b/>
          <w:bCs/>
          <w:kern w:val="0"/>
          <w:sz w:val="32"/>
          <w:szCs w:val="32"/>
        </w:rPr>
        <w:br w:type="page"/>
      </w:r>
    </w:p>
    <w:p>
      <w:pPr>
        <w:spacing w:line="360" w:lineRule="auto"/>
        <w:jc w:val="left"/>
        <w:rPr>
          <w:rFonts w:hint="eastAsia" w:ascii="宋体" w:hAnsi="宋体" w:eastAsia="宋体"/>
          <w:b/>
          <w:bCs/>
          <w:kern w:val="0"/>
          <w:sz w:val="32"/>
          <w:szCs w:val="32"/>
          <w:lang w:eastAsia="zh-CN"/>
        </w:rPr>
      </w:pPr>
      <w:r>
        <w:rPr>
          <w:rFonts w:hint="eastAsia" w:ascii="宋体" w:hAnsi="宋体"/>
          <w:b/>
          <w:bCs/>
          <w:kern w:val="0"/>
          <w:sz w:val="32"/>
          <w:szCs w:val="32"/>
        </w:rPr>
        <w:t>附件</w:t>
      </w:r>
      <w:r>
        <w:rPr>
          <w:rFonts w:hint="eastAsia" w:ascii="宋体" w:hAnsi="宋体"/>
          <w:b/>
          <w:bCs/>
          <w:kern w:val="0"/>
          <w:sz w:val="32"/>
          <w:szCs w:val="32"/>
          <w:lang w:val="en-US" w:eastAsia="zh-CN"/>
        </w:rPr>
        <w:t>8</w:t>
      </w:r>
    </w:p>
    <w:p>
      <w:pPr>
        <w:adjustRightInd w:val="0"/>
        <w:snapToGrid w:val="0"/>
        <w:jc w:val="center"/>
        <w:rPr>
          <w:rFonts w:ascii="宋体" w:hAnsi="宋体"/>
          <w:b/>
          <w:kern w:val="0"/>
          <w:sz w:val="32"/>
          <w:szCs w:val="32"/>
        </w:rPr>
      </w:pPr>
      <w:r>
        <w:rPr>
          <w:rFonts w:hint="eastAsia" w:ascii="宋体" w:hAnsi="宋体"/>
          <w:b/>
          <w:kern w:val="0"/>
          <w:sz w:val="32"/>
          <w:szCs w:val="32"/>
          <w:lang w:eastAsia="zh-CN"/>
        </w:rPr>
        <w:t>商务及技术</w:t>
      </w:r>
      <w:r>
        <w:rPr>
          <w:rFonts w:ascii="宋体" w:hAnsi="宋体"/>
          <w:b/>
          <w:kern w:val="0"/>
          <w:sz w:val="32"/>
          <w:szCs w:val="32"/>
        </w:rPr>
        <w:t>响应表</w:t>
      </w:r>
    </w:p>
    <w:tbl>
      <w:tblPr>
        <w:tblStyle w:val="25"/>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pPr>
              <w:adjustRightInd w:val="0"/>
              <w:snapToGrid w:val="0"/>
              <w:spacing w:before="100" w:beforeAutospacing="1" w:after="100" w:afterAutospacing="1"/>
              <w:jc w:val="center"/>
              <w:rPr>
                <w:rFonts w:hint="eastAsia" w:ascii="宋体" w:hAnsi="宋体" w:eastAsia="宋体"/>
                <w:sz w:val="24"/>
                <w:lang w:eastAsia="zh-CN"/>
              </w:rPr>
            </w:pPr>
            <w:r>
              <w:rPr>
                <w:rFonts w:ascii="宋体" w:hAnsi="宋体"/>
                <w:sz w:val="24"/>
                <w:u w:val="thick" w:color="FFFFFF"/>
              </w:rPr>
              <w:t>招标</w:t>
            </w:r>
            <w:r>
              <w:rPr>
                <w:rFonts w:hint="eastAsia" w:ascii="宋体" w:hAnsi="宋体"/>
                <w:sz w:val="24"/>
                <w:u w:val="thick" w:color="FFFFFF"/>
                <w:lang w:eastAsia="zh-CN"/>
              </w:rPr>
              <w:t>需求</w:t>
            </w:r>
          </w:p>
        </w:tc>
        <w:tc>
          <w:tcPr>
            <w:tcW w:w="1401"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bl>
    <w:p>
      <w:pPr>
        <w:pStyle w:val="13"/>
        <w:adjustRightInd w:val="0"/>
        <w:snapToGrid w:val="0"/>
        <w:rPr>
          <w:rFonts w:hAnsi="宋体"/>
          <w:b/>
          <w:szCs w:val="21"/>
        </w:rPr>
      </w:pPr>
      <w:r>
        <w:rPr>
          <w:rFonts w:hAnsi="宋体"/>
          <w:b/>
          <w:szCs w:val="21"/>
        </w:rPr>
        <w:t>说明：1</w:t>
      </w:r>
      <w:r>
        <w:rPr>
          <w:rFonts w:hint="eastAsia" w:hAnsi="宋体"/>
          <w:b/>
          <w:szCs w:val="21"/>
        </w:rPr>
        <w:t>、</w:t>
      </w:r>
      <w:r>
        <w:rPr>
          <w:rFonts w:hAnsi="宋体"/>
          <w:b/>
          <w:szCs w:val="21"/>
        </w:rPr>
        <w:t>投标人若不填写</w:t>
      </w:r>
      <w:r>
        <w:rPr>
          <w:rFonts w:hint="eastAsia" w:hAnsi="宋体"/>
          <w:b/>
          <w:szCs w:val="21"/>
        </w:rPr>
        <w:t>此表</w:t>
      </w:r>
      <w:r>
        <w:rPr>
          <w:rFonts w:hAnsi="宋体"/>
          <w:b/>
          <w:szCs w:val="21"/>
        </w:rPr>
        <w:t>，则视为完全响应</w:t>
      </w:r>
      <w:r>
        <w:rPr>
          <w:rFonts w:hint="eastAsia" w:hAnsi="宋体"/>
          <w:b/>
          <w:szCs w:val="21"/>
        </w:rPr>
        <w:t>招标</w:t>
      </w:r>
      <w:r>
        <w:rPr>
          <w:rFonts w:hAnsi="宋体"/>
          <w:b/>
          <w:szCs w:val="21"/>
        </w:rPr>
        <w:t>文件要求</w:t>
      </w:r>
      <w:r>
        <w:rPr>
          <w:rFonts w:hint="eastAsia" w:hAnsi="宋体"/>
          <w:b/>
          <w:szCs w:val="21"/>
        </w:rPr>
        <w:t>。</w:t>
      </w:r>
    </w:p>
    <w:p>
      <w:pPr>
        <w:pStyle w:val="13"/>
        <w:adjustRightInd w:val="0"/>
        <w:snapToGrid w:val="0"/>
        <w:rPr>
          <w:rFonts w:hAnsi="宋体"/>
          <w:b/>
          <w:szCs w:val="21"/>
        </w:rPr>
      </w:pPr>
      <w:r>
        <w:rPr>
          <w:rFonts w:hint="eastAsia" w:hAnsi="宋体"/>
          <w:b/>
          <w:szCs w:val="21"/>
        </w:rPr>
        <w:t xml:space="preserve">      2、</w:t>
      </w:r>
      <w:r>
        <w:rPr>
          <w:rFonts w:hAnsi="宋体"/>
          <w:b/>
          <w:szCs w:val="21"/>
        </w:rPr>
        <w:t>投标人拟提供的服务承诺与招标文件中的要求不一致时，则必须在技术标《</w:t>
      </w:r>
      <w:r>
        <w:rPr>
          <w:rFonts w:hint="eastAsia" w:hAnsi="宋体"/>
          <w:b/>
          <w:szCs w:val="21"/>
        </w:rPr>
        <w:t>商务及技术</w:t>
      </w:r>
      <w:r>
        <w:rPr>
          <w:rFonts w:hAnsi="宋体"/>
          <w:b/>
          <w:szCs w:val="21"/>
        </w:rPr>
        <w:t xml:space="preserve">响应表》中予以明确。 </w:t>
      </w:r>
    </w:p>
    <w:p>
      <w:pPr>
        <w:adjustRightInd w:val="0"/>
        <w:snapToGrid w:val="0"/>
        <w:jc w:val="left"/>
        <w:rPr>
          <w:rFonts w:ascii="宋体" w:hAnsi="宋体"/>
          <w:b/>
          <w:kern w:val="0"/>
          <w:szCs w:val="21"/>
        </w:rPr>
      </w:pPr>
      <w:r>
        <w:rPr>
          <w:rFonts w:hint="eastAsia" w:ascii="宋体" w:hAnsi="宋体"/>
          <w:b/>
          <w:szCs w:val="21"/>
        </w:rPr>
        <w:t xml:space="preserve">       3</w:t>
      </w:r>
      <w:r>
        <w:rPr>
          <w:rFonts w:ascii="宋体" w:hAnsi="宋体"/>
          <w:b/>
          <w:szCs w:val="21"/>
        </w:rPr>
        <w:t>、响应情况分别为：正偏离、响应或负偏离。投标人可在备注栏内就偏离原因进行简要说明。</w:t>
      </w:r>
    </w:p>
    <w:bookmarkEnd w:id="55"/>
    <w:bookmarkEnd w:id="56"/>
    <w:p>
      <w:pPr>
        <w:spacing w:line="360" w:lineRule="auto"/>
        <w:rPr>
          <w:rFonts w:ascii="宋体" w:hAnsi="宋体"/>
          <w:sz w:val="24"/>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firstLine="435"/>
        <w:rPr>
          <w:rFonts w:ascii="宋体" w:hAnsi="宋体"/>
          <w:sz w:val="24"/>
        </w:rPr>
      </w:pPr>
      <w:r>
        <w:rPr>
          <w:rFonts w:hint="eastAsia" w:ascii="宋体" w:hAnsi="宋体"/>
          <w:sz w:val="24"/>
        </w:rPr>
        <w:t>法定代表人或授权委托人签字或盖章：</w:t>
      </w:r>
    </w:p>
    <w:p>
      <w:pPr>
        <w:spacing w:line="360" w:lineRule="auto"/>
        <w:ind w:firstLine="435"/>
        <w:rPr>
          <w:rFonts w:ascii="宋体" w:hAnsi="宋体"/>
          <w:sz w:val="24"/>
          <w:u w:val="single"/>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hint="eastAsia" w:ascii="宋体" w:hAnsi="宋体"/>
          <w:b/>
          <w:sz w:val="28"/>
        </w:rPr>
        <w:br w:type="page"/>
      </w:r>
    </w:p>
    <w:p>
      <w:pPr>
        <w:pStyle w:val="40"/>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41"/>
        <w:spacing w:line="360" w:lineRule="auto"/>
        <w:jc w:val="center"/>
        <w:rPr>
          <w:rFonts w:ascii="宋体" w:hAnsi="宋体" w:cs="Arial"/>
          <w:sz w:val="28"/>
          <w:szCs w:val="28"/>
        </w:rPr>
      </w:pPr>
      <w:bookmarkStart w:id="57" w:name="_Toc17604_WPSOffice_Level1"/>
      <w:bookmarkStart w:id="58" w:name="_Toc11030_WPSOffice_Level1"/>
      <w:r>
        <w:rPr>
          <w:rFonts w:hint="eastAsia" w:ascii="宋体" w:hAnsi="宋体"/>
          <w:b/>
          <w:sz w:val="32"/>
          <w:szCs w:val="32"/>
        </w:rPr>
        <w:t>证书一览表</w:t>
      </w:r>
      <w:bookmarkEnd w:id="57"/>
      <w:bookmarkEnd w:id="58"/>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bl>
    <w:p>
      <w:pPr>
        <w:pStyle w:val="41"/>
        <w:tabs>
          <w:tab w:val="left" w:pos="1050"/>
        </w:tabs>
        <w:spacing w:line="360" w:lineRule="auto"/>
        <w:rPr>
          <w:rFonts w:ascii="宋体" w:hAnsi="宋体"/>
          <w:szCs w:val="21"/>
        </w:rPr>
      </w:pPr>
      <w:r>
        <w:rPr>
          <w:rFonts w:hint="eastAsia" w:ascii="宋体" w:hAnsi="宋体"/>
          <w:b/>
          <w:szCs w:val="21"/>
        </w:rPr>
        <w:t>要求：</w:t>
      </w:r>
    </w:p>
    <w:p>
      <w:pPr>
        <w:pStyle w:val="41"/>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r>
        <w:rPr>
          <w:rFonts w:hint="eastAsia" w:ascii="宋体" w:hAnsi="宋体" w:cs="宋体"/>
          <w:szCs w:val="21"/>
        </w:rPr>
        <w:t>（根据评标办法提供）</w:t>
      </w:r>
      <w:r>
        <w:rPr>
          <w:rFonts w:hint="eastAsia" w:ascii="宋体" w:hAnsi="宋体"/>
          <w:szCs w:val="21"/>
        </w:rPr>
        <w:t>。</w:t>
      </w:r>
    </w:p>
    <w:p>
      <w:pPr>
        <w:pStyle w:val="41"/>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41"/>
        <w:tabs>
          <w:tab w:val="left" w:pos="1050"/>
        </w:tabs>
        <w:spacing w:line="360" w:lineRule="auto"/>
        <w:rPr>
          <w:rFonts w:ascii="仿宋_GB2312" w:hAnsi="宋体" w:eastAsia="仿宋_GB2312"/>
          <w:sz w:val="24"/>
        </w:rPr>
      </w:pPr>
    </w:p>
    <w:p>
      <w:pPr>
        <w:pStyle w:val="41"/>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法定代表人或授权委托人签字或盖章：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7"/>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4"/>
        <w:ind w:left="0" w:leftChars="0" w:firstLine="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0</w:t>
      </w:r>
    </w:p>
    <w:p>
      <w:pPr>
        <w:spacing w:line="360" w:lineRule="auto"/>
        <w:jc w:val="center"/>
        <w:rPr>
          <w:rFonts w:ascii="宋体" w:hAnsi="宋体"/>
          <w:b/>
          <w:bCs/>
          <w:kern w:val="0"/>
          <w:sz w:val="32"/>
          <w:szCs w:val="32"/>
        </w:rPr>
      </w:pPr>
      <w:r>
        <w:rPr>
          <w:rFonts w:hint="eastAsia" w:ascii="宋体" w:hAnsi="宋体" w:cs="宋体"/>
          <w:b/>
          <w:sz w:val="32"/>
          <w:szCs w:val="32"/>
        </w:rPr>
        <w:t>类似项目</w:t>
      </w:r>
      <w:r>
        <w:rPr>
          <w:rFonts w:hint="eastAsia" w:ascii="宋体" w:hAnsi="宋体"/>
          <w:b/>
          <w:bCs/>
          <w:kern w:val="0"/>
          <w:sz w:val="32"/>
          <w:szCs w:val="32"/>
        </w:rPr>
        <w:t>业绩</w:t>
      </w:r>
      <w:r>
        <w:rPr>
          <w:rFonts w:hint="eastAsia" w:ascii="宋体" w:hAnsi="宋体" w:cs="宋体"/>
          <w:b/>
          <w:sz w:val="32"/>
          <w:szCs w:val="32"/>
        </w:rPr>
        <w:t>一览表</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法定代表人或授权委托人签字或盖章：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sz w:val="52"/>
          <w:szCs w:val="52"/>
        </w:rPr>
      </w:pPr>
      <w:bookmarkStart w:id="59" w:name="_Toc30468_WPSOffice_Level1"/>
      <w:bookmarkStart w:id="60" w:name="_Toc21322_WPSOffice_Level1"/>
      <w:bookmarkStart w:id="61" w:name="_Toc4615_WPSOffice_Level1"/>
    </w:p>
    <w:bookmarkEnd w:id="59"/>
    <w:bookmarkEnd w:id="60"/>
    <w:bookmarkEnd w:id="61"/>
    <w:p>
      <w:pPr>
        <w:jc w:val="center"/>
        <w:rPr>
          <w:sz w:val="44"/>
          <w:szCs w:val="44"/>
        </w:rPr>
      </w:pPr>
    </w:p>
    <w:p>
      <w:pPr>
        <w:jc w:val="center"/>
        <w:rPr>
          <w:sz w:val="44"/>
          <w:szCs w:val="44"/>
        </w:rPr>
      </w:pPr>
      <w:r>
        <w:rPr>
          <w:rFonts w:hint="eastAsia"/>
          <w:sz w:val="44"/>
          <w:szCs w:val="44"/>
          <w:lang w:eastAsia="zh-CN"/>
        </w:rPr>
        <w:t>云湖小学校园安防系统补充项目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pStyle w:val="24"/>
      </w:pPr>
    </w:p>
    <w:p>
      <w:pPr>
        <w:jc w:val="center"/>
        <w:rPr>
          <w:sz w:val="84"/>
          <w:szCs w:val="84"/>
        </w:rPr>
      </w:pPr>
      <w:bookmarkStart w:id="62" w:name="_Toc3932_WPSOffice_Level1"/>
      <w:bookmarkStart w:id="63" w:name="_Toc14572_WPSOffice_Level1"/>
      <w:r>
        <w:rPr>
          <w:rFonts w:hint="eastAsia"/>
          <w:sz w:val="84"/>
          <w:szCs w:val="84"/>
        </w:rPr>
        <w:t>商</w:t>
      </w:r>
    </w:p>
    <w:p>
      <w:pPr>
        <w:jc w:val="center"/>
        <w:rPr>
          <w:sz w:val="84"/>
          <w:szCs w:val="84"/>
        </w:rPr>
      </w:pPr>
      <w:r>
        <w:rPr>
          <w:rFonts w:hint="eastAsia"/>
          <w:sz w:val="84"/>
          <w:szCs w:val="84"/>
        </w:rPr>
        <w:t>务</w:t>
      </w:r>
    </w:p>
    <w:p>
      <w:pPr>
        <w:jc w:val="center"/>
        <w:rPr>
          <w:sz w:val="84"/>
          <w:szCs w:val="84"/>
        </w:rPr>
      </w:pPr>
      <w:r>
        <w:rPr>
          <w:rFonts w:hint="eastAsia"/>
          <w:sz w:val="84"/>
          <w:szCs w:val="84"/>
        </w:rPr>
        <w:t>文</w:t>
      </w:r>
      <w:bookmarkEnd w:id="62"/>
      <w:bookmarkEnd w:id="63"/>
    </w:p>
    <w:p>
      <w:pPr>
        <w:jc w:val="center"/>
        <w:rPr>
          <w:sz w:val="84"/>
          <w:szCs w:val="84"/>
        </w:rPr>
      </w:pPr>
      <w:bookmarkStart w:id="64" w:name="_Toc7562_WPSOffice_Level1"/>
      <w:bookmarkStart w:id="65" w:name="_Toc16973_WPSOffice_Level1"/>
      <w:r>
        <w:rPr>
          <w:rFonts w:hint="eastAsia"/>
          <w:sz w:val="84"/>
          <w:szCs w:val="84"/>
        </w:rPr>
        <w:t>件</w:t>
      </w:r>
      <w:bookmarkEnd w:id="64"/>
      <w:bookmarkEnd w:id="65"/>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66" w:name="_Toc26700_WPSOffice_Level1"/>
      <w:bookmarkStart w:id="67" w:name="_Toc4603_WPSOffice_Level1"/>
      <w:r>
        <w:rPr>
          <w:rFonts w:hint="eastAsia" w:ascii="宋体" w:hAnsi="宋体"/>
          <w:sz w:val="36"/>
          <w:szCs w:val="36"/>
        </w:rPr>
        <w:t>投标人全称（公章）：</w:t>
      </w:r>
      <w:bookmarkEnd w:id="66"/>
      <w:bookmarkEnd w:id="67"/>
    </w:p>
    <w:p>
      <w:pPr>
        <w:spacing w:line="360" w:lineRule="auto"/>
        <w:ind w:right="-108" w:firstLine="720" w:firstLineChars="200"/>
        <w:rPr>
          <w:rFonts w:ascii="宋体" w:hAnsi="宋体"/>
          <w:sz w:val="36"/>
          <w:szCs w:val="36"/>
        </w:rPr>
      </w:pPr>
      <w:bookmarkStart w:id="68" w:name="_Toc1391_WPSOffice_Level1"/>
      <w:bookmarkStart w:id="69" w:name="_Toc32593_WPSOffice_Level1"/>
      <w:r>
        <w:rPr>
          <w:rFonts w:hint="eastAsia" w:ascii="宋体" w:hAnsi="宋体"/>
          <w:sz w:val="36"/>
          <w:szCs w:val="36"/>
        </w:rPr>
        <w:t>地    址：</w:t>
      </w:r>
      <w:bookmarkEnd w:id="68"/>
      <w:bookmarkEnd w:id="69"/>
    </w:p>
    <w:p>
      <w:pPr>
        <w:spacing w:line="360" w:lineRule="auto"/>
        <w:ind w:right="-108" w:firstLine="720" w:firstLineChars="200"/>
        <w:rPr>
          <w:rFonts w:ascii="宋体" w:hAnsi="宋体"/>
          <w:sz w:val="36"/>
          <w:szCs w:val="36"/>
        </w:rPr>
      </w:pPr>
      <w:bookmarkStart w:id="70" w:name="_Toc3791_WPSOffice_Level1"/>
      <w:bookmarkStart w:id="71" w:name="_Toc20938_WPSOffice_Level1"/>
      <w:r>
        <w:rPr>
          <w:rFonts w:hint="eastAsia" w:ascii="宋体" w:hAnsi="宋体"/>
          <w:sz w:val="36"/>
          <w:szCs w:val="36"/>
        </w:rPr>
        <w:t>时    间：</w:t>
      </w:r>
      <w:bookmarkEnd w:id="70"/>
      <w:bookmarkEnd w:id="71"/>
    </w:p>
    <w:p>
      <w:pPr>
        <w:spacing w:line="360" w:lineRule="auto"/>
        <w:ind w:right="-108"/>
        <w:jc w:val="center"/>
        <w:rPr>
          <w:rFonts w:ascii="仿宋_GB2312" w:hAnsi="宋体" w:eastAsia="仿宋_GB2312"/>
          <w:b/>
          <w:sz w:val="36"/>
          <w:szCs w:val="36"/>
        </w:rPr>
      </w:pPr>
    </w:p>
    <w:p>
      <w:pPr>
        <w:pStyle w:val="24"/>
      </w:pPr>
    </w:p>
    <w:p>
      <w:pPr>
        <w:pStyle w:val="24"/>
      </w:pPr>
    </w:p>
    <w:p>
      <w:pPr>
        <w:pStyle w:val="24"/>
      </w:pPr>
    </w:p>
    <w:p>
      <w:pPr>
        <w:pStyle w:val="24"/>
      </w:pPr>
    </w:p>
    <w:p>
      <w:pPr>
        <w:pStyle w:val="24"/>
      </w:pPr>
    </w:p>
    <w:p>
      <w:pPr>
        <w:pStyle w:val="24"/>
      </w:pPr>
    </w:p>
    <w:p>
      <w:pPr>
        <w:pStyle w:val="24"/>
      </w:pPr>
    </w:p>
    <w:p>
      <w:pPr>
        <w:pStyle w:val="6"/>
        <w:rPr>
          <w:rFonts w:ascii="仿宋_GB2312" w:hAnsi="宋体" w:eastAsia="仿宋_GB2312"/>
          <w:b/>
          <w:sz w:val="36"/>
          <w:szCs w:val="36"/>
        </w:rPr>
      </w:pPr>
    </w:p>
    <w:p>
      <w:pPr>
        <w:spacing w:line="480" w:lineRule="auto"/>
        <w:jc w:val="center"/>
      </w:pPr>
      <w:bookmarkStart w:id="72" w:name="_Toc29537_WPSOffice_Level1"/>
      <w:bookmarkStart w:id="73" w:name="_Toc19972_WPSOffice_Level1"/>
      <w:r>
        <w:rPr>
          <w:rFonts w:hint="eastAsia" w:ascii="宋体" w:hAnsi="宋体"/>
          <w:b/>
          <w:bCs/>
          <w:sz w:val="36"/>
          <w:szCs w:val="36"/>
        </w:rPr>
        <w:t>商务标目录</w:t>
      </w:r>
      <w:bookmarkEnd w:id="72"/>
      <w:bookmarkEnd w:id="73"/>
    </w:p>
    <w:p>
      <w:pPr>
        <w:rPr>
          <w:rFonts w:asciiTheme="minorEastAsia" w:hAnsiTheme="minorEastAsia" w:eastAsiaTheme="minorEastAsia" w:cstheme="minorEastAsia"/>
          <w:sz w:val="28"/>
          <w:szCs w:val="28"/>
        </w:rPr>
      </w:pPr>
    </w:p>
    <w:p>
      <w:pPr>
        <w:autoSpaceDE w:val="0"/>
        <w:autoSpaceDN w:val="0"/>
        <w:adjustRightInd w:val="0"/>
        <w:spacing w:line="360" w:lineRule="auto"/>
        <w:ind w:firstLine="480" w:firstLineChars="200"/>
        <w:rPr>
          <w:rFonts w:asciiTheme="minorEastAsia" w:hAnsiTheme="minorEastAsia" w:eastAsiaTheme="minorEastAsia"/>
          <w:kern w:val="0"/>
          <w:sz w:val="24"/>
        </w:rPr>
      </w:pPr>
      <w:bookmarkStart w:id="74" w:name="_Toc6778_WPSOffice_Level1"/>
      <w:bookmarkStart w:id="75" w:name="_Toc29988_WPSOffice_Level1"/>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详见附件</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lang w:val="en-US" w:eastAsia="zh-CN"/>
        </w:rPr>
        <w:t>2</w:t>
      </w:r>
      <w:r>
        <w:rPr>
          <w:rFonts w:hint="eastAsia" w:asciiTheme="minorEastAsia" w:hAnsiTheme="minorEastAsia" w:eastAsiaTheme="minorEastAsia"/>
          <w:kern w:val="0"/>
          <w:sz w:val="24"/>
          <w:lang w:eastAsia="zh-CN"/>
        </w:rPr>
        <w:t>）报价明细表</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eastAsia="zh-CN"/>
        </w:rPr>
        <w:t>详见附件</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）针对报价投标人认为其他需要说明的。</w:t>
      </w:r>
    </w:p>
    <w:bookmarkEnd w:id="74"/>
    <w:bookmarkEnd w:id="75"/>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hint="eastAsia"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2" w:hanging="2"/>
        <w:jc w:val="center"/>
        <w:rPr>
          <w:rFonts w:ascii="宋体" w:hAnsi="宋体"/>
          <w:b/>
          <w:sz w:val="32"/>
          <w:szCs w:val="32"/>
        </w:rPr>
      </w:pPr>
      <w:bookmarkStart w:id="76" w:name="_Toc16144_WPSOffice_Level1"/>
      <w:bookmarkStart w:id="77" w:name="_Toc30363_WPSOffice_Level1"/>
      <w:r>
        <w:rPr>
          <w:rFonts w:hint="eastAsia" w:ascii="宋体" w:hAnsi="宋体"/>
          <w:b/>
          <w:sz w:val="32"/>
          <w:szCs w:val="32"/>
        </w:rPr>
        <w:t xml:space="preserve">开标一览表 </w:t>
      </w:r>
      <w:bookmarkEnd w:id="76"/>
      <w:bookmarkEnd w:id="77"/>
    </w:p>
    <w:p>
      <w:pPr>
        <w:pStyle w:val="13"/>
        <w:spacing w:line="360" w:lineRule="auto"/>
        <w:ind w:firstLine="482" w:firstLineChars="200"/>
        <w:rPr>
          <w:rFonts w:hAnsi="宋体"/>
          <w:b/>
          <w:sz w:val="24"/>
        </w:rPr>
      </w:pPr>
      <w:r>
        <w:rPr>
          <w:rFonts w:hAnsi="宋体"/>
          <w:b/>
          <w:sz w:val="24"/>
        </w:rPr>
        <w:t>项目编号：</w:t>
      </w:r>
    </w:p>
    <w:p>
      <w:pPr>
        <w:pStyle w:val="46"/>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p>
      <w:pPr>
        <w:snapToGrid w:val="0"/>
        <w:spacing w:before="50" w:after="50"/>
        <w:jc w:val="left"/>
        <w:rPr>
          <w:rFonts w:hint="eastAsia" w:ascii="Arial" w:hAnsi="Arial" w:eastAsia="宋体" w:cs="Arial"/>
          <w:sz w:val="22"/>
          <w:szCs w:val="22"/>
          <w:lang w:eastAsia="zh-CN"/>
        </w:rPr>
      </w:pPr>
      <w:r>
        <w:rPr>
          <w:rFonts w:hint="eastAsia" w:ascii="Arial" w:hAnsi="Arial" w:cs="宋体"/>
          <w:sz w:val="22"/>
          <w:szCs w:val="22"/>
        </w:rPr>
        <w:t>致：</w:t>
      </w:r>
      <w:r>
        <w:rPr>
          <w:rFonts w:hint="eastAsia" w:ascii="Arial" w:hAnsi="Arial" w:cs="宋体"/>
          <w:sz w:val="22"/>
          <w:szCs w:val="22"/>
          <w:lang w:eastAsia="zh-CN"/>
        </w:rPr>
        <w:t>台州市云湖小学</w:t>
      </w:r>
    </w:p>
    <w:p>
      <w:pPr>
        <w:snapToGrid w:val="0"/>
        <w:ind w:firstLine="440" w:firstLineChars="200"/>
        <w:jc w:val="left"/>
        <w:rPr>
          <w:rFonts w:ascii="新宋体" w:hAnsi="新宋体" w:eastAsia="新宋体"/>
          <w:szCs w:val="21"/>
        </w:rPr>
      </w:pPr>
      <w:r>
        <w:rPr>
          <w:rFonts w:ascii="Arial" w:hAnsi="Arial" w:cs="Arial"/>
          <w:sz w:val="22"/>
          <w:szCs w:val="22"/>
        </w:rPr>
        <w:t>经研究，我们决定参加</w:t>
      </w:r>
      <w:r>
        <w:rPr>
          <w:rFonts w:hint="eastAsia" w:ascii="Arial" w:hAnsi="Arial" w:cs="Arial"/>
          <w:sz w:val="22"/>
          <w:szCs w:val="22"/>
        </w:rPr>
        <w:t>你单位的</w:t>
      </w:r>
      <w:r>
        <w:rPr>
          <w:rFonts w:hint="eastAsia" w:ascii="宋体" w:hAnsi="宋体"/>
          <w:sz w:val="22"/>
          <w:szCs w:val="22"/>
          <w:u w:val="single"/>
          <w:lang w:eastAsia="zh-CN"/>
        </w:rPr>
        <w:t>云湖小学校园安防系统补充项目</w:t>
      </w:r>
      <w:r>
        <w:rPr>
          <w:rFonts w:ascii="Arial" w:hAnsi="Arial" w:cs="Arial"/>
          <w:sz w:val="22"/>
          <w:szCs w:val="22"/>
        </w:rPr>
        <w:t>的</w:t>
      </w:r>
      <w:r>
        <w:rPr>
          <w:rFonts w:hint="eastAsia" w:ascii="Arial" w:hAnsi="Arial" w:cs="Arial"/>
          <w:sz w:val="22"/>
        </w:rPr>
        <w:t>招标</w:t>
      </w:r>
      <w:r>
        <w:rPr>
          <w:rFonts w:ascii="Arial" w:hAnsi="Arial" w:cs="Arial"/>
          <w:sz w:val="22"/>
        </w:rPr>
        <w:t>采购活动并提交</w:t>
      </w:r>
      <w:r>
        <w:rPr>
          <w:rFonts w:hint="eastAsia" w:ascii="Arial" w:hAnsi="Arial" w:cs="Arial"/>
          <w:sz w:val="22"/>
        </w:rPr>
        <w:t>投标</w:t>
      </w:r>
      <w:r>
        <w:rPr>
          <w:rFonts w:ascii="Arial" w:hAnsi="Arial" w:cs="Arial"/>
          <w:sz w:val="22"/>
        </w:rPr>
        <w:t>文件。为此，我方郑重声明以下诸点，并负法律责任。</w:t>
      </w:r>
    </w:p>
    <w:p>
      <w:pPr>
        <w:pStyle w:val="11"/>
        <w:adjustRightInd w:val="0"/>
        <w:snapToGrid w:val="0"/>
        <w:rPr>
          <w:rFonts w:ascii="Arial" w:hAnsi="Arial" w:cs="Arial"/>
          <w:sz w:val="22"/>
          <w:szCs w:val="22"/>
        </w:rPr>
      </w:pPr>
      <w:r>
        <w:rPr>
          <w:rFonts w:ascii="Arial" w:hAnsi="Arial" w:cs="Arial"/>
          <w:sz w:val="22"/>
          <w:szCs w:val="22"/>
        </w:rPr>
        <w:t>1、如果我们的招标文件被接受，我们将履行招标文件中规定的每一项要求，并按我们投标文件中的承诺按期、按质、按量提供服务。</w:t>
      </w:r>
    </w:p>
    <w:p>
      <w:pPr>
        <w:pStyle w:val="11"/>
        <w:adjustRightInd w:val="0"/>
        <w:snapToGrid w:val="0"/>
        <w:rPr>
          <w:rFonts w:ascii="Arial" w:hAnsi="Arial" w:cs="Arial"/>
          <w:sz w:val="22"/>
          <w:szCs w:val="22"/>
        </w:rPr>
      </w:pPr>
      <w:r>
        <w:rPr>
          <w:rFonts w:ascii="Arial" w:hAnsi="Arial" w:cs="Arial"/>
          <w:sz w:val="22"/>
          <w:szCs w:val="22"/>
        </w:rPr>
        <w:t>2、我们同意按采购文件规定遵守采购人有关采购的各项规定。</w:t>
      </w:r>
    </w:p>
    <w:p>
      <w:pPr>
        <w:pStyle w:val="11"/>
        <w:adjustRightInd w:val="0"/>
        <w:snapToGrid w:val="0"/>
        <w:rPr>
          <w:rFonts w:ascii="Arial" w:hAnsi="Arial" w:cs="Arial"/>
          <w:sz w:val="22"/>
          <w:szCs w:val="22"/>
        </w:rPr>
      </w:pPr>
      <w:r>
        <w:rPr>
          <w:rFonts w:ascii="Arial" w:hAnsi="Arial" w:cs="Arial"/>
          <w:sz w:val="22"/>
          <w:szCs w:val="22"/>
        </w:rPr>
        <w:t>3、我方同意提供按照贵方可能要求的与投标有关的一切数据或资料，我方若未成为成交投标人，采购人有权不做任何解释。</w:t>
      </w:r>
    </w:p>
    <w:p>
      <w:pPr>
        <w:ind w:firstLine="330" w:firstLineChars="150"/>
        <w:rPr>
          <w:rFonts w:ascii="宋体" w:hAnsi="宋体"/>
          <w:sz w:val="22"/>
          <w:szCs w:val="22"/>
        </w:rPr>
      </w:pPr>
      <w:r>
        <w:rPr>
          <w:rFonts w:hint="eastAsia" w:ascii="Arial" w:hAnsi="Arial" w:cs="Arial"/>
          <w:sz w:val="22"/>
          <w:szCs w:val="22"/>
        </w:rPr>
        <w:t>4、我方如果中标，将保证履行招标文件以及招标文件修改书（如有）中的全部责任和义务，按质、按量、按期完成《民法典》中的全部任务。</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Cs w:val="21"/>
              </w:rPr>
            </w:pPr>
          </w:p>
        </w:tc>
      </w:tr>
    </w:tbl>
    <w:p>
      <w:pPr>
        <w:spacing w:line="360" w:lineRule="auto"/>
        <w:rPr>
          <w:rFonts w:ascii="宋体" w:hAnsi="宋体"/>
          <w:sz w:val="22"/>
          <w:szCs w:val="22"/>
        </w:rPr>
      </w:pPr>
      <w:r>
        <w:rPr>
          <w:rFonts w:hint="eastAsia" w:ascii="宋体" w:hAnsi="宋体"/>
          <w:b/>
          <w:sz w:val="22"/>
          <w:szCs w:val="22"/>
        </w:rPr>
        <w:t>填报要求：</w:t>
      </w:r>
      <w:r>
        <w:rPr>
          <w:rFonts w:hint="eastAsia" w:ascii="宋体" w:hAnsi="宋体"/>
          <w:sz w:val="22"/>
          <w:szCs w:val="22"/>
        </w:rPr>
        <w:t>投标报价是履行合同的最终价格，应包括主件、标准附件、备品备件、施工、服务、专用工具、安装、调试、检验、培训、运输、保险、税款等政策性文件规定及合同包含的所有风险、责任等所有费用。供应商须充分考虑实际服务内容和需求，针对自身实际情况，核算所需的成本及合理的利润，自行报价，结算时由供应商开具正式发票。各投标人应根据招标人提供的技术资料以及本项目实际情况和自身的综合实力，竞报投标报价。总报价以人民币元计。知识产权等由投标人在投标报价时综合考虑，以后不作任何调整。</w:t>
      </w:r>
    </w:p>
    <w:p>
      <w:pPr>
        <w:spacing w:line="360" w:lineRule="auto"/>
        <w:ind w:left="420"/>
        <w:rPr>
          <w:rFonts w:hint="eastAsia" w:ascii="宋体" w:hAnsi="宋体"/>
          <w:sz w:val="22"/>
          <w:szCs w:val="22"/>
        </w:rPr>
      </w:pPr>
    </w:p>
    <w:p>
      <w:pPr>
        <w:spacing w:line="360" w:lineRule="auto"/>
        <w:ind w:left="420"/>
        <w:rPr>
          <w:rFonts w:ascii="宋体" w:hAnsi="宋体"/>
          <w:sz w:val="22"/>
          <w:szCs w:val="22"/>
        </w:rPr>
      </w:pPr>
      <w:r>
        <w:rPr>
          <w:rFonts w:hint="eastAsia" w:ascii="宋体" w:hAnsi="宋体"/>
          <w:sz w:val="22"/>
          <w:szCs w:val="22"/>
        </w:rPr>
        <w:t>投标人名称（公章）：</w:t>
      </w:r>
    </w:p>
    <w:p>
      <w:pPr>
        <w:spacing w:line="360" w:lineRule="auto"/>
        <w:ind w:firstLine="435"/>
        <w:rPr>
          <w:rFonts w:ascii="宋体" w:hAnsi="宋体"/>
          <w:sz w:val="22"/>
          <w:szCs w:val="22"/>
        </w:rPr>
      </w:pPr>
      <w:r>
        <w:rPr>
          <w:rFonts w:hint="eastAsia" w:ascii="宋体" w:hAnsi="宋体"/>
          <w:sz w:val="22"/>
          <w:szCs w:val="22"/>
        </w:rPr>
        <w:t>法定代表人或授权委托人签字或盖章：</w:t>
      </w:r>
    </w:p>
    <w:p>
      <w:pPr>
        <w:spacing w:line="360" w:lineRule="auto"/>
        <w:ind w:firstLine="435"/>
        <w:rPr>
          <w:rFonts w:ascii="宋体" w:hAnsi="宋体"/>
          <w:sz w:val="22"/>
          <w:szCs w:val="22"/>
        </w:rPr>
      </w:pPr>
      <w:r>
        <w:rPr>
          <w:rFonts w:hint="eastAsia" w:ascii="宋体" w:hAnsi="宋体"/>
          <w:sz w:val="22"/>
          <w:szCs w:val="22"/>
        </w:rPr>
        <w:t>职        务：</w:t>
      </w:r>
    </w:p>
    <w:p>
      <w:pPr>
        <w:spacing w:line="360" w:lineRule="auto"/>
        <w:ind w:firstLine="435"/>
        <w:rPr>
          <w:rFonts w:hint="eastAsia" w:ascii="宋体" w:hAnsi="宋体"/>
          <w:sz w:val="22"/>
          <w:szCs w:val="22"/>
        </w:rPr>
        <w:sectPr>
          <w:headerReference r:id="rId7" w:type="default"/>
          <w:footerReference r:id="rId8" w:type="default"/>
          <w:pgSz w:w="11906" w:h="16838"/>
          <w:pgMar w:top="1440" w:right="1800" w:bottom="1440" w:left="1800" w:header="851" w:footer="992" w:gutter="0"/>
          <w:cols w:space="425" w:num="1"/>
          <w:docGrid w:type="lines" w:linePitch="312" w:charSpace="0"/>
        </w:sectPr>
      </w:pPr>
      <w:r>
        <w:rPr>
          <w:rFonts w:hint="eastAsia" w:ascii="宋体" w:hAnsi="宋体"/>
          <w:sz w:val="22"/>
          <w:szCs w:val="22"/>
        </w:rPr>
        <w:t>日        期：</w:t>
      </w:r>
    </w:p>
    <w:p>
      <w:pPr>
        <w:pStyle w:val="10"/>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2" w:hanging="2"/>
        <w:jc w:val="center"/>
        <w:rPr>
          <w:rFonts w:hint="default" w:ascii="宋体" w:hAnsi="宋体"/>
          <w:b/>
          <w:sz w:val="32"/>
          <w:szCs w:val="32"/>
          <w:lang w:val="en-US" w:eastAsia="zh-CN"/>
        </w:rPr>
      </w:pPr>
      <w:r>
        <w:rPr>
          <w:rFonts w:hint="eastAsia" w:ascii="宋体" w:hAnsi="宋体"/>
          <w:b/>
          <w:sz w:val="32"/>
          <w:szCs w:val="32"/>
          <w:lang w:val="en-US" w:eastAsia="zh-CN"/>
        </w:rPr>
        <w:t>报价明细表</w:t>
      </w:r>
    </w:p>
    <w:p>
      <w:pPr>
        <w:spacing w:line="360" w:lineRule="auto"/>
        <w:ind w:left="420"/>
        <w:rPr>
          <w:rFonts w:hint="eastAsia" w:ascii="宋体" w:hAnsi="宋体"/>
          <w:sz w:val="22"/>
          <w:szCs w:val="22"/>
          <w:u w:val="none"/>
          <w:lang w:val="en-US" w:eastAsia="zh-CN"/>
        </w:rPr>
      </w:pPr>
    </w:p>
    <w:p>
      <w:pPr>
        <w:spacing w:line="360" w:lineRule="auto"/>
        <w:ind w:left="420"/>
        <w:rPr>
          <w:rFonts w:hint="eastAsia" w:ascii="宋体" w:hAnsi="宋体"/>
          <w:sz w:val="22"/>
          <w:szCs w:val="22"/>
          <w:u w:val="none"/>
        </w:rPr>
      </w:pPr>
      <w:r>
        <w:rPr>
          <w:rFonts w:hint="eastAsia" w:ascii="宋体" w:hAnsi="宋体"/>
          <w:sz w:val="22"/>
          <w:szCs w:val="22"/>
          <w:u w:val="none"/>
          <w:lang w:val="en-US" w:eastAsia="zh-CN"/>
        </w:rPr>
        <w:t>项目名称：</w:t>
      </w:r>
      <w:r>
        <w:rPr>
          <w:rFonts w:hint="eastAsia" w:ascii="宋体" w:hAnsi="宋体"/>
          <w:sz w:val="22"/>
          <w:szCs w:val="22"/>
          <w:u w:val="none"/>
          <w:lang w:eastAsia="zh-CN"/>
        </w:rPr>
        <w:t>云湖小学校园安防系统补充项目</w:t>
      </w:r>
    </w:p>
    <w:tbl>
      <w:tblPr>
        <w:tblStyle w:val="25"/>
        <w:tblW w:w="9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3337"/>
        <w:gridCol w:w="803"/>
        <w:gridCol w:w="1275"/>
        <w:gridCol w:w="2095"/>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序号</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名称</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数量</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单位</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报价（元）</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一</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防撞柱系统</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套</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二</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视频监控系统</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套</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三</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应急广播系统</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sz w:val="24"/>
                <w:szCs w:val="24"/>
                <w:u w:val="none"/>
                <w:lang w:val="en-US" w:eastAsia="zh-CN"/>
              </w:rPr>
              <w:t>套</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四</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云湖小学安防子平台建设</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套</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exac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五</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台州湾新区校园安防平台对接</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套</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exact"/>
          <w:jc w:val="center"/>
        </w:trPr>
        <w:tc>
          <w:tcPr>
            <w:tcW w:w="61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总计（一+二+三+四+五），结算至附件11“开标一览表”</w:t>
            </w:r>
          </w:p>
          <w:p>
            <w:pPr>
              <w:pStyle w:val="2"/>
              <w:rPr>
                <w:rFonts w:hint="eastAsia"/>
                <w:lang w:val="en-US" w:eastAsia="zh-CN"/>
              </w:rPr>
            </w:pP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bl>
    <w:p>
      <w:pPr>
        <w:spacing w:line="360" w:lineRule="auto"/>
        <w:ind w:left="420"/>
        <w:rPr>
          <w:rFonts w:hint="eastAsia" w:ascii="宋体" w:hAnsi="宋体"/>
          <w:sz w:val="22"/>
          <w:szCs w:val="22"/>
        </w:rPr>
      </w:pPr>
    </w:p>
    <w:p>
      <w:pPr>
        <w:spacing w:line="360" w:lineRule="auto"/>
        <w:ind w:left="420"/>
        <w:rPr>
          <w:rFonts w:hint="eastAsia" w:ascii="宋体" w:hAnsi="宋体"/>
          <w:sz w:val="22"/>
          <w:szCs w:val="22"/>
        </w:rPr>
      </w:pPr>
    </w:p>
    <w:p>
      <w:pPr>
        <w:spacing w:line="360" w:lineRule="auto"/>
        <w:ind w:left="420"/>
        <w:rPr>
          <w:rFonts w:ascii="宋体" w:hAnsi="宋体"/>
          <w:sz w:val="22"/>
          <w:szCs w:val="22"/>
        </w:rPr>
      </w:pPr>
      <w:r>
        <w:rPr>
          <w:rFonts w:hint="eastAsia" w:ascii="宋体" w:hAnsi="宋体"/>
          <w:sz w:val="22"/>
          <w:szCs w:val="22"/>
        </w:rPr>
        <w:t>投标人名称（公章）：</w:t>
      </w:r>
    </w:p>
    <w:p>
      <w:pPr>
        <w:spacing w:line="360" w:lineRule="auto"/>
        <w:ind w:firstLine="435"/>
        <w:rPr>
          <w:rFonts w:ascii="宋体" w:hAnsi="宋体"/>
          <w:sz w:val="22"/>
          <w:szCs w:val="22"/>
        </w:rPr>
      </w:pPr>
      <w:r>
        <w:rPr>
          <w:rFonts w:hint="eastAsia" w:ascii="宋体" w:hAnsi="宋体"/>
          <w:sz w:val="22"/>
          <w:szCs w:val="22"/>
        </w:rPr>
        <w:t>法定代表人或授权委托人签字或盖章：</w:t>
      </w:r>
    </w:p>
    <w:p>
      <w:pPr>
        <w:spacing w:line="360" w:lineRule="auto"/>
        <w:ind w:firstLine="435"/>
        <w:rPr>
          <w:rFonts w:ascii="宋体" w:hAnsi="宋体"/>
          <w:sz w:val="22"/>
          <w:szCs w:val="22"/>
        </w:rPr>
      </w:pPr>
      <w:r>
        <w:rPr>
          <w:rFonts w:hint="eastAsia" w:ascii="宋体" w:hAnsi="宋体"/>
          <w:sz w:val="22"/>
          <w:szCs w:val="22"/>
        </w:rPr>
        <w:t>职        务：</w:t>
      </w:r>
    </w:p>
    <w:p>
      <w:pPr>
        <w:spacing w:line="360" w:lineRule="auto"/>
        <w:ind w:firstLine="435"/>
      </w:pPr>
      <w:r>
        <w:rPr>
          <w:rFonts w:hint="eastAsia" w:ascii="宋体" w:hAnsi="宋体"/>
          <w:sz w:val="22"/>
          <w:szCs w:val="22"/>
        </w:rPr>
        <w:t>日        期：</w:t>
      </w: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8"/>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9383A44"/>
    <w:multiLevelType w:val="singleLevel"/>
    <w:tmpl w:val="49383A44"/>
    <w:lvl w:ilvl="0" w:tentative="0">
      <w:start w:val="2"/>
      <w:numFmt w:val="decimal"/>
      <w:suff w:val="nothing"/>
      <w:lvlText w:val="（%1）"/>
      <w:lvlJc w:val="left"/>
    </w:lvl>
  </w:abstractNum>
  <w:abstractNum w:abstractNumId="6">
    <w:nsid w:val="5BE338C7"/>
    <w:multiLevelType w:val="singleLevel"/>
    <w:tmpl w:val="5BE338C7"/>
    <w:lvl w:ilvl="0" w:tentative="0">
      <w:start w:val="1"/>
      <w:numFmt w:val="decimal"/>
      <w:lvlText w:val="%1."/>
      <w:lvlJc w:val="left"/>
      <w:pPr>
        <w:ind w:left="425" w:hanging="425"/>
      </w:pPr>
      <w:rPr>
        <w:rFonts w:hint="default"/>
      </w:rPr>
    </w:lvl>
  </w:abstractNum>
  <w:abstractNum w:abstractNumId="7">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abstractNum w:abstractNumId="9">
    <w:nsid w:val="678CFB24"/>
    <w:multiLevelType w:val="singleLevel"/>
    <w:tmpl w:val="678CFB24"/>
    <w:lvl w:ilvl="0" w:tentative="0">
      <w:start w:val="1"/>
      <w:numFmt w:val="chineseCounting"/>
      <w:suff w:val="nothing"/>
      <w:lvlText w:val="%1、"/>
      <w:lvlJc w:val="left"/>
      <w:rPr>
        <w:rFonts w:hint="eastAsia"/>
      </w:rPr>
    </w:lvl>
  </w:abstractNum>
  <w:num w:numId="1">
    <w:abstractNumId w:val="7"/>
  </w:num>
  <w:num w:numId="2">
    <w:abstractNumId w:val="3"/>
  </w:num>
  <w:num w:numId="3">
    <w:abstractNumId w:val="2"/>
  </w:num>
  <w:num w:numId="4">
    <w:abstractNumId w:val="0"/>
  </w:num>
  <w:num w:numId="5">
    <w:abstractNumId w:val="8"/>
  </w:num>
  <w:num w:numId="6">
    <w:abstractNumId w:val="4"/>
  </w:num>
  <w:num w:numId="7">
    <w:abstractNumId w:val="9"/>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zc1ZjBiYThmY2FlZjUzZjFkMmFmYmIyM2FiMjA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07CF"/>
    <w:rsid w:val="00F92A7E"/>
    <w:rsid w:val="00FA6B35"/>
    <w:rsid w:val="00FB14A1"/>
    <w:rsid w:val="00FC05F2"/>
    <w:rsid w:val="00FC1E7F"/>
    <w:rsid w:val="00FC5C25"/>
    <w:rsid w:val="00FE5F42"/>
    <w:rsid w:val="00FF0C0B"/>
    <w:rsid w:val="00FF7A94"/>
    <w:rsid w:val="010742D5"/>
    <w:rsid w:val="010C0502"/>
    <w:rsid w:val="010F7B98"/>
    <w:rsid w:val="01270A4D"/>
    <w:rsid w:val="016D3648"/>
    <w:rsid w:val="017E2A82"/>
    <w:rsid w:val="01851778"/>
    <w:rsid w:val="01A729ED"/>
    <w:rsid w:val="01AE11E6"/>
    <w:rsid w:val="01B729F0"/>
    <w:rsid w:val="01E96BCD"/>
    <w:rsid w:val="01F53A09"/>
    <w:rsid w:val="01FC105B"/>
    <w:rsid w:val="02025461"/>
    <w:rsid w:val="020A3DE7"/>
    <w:rsid w:val="020B511D"/>
    <w:rsid w:val="02222883"/>
    <w:rsid w:val="02775E4F"/>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753148"/>
    <w:rsid w:val="0BCE1370"/>
    <w:rsid w:val="0BCF240A"/>
    <w:rsid w:val="0BD84E5C"/>
    <w:rsid w:val="0BE34CD8"/>
    <w:rsid w:val="0BE83010"/>
    <w:rsid w:val="0BEF4205"/>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0B1B42"/>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E87F18"/>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2F708E7"/>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431BC1"/>
    <w:rsid w:val="15552317"/>
    <w:rsid w:val="15840A84"/>
    <w:rsid w:val="15A9236C"/>
    <w:rsid w:val="15AF033B"/>
    <w:rsid w:val="15C012BB"/>
    <w:rsid w:val="15D31197"/>
    <w:rsid w:val="15EA61EF"/>
    <w:rsid w:val="16031113"/>
    <w:rsid w:val="160C1329"/>
    <w:rsid w:val="16332D75"/>
    <w:rsid w:val="16502A53"/>
    <w:rsid w:val="16725D01"/>
    <w:rsid w:val="16777B9F"/>
    <w:rsid w:val="168F227C"/>
    <w:rsid w:val="169A575C"/>
    <w:rsid w:val="16A11295"/>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16B2E"/>
    <w:rsid w:val="1A587B66"/>
    <w:rsid w:val="1A5A6066"/>
    <w:rsid w:val="1A5B78E2"/>
    <w:rsid w:val="1A647FAE"/>
    <w:rsid w:val="1A654388"/>
    <w:rsid w:val="1A777345"/>
    <w:rsid w:val="1A813E1F"/>
    <w:rsid w:val="1A8357FC"/>
    <w:rsid w:val="1A9F2503"/>
    <w:rsid w:val="1AA3486A"/>
    <w:rsid w:val="1ACE692C"/>
    <w:rsid w:val="1AD86D1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7D00AF"/>
    <w:rsid w:val="1CA4277D"/>
    <w:rsid w:val="1CA86A15"/>
    <w:rsid w:val="1CBB4247"/>
    <w:rsid w:val="1CFA7EEF"/>
    <w:rsid w:val="1CFB1146"/>
    <w:rsid w:val="1D0B1F32"/>
    <w:rsid w:val="1D1338EC"/>
    <w:rsid w:val="1D37062D"/>
    <w:rsid w:val="1D3B199E"/>
    <w:rsid w:val="1D5B6D2E"/>
    <w:rsid w:val="1DB16F09"/>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B57EBC"/>
    <w:rsid w:val="1EC35424"/>
    <w:rsid w:val="1ED462A6"/>
    <w:rsid w:val="1ED734FA"/>
    <w:rsid w:val="1EDB21B2"/>
    <w:rsid w:val="1EE21D29"/>
    <w:rsid w:val="1EE72005"/>
    <w:rsid w:val="1F2B54B6"/>
    <w:rsid w:val="1F2F246F"/>
    <w:rsid w:val="1F3E1D5D"/>
    <w:rsid w:val="1F4F4B53"/>
    <w:rsid w:val="1F6E3177"/>
    <w:rsid w:val="1F6F04BA"/>
    <w:rsid w:val="1F8129BD"/>
    <w:rsid w:val="20027E74"/>
    <w:rsid w:val="2024650C"/>
    <w:rsid w:val="204663FA"/>
    <w:rsid w:val="20624FA2"/>
    <w:rsid w:val="206A094A"/>
    <w:rsid w:val="206A1137"/>
    <w:rsid w:val="20811D90"/>
    <w:rsid w:val="20835E3C"/>
    <w:rsid w:val="2084196D"/>
    <w:rsid w:val="2091237A"/>
    <w:rsid w:val="20AA1825"/>
    <w:rsid w:val="20AD0878"/>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B61564"/>
    <w:rsid w:val="22C23296"/>
    <w:rsid w:val="22CF4727"/>
    <w:rsid w:val="22E35CB6"/>
    <w:rsid w:val="22EA1840"/>
    <w:rsid w:val="22F91025"/>
    <w:rsid w:val="2309444A"/>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3B4663"/>
    <w:rsid w:val="25501E67"/>
    <w:rsid w:val="25524FA6"/>
    <w:rsid w:val="25532EC3"/>
    <w:rsid w:val="25925077"/>
    <w:rsid w:val="259C6139"/>
    <w:rsid w:val="25AF3989"/>
    <w:rsid w:val="25B24E51"/>
    <w:rsid w:val="25C73339"/>
    <w:rsid w:val="25C86149"/>
    <w:rsid w:val="25D62822"/>
    <w:rsid w:val="25F16B68"/>
    <w:rsid w:val="260663DB"/>
    <w:rsid w:val="262F0558"/>
    <w:rsid w:val="26546373"/>
    <w:rsid w:val="26841C6E"/>
    <w:rsid w:val="26934343"/>
    <w:rsid w:val="26B424FB"/>
    <w:rsid w:val="26B73D93"/>
    <w:rsid w:val="26D94133"/>
    <w:rsid w:val="26E62133"/>
    <w:rsid w:val="2728510E"/>
    <w:rsid w:val="2762237B"/>
    <w:rsid w:val="277F68D2"/>
    <w:rsid w:val="27870FB2"/>
    <w:rsid w:val="278F0AAA"/>
    <w:rsid w:val="27B84345"/>
    <w:rsid w:val="27CB7A47"/>
    <w:rsid w:val="27CF31D6"/>
    <w:rsid w:val="27E53B63"/>
    <w:rsid w:val="27F52A10"/>
    <w:rsid w:val="280E4470"/>
    <w:rsid w:val="283A36C6"/>
    <w:rsid w:val="283E405F"/>
    <w:rsid w:val="28D9203E"/>
    <w:rsid w:val="29015BC3"/>
    <w:rsid w:val="290D4568"/>
    <w:rsid w:val="29124394"/>
    <w:rsid w:val="295B4620"/>
    <w:rsid w:val="295E1181"/>
    <w:rsid w:val="298330BD"/>
    <w:rsid w:val="29B00B02"/>
    <w:rsid w:val="29B661A7"/>
    <w:rsid w:val="29DB1483"/>
    <w:rsid w:val="29DC3277"/>
    <w:rsid w:val="29FA460F"/>
    <w:rsid w:val="2A057B9E"/>
    <w:rsid w:val="2A0B6D48"/>
    <w:rsid w:val="2A165B93"/>
    <w:rsid w:val="2A397DF9"/>
    <w:rsid w:val="2A4411C6"/>
    <w:rsid w:val="2A7C5019"/>
    <w:rsid w:val="2A8E3410"/>
    <w:rsid w:val="2A95425F"/>
    <w:rsid w:val="2AA812D6"/>
    <w:rsid w:val="2ABE55CE"/>
    <w:rsid w:val="2AC017A8"/>
    <w:rsid w:val="2B127E2F"/>
    <w:rsid w:val="2B3677A4"/>
    <w:rsid w:val="2B7F5D7B"/>
    <w:rsid w:val="2B830867"/>
    <w:rsid w:val="2B9073EB"/>
    <w:rsid w:val="2BA32F62"/>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6E7857"/>
    <w:rsid w:val="2E703C46"/>
    <w:rsid w:val="2E7D3F3E"/>
    <w:rsid w:val="2E925B8D"/>
    <w:rsid w:val="2ED13170"/>
    <w:rsid w:val="2F011E82"/>
    <w:rsid w:val="2F415E64"/>
    <w:rsid w:val="2F60404A"/>
    <w:rsid w:val="2F6858EF"/>
    <w:rsid w:val="2F7674B4"/>
    <w:rsid w:val="2F77273B"/>
    <w:rsid w:val="2FC51659"/>
    <w:rsid w:val="2FCB2DE8"/>
    <w:rsid w:val="30082C17"/>
    <w:rsid w:val="301A6B35"/>
    <w:rsid w:val="30385048"/>
    <w:rsid w:val="303D78E2"/>
    <w:rsid w:val="30400DE6"/>
    <w:rsid w:val="3046030C"/>
    <w:rsid w:val="30577166"/>
    <w:rsid w:val="307048B1"/>
    <w:rsid w:val="30A8450A"/>
    <w:rsid w:val="30B147B2"/>
    <w:rsid w:val="30FE64F4"/>
    <w:rsid w:val="310D00D7"/>
    <w:rsid w:val="314A5A0E"/>
    <w:rsid w:val="31673989"/>
    <w:rsid w:val="31682139"/>
    <w:rsid w:val="317A6513"/>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42261"/>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661CB"/>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3D61BF"/>
    <w:rsid w:val="374976F8"/>
    <w:rsid w:val="37533A9C"/>
    <w:rsid w:val="37821544"/>
    <w:rsid w:val="3787676D"/>
    <w:rsid w:val="37953793"/>
    <w:rsid w:val="37977E1F"/>
    <w:rsid w:val="37A53093"/>
    <w:rsid w:val="37B24FD4"/>
    <w:rsid w:val="37E702EC"/>
    <w:rsid w:val="3821593A"/>
    <w:rsid w:val="38727414"/>
    <w:rsid w:val="38A87E0A"/>
    <w:rsid w:val="38AF4648"/>
    <w:rsid w:val="38B3392D"/>
    <w:rsid w:val="38B37C06"/>
    <w:rsid w:val="38CF5396"/>
    <w:rsid w:val="38E50A97"/>
    <w:rsid w:val="391E370A"/>
    <w:rsid w:val="392F5095"/>
    <w:rsid w:val="393C7ED6"/>
    <w:rsid w:val="39465433"/>
    <w:rsid w:val="39581B4E"/>
    <w:rsid w:val="395B6912"/>
    <w:rsid w:val="396271DB"/>
    <w:rsid w:val="39A56F77"/>
    <w:rsid w:val="39BE4A11"/>
    <w:rsid w:val="3A1C7FFB"/>
    <w:rsid w:val="3A27520A"/>
    <w:rsid w:val="3A3F6C87"/>
    <w:rsid w:val="3A40527C"/>
    <w:rsid w:val="3A465FD4"/>
    <w:rsid w:val="3A956A72"/>
    <w:rsid w:val="3AD70862"/>
    <w:rsid w:val="3AE76311"/>
    <w:rsid w:val="3AF4740A"/>
    <w:rsid w:val="3B1109C9"/>
    <w:rsid w:val="3B1D063B"/>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7722E4"/>
    <w:rsid w:val="3FE36C1C"/>
    <w:rsid w:val="3FEB19D5"/>
    <w:rsid w:val="3FF15ABF"/>
    <w:rsid w:val="40340044"/>
    <w:rsid w:val="404E6731"/>
    <w:rsid w:val="40661E5E"/>
    <w:rsid w:val="406E45AD"/>
    <w:rsid w:val="407C0CAD"/>
    <w:rsid w:val="40924D64"/>
    <w:rsid w:val="40963A57"/>
    <w:rsid w:val="40B652F6"/>
    <w:rsid w:val="40D16C5D"/>
    <w:rsid w:val="40F313EE"/>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3F1622"/>
    <w:rsid w:val="44437D45"/>
    <w:rsid w:val="44460A9F"/>
    <w:rsid w:val="447137A5"/>
    <w:rsid w:val="4478624B"/>
    <w:rsid w:val="4493367B"/>
    <w:rsid w:val="44A72843"/>
    <w:rsid w:val="44AB74B4"/>
    <w:rsid w:val="44B2771E"/>
    <w:rsid w:val="44B8368E"/>
    <w:rsid w:val="451D5338"/>
    <w:rsid w:val="452905F3"/>
    <w:rsid w:val="4531085A"/>
    <w:rsid w:val="456A35B3"/>
    <w:rsid w:val="459E711B"/>
    <w:rsid w:val="45A45439"/>
    <w:rsid w:val="45B4675B"/>
    <w:rsid w:val="45CA7348"/>
    <w:rsid w:val="45CB72CE"/>
    <w:rsid w:val="45CC3D42"/>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155047"/>
    <w:rsid w:val="49276E58"/>
    <w:rsid w:val="494B4338"/>
    <w:rsid w:val="497C5511"/>
    <w:rsid w:val="49A779DD"/>
    <w:rsid w:val="49B65DC9"/>
    <w:rsid w:val="4A131AB1"/>
    <w:rsid w:val="4A200F8B"/>
    <w:rsid w:val="4A34760C"/>
    <w:rsid w:val="4A64259A"/>
    <w:rsid w:val="4A8E50B1"/>
    <w:rsid w:val="4A9D70A2"/>
    <w:rsid w:val="4AA246B9"/>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60EA1"/>
    <w:rsid w:val="4CCD70EB"/>
    <w:rsid w:val="4CD15334"/>
    <w:rsid w:val="4CDC2AC2"/>
    <w:rsid w:val="4CDE204D"/>
    <w:rsid w:val="4CEF194A"/>
    <w:rsid w:val="4D021D86"/>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764366"/>
    <w:rsid w:val="4FA710E2"/>
    <w:rsid w:val="4FED507D"/>
    <w:rsid w:val="4FFB62E9"/>
    <w:rsid w:val="501C4E89"/>
    <w:rsid w:val="502B325D"/>
    <w:rsid w:val="505D795E"/>
    <w:rsid w:val="50630959"/>
    <w:rsid w:val="508060C6"/>
    <w:rsid w:val="50D37CC2"/>
    <w:rsid w:val="50DD3BA3"/>
    <w:rsid w:val="50E61CAB"/>
    <w:rsid w:val="50E8074E"/>
    <w:rsid w:val="5132754D"/>
    <w:rsid w:val="513564CC"/>
    <w:rsid w:val="514E3A09"/>
    <w:rsid w:val="517C3AF1"/>
    <w:rsid w:val="51915B3D"/>
    <w:rsid w:val="519F5121"/>
    <w:rsid w:val="521D6D1B"/>
    <w:rsid w:val="5229273F"/>
    <w:rsid w:val="52547228"/>
    <w:rsid w:val="529432E6"/>
    <w:rsid w:val="52A8026E"/>
    <w:rsid w:val="52C56B9D"/>
    <w:rsid w:val="52EC7710"/>
    <w:rsid w:val="52F24D5C"/>
    <w:rsid w:val="532C197B"/>
    <w:rsid w:val="534C6115"/>
    <w:rsid w:val="53526154"/>
    <w:rsid w:val="53561F88"/>
    <w:rsid w:val="536B5C40"/>
    <w:rsid w:val="53890B0C"/>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01CF9"/>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41DE6"/>
    <w:rsid w:val="55D70990"/>
    <w:rsid w:val="55DD38ED"/>
    <w:rsid w:val="55E72D6A"/>
    <w:rsid w:val="561641AD"/>
    <w:rsid w:val="561A3EA2"/>
    <w:rsid w:val="56231E5E"/>
    <w:rsid w:val="56262642"/>
    <w:rsid w:val="562B6E6C"/>
    <w:rsid w:val="56434C8D"/>
    <w:rsid w:val="564A7C08"/>
    <w:rsid w:val="5651602C"/>
    <w:rsid w:val="56723AD9"/>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7DD31A9"/>
    <w:rsid w:val="58082218"/>
    <w:rsid w:val="581028EA"/>
    <w:rsid w:val="582901C7"/>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C607C"/>
    <w:rsid w:val="5A9F6060"/>
    <w:rsid w:val="5ACF7403"/>
    <w:rsid w:val="5B0F4E22"/>
    <w:rsid w:val="5B46719F"/>
    <w:rsid w:val="5B5437AD"/>
    <w:rsid w:val="5B5C77D3"/>
    <w:rsid w:val="5B737DCF"/>
    <w:rsid w:val="5BA42A14"/>
    <w:rsid w:val="5BB47CCC"/>
    <w:rsid w:val="5BB97AB4"/>
    <w:rsid w:val="5BD05B9D"/>
    <w:rsid w:val="5BD343E6"/>
    <w:rsid w:val="5BD77F69"/>
    <w:rsid w:val="5BE00F61"/>
    <w:rsid w:val="5BFB5206"/>
    <w:rsid w:val="5C7A5495"/>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BE53E1"/>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980A56"/>
    <w:rsid w:val="60B442A8"/>
    <w:rsid w:val="60FD7810"/>
    <w:rsid w:val="61013040"/>
    <w:rsid w:val="61075284"/>
    <w:rsid w:val="610E310A"/>
    <w:rsid w:val="611C35B8"/>
    <w:rsid w:val="611D1C0E"/>
    <w:rsid w:val="614D09BF"/>
    <w:rsid w:val="61A25580"/>
    <w:rsid w:val="61AE7556"/>
    <w:rsid w:val="61C55F7F"/>
    <w:rsid w:val="61CA3612"/>
    <w:rsid w:val="61D41854"/>
    <w:rsid w:val="61F46458"/>
    <w:rsid w:val="6217502E"/>
    <w:rsid w:val="62282B27"/>
    <w:rsid w:val="623E360E"/>
    <w:rsid w:val="625A6442"/>
    <w:rsid w:val="629628FD"/>
    <w:rsid w:val="62C31135"/>
    <w:rsid w:val="62C76106"/>
    <w:rsid w:val="62CC474C"/>
    <w:rsid w:val="62FF72FE"/>
    <w:rsid w:val="63491372"/>
    <w:rsid w:val="637B0B27"/>
    <w:rsid w:val="63874046"/>
    <w:rsid w:val="638B4892"/>
    <w:rsid w:val="638B7F88"/>
    <w:rsid w:val="639A766B"/>
    <w:rsid w:val="639B20E8"/>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2A37D1"/>
    <w:rsid w:val="65532D27"/>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3299C"/>
    <w:rsid w:val="68374646"/>
    <w:rsid w:val="6851003F"/>
    <w:rsid w:val="68532F31"/>
    <w:rsid w:val="685D1197"/>
    <w:rsid w:val="685F2B0C"/>
    <w:rsid w:val="686A5890"/>
    <w:rsid w:val="686E4CA0"/>
    <w:rsid w:val="6870598D"/>
    <w:rsid w:val="68CD56D6"/>
    <w:rsid w:val="68CE0878"/>
    <w:rsid w:val="68DF3F07"/>
    <w:rsid w:val="68E14DD2"/>
    <w:rsid w:val="68FD040E"/>
    <w:rsid w:val="68FF17F8"/>
    <w:rsid w:val="69164798"/>
    <w:rsid w:val="691F6273"/>
    <w:rsid w:val="69316D4E"/>
    <w:rsid w:val="6938799E"/>
    <w:rsid w:val="697221B5"/>
    <w:rsid w:val="697A4875"/>
    <w:rsid w:val="69875626"/>
    <w:rsid w:val="699851AD"/>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51B05"/>
    <w:rsid w:val="6D09664F"/>
    <w:rsid w:val="6D1A3ED2"/>
    <w:rsid w:val="6D1C5D45"/>
    <w:rsid w:val="6D2052F1"/>
    <w:rsid w:val="6D2A1AE4"/>
    <w:rsid w:val="6D2C0363"/>
    <w:rsid w:val="6D420584"/>
    <w:rsid w:val="6D4556BC"/>
    <w:rsid w:val="6D4C69DA"/>
    <w:rsid w:val="6D7C6B86"/>
    <w:rsid w:val="6D886D51"/>
    <w:rsid w:val="6D98425A"/>
    <w:rsid w:val="6D9C4CB2"/>
    <w:rsid w:val="6DAC52D8"/>
    <w:rsid w:val="6DCC4C0D"/>
    <w:rsid w:val="6DE52F24"/>
    <w:rsid w:val="6E096679"/>
    <w:rsid w:val="6E0D5193"/>
    <w:rsid w:val="6E2B38B7"/>
    <w:rsid w:val="6E42100A"/>
    <w:rsid w:val="6E4341AC"/>
    <w:rsid w:val="6E647424"/>
    <w:rsid w:val="6E7900AA"/>
    <w:rsid w:val="6E9D5BDB"/>
    <w:rsid w:val="6ED668E5"/>
    <w:rsid w:val="6F436F8F"/>
    <w:rsid w:val="6F4D5562"/>
    <w:rsid w:val="6F563B40"/>
    <w:rsid w:val="6F663712"/>
    <w:rsid w:val="6F69285A"/>
    <w:rsid w:val="6F6D69E8"/>
    <w:rsid w:val="6F7874E2"/>
    <w:rsid w:val="6F8B29B5"/>
    <w:rsid w:val="6F9B0752"/>
    <w:rsid w:val="6FD156E3"/>
    <w:rsid w:val="6FED75FB"/>
    <w:rsid w:val="6FFA27F6"/>
    <w:rsid w:val="70041560"/>
    <w:rsid w:val="700C0E0A"/>
    <w:rsid w:val="703467FC"/>
    <w:rsid w:val="70381498"/>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17FC1"/>
    <w:rsid w:val="73221860"/>
    <w:rsid w:val="7338174B"/>
    <w:rsid w:val="733A4EF6"/>
    <w:rsid w:val="733D0234"/>
    <w:rsid w:val="733E33D3"/>
    <w:rsid w:val="733F0360"/>
    <w:rsid w:val="736519E7"/>
    <w:rsid w:val="73773239"/>
    <w:rsid w:val="7381241B"/>
    <w:rsid w:val="73835DC4"/>
    <w:rsid w:val="73C6500C"/>
    <w:rsid w:val="73C761B5"/>
    <w:rsid w:val="73C97C37"/>
    <w:rsid w:val="73D872D7"/>
    <w:rsid w:val="73F956D4"/>
    <w:rsid w:val="73F97190"/>
    <w:rsid w:val="73FA14E3"/>
    <w:rsid w:val="740A7F35"/>
    <w:rsid w:val="742D4CA1"/>
    <w:rsid w:val="74336AF3"/>
    <w:rsid w:val="74613585"/>
    <w:rsid w:val="746C5BB4"/>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684159"/>
    <w:rsid w:val="768C0572"/>
    <w:rsid w:val="76944E76"/>
    <w:rsid w:val="769A26CA"/>
    <w:rsid w:val="769E07AD"/>
    <w:rsid w:val="76AB3C70"/>
    <w:rsid w:val="76C34928"/>
    <w:rsid w:val="76D161A2"/>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6A2721"/>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CD95DB0"/>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Normal Indent"/>
    <w:basedOn w:val="1"/>
    <w:next w:val="1"/>
    <w:qFormat/>
    <w:uiPriority w:val="0"/>
    <w:pPr>
      <w:ind w:firstLine="420"/>
    </w:pPr>
    <w:rPr>
      <w:szCs w:val="20"/>
    </w:rPr>
  </w:style>
  <w:style w:type="paragraph" w:styleId="7">
    <w:name w:val="List Number"/>
    <w:basedOn w:val="1"/>
    <w:qFormat/>
    <w:uiPriority w:val="0"/>
    <w:pPr>
      <w:numPr>
        <w:ilvl w:val="0"/>
        <w:numId w:val="2"/>
      </w:numPr>
    </w:pPr>
  </w:style>
  <w:style w:type="paragraph" w:styleId="8">
    <w:name w:val="List Bullet"/>
    <w:basedOn w:val="1"/>
    <w:next w:val="1"/>
    <w:qFormat/>
    <w:uiPriority w:val="0"/>
    <w:pPr>
      <w:numPr>
        <w:ilvl w:val="0"/>
        <w:numId w:val="3"/>
      </w:numPr>
    </w:pPr>
  </w:style>
  <w:style w:type="paragraph" w:styleId="9">
    <w:name w:val="annotation text"/>
    <w:basedOn w:val="1"/>
    <w:link w:val="74"/>
    <w:qFormat/>
    <w:uiPriority w:val="0"/>
    <w:pPr>
      <w:jc w:val="left"/>
    </w:pPr>
  </w:style>
  <w:style w:type="paragraph" w:styleId="10">
    <w:name w:val="Body Text"/>
    <w:basedOn w:val="1"/>
    <w:next w:val="1"/>
    <w:qFormat/>
    <w:uiPriority w:val="0"/>
    <w:pPr>
      <w:spacing w:line="360" w:lineRule="exact"/>
    </w:pPr>
    <w:rPr>
      <w:sz w:val="24"/>
    </w:rPr>
  </w:style>
  <w:style w:type="paragraph" w:styleId="11">
    <w:name w:val="Body Text Indent"/>
    <w:basedOn w:val="1"/>
    <w:next w:val="1"/>
    <w:qFormat/>
    <w:uiPriority w:val="0"/>
    <w:pPr>
      <w:spacing w:after="120"/>
      <w:ind w:left="420" w:leftChars="200"/>
    </w:pPr>
  </w:style>
  <w:style w:type="paragraph" w:styleId="12">
    <w:name w:val="List Bullet 2"/>
    <w:basedOn w:val="1"/>
    <w:next w:val="8"/>
    <w:qFormat/>
    <w:uiPriority w:val="0"/>
    <w:pPr>
      <w:numPr>
        <w:ilvl w:val="0"/>
        <w:numId w:val="4"/>
      </w:numPr>
    </w:pPr>
  </w:style>
  <w:style w:type="paragraph" w:styleId="13">
    <w:name w:val="Plain Text"/>
    <w:basedOn w:val="1"/>
    <w:next w:val="14"/>
    <w:link w:val="66"/>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6"/>
    <w:qFormat/>
    <w:uiPriority w:val="0"/>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unhideWhenUsed/>
    <w:qFormat/>
    <w:uiPriority w:val="39"/>
    <w:pPr>
      <w:ind w:left="2100" w:leftChars="1000"/>
    </w:pPr>
    <w:rPr>
      <w:rFonts w:ascii="Calibri" w:hAnsi="Calibri"/>
    </w:rPr>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qFormat/>
    <w:uiPriority w:val="0"/>
    <w:pPr>
      <w:spacing w:before="240" w:after="60"/>
      <w:jc w:val="center"/>
      <w:outlineLvl w:val="0"/>
    </w:pPr>
    <w:rPr>
      <w:rFonts w:ascii="Cambria" w:hAnsi="Cambria"/>
      <w:b/>
      <w:bCs/>
      <w:kern w:val="0"/>
      <w:sz w:val="32"/>
      <w:szCs w:val="32"/>
    </w:rPr>
  </w:style>
  <w:style w:type="paragraph" w:styleId="22">
    <w:name w:val="annotation subject"/>
    <w:basedOn w:val="9"/>
    <w:next w:val="9"/>
    <w:link w:val="75"/>
    <w:qFormat/>
    <w:uiPriority w:val="0"/>
    <w:rPr>
      <w:b/>
      <w:bCs/>
    </w:rPr>
  </w:style>
  <w:style w:type="paragraph" w:styleId="23">
    <w:name w:val="Body Text First Indent"/>
    <w:basedOn w:val="10"/>
    <w:next w:val="1"/>
    <w:link w:val="76"/>
    <w:qFormat/>
    <w:uiPriority w:val="0"/>
    <w:pPr>
      <w:ind w:firstLine="200" w:firstLineChars="200"/>
    </w:pPr>
  </w:style>
  <w:style w:type="paragraph" w:styleId="24">
    <w:name w:val="Body Text First Indent 2"/>
    <w:basedOn w:val="11"/>
    <w:next w:val="1"/>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4、正文"/>
    <w:basedOn w:val="1"/>
    <w:qFormat/>
    <w:uiPriority w:val="0"/>
    <w:pPr>
      <w:ind w:firstLine="200" w:firstLineChars="200"/>
    </w:pPr>
    <w:rPr>
      <w:rFonts w:ascii="宋体"/>
      <w:sz w:val="24"/>
      <w:szCs w:val="28"/>
    </w:rPr>
  </w:style>
  <w:style w:type="paragraph" w:customStyle="1" w:styleId="32">
    <w:name w:val="表格文字"/>
    <w:basedOn w:val="1"/>
    <w:next w:val="10"/>
    <w:qFormat/>
    <w:uiPriority w:val="0"/>
    <w:pPr>
      <w:jc w:val="left"/>
      <w:textAlignment w:val="top"/>
    </w:pPr>
    <w:rPr>
      <w:sz w:val="18"/>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0"/>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7"/>
    <w:qFormat/>
    <w:uiPriority w:val="0"/>
    <w:rPr>
      <w:rFonts w:hint="default" w:ascii="Arial" w:hAnsi="Arial" w:cs="Arial"/>
      <w:color w:val="000000"/>
      <w:sz w:val="20"/>
      <w:szCs w:val="20"/>
      <w:u w:val="none"/>
    </w:rPr>
  </w:style>
  <w:style w:type="character" w:customStyle="1" w:styleId="50">
    <w:name w:val="font01"/>
    <w:basedOn w:val="27"/>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批注框文本 字符"/>
    <w:basedOn w:val="27"/>
    <w:link w:val="15"/>
    <w:qFormat/>
    <w:uiPriority w:val="0"/>
    <w:rPr>
      <w:kern w:val="2"/>
      <w:sz w:val="18"/>
      <w:szCs w:val="18"/>
    </w:rPr>
  </w:style>
  <w:style w:type="paragraph" w:customStyle="1" w:styleId="57">
    <w:name w:val="英文"/>
    <w:basedOn w:val="1"/>
    <w:link w:val="59"/>
    <w:qFormat/>
    <w:uiPriority w:val="0"/>
    <w:pPr>
      <w:adjustRightInd w:val="0"/>
      <w:snapToGrid w:val="0"/>
      <w:spacing w:line="360" w:lineRule="auto"/>
      <w:ind w:firstLine="480" w:firstLineChars="200"/>
    </w:pPr>
    <w:rPr>
      <w:rFonts w:ascii="Arial" w:hAnsi="Arial" w:cs="Arial"/>
      <w:sz w:val="24"/>
    </w:rPr>
  </w:style>
  <w:style w:type="paragraph" w:customStyle="1" w:styleId="58">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9">
    <w:name w:val="英文 Char"/>
    <w:link w:val="57"/>
    <w:qFormat/>
    <w:uiPriority w:val="0"/>
    <w:rPr>
      <w:rFonts w:ascii="Arial" w:hAnsi="Arial" w:cs="Arial"/>
      <w:sz w:val="24"/>
    </w:rPr>
  </w:style>
  <w:style w:type="paragraph" w:customStyle="1" w:styleId="60">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1">
    <w:name w:val="正文段落"/>
    <w:basedOn w:val="1"/>
    <w:qFormat/>
    <w:uiPriority w:val="0"/>
    <w:pPr>
      <w:spacing w:line="360" w:lineRule="auto"/>
      <w:ind w:firstLine="200" w:firstLineChars="200"/>
    </w:pPr>
    <w:rPr>
      <w:rFonts w:eastAsia="仿宋"/>
      <w:sz w:val="28"/>
    </w:rPr>
  </w:style>
  <w:style w:type="paragraph" w:customStyle="1" w:styleId="62">
    <w:name w:val="Normal Indent1"/>
    <w:basedOn w:val="1"/>
    <w:qFormat/>
    <w:uiPriority w:val="0"/>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列表段落1"/>
    <w:basedOn w:val="1"/>
    <w:qFormat/>
    <w:uiPriority w:val="0"/>
    <w:pPr>
      <w:ind w:firstLine="420" w:firstLineChars="200"/>
    </w:pPr>
  </w:style>
  <w:style w:type="character" w:customStyle="1" w:styleId="66">
    <w:name w:val="纯文本 字符"/>
    <w:link w:val="13"/>
    <w:qFormat/>
    <w:uiPriority w:val="0"/>
    <w:rPr>
      <w:rFonts w:ascii="宋体" w:hAnsi="Courier New" w:cstheme="minorBidi"/>
      <w:kern w:val="2"/>
      <w:sz w:val="21"/>
      <w:szCs w:val="24"/>
    </w:rPr>
  </w:style>
  <w:style w:type="character" w:customStyle="1" w:styleId="67">
    <w:name w:val="NormalCharacter"/>
    <w:qFormat/>
    <w:uiPriority w:val="0"/>
  </w:style>
  <w:style w:type="paragraph" w:customStyle="1" w:styleId="68">
    <w:name w:val="UserStyle_4"/>
    <w:basedOn w:val="1"/>
    <w:qFormat/>
    <w:uiPriority w:val="0"/>
    <w:pPr>
      <w:ind w:firstLine="420" w:firstLineChars="200"/>
    </w:pPr>
    <w:rPr>
      <w:sz w:val="24"/>
    </w:rPr>
  </w:style>
  <w:style w:type="paragraph" w:customStyle="1" w:styleId="69">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0">
    <w:name w:val="UserStyle_48"/>
    <w:basedOn w:val="1"/>
    <w:qFormat/>
    <w:uiPriority w:val="0"/>
    <w:pPr>
      <w:ind w:firstLine="420" w:firstLineChars="200"/>
    </w:pPr>
    <w:rPr>
      <w:szCs w:val="21"/>
    </w:rPr>
  </w:style>
  <w:style w:type="paragraph" w:customStyle="1" w:styleId="71">
    <w:name w:val="PlainText"/>
    <w:basedOn w:val="1"/>
    <w:qFormat/>
    <w:uiPriority w:val="0"/>
    <w:pPr>
      <w:spacing w:before="156" w:after="156" w:line="400" w:lineRule="atLeast"/>
    </w:pPr>
    <w:rPr>
      <w:rFonts w:ascii="宋体" w:hAnsi="Courier New"/>
      <w:sz w:val="24"/>
    </w:rPr>
  </w:style>
  <w:style w:type="paragraph" w:customStyle="1" w:styleId="72">
    <w:name w:val="UserStyle_29"/>
    <w:basedOn w:val="1"/>
    <w:qFormat/>
    <w:uiPriority w:val="0"/>
    <w:pPr>
      <w:ind w:firstLine="420" w:firstLineChars="200"/>
    </w:pPr>
    <w:rPr>
      <w:szCs w:val="22"/>
    </w:rPr>
  </w:style>
  <w:style w:type="table" w:customStyle="1" w:styleId="73">
    <w:name w:val="Table Normal"/>
    <w:unhideWhenUsed/>
    <w:qFormat/>
    <w:uiPriority w:val="0"/>
    <w:tblPr>
      <w:tblCellMar>
        <w:top w:w="0" w:type="dxa"/>
        <w:left w:w="0" w:type="dxa"/>
        <w:bottom w:w="0" w:type="dxa"/>
        <w:right w:w="0" w:type="dxa"/>
      </w:tblCellMar>
    </w:tblPr>
  </w:style>
  <w:style w:type="character" w:customStyle="1" w:styleId="74">
    <w:name w:val="批注文字 字符"/>
    <w:basedOn w:val="27"/>
    <w:link w:val="9"/>
    <w:qFormat/>
    <w:uiPriority w:val="0"/>
    <w:rPr>
      <w:kern w:val="2"/>
      <w:sz w:val="21"/>
      <w:szCs w:val="24"/>
    </w:rPr>
  </w:style>
  <w:style w:type="character" w:customStyle="1" w:styleId="75">
    <w:name w:val="批注主题 字符"/>
    <w:basedOn w:val="74"/>
    <w:link w:val="22"/>
    <w:qFormat/>
    <w:uiPriority w:val="0"/>
    <w:rPr>
      <w:b/>
      <w:bCs/>
      <w:kern w:val="2"/>
      <w:sz w:val="21"/>
      <w:szCs w:val="24"/>
    </w:rPr>
  </w:style>
  <w:style w:type="character" w:customStyle="1" w:styleId="76">
    <w:name w:val="正文文本首行缩进 字符"/>
    <w:basedOn w:val="27"/>
    <w:link w:val="23"/>
    <w:qFormat/>
    <w:uiPriority w:val="0"/>
    <w:rPr>
      <w:kern w:val="2"/>
      <w:sz w:val="24"/>
      <w:szCs w:val="24"/>
    </w:rPr>
  </w:style>
  <w:style w:type="paragraph" w:customStyle="1" w:styleId="77">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8">
    <w:name w:val="Unresolved Mention"/>
    <w:basedOn w:val="27"/>
    <w:semiHidden/>
    <w:unhideWhenUsed/>
    <w:qFormat/>
    <w:uiPriority w:val="99"/>
    <w:rPr>
      <w:color w:val="605E5C"/>
      <w:shd w:val="clear" w:color="auto" w:fill="E1DFDD"/>
    </w:rPr>
  </w:style>
  <w:style w:type="character" w:customStyle="1" w:styleId="79">
    <w:name w:val="font11"/>
    <w:basedOn w:val="27"/>
    <w:qFormat/>
    <w:uiPriority w:val="0"/>
    <w:rPr>
      <w:rFonts w:hint="eastAsia" w:ascii="宋体" w:hAnsi="宋体" w:eastAsia="宋体" w:cs="宋体"/>
      <w:color w:val="000000"/>
      <w:sz w:val="22"/>
      <w:szCs w:val="22"/>
      <w:u w:val="none"/>
    </w:rPr>
  </w:style>
  <w:style w:type="character" w:customStyle="1" w:styleId="80">
    <w:name w:val="font61"/>
    <w:basedOn w:val="27"/>
    <w:qFormat/>
    <w:uiPriority w:val="0"/>
    <w:rPr>
      <w:rFonts w:hint="eastAsia" w:ascii="宋体" w:hAnsi="宋体" w:eastAsia="宋体" w:cs="宋体"/>
      <w:color w:val="000000"/>
      <w:sz w:val="18"/>
      <w:szCs w:val="18"/>
      <w:u w:val="none"/>
    </w:rPr>
  </w:style>
  <w:style w:type="paragraph" w:customStyle="1" w:styleId="81">
    <w:name w:val="样式 正文文本缩进 + 左  0 字符"/>
    <w:basedOn w:val="1"/>
    <w:qFormat/>
    <w:uiPriority w:val="0"/>
    <w:pPr>
      <w:spacing w:beforeLines="50"/>
      <w:ind w:firstLine="480" w:firstLineChars="200"/>
    </w:pPr>
    <w:rPr>
      <w:rFonts w:ascii="Calibri" w:hAnsi="Calibri" w:eastAsia="宋体" w:cs="Times New Roman"/>
      <w:szCs w:val="22"/>
    </w:rPr>
  </w:style>
  <w:style w:type="paragraph" w:styleId="82">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54</Pages>
  <Words>25588</Words>
  <Characters>27625</Characters>
  <Lines>169</Lines>
  <Paragraphs>47</Paragraphs>
  <TotalTime>106</TotalTime>
  <ScaleCrop>false</ScaleCrop>
  <LinksUpToDate>false</LinksUpToDate>
  <CharactersWithSpaces>28786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WPS_1666141675</cp:lastModifiedBy>
  <cp:lastPrinted>2023-07-18T00:34:00Z</cp:lastPrinted>
  <dcterms:modified xsi:type="dcterms:W3CDTF">2023-09-12T01:33:41Z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59DE7B264D2C4667A104AF12BB045469_13</vt:lpwstr>
  </property>
  <property fmtid="{D5CDD505-2E9C-101B-9397-08002B2CF9AE}" pid="4" name="commondata">
    <vt:lpwstr>eyJoZGlkIjoiZWM5NTczMTg4N2ExZWZmMDU0MmIxMDc2NTJiZjIxOTMifQ==</vt:lpwstr>
  </property>
</Properties>
</file>