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pPr>
        <w:pStyle w:val="77"/>
        <w:jc w:val="center"/>
        <w:rPr>
          <w:b/>
          <w:bCs/>
          <w:color w:val="auto"/>
          <w:sz w:val="36"/>
          <w:szCs w:val="40"/>
          <w:highlight w:val="none"/>
        </w:rPr>
      </w:pPr>
      <w:r>
        <w:rPr>
          <w:rFonts w:hint="eastAsia"/>
          <w:b/>
          <w:bCs/>
          <w:color w:val="auto"/>
          <w:sz w:val="36"/>
          <w:szCs w:val="40"/>
          <w:highlight w:val="none"/>
          <w:lang w:eastAsia="zh-CN"/>
        </w:rPr>
        <w:t>台州湾新区重点防御区和承灾体海水越堤淹没调查评估和风险预警试点项目（重新招标）</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b/>
          <w:color w:val="auto"/>
          <w:kern w:val="0"/>
          <w:sz w:val="32"/>
          <w:highlight w:val="none"/>
        </w:rPr>
      </w:pPr>
      <w:r>
        <w:rPr>
          <w:rFonts w:hint="eastAsia" w:ascii="宋体" w:hAnsi="宋体" w:cs="Calibri Light"/>
          <w:color w:val="auto"/>
          <w:kern w:val="0"/>
          <w:szCs w:val="28"/>
          <w:highlight w:val="none"/>
        </w:rPr>
        <w:t>采购编号：</w:t>
      </w:r>
      <w:r>
        <w:rPr>
          <w:rFonts w:hint="eastAsia" w:ascii="宋体" w:hAnsi="宋体" w:cs="Calibri Light"/>
          <w:color w:val="auto"/>
          <w:kern w:val="0"/>
          <w:szCs w:val="28"/>
          <w:highlight w:val="none"/>
        </w:rPr>
        <w:fldChar w:fldCharType="begin"/>
      </w:r>
      <w:r>
        <w:rPr>
          <w:rFonts w:hint="eastAsia" w:ascii="宋体" w:hAnsi="宋体" w:cs="Calibri Light"/>
          <w:color w:val="auto"/>
          <w:kern w:val="0"/>
          <w:szCs w:val="28"/>
          <w:highlight w:val="none"/>
        </w:rPr>
        <w:instrText xml:space="preserve"> HYPERLINK "http://www.tzwztb.com/ztb/Framework/Main/Default.aspx?p=01001&amp;PrjId=I3310005276000328001" </w:instrText>
      </w:r>
      <w:r>
        <w:rPr>
          <w:rFonts w:hint="eastAsia" w:ascii="宋体" w:hAnsi="宋体" w:cs="Calibri Light"/>
          <w:color w:val="auto"/>
          <w:kern w:val="0"/>
          <w:szCs w:val="28"/>
          <w:highlight w:val="none"/>
        </w:rPr>
        <w:fldChar w:fldCharType="separate"/>
      </w:r>
      <w:r>
        <w:rPr>
          <w:rFonts w:hint="eastAsia" w:ascii="宋体" w:hAnsi="宋体" w:cs="Calibri Light"/>
          <w:color w:val="auto"/>
          <w:kern w:val="0"/>
          <w:szCs w:val="28"/>
          <w:highlight w:val="none"/>
          <w:lang w:eastAsia="zh-CN"/>
        </w:rPr>
        <w:t>QBJ2023186</w:t>
      </w:r>
      <w:r>
        <w:rPr>
          <w:rFonts w:hint="eastAsia" w:ascii="宋体" w:hAnsi="宋体" w:cs="Calibri Light"/>
          <w:color w:val="auto"/>
          <w:kern w:val="0"/>
          <w:szCs w:val="28"/>
          <w:highlight w:val="none"/>
        </w:rPr>
        <w:fldChar w:fldCharType="end"/>
      </w:r>
      <w:r>
        <w:rPr>
          <w:rFonts w:hint="eastAsia" w:ascii="宋体" w:hAnsi="宋体" w:cs="Calibri Light"/>
          <w:color w:val="auto"/>
          <w:kern w:val="0"/>
          <w:szCs w:val="28"/>
          <w:highlight w:val="none"/>
        </w:rPr>
        <w:t xml:space="preserve">   </w:t>
      </w:r>
      <w:r>
        <w:rPr>
          <w:rFonts w:ascii="宋体" w:hAnsi="宋体" w:cs="Calibri Light"/>
          <w:color w:val="auto"/>
          <w:kern w:val="0"/>
          <w:szCs w:val="28"/>
          <w:highlight w:val="none"/>
        </w:rPr>
        <w:t xml:space="preserve">    </w:t>
      </w:r>
    </w:p>
    <w:p>
      <w:pPr>
        <w:tabs>
          <w:tab w:val="left" w:pos="1260"/>
        </w:tabs>
        <w:spacing w:line="640" w:lineRule="exact"/>
        <w:outlineLvl w:val="0"/>
        <w:rPr>
          <w:rFonts w:hint="eastAsia" w:ascii="宋体" w:hAnsi="宋体"/>
          <w:color w:val="auto"/>
          <w:spacing w:val="20"/>
          <w:kern w:val="21"/>
          <w:sz w:val="30"/>
          <w:szCs w:val="30"/>
          <w:highlight w:val="none"/>
        </w:rPr>
      </w:pPr>
    </w:p>
    <w:p>
      <w:pPr>
        <w:tabs>
          <w:tab w:val="left" w:pos="1260"/>
        </w:tabs>
        <w:spacing w:line="640" w:lineRule="exact"/>
        <w:ind w:firstLine="1020" w:firstLineChars="300"/>
        <w:outlineLvl w:val="0"/>
        <w:rPr>
          <w:rFonts w:hint="eastAsia"/>
          <w:color w:val="auto"/>
          <w:sz w:val="28"/>
          <w:highlight w:val="none"/>
          <w:u w:val="single"/>
          <w:lang w:eastAsia="zh-CN"/>
        </w:rPr>
      </w:pPr>
      <w:r>
        <w:rPr>
          <w:rFonts w:hint="eastAsia" w:ascii="宋体" w:hAnsi="宋体"/>
          <w:color w:val="auto"/>
          <w:spacing w:val="20"/>
          <w:kern w:val="21"/>
          <w:sz w:val="30"/>
          <w:szCs w:val="30"/>
          <w:highlight w:val="none"/>
        </w:rPr>
        <w:t>采购人：</w:t>
      </w:r>
      <w:r>
        <w:rPr>
          <w:rFonts w:hint="eastAsia"/>
          <w:color w:val="auto"/>
          <w:sz w:val="28"/>
          <w:highlight w:val="none"/>
          <w:u w:val="single"/>
          <w:lang w:eastAsia="zh-CN"/>
        </w:rPr>
        <w:t>台州市自然资源和规划局台州湾新区（高新区）</w:t>
      </w:r>
    </w:p>
    <w:p>
      <w:pPr>
        <w:tabs>
          <w:tab w:val="left" w:pos="1260"/>
        </w:tabs>
        <w:spacing w:line="640" w:lineRule="exact"/>
        <w:ind w:firstLine="2520" w:firstLineChars="900"/>
        <w:outlineLvl w:val="0"/>
        <w:rPr>
          <w:rFonts w:ascii="宋体" w:hAnsi="宋体"/>
          <w:color w:val="auto"/>
          <w:spacing w:val="20"/>
          <w:kern w:val="21"/>
          <w:sz w:val="30"/>
          <w:szCs w:val="30"/>
          <w:highlight w:val="none"/>
        </w:rPr>
      </w:pPr>
      <w:r>
        <w:rPr>
          <w:rFonts w:hint="eastAsia"/>
          <w:color w:val="auto"/>
          <w:sz w:val="28"/>
          <w:highlight w:val="none"/>
          <w:u w:val="single"/>
          <w:lang w:eastAsia="zh-CN"/>
        </w:rPr>
        <w:t>分局</w:t>
      </w:r>
      <w:r>
        <w:rPr>
          <w:rFonts w:hint="eastAsia" w:ascii="宋体" w:hAnsi="宋体"/>
          <w:color w:val="auto"/>
          <w:spacing w:val="20"/>
          <w:kern w:val="21"/>
          <w:sz w:val="30"/>
          <w:szCs w:val="30"/>
          <w:highlight w:val="none"/>
        </w:rPr>
        <w:t>（盖章）</w:t>
      </w:r>
    </w:p>
    <w:p>
      <w:pPr>
        <w:spacing w:line="640" w:lineRule="exact"/>
        <w:ind w:firstLine="1020" w:firstLineChars="300"/>
        <w:outlineLvl w:val="0"/>
        <w:rPr>
          <w:rFonts w:hint="eastAsia" w:ascii="宋体" w:hAnsi="宋体"/>
          <w:color w:val="auto"/>
          <w:spacing w:val="20"/>
          <w:kern w:val="21"/>
          <w:sz w:val="30"/>
          <w:szCs w:val="30"/>
          <w:highlight w:val="none"/>
        </w:rPr>
      </w:pPr>
      <w:r>
        <w:rPr>
          <w:rFonts w:hint="eastAsia" w:ascii="宋体" w:hAnsi="宋体"/>
          <w:color w:val="auto"/>
          <w:spacing w:val="20"/>
          <w:kern w:val="21"/>
          <w:sz w:val="30"/>
          <w:szCs w:val="30"/>
          <w:highlight w:val="none"/>
        </w:rPr>
        <w:t>联 系 人：</w:t>
      </w:r>
      <w:r>
        <w:rPr>
          <w:rFonts w:hint="eastAsia" w:hAnsi="宋体"/>
          <w:color w:val="auto"/>
          <w:sz w:val="28"/>
          <w:highlight w:val="none"/>
          <w:u w:val="single"/>
          <w:lang w:val="en-US" w:eastAsia="zh-CN"/>
        </w:rPr>
        <w:t>蒋先生</w:t>
      </w:r>
    </w:p>
    <w:p>
      <w:pPr>
        <w:spacing w:line="640" w:lineRule="exact"/>
        <w:ind w:firstLine="1020" w:firstLineChars="300"/>
        <w:outlineLvl w:val="0"/>
        <w:rPr>
          <w:rFonts w:hint="eastAsia" w:ascii="宋体" w:hAnsi="宋体"/>
          <w:color w:val="auto"/>
          <w:spacing w:val="20"/>
          <w:kern w:val="21"/>
          <w:sz w:val="30"/>
          <w:szCs w:val="30"/>
          <w:highlight w:val="none"/>
        </w:rPr>
      </w:pPr>
      <w:r>
        <w:rPr>
          <w:rFonts w:hint="eastAsia" w:ascii="宋体" w:hAnsi="宋体"/>
          <w:color w:val="auto"/>
          <w:spacing w:val="20"/>
          <w:kern w:val="21"/>
          <w:sz w:val="30"/>
          <w:szCs w:val="30"/>
          <w:highlight w:val="none"/>
        </w:rPr>
        <w:t>联系电话：</w:t>
      </w:r>
      <w:r>
        <w:rPr>
          <w:rFonts w:hint="eastAsia" w:hAnsi="宋体"/>
          <w:color w:val="auto"/>
          <w:sz w:val="28"/>
          <w:highlight w:val="none"/>
          <w:u w:val="single"/>
        </w:rPr>
        <w:t>0576-88909633</w:t>
      </w:r>
      <w:r>
        <w:rPr>
          <w:rFonts w:hint="eastAsia" w:ascii="宋体" w:hAnsi="宋体"/>
          <w:color w:val="auto"/>
          <w:spacing w:val="20"/>
          <w:kern w:val="21"/>
          <w:sz w:val="30"/>
          <w:szCs w:val="30"/>
          <w:highlight w:val="none"/>
        </w:rPr>
        <w:t xml:space="preserve"> </w:t>
      </w:r>
    </w:p>
    <w:p>
      <w:pPr>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招标代理：</w:t>
      </w:r>
      <w:r>
        <w:rPr>
          <w:rFonts w:hint="eastAsia" w:ascii="宋体" w:hAnsi="宋体"/>
          <w:color w:val="auto"/>
          <w:sz w:val="28"/>
          <w:highlight w:val="none"/>
          <w:u w:val="single"/>
        </w:rPr>
        <w:t>台州市建设咨询有限公司</w:t>
      </w:r>
      <w:r>
        <w:rPr>
          <w:rFonts w:hint="eastAsia" w:ascii="宋体" w:hAnsi="宋体"/>
          <w:color w:val="auto"/>
          <w:spacing w:val="20"/>
          <w:kern w:val="21"/>
          <w:sz w:val="30"/>
          <w:szCs w:val="30"/>
          <w:highlight w:val="none"/>
        </w:rPr>
        <w:t>（盖章）</w:t>
      </w:r>
    </w:p>
    <w:p>
      <w:pPr>
        <w:spacing w:line="640" w:lineRule="exact"/>
        <w:ind w:firstLine="1020" w:firstLineChars="300"/>
        <w:outlineLvl w:val="0"/>
        <w:rPr>
          <w:rFonts w:hint="eastAsia" w:ascii="宋体" w:hAnsi="宋体"/>
          <w:color w:val="auto"/>
          <w:spacing w:val="20"/>
          <w:kern w:val="21"/>
          <w:sz w:val="30"/>
          <w:szCs w:val="30"/>
          <w:highlight w:val="none"/>
        </w:rPr>
      </w:pPr>
      <w:r>
        <w:rPr>
          <w:rFonts w:hint="eastAsia" w:ascii="宋体" w:hAnsi="宋体"/>
          <w:color w:val="auto"/>
          <w:spacing w:val="20"/>
          <w:kern w:val="21"/>
          <w:sz w:val="30"/>
          <w:szCs w:val="30"/>
          <w:highlight w:val="none"/>
        </w:rPr>
        <w:t>联 系 人：</w:t>
      </w:r>
      <w:r>
        <w:rPr>
          <w:rFonts w:hint="eastAsia" w:ascii="宋体" w:hAnsi="宋体"/>
          <w:color w:val="auto"/>
          <w:sz w:val="28"/>
          <w:highlight w:val="none"/>
          <w:u w:val="single"/>
          <w:lang w:val="en-US" w:eastAsia="zh-CN"/>
        </w:rPr>
        <w:t>葛俊</w:t>
      </w:r>
      <w:r>
        <w:rPr>
          <w:color w:val="auto"/>
          <w:sz w:val="28"/>
          <w:highlight w:val="none"/>
        </w:rPr>
        <w:t xml:space="preserve"> </w:t>
      </w:r>
    </w:p>
    <w:p>
      <w:pPr>
        <w:spacing w:line="480" w:lineRule="auto"/>
        <w:ind w:firstLine="1020" w:firstLineChars="30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联系电话：</w:t>
      </w:r>
      <w:r>
        <w:rPr>
          <w:rFonts w:hint="eastAsia" w:ascii="宋体" w:hAnsi="宋体"/>
          <w:color w:val="auto"/>
          <w:sz w:val="28"/>
          <w:highlight w:val="none"/>
          <w:u w:val="single"/>
          <w:lang w:val="en-US" w:eastAsia="zh-CN"/>
        </w:rPr>
        <w:t>0576-88517782</w:t>
      </w:r>
    </w:p>
    <w:p>
      <w:pPr>
        <w:spacing w:line="640" w:lineRule="exact"/>
        <w:ind w:firstLine="1020" w:firstLineChars="300"/>
        <w:outlineLvl w:val="0"/>
        <w:rPr>
          <w:rFonts w:hint="eastAsia" w:ascii="宋体" w:hAnsi="宋体" w:eastAsia="宋体"/>
          <w:b/>
          <w:color w:val="auto"/>
          <w:sz w:val="36"/>
          <w:highlight w:val="none"/>
          <w:lang w:val="en-US" w:eastAsia="zh-CN"/>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auto"/>
          <w:spacing w:val="20"/>
          <w:kern w:val="21"/>
          <w:sz w:val="30"/>
          <w:szCs w:val="30"/>
          <w:highlight w:val="none"/>
        </w:rPr>
        <w:t>日    期：202</w:t>
      </w:r>
      <w:r>
        <w:rPr>
          <w:rFonts w:hint="eastAsia" w:ascii="宋体" w:hAnsi="宋体"/>
          <w:color w:val="auto"/>
          <w:spacing w:val="20"/>
          <w:kern w:val="21"/>
          <w:sz w:val="30"/>
          <w:szCs w:val="30"/>
          <w:highlight w:val="none"/>
          <w:lang w:val="en-US" w:eastAsia="zh-CN"/>
        </w:rPr>
        <w:t>3</w:t>
      </w:r>
      <w:r>
        <w:rPr>
          <w:rFonts w:hint="eastAsia" w:ascii="宋体" w:hAnsi="宋体"/>
          <w:color w:val="auto"/>
          <w:spacing w:val="20"/>
          <w:kern w:val="21"/>
          <w:sz w:val="30"/>
          <w:szCs w:val="30"/>
          <w:highlight w:val="none"/>
        </w:rPr>
        <w:t>年</w:t>
      </w:r>
      <w:r>
        <w:rPr>
          <w:rFonts w:hint="eastAsia" w:ascii="宋体" w:hAnsi="宋体"/>
          <w:color w:val="auto"/>
          <w:spacing w:val="20"/>
          <w:kern w:val="21"/>
          <w:sz w:val="30"/>
          <w:szCs w:val="30"/>
          <w:highlight w:val="none"/>
          <w:lang w:val="en-US" w:eastAsia="zh-CN"/>
        </w:rPr>
        <w:t>9月</w:t>
      </w:r>
    </w:p>
    <w:p>
      <w:pPr>
        <w:spacing w:line="360" w:lineRule="auto"/>
        <w:rPr>
          <w:color w:val="auto"/>
          <w:highlight w:val="none"/>
        </w:rPr>
      </w:pPr>
    </w:p>
    <w:p>
      <w:pPr>
        <w:pStyle w:val="33"/>
        <w:rPr>
          <w:color w:val="auto"/>
          <w:highlight w:val="none"/>
        </w:rPr>
      </w:pPr>
    </w:p>
    <w:p>
      <w:pPr>
        <w:pStyle w:val="33"/>
        <w:rPr>
          <w:color w:val="auto"/>
          <w:highlight w:val="none"/>
        </w:rPr>
      </w:pP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8"/>
          <w:szCs w:val="28"/>
          <w:highlight w:val="none"/>
        </w:rPr>
      </w:sdtEndPr>
      <w:sdtContent>
        <w:p>
          <w:pPr>
            <w:spacing w:line="480" w:lineRule="auto"/>
            <w:jc w:val="center"/>
            <w:rPr>
              <w:rFonts w:ascii="宋体" w:hAnsi="宋体"/>
              <w:color w:val="auto"/>
              <w:kern w:val="0"/>
              <w:sz w:val="28"/>
              <w:szCs w:val="28"/>
              <w:highlight w:val="none"/>
            </w:rPr>
          </w:pPr>
          <w:bookmarkStart w:id="0" w:name="_Toc25017_WPSOffice_Type1"/>
        </w:p>
        <w:p>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pPr>
            <w:pStyle w:val="19"/>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eastAsiaTheme="minorEastAsia" w:cstheme="minorBidi"/>
              <w:color w:val="auto"/>
              <w:sz w:val="28"/>
              <w:szCs w:val="28"/>
              <w:highlight w:val="none"/>
            </w:rPr>
            <w:t>第一章 投标邀请</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pPr>
            <w:pStyle w:val="19"/>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eastAsiaTheme="minorEastAsia" w:cstheme="minorBidi"/>
              <w:color w:val="auto"/>
              <w:sz w:val="28"/>
              <w:szCs w:val="28"/>
              <w:highlight w:val="none"/>
            </w:rPr>
            <w:t>第二章 投标人须知</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5</w:t>
          </w:r>
          <w:r>
            <w:rPr>
              <w:rFonts w:hint="eastAsia" w:eastAsiaTheme="minorEastAsia" w:cstheme="minorBidi"/>
              <w:color w:val="auto"/>
              <w:sz w:val="28"/>
              <w:szCs w:val="28"/>
              <w:highlight w:val="none"/>
            </w:rPr>
            <w:fldChar w:fldCharType="end"/>
          </w:r>
        </w:p>
        <w:p>
          <w:pPr>
            <w:pStyle w:val="19"/>
            <w:tabs>
              <w:tab w:val="right" w:leader="dot" w:pos="8620"/>
            </w:tabs>
            <w:ind w:right="638" w:rightChars="304"/>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rPr>
            <w:t>4</w:t>
          </w:r>
        </w:p>
        <w:p>
          <w:pPr>
            <w:pStyle w:val="19"/>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bookmarkStart w:id="2" w:name="_Toc31173_WPSOffice_Level1Page"/>
          <w:r>
            <w:rPr>
              <w:rFonts w:eastAsiaTheme="minorEastAsia" w:cstheme="minorBidi"/>
              <w:color w:val="auto"/>
              <w:sz w:val="28"/>
              <w:szCs w:val="28"/>
              <w:highlight w:val="none"/>
            </w:rPr>
            <w:t>22</w:t>
          </w:r>
          <w:bookmarkEnd w:id="2"/>
          <w:r>
            <w:rPr>
              <w:rFonts w:eastAsiaTheme="minorEastAsia" w:cstheme="minorBidi"/>
              <w:color w:val="auto"/>
              <w:sz w:val="28"/>
              <w:szCs w:val="28"/>
              <w:highlight w:val="none"/>
            </w:rPr>
            <w:fldChar w:fldCharType="end"/>
          </w:r>
        </w:p>
        <w:p>
          <w:pPr>
            <w:pStyle w:val="19"/>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bookmarkStart w:id="3" w:name="_Toc27944_WPSOffice_Level1Page"/>
          <w:r>
            <w:rPr>
              <w:rFonts w:eastAsiaTheme="minorEastAsia" w:cstheme="minorBidi"/>
              <w:color w:val="auto"/>
              <w:sz w:val="28"/>
              <w:szCs w:val="28"/>
              <w:highlight w:val="none"/>
            </w:rPr>
            <w:t>35</w:t>
          </w:r>
          <w:bookmarkEnd w:id="3"/>
          <w:r>
            <w:rPr>
              <w:rFonts w:eastAsiaTheme="minorEastAsia" w:cstheme="minorBidi"/>
              <w:color w:val="auto"/>
              <w:sz w:val="28"/>
              <w:szCs w:val="28"/>
              <w:highlight w:val="none"/>
            </w:rPr>
            <w:fldChar w:fldCharType="end"/>
          </w:r>
        </w:p>
        <w:p>
          <w:pPr>
            <w:pStyle w:val="19"/>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bookmarkStart w:id="4" w:name="_Toc5481_WPSOffice_Level1Page"/>
          <w:r>
            <w:rPr>
              <w:rFonts w:eastAsiaTheme="minorEastAsia" w:cstheme="minorBidi"/>
              <w:color w:val="auto"/>
              <w:sz w:val="28"/>
              <w:szCs w:val="28"/>
              <w:highlight w:val="none"/>
            </w:rPr>
            <w:t>41</w:t>
          </w:r>
          <w:bookmarkEnd w:id="4"/>
          <w:r>
            <w:rPr>
              <w:rFonts w:eastAsiaTheme="minorEastAsia" w:cstheme="minorBidi"/>
              <w:color w:val="auto"/>
              <w:sz w:val="28"/>
              <w:szCs w:val="28"/>
              <w:highlight w:val="none"/>
            </w:rPr>
            <w:fldChar w:fldCharType="end"/>
          </w:r>
        </w:p>
      </w:sdtContent>
    </w:sdt>
    <w:bookmarkEnd w:id="0"/>
    <w:p>
      <w:pPr>
        <w:spacing w:line="480" w:lineRule="auto"/>
        <w:rPr>
          <w:color w:val="auto"/>
          <w:sz w:val="28"/>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bookmarkStart w:id="5" w:name="_Toc4350_WPSOffice_Level1"/>
      <w:r>
        <w:rPr>
          <w:rFonts w:hint="eastAsia" w:ascii="宋体" w:hAnsi="宋体" w:cs="宋体"/>
          <w:b/>
          <w:color w:val="auto"/>
          <w:kern w:val="0"/>
          <w:sz w:val="36"/>
          <w:szCs w:val="36"/>
          <w:highlight w:val="none"/>
        </w:rPr>
        <w:t>投标邀请</w:t>
      </w:r>
      <w:bookmarkEnd w:id="5"/>
    </w:p>
    <w:p>
      <w:pPr>
        <w:pStyle w:val="6"/>
        <w:ind w:firstLine="480" w:firstLineChars="200"/>
        <w:rPr>
          <w:rFonts w:cs="宋体"/>
          <w:b w:val="0"/>
          <w:color w:val="auto"/>
          <w:sz w:val="24"/>
          <w:szCs w:val="24"/>
          <w:highlight w:val="none"/>
        </w:rPr>
      </w:pPr>
      <w:bookmarkStart w:id="6" w:name="_Toc35393621"/>
      <w:bookmarkStart w:id="7" w:name="_Toc35393790"/>
      <w:bookmarkStart w:id="8" w:name="_Toc28359002"/>
      <w:bookmarkStart w:id="9" w:name="_Toc28359079"/>
      <w:bookmarkStart w:id="10" w:name="_Hlk24379207"/>
      <w:r>
        <w:rPr>
          <w:rFonts w:hint="eastAsia" w:cs="宋体"/>
          <w:b w:val="0"/>
          <w:color w:val="auto"/>
          <w:sz w:val="24"/>
          <w:szCs w:val="24"/>
          <w:highlight w:val="none"/>
          <w:u w:val="single"/>
        </w:rPr>
        <w:t>台州市建设咨询有限公司</w:t>
      </w:r>
      <w:r>
        <w:rPr>
          <w:rFonts w:hint="eastAsia" w:cs="宋体"/>
          <w:b w:val="0"/>
          <w:color w:val="auto"/>
          <w:sz w:val="24"/>
          <w:szCs w:val="24"/>
          <w:highlight w:val="none"/>
        </w:rPr>
        <w:t>受</w:t>
      </w:r>
      <w:r>
        <w:rPr>
          <w:rFonts w:hint="eastAsia" w:cs="宋体"/>
          <w:b w:val="0"/>
          <w:color w:val="auto"/>
          <w:sz w:val="24"/>
          <w:szCs w:val="24"/>
          <w:highlight w:val="none"/>
          <w:u w:val="single"/>
          <w:lang w:eastAsia="zh-CN"/>
        </w:rPr>
        <w:t>台州市自然资源和规划局台州湾新区（高新区）分局</w:t>
      </w:r>
      <w:r>
        <w:rPr>
          <w:rFonts w:hint="eastAsia" w:cs="宋体"/>
          <w:b w:val="0"/>
          <w:color w:val="auto"/>
          <w:sz w:val="24"/>
          <w:szCs w:val="24"/>
          <w:highlight w:val="none"/>
        </w:rPr>
        <w:t>委托，就</w:t>
      </w:r>
      <w:r>
        <w:rPr>
          <w:rFonts w:hint="eastAsia" w:cs="宋体"/>
          <w:b w:val="0"/>
          <w:color w:val="auto"/>
          <w:sz w:val="24"/>
          <w:szCs w:val="24"/>
          <w:highlight w:val="none"/>
          <w:u w:val="single"/>
          <w:lang w:eastAsia="zh-CN"/>
        </w:rPr>
        <w:t>台州湾新区重点防御区和承灾体海水越堤淹没调查评估和风险预警试点项目（重新招标）</w:t>
      </w:r>
      <w:r>
        <w:rPr>
          <w:rFonts w:hint="eastAsia" w:cs="宋体"/>
          <w:b w:val="0"/>
          <w:color w:val="auto"/>
          <w:sz w:val="24"/>
          <w:szCs w:val="24"/>
          <w:highlight w:val="none"/>
        </w:rPr>
        <w:t>进行公开招标，欢迎符合资格条件的国内投标人参加投标。</w:t>
      </w:r>
    </w:p>
    <w:p>
      <w:pPr>
        <w:pStyle w:val="6"/>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6"/>
      <w:bookmarkEnd w:id="7"/>
      <w:bookmarkEnd w:id="8"/>
      <w:bookmarkEnd w:id="9"/>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"http://www.tzwztb.com/ztb/Framework/Main/Default.aspx?p=01001&amp;PrjId=I3310005276000328001"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eastAsia="zh-CN"/>
        </w:rPr>
        <w:t>QBJ2023186</w:t>
      </w: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   </w:t>
      </w:r>
    </w:p>
    <w:bookmarkEnd w:id="10"/>
    <w:p>
      <w:pPr>
        <w:spacing w:line="360" w:lineRule="auto"/>
        <w:ind w:firstLine="480" w:firstLineChars="200"/>
        <w:rPr>
          <w:rFonts w:hint="eastAsia" w:eastAsia="宋体"/>
          <w:color w:val="auto"/>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台州湾新区重点防御区和承灾体海水越堤淹没调查评估和风险预警试点项目（重新招标）</w:t>
      </w:r>
    </w:p>
    <w:tbl>
      <w:tblPr>
        <w:tblStyle w:val="25"/>
        <w:tblpPr w:leftFromText="181" w:rightFromText="181" w:bottomFromText="170" w:vertAnchor="text" w:tblpXSpec="center" w:tblpY="1"/>
        <w:tblOverlap w:val="never"/>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3112"/>
        <w:gridCol w:w="1040"/>
        <w:gridCol w:w="799"/>
        <w:gridCol w:w="1190"/>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30" w:type="dxa"/>
            <w:vAlign w:val="center"/>
          </w:tcPr>
          <w:p>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标项号</w:t>
            </w:r>
          </w:p>
        </w:tc>
        <w:tc>
          <w:tcPr>
            <w:tcW w:w="3112" w:type="dxa"/>
            <w:vAlign w:val="center"/>
          </w:tcPr>
          <w:p>
            <w:pPr>
              <w:tabs>
                <w:tab w:val="left" w:pos="8280"/>
              </w:tabs>
              <w:autoSpaceDE w:val="0"/>
              <w:autoSpaceDN w:val="0"/>
              <w:adjustRightInd w:val="0"/>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标项名称</w:t>
            </w:r>
          </w:p>
        </w:tc>
        <w:tc>
          <w:tcPr>
            <w:tcW w:w="1040" w:type="dxa"/>
            <w:vAlign w:val="center"/>
          </w:tcPr>
          <w:p>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kern w:val="0"/>
                <w:szCs w:val="21"/>
                <w:highlight w:val="none"/>
              </w:rPr>
              <w:t>数量</w:t>
            </w:r>
          </w:p>
        </w:tc>
        <w:tc>
          <w:tcPr>
            <w:tcW w:w="799" w:type="dxa"/>
            <w:vAlign w:val="center"/>
          </w:tcPr>
          <w:p>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190" w:type="dxa"/>
            <w:vAlign w:val="center"/>
          </w:tcPr>
          <w:p>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预算</w:t>
            </w:r>
          </w:p>
          <w:p>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1372"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最高限价</w:t>
            </w:r>
          </w:p>
          <w:p>
            <w:pPr>
              <w:jc w:val="center"/>
              <w:rPr>
                <w:rFonts w:ascii="宋体" w:hAnsi="宋体" w:cs="宋体"/>
                <w:b/>
                <w:color w:val="auto"/>
                <w:szCs w:val="21"/>
                <w:highlight w:val="none"/>
              </w:rPr>
            </w:pPr>
            <w:r>
              <w:rPr>
                <w:rFonts w:hint="eastAsia" w:ascii="宋体" w:hAnsi="宋体" w:cs="宋体"/>
                <w:b/>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30" w:type="dxa"/>
            <w:vAlign w:val="center"/>
          </w:tcPr>
          <w:p>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3112" w:type="dxa"/>
            <w:vAlign w:val="center"/>
          </w:tcPr>
          <w:p>
            <w:pPr>
              <w:tabs>
                <w:tab w:val="left" w:pos="8280"/>
              </w:tabs>
              <w:autoSpaceDE w:val="0"/>
              <w:autoSpaceDN w:val="0"/>
              <w:adjustRightInd w:val="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台州湾新区重点防御区和承灾体海水越堤淹没调查评估和风险预警试点项目（重新招标）</w:t>
            </w:r>
          </w:p>
        </w:tc>
        <w:tc>
          <w:tcPr>
            <w:tcW w:w="1040" w:type="dxa"/>
            <w:vAlign w:val="center"/>
          </w:tcPr>
          <w:p>
            <w:pPr>
              <w:tabs>
                <w:tab w:val="left" w:pos="8280"/>
              </w:tabs>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799" w:type="dxa"/>
            <w:vAlign w:val="center"/>
          </w:tcPr>
          <w:p>
            <w:pPr>
              <w:tabs>
                <w:tab w:val="left" w:pos="8280"/>
              </w:tabs>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项</w:t>
            </w:r>
          </w:p>
        </w:tc>
        <w:tc>
          <w:tcPr>
            <w:tcW w:w="1190" w:type="dxa"/>
            <w:vAlign w:val="center"/>
          </w:tcPr>
          <w:p>
            <w:pPr>
              <w:tabs>
                <w:tab w:val="left" w:pos="8280"/>
              </w:tabs>
              <w:autoSpaceDE w:val="0"/>
              <w:autoSpaceDN w:val="0"/>
              <w:adjustRightIn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40</w:t>
            </w:r>
          </w:p>
        </w:tc>
        <w:tc>
          <w:tcPr>
            <w:tcW w:w="1372" w:type="dxa"/>
            <w:vAlign w:val="center"/>
          </w:tcPr>
          <w:p>
            <w:pPr>
              <w:tabs>
                <w:tab w:val="left" w:pos="8280"/>
              </w:tabs>
              <w:autoSpaceDE w:val="0"/>
              <w:autoSpaceDN w:val="0"/>
              <w:adjustRightInd w:val="0"/>
              <w:jc w:val="center"/>
              <w:rPr>
                <w:rStyle w:val="67"/>
                <w:rFonts w:hint="default" w:ascii="宋体" w:hAnsi="宋体" w:eastAsia="宋体"/>
                <w:color w:val="auto"/>
                <w:szCs w:val="21"/>
                <w:highlight w:val="none"/>
                <w:lang w:val="en-US" w:eastAsia="zh-CN"/>
              </w:rPr>
            </w:pPr>
            <w:r>
              <w:rPr>
                <w:rStyle w:val="67"/>
                <w:rFonts w:hint="eastAsia" w:ascii="宋体" w:hAnsi="宋体"/>
                <w:color w:val="auto"/>
                <w:szCs w:val="21"/>
                <w:highlight w:val="none"/>
                <w:lang w:val="en-US" w:eastAsia="zh-CN"/>
              </w:rPr>
              <w:t>40</w:t>
            </w:r>
          </w:p>
        </w:tc>
      </w:tr>
    </w:tbl>
    <w:p>
      <w:pPr>
        <w:pStyle w:val="6"/>
        <w:tabs>
          <w:tab w:val="left" w:pos="9660"/>
          <w:tab w:val="clear" w:pos="8280"/>
        </w:tabs>
        <w:ind w:right="23" w:firstLine="482" w:firstLineChars="200"/>
        <w:jc w:val="left"/>
        <w:rPr>
          <w:rFonts w:cs="宋体"/>
          <w:bCs/>
          <w:color w:val="auto"/>
          <w:sz w:val="24"/>
          <w:szCs w:val="24"/>
          <w:highlight w:val="none"/>
        </w:rPr>
      </w:pPr>
      <w:bookmarkStart w:id="11" w:name="_Toc35393791"/>
      <w:bookmarkStart w:id="12" w:name="_Toc28359080"/>
      <w:bookmarkStart w:id="13" w:name="_Toc28359003"/>
      <w:bookmarkStart w:id="14" w:name="_Toc35393622"/>
      <w:r>
        <w:rPr>
          <w:rFonts w:hint="eastAsia" w:cs="宋体"/>
          <w:bCs/>
          <w:color w:val="auto"/>
          <w:sz w:val="24"/>
          <w:szCs w:val="24"/>
          <w:highlight w:val="none"/>
        </w:rPr>
        <w:t>二、投标人的资格要求</w:t>
      </w:r>
      <w:bookmarkEnd w:id="11"/>
      <w:bookmarkEnd w:id="12"/>
      <w:bookmarkEnd w:id="13"/>
      <w:bookmarkEnd w:id="14"/>
    </w:p>
    <w:p>
      <w:pPr>
        <w:spacing w:line="360" w:lineRule="auto"/>
        <w:ind w:left="12" w:firstLine="480" w:firstLineChars="200"/>
        <w:jc w:val="left"/>
        <w:rPr>
          <w:rFonts w:ascii="宋体" w:hAnsi="宋体" w:cs="宋体"/>
          <w:color w:val="auto"/>
          <w:sz w:val="24"/>
          <w:highlight w:val="none"/>
        </w:rPr>
      </w:pPr>
      <w:r>
        <w:rPr>
          <w:rFonts w:hint="eastAsia" w:ascii="宋体" w:hAnsi="宋体" w:cs="宋体"/>
          <w:color w:val="auto"/>
          <w:sz w:val="24"/>
          <w:highlight w:val="none"/>
        </w:rPr>
        <w:t>（一）满足《中华人民共和国政府采购法》第二十二条规定。</w:t>
      </w:r>
    </w:p>
    <w:p>
      <w:pPr>
        <w:spacing w:line="360" w:lineRule="auto"/>
        <w:ind w:firstLine="480" w:firstLineChars="200"/>
        <w:rPr>
          <w:rFonts w:ascii="宋体" w:hAnsi="宋体" w:cs="宋体"/>
          <w:color w:val="auto"/>
          <w:sz w:val="24"/>
          <w:highlight w:val="none"/>
        </w:rPr>
      </w:pPr>
      <w:bookmarkStart w:id="15" w:name="_Toc28359081"/>
      <w:bookmarkStart w:id="16" w:name="_Toc35393623"/>
      <w:bookmarkStart w:id="17" w:name="_Toc35393792"/>
      <w:bookmarkStart w:id="18" w:name="_Toc28359004"/>
      <w:r>
        <w:rPr>
          <w:rFonts w:hint="eastAsia" w:ascii="宋体" w:hAnsi="宋体" w:cs="宋体"/>
          <w:color w:val="auto"/>
          <w:sz w:val="24"/>
          <w:highlight w:val="none"/>
        </w:rPr>
        <w:t>（二）本项目的特定资格要求：</w:t>
      </w:r>
      <w:r>
        <w:rPr>
          <w:rFonts w:hint="eastAsia" w:ascii="宋体" w:hAnsi="宋体"/>
          <w:color w:val="auto"/>
          <w:sz w:val="24"/>
          <w:highlight w:val="none"/>
        </w:rPr>
        <w:t>无</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（三）本项目</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接受联合体投标。</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pPr>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w:t>
      </w:r>
      <w:r>
        <w:rPr>
          <w:rFonts w:hint="eastAsia" w:ascii="宋体" w:hAnsi="宋体"/>
          <w:color w:val="auto"/>
          <w:sz w:val="24"/>
          <w:highlight w:val="none"/>
        </w:rPr>
        <w:t>公益一类事业单位，既不属于政府购买服务的购买主体，也不属于承接主体，不得参与承接政府购买服务。</w:t>
      </w:r>
    </w:p>
    <w:p>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六</w:t>
      </w:r>
      <w:r>
        <w:rPr>
          <w:rFonts w:hint="eastAsia" w:ascii="宋体" w:hAnsi="宋体"/>
          <w:color w:val="auto"/>
          <w:sz w:val="24"/>
          <w:highlight w:val="none"/>
        </w:rPr>
        <w:t>）</w:t>
      </w:r>
      <w:r>
        <w:rPr>
          <w:rFonts w:hint="eastAsia" w:ascii="宋体" w:hAnsi="宋体" w:cs="宋体"/>
          <w:color w:val="auto"/>
          <w:sz w:val="24"/>
          <w:highlight w:val="none"/>
        </w:rPr>
        <w:t>法律、行政法规规定的其他条件：单位负责人为同一人或者存在直接控股、管理关系的不同供应商，不得同时参加同一项目投标，不得再参与本项目投标。</w:t>
      </w:r>
    </w:p>
    <w:p>
      <w:pPr>
        <w:pStyle w:val="6"/>
        <w:tabs>
          <w:tab w:val="left" w:pos="9660"/>
          <w:tab w:val="clear" w:pos="8280"/>
        </w:tabs>
        <w:ind w:right="23" w:firstLine="482" w:firstLineChars="200"/>
        <w:jc w:val="left"/>
        <w:rPr>
          <w:rFonts w:cs="宋体"/>
          <w:bCs/>
          <w:color w:val="auto"/>
          <w:sz w:val="24"/>
          <w:szCs w:val="24"/>
          <w:highlight w:val="none"/>
        </w:rPr>
      </w:pPr>
      <w:r>
        <w:rPr>
          <w:rFonts w:hint="eastAsia" w:cs="宋体"/>
          <w:bCs/>
          <w:color w:val="auto"/>
          <w:sz w:val="24"/>
          <w:szCs w:val="24"/>
          <w:highlight w:val="none"/>
        </w:rPr>
        <w:t>三、获取招标文件</w:t>
      </w:r>
      <w:bookmarkEnd w:id="15"/>
      <w:bookmarkEnd w:id="16"/>
      <w:bookmarkEnd w:id="17"/>
      <w:bookmarkEnd w:id="18"/>
    </w:p>
    <w:p>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（一）时间：</w:t>
      </w:r>
      <w:r>
        <w:rPr>
          <w:rFonts w:hint="eastAsia" w:ascii="宋体" w:hAnsi="宋体" w:cs="宋体"/>
          <w:color w:val="auto"/>
          <w:sz w:val="24"/>
          <w:highlight w:val="none"/>
          <w:lang w:val="en-US" w:eastAsia="zh-CN"/>
        </w:rPr>
        <w:t>项目发布之日起</w:t>
      </w:r>
      <w:r>
        <w:rPr>
          <w:rFonts w:hint="eastAsia" w:ascii="宋体" w:hAnsi="宋体" w:cs="宋体"/>
          <w:color w:val="auto"/>
          <w:sz w:val="24"/>
          <w:highlight w:val="none"/>
        </w:rPr>
        <w:t>至</w:t>
      </w:r>
      <w:r>
        <w:rPr>
          <w:rFonts w:hint="eastAsia" w:ascii="宋体" w:hAnsi="宋体" w:cs="宋体"/>
          <w:color w:val="auto"/>
          <w:sz w:val="24"/>
          <w:highlight w:val="none"/>
          <w:u w:val="single"/>
          <w:lang w:val="en-US" w:eastAsia="zh-CN"/>
        </w:rPr>
        <w:t>开标截止时间</w:t>
      </w:r>
    </w:p>
    <w:p>
      <w:pPr>
        <w:tabs>
          <w:tab w:val="left" w:pos="180"/>
          <w:tab w:val="left" w:pos="360"/>
          <w:tab w:val="left" w:pos="540"/>
          <w:tab w:val="left" w:pos="8280"/>
        </w:tabs>
        <w:autoSpaceDE w:val="0"/>
        <w:autoSpaceDN w:val="0"/>
        <w:adjustRightInd w:val="0"/>
        <w:spacing w:line="360" w:lineRule="auto"/>
        <w:ind w:left="479" w:leftChars="228" w:firstLine="0" w:firstLineChars="0"/>
        <w:jc w:val="left"/>
        <w:rPr>
          <w:rFonts w:hint="eastAsia" w:ascii="宋体" w:hAnsi="宋体" w:cs="宋体"/>
          <w:b/>
          <w:color w:val="auto"/>
          <w:kern w:val="0"/>
          <w:sz w:val="24"/>
          <w:highlight w:val="none"/>
        </w:rPr>
      </w:pPr>
      <w:r>
        <w:rPr>
          <w:rFonts w:hint="eastAsia" w:ascii="宋体" w:hAnsi="宋体" w:cs="宋体"/>
          <w:color w:val="auto"/>
          <w:sz w:val="24"/>
          <w:highlight w:val="none"/>
        </w:rPr>
        <w:t>（二）方式：</w:t>
      </w:r>
      <w:r>
        <w:rPr>
          <w:rFonts w:hint="eastAsia" w:ascii="宋体" w:hAnsi="宋体" w:cs="宋体"/>
          <w:b/>
          <w:color w:val="auto"/>
          <w:kern w:val="0"/>
          <w:sz w:val="24"/>
          <w:highlight w:val="none"/>
        </w:rPr>
        <w:t>网上下载-台州湾新区小额工程电子交易平</w:t>
      </w:r>
      <w:r>
        <w:rPr>
          <w:rFonts w:hint="eastAsia" w:ascii="宋体" w:hAnsi="宋体" w:cs="宋体"/>
          <w:b/>
          <w:color w:val="auto"/>
          <w:kern w:val="0"/>
          <w:sz w:val="24"/>
          <w:highlight w:val="none"/>
          <w:lang w:val="en-US" w:eastAsia="zh-CN"/>
        </w:rPr>
        <w:t>台</w:t>
      </w:r>
      <w:r>
        <w:rPr>
          <w:rFonts w:hint="eastAsia" w:ascii="宋体" w:hAnsi="宋体" w:cs="宋体"/>
          <w:b/>
          <w:color w:val="auto"/>
          <w:kern w:val="0"/>
          <w:sz w:val="24"/>
          <w:highlight w:val="none"/>
        </w:rPr>
        <w:t>（</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p>
    <w:p>
      <w:pPr>
        <w:pStyle w:val="6"/>
        <w:ind w:right="0" w:firstLine="482" w:firstLineChars="200"/>
        <w:rPr>
          <w:rFonts w:cs="宋体"/>
          <w:bCs/>
          <w:color w:val="auto"/>
          <w:sz w:val="24"/>
          <w:szCs w:val="24"/>
          <w:highlight w:val="none"/>
        </w:rPr>
      </w:pPr>
      <w:bookmarkStart w:id="19" w:name="_Toc28359082"/>
      <w:bookmarkStart w:id="20" w:name="_Toc35393793"/>
      <w:bookmarkStart w:id="21" w:name="_Toc35393624"/>
      <w:bookmarkStart w:id="22" w:name="_Toc28359005"/>
      <w:r>
        <w:rPr>
          <w:rFonts w:hint="eastAsia" w:cs="宋体"/>
          <w:bCs/>
          <w:color w:val="auto"/>
          <w:sz w:val="24"/>
          <w:szCs w:val="24"/>
          <w:highlight w:val="none"/>
        </w:rPr>
        <w:t>四、提交投标文件</w:t>
      </w:r>
      <w:bookmarkEnd w:id="19"/>
      <w:bookmarkEnd w:id="20"/>
      <w:bookmarkEnd w:id="21"/>
      <w:bookmarkEnd w:id="22"/>
    </w:p>
    <w:p>
      <w:pPr>
        <w:spacing w:line="360" w:lineRule="auto"/>
        <w:ind w:firstLine="480" w:firstLineChars="200"/>
        <w:jc w:val="left"/>
        <w:rPr>
          <w:rFonts w:ascii="宋体" w:hAnsi="宋体" w:cs="宋体"/>
          <w:color w:val="auto"/>
          <w:sz w:val="24"/>
          <w:highlight w:val="none"/>
        </w:rPr>
      </w:pPr>
      <w:bookmarkStart w:id="23" w:name="_Toc28359007"/>
      <w:bookmarkStart w:id="24" w:name="_Toc35393794"/>
      <w:bookmarkStart w:id="25" w:name="_Toc35393625"/>
      <w:bookmarkStart w:id="26" w:name="_Toc28359084"/>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rPr>
        <w:t>2023年</w:t>
      </w:r>
      <w:r>
        <w:rPr>
          <w:rFonts w:hint="eastAsia" w:ascii="宋体" w:hAnsi="宋体" w:cs="宋体"/>
          <w:color w:val="auto"/>
          <w:sz w:val="24"/>
          <w:highlight w:val="none"/>
          <w:u w:val="single"/>
          <w:lang w:val="en-US" w:eastAsia="zh-CN"/>
        </w:rPr>
        <w:t>10</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12</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r>
        <w:rPr>
          <w:rFonts w:hint="eastAsia" w:ascii="宋体" w:hAnsi="宋体" w:cs="宋体"/>
          <w:color w:val="auto"/>
          <w:sz w:val="24"/>
          <w:highlight w:val="none"/>
        </w:rPr>
        <w:t>（北京时间）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（二）投标网址：</w:t>
      </w:r>
      <w:r>
        <w:rPr>
          <w:rFonts w:hint="eastAsia" w:ascii="宋体" w:hAnsi="宋体" w:cs="宋体"/>
          <w:color w:val="auto"/>
          <w:sz w:val="24"/>
          <w:szCs w:val="24"/>
          <w:highlight w:val="none"/>
        </w:rPr>
        <w:t>台州湾新区小额工程电子交易平台（网址：</w:t>
      </w:r>
      <w:r>
        <w:rPr>
          <w:color w:val="auto"/>
          <w:sz w:val="24"/>
          <w:szCs w:val="24"/>
          <w:highlight w:val="none"/>
        </w:rPr>
        <w:t>http://www.tzwztb.com/</w:t>
      </w:r>
      <w:r>
        <w:rPr>
          <w:rFonts w:hint="eastAsia" w:ascii="宋体" w:hAnsi="宋体" w:cs="宋体"/>
          <w:color w:val="auto"/>
          <w:sz w:val="24"/>
          <w:szCs w:val="24"/>
          <w:highlight w:val="none"/>
        </w:rPr>
        <w:t>）</w:t>
      </w:r>
    </w:p>
    <w:bookmarkEnd w:id="23"/>
    <w:bookmarkEnd w:id="24"/>
    <w:bookmarkEnd w:id="25"/>
    <w:bookmarkEnd w:id="26"/>
    <w:p>
      <w:pPr>
        <w:pStyle w:val="24"/>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pPr>
        <w:pStyle w:val="24"/>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（一）公告网址：台州湾新区小额工程电子交易平台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w:t>
      </w:r>
      <w:r>
        <w:rPr>
          <w:rFonts w:hint="eastAsia" w:ascii="宋体" w:hAnsi="宋体" w:cs="宋体"/>
          <w:color w:val="auto"/>
          <w:sz w:val="24"/>
          <w:highlight w:val="none"/>
          <w:lang w:eastAsia="zh-CN"/>
        </w:rPr>
        <w:t>、</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p>
    <w:p>
      <w:pPr>
        <w:pStyle w:val="24"/>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pPr>
        <w:pStyle w:val="6"/>
        <w:ind w:right="0" w:firstLine="482" w:firstLineChars="200"/>
        <w:rPr>
          <w:rFonts w:cs="宋体"/>
          <w:bCs/>
          <w:color w:val="auto"/>
          <w:sz w:val="24"/>
          <w:szCs w:val="24"/>
          <w:highlight w:val="none"/>
        </w:rPr>
      </w:pPr>
      <w:bookmarkStart w:id="27" w:name="_Toc35393795"/>
      <w:bookmarkStart w:id="28" w:name="_Toc35393626"/>
      <w:r>
        <w:rPr>
          <w:rFonts w:hint="eastAsia" w:cs="宋体"/>
          <w:bCs/>
          <w:color w:val="auto"/>
          <w:sz w:val="24"/>
          <w:szCs w:val="24"/>
          <w:highlight w:val="none"/>
        </w:rPr>
        <w:t>六、</w:t>
      </w:r>
      <w:bookmarkEnd w:id="27"/>
      <w:bookmarkEnd w:id="28"/>
      <w:r>
        <w:rPr>
          <w:rFonts w:hint="eastAsia" w:cs="宋体"/>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投标人需登录</w:t>
      </w:r>
      <w:r>
        <w:rPr>
          <w:rFonts w:hint="eastAsia" w:ascii="宋体" w:hAnsi="宋体" w:cs="宋体"/>
          <w:b/>
          <w:color w:val="auto"/>
          <w:kern w:val="0"/>
          <w:sz w:val="24"/>
          <w:highlight w:val="none"/>
        </w:rPr>
        <w:t>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r>
        <w:rPr>
          <w:rFonts w:hint="eastAsia" w:ascii="宋体" w:hAnsi="宋体" w:cs="宋体"/>
          <w:color w:val="auto"/>
          <w:sz w:val="24"/>
          <w:highlight w:val="none"/>
        </w:rPr>
        <w:t>进行注册后报名。</w:t>
      </w:r>
    </w:p>
    <w:p>
      <w:pPr>
        <w:snapToGrid w:val="0"/>
        <w:spacing w:line="360" w:lineRule="auto"/>
        <w:ind w:firstLine="482" w:firstLineChars="200"/>
        <w:rPr>
          <w:rFonts w:hint="eastAsia" w:ascii="宋体" w:hAnsi="宋体" w:cs="宋体"/>
          <w:color w:val="auto"/>
          <w:sz w:val="24"/>
          <w:szCs w:val="20"/>
          <w:highlight w:val="none"/>
        </w:rPr>
      </w:pPr>
      <w:r>
        <w:rPr>
          <w:rFonts w:hint="eastAsia" w:ascii="宋体" w:hAnsi="宋体" w:eastAsia="宋体" w:cs="宋体"/>
          <w:b/>
          <w:bCs/>
          <w:color w:val="auto"/>
          <w:kern w:val="2"/>
          <w:sz w:val="24"/>
          <w:szCs w:val="24"/>
          <w:highlight w:val="none"/>
          <w:lang w:val="en-US" w:eastAsia="zh-CN" w:bidi="ar-SA"/>
        </w:rPr>
        <w:t>七、</w:t>
      </w:r>
      <w:r>
        <w:rPr>
          <w:rFonts w:hint="eastAsia" w:ascii="宋体" w:hAnsi="宋体" w:cs="宋体"/>
          <w:b/>
          <w:bCs/>
          <w:color w:val="auto"/>
          <w:sz w:val="24"/>
          <w:highlight w:val="none"/>
        </w:rPr>
        <w:t>投标保证金</w:t>
      </w:r>
      <w:r>
        <w:rPr>
          <w:rFonts w:hint="eastAsia" w:ascii="宋体" w:hAnsi="宋体" w:cs="宋体"/>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1.投标保证金金额</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8000 </w:t>
      </w:r>
      <w:r>
        <w:rPr>
          <w:rFonts w:hint="eastAsia" w:ascii="宋体" w:hAnsi="宋体" w:cs="宋体"/>
          <w:bCs/>
          <w:color w:val="auto"/>
          <w:kern w:val="0"/>
          <w:sz w:val="24"/>
          <w:highlight w:val="none"/>
        </w:rPr>
        <w:t>元。</w:t>
      </w:r>
    </w:p>
    <w:p>
      <w:pPr>
        <w:pStyle w:val="24"/>
        <w:ind w:left="0" w:leftChars="0" w:firstLine="48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2.投标保证金缴纳方式（任选一种）：现金转账、银行保函、保险机构保证保险保单、融资担保公司保函。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en-US" w:eastAsia="zh-CN"/>
        </w:rPr>
        <w:t>现金</w:t>
      </w:r>
      <w:r>
        <w:rPr>
          <w:rFonts w:hint="eastAsia" w:ascii="宋体" w:hAnsi="宋体" w:cs="宋体"/>
          <w:b/>
          <w:color w:val="auto"/>
          <w:kern w:val="0"/>
          <w:sz w:val="24"/>
          <w:highlight w:val="none"/>
        </w:rPr>
        <w:t>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val="0"/>
          <w:bCs/>
          <w:color w:val="auto"/>
          <w:kern w:val="0"/>
          <w:sz w:val="24"/>
          <w:highlight w:val="none"/>
        </w:rPr>
      </w:pPr>
      <w:r>
        <w:rPr>
          <w:rFonts w:hint="eastAsia" w:ascii="宋体" w:hAnsi="宋体" w:cs="宋体"/>
          <w:b w:val="0"/>
          <w:bCs/>
          <w:color w:val="auto"/>
          <w:kern w:val="0"/>
          <w:sz w:val="24"/>
          <w:highlight w:val="none"/>
        </w:rPr>
        <w:t>② 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（2）银行保函、保险机构保证保险保单、融资担保公司保函（以下合称“</w:t>
      </w:r>
      <w:r>
        <w:rPr>
          <w:rFonts w:hint="eastAsia" w:ascii="宋体" w:hAnsi="宋体" w:cs="宋体"/>
          <w:b/>
          <w:color w:val="auto"/>
          <w:kern w:val="0"/>
          <w:sz w:val="24"/>
          <w:highlight w:val="none"/>
          <w:lang w:val="en-US" w:eastAsia="zh-CN"/>
        </w:rPr>
        <w:t>投标</w:t>
      </w:r>
      <w:r>
        <w:rPr>
          <w:rFonts w:hint="eastAsia" w:ascii="宋体" w:hAnsi="宋体" w:cs="宋体"/>
          <w:b/>
          <w:color w:val="auto"/>
          <w:kern w:val="0"/>
          <w:sz w:val="24"/>
          <w:highlight w:val="none"/>
        </w:rPr>
        <w:t>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u w:val="single"/>
          <w:lang w:eastAsia="zh-CN"/>
        </w:rPr>
      </w:pPr>
      <w:r>
        <w:rPr>
          <w:rFonts w:hint="eastAsia" w:ascii="宋体" w:hAnsi="宋体" w:cs="宋体"/>
          <w:bCs/>
          <w:color w:val="auto"/>
          <w:kern w:val="0"/>
          <w:sz w:val="24"/>
          <w:highlight w:val="none"/>
        </w:rPr>
        <w:t>①</w:t>
      </w:r>
      <w:r>
        <w:rPr>
          <w:rFonts w:hint="eastAsia" w:ascii="宋体" w:hAnsi="宋体" w:cs="宋体"/>
          <w:bCs/>
          <w:color w:val="auto"/>
          <w:kern w:val="0"/>
          <w:sz w:val="24"/>
          <w:highlight w:val="none"/>
          <w:lang w:eastAsia="zh-CN"/>
        </w:rPr>
        <w:t>投标保函</w:t>
      </w:r>
      <w:r>
        <w:rPr>
          <w:rFonts w:hint="eastAsia" w:ascii="宋体" w:hAnsi="宋体" w:cs="宋体"/>
          <w:bCs/>
          <w:color w:val="auto"/>
          <w:kern w:val="0"/>
          <w:sz w:val="24"/>
          <w:highlight w:val="none"/>
        </w:rPr>
        <w:t>的受益人：</w:t>
      </w:r>
      <w:r>
        <w:rPr>
          <w:rFonts w:hint="eastAsia" w:ascii="宋体" w:hAnsi="宋体" w:cs="宋体"/>
          <w:bCs/>
          <w:color w:val="auto"/>
          <w:kern w:val="0"/>
          <w:sz w:val="24"/>
          <w:highlight w:val="none"/>
          <w:u w:val="single"/>
          <w:lang w:eastAsia="zh-CN"/>
        </w:rPr>
        <w:t>台州市自然资源和规划局台州湾新区（高新区）分局</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②</w:t>
      </w:r>
      <w:r>
        <w:rPr>
          <w:rFonts w:hint="eastAsia" w:ascii="宋体" w:hAnsi="宋体" w:cs="宋体"/>
          <w:bCs/>
          <w:color w:val="auto"/>
          <w:kern w:val="0"/>
          <w:sz w:val="24"/>
          <w:highlight w:val="none"/>
          <w:lang w:eastAsia="zh-CN"/>
        </w:rPr>
        <w:t>投标保函</w:t>
      </w:r>
      <w:r>
        <w:rPr>
          <w:rFonts w:hint="eastAsia" w:ascii="宋体" w:hAnsi="宋体" w:cs="宋体"/>
          <w:bCs/>
          <w:color w:val="auto"/>
          <w:kern w:val="0"/>
          <w:sz w:val="24"/>
          <w:highlight w:val="none"/>
        </w:rPr>
        <w:t>的有效期为1年</w:t>
      </w:r>
      <w:r>
        <w:rPr>
          <w:rFonts w:hint="eastAsia" w:ascii="宋体" w:hAnsi="宋体" w:cs="宋体"/>
          <w:bCs/>
          <w:color w:val="auto"/>
          <w:kern w:val="0"/>
          <w:sz w:val="24"/>
          <w:highlight w:val="none"/>
          <w:lang w:val="en-US" w:eastAsia="zh-CN"/>
        </w:rPr>
        <w:t>（工程保函有效期起始时间最早为招标公告发布之日，最迟为投标截止日）</w:t>
      </w:r>
      <w:r>
        <w:rPr>
          <w:rFonts w:hint="eastAsia" w:ascii="宋体" w:hAnsi="宋体" w:cs="宋体"/>
          <w:bCs/>
          <w:color w:val="auto"/>
          <w:kern w:val="0"/>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投标人须在投标截止时间前将</w:t>
      </w:r>
      <w:r>
        <w:rPr>
          <w:rFonts w:hint="eastAsia" w:ascii="宋体" w:hAnsi="宋体" w:cs="宋体"/>
          <w:bCs/>
          <w:color w:val="auto"/>
          <w:kern w:val="0"/>
          <w:sz w:val="24"/>
          <w:highlight w:val="none"/>
          <w:lang w:val="en-US" w:eastAsia="zh-CN"/>
        </w:rPr>
        <w:t>投标</w:t>
      </w:r>
      <w:r>
        <w:rPr>
          <w:rFonts w:hint="eastAsia" w:ascii="宋体" w:hAnsi="宋体" w:cs="宋体"/>
          <w:bCs/>
          <w:color w:val="auto"/>
          <w:kern w:val="0"/>
          <w:sz w:val="24"/>
          <w:highlight w:val="none"/>
        </w:rPr>
        <w:t xml:space="preserve">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（1）若是投标人的法定代表人递交</w:t>
      </w:r>
      <w:r>
        <w:rPr>
          <w:rFonts w:hint="eastAsia" w:ascii="宋体" w:hAnsi="宋体" w:cs="宋体"/>
          <w:bCs/>
          <w:color w:val="auto"/>
          <w:kern w:val="0"/>
          <w:sz w:val="24"/>
          <w:highlight w:val="none"/>
          <w:lang w:val="en-US" w:eastAsia="zh-CN"/>
        </w:rPr>
        <w:t>投标</w:t>
      </w:r>
      <w:r>
        <w:rPr>
          <w:rFonts w:hint="eastAsia" w:ascii="宋体" w:hAnsi="宋体" w:cs="宋体"/>
          <w:bCs/>
          <w:color w:val="auto"/>
          <w:kern w:val="0"/>
          <w:sz w:val="24"/>
          <w:highlight w:val="none"/>
        </w:rPr>
        <w:t>保函的，应持法定代表人身份证明原件（格式</w:t>
      </w:r>
      <w:r>
        <w:rPr>
          <w:rFonts w:hint="eastAsia" w:ascii="宋体" w:hAnsi="宋体" w:cs="宋体"/>
          <w:bCs/>
          <w:color w:val="auto"/>
          <w:kern w:val="0"/>
          <w:sz w:val="24"/>
          <w:highlight w:val="none"/>
          <w:lang w:val="en-US" w:eastAsia="zh-CN"/>
        </w:rPr>
        <w:t>见附件</w:t>
      </w:r>
      <w:r>
        <w:rPr>
          <w:rFonts w:hint="eastAsia" w:ascii="宋体" w:hAnsi="宋体" w:cs="宋体"/>
          <w:bCs/>
          <w:color w:val="auto"/>
          <w:kern w:val="0"/>
          <w:sz w:val="24"/>
          <w:highlight w:val="none"/>
        </w:rPr>
        <w:t>）及身份证原件，否则</w:t>
      </w:r>
      <w:r>
        <w:rPr>
          <w:rFonts w:hint="eastAsia" w:ascii="宋体" w:hAnsi="宋体" w:cs="宋体"/>
          <w:bCs/>
          <w:color w:val="auto"/>
          <w:kern w:val="0"/>
          <w:sz w:val="24"/>
          <w:highlight w:val="none"/>
          <w:lang w:val="en-US" w:eastAsia="zh-CN"/>
        </w:rPr>
        <w:t>投标</w:t>
      </w:r>
      <w:r>
        <w:rPr>
          <w:rFonts w:hint="eastAsia" w:ascii="宋体" w:hAnsi="宋体" w:cs="宋体"/>
          <w:bCs/>
          <w:color w:val="auto"/>
          <w:kern w:val="0"/>
          <w:sz w:val="24"/>
          <w:highlight w:val="none"/>
        </w:rPr>
        <w:t>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（2）若是投标人委托代理人递交</w:t>
      </w:r>
      <w:r>
        <w:rPr>
          <w:rFonts w:hint="eastAsia" w:ascii="宋体" w:hAnsi="宋体" w:cs="宋体"/>
          <w:bCs/>
          <w:color w:val="auto"/>
          <w:kern w:val="0"/>
          <w:sz w:val="24"/>
          <w:highlight w:val="none"/>
          <w:lang w:val="en-US" w:eastAsia="zh-CN"/>
        </w:rPr>
        <w:t>投标</w:t>
      </w:r>
      <w:r>
        <w:rPr>
          <w:rFonts w:hint="eastAsia" w:ascii="宋体" w:hAnsi="宋体" w:cs="宋体"/>
          <w:bCs/>
          <w:color w:val="auto"/>
          <w:kern w:val="0"/>
          <w:sz w:val="24"/>
          <w:highlight w:val="none"/>
        </w:rPr>
        <w:t>保函的，应持针对本</w:t>
      </w:r>
      <w:r>
        <w:rPr>
          <w:rFonts w:hint="eastAsia" w:ascii="宋体" w:hAnsi="宋体" w:cs="宋体"/>
          <w:bCs/>
          <w:color w:val="auto"/>
          <w:kern w:val="0"/>
          <w:sz w:val="24"/>
          <w:highlight w:val="none"/>
          <w:lang w:val="en-US" w:eastAsia="zh-CN"/>
        </w:rPr>
        <w:t>项目</w:t>
      </w:r>
      <w:r>
        <w:rPr>
          <w:rFonts w:hint="eastAsia" w:ascii="宋体" w:hAnsi="宋体" w:cs="宋体"/>
          <w:bCs/>
          <w:color w:val="auto"/>
          <w:kern w:val="0"/>
          <w:sz w:val="24"/>
          <w:highlight w:val="none"/>
        </w:rPr>
        <w:t>的法定代表人授权委托书原件（格式</w:t>
      </w:r>
      <w:r>
        <w:rPr>
          <w:rFonts w:hint="eastAsia" w:ascii="宋体" w:hAnsi="宋体" w:cs="宋体"/>
          <w:bCs/>
          <w:color w:val="auto"/>
          <w:kern w:val="0"/>
          <w:sz w:val="24"/>
          <w:highlight w:val="none"/>
          <w:lang w:val="en-US" w:eastAsia="zh-CN"/>
        </w:rPr>
        <w:t>见附件</w:t>
      </w:r>
      <w:r>
        <w:rPr>
          <w:rFonts w:hint="eastAsia" w:ascii="宋体" w:hAnsi="宋体" w:cs="宋体"/>
          <w:bCs/>
          <w:color w:val="auto"/>
          <w:kern w:val="0"/>
          <w:sz w:val="24"/>
          <w:highlight w:val="none"/>
        </w:rPr>
        <w:t>）及身份证原件，否则</w:t>
      </w:r>
      <w:r>
        <w:rPr>
          <w:rFonts w:hint="eastAsia" w:ascii="宋体" w:hAnsi="宋体" w:cs="宋体"/>
          <w:bCs/>
          <w:color w:val="auto"/>
          <w:kern w:val="0"/>
          <w:sz w:val="24"/>
          <w:highlight w:val="none"/>
          <w:lang w:val="en-US" w:eastAsia="zh-CN"/>
        </w:rPr>
        <w:t>投标</w:t>
      </w:r>
      <w:r>
        <w:rPr>
          <w:rFonts w:hint="eastAsia" w:ascii="宋体" w:hAnsi="宋体" w:cs="宋体"/>
          <w:bCs/>
          <w:color w:val="auto"/>
          <w:kern w:val="0"/>
          <w:sz w:val="24"/>
          <w:highlight w:val="none"/>
        </w:rPr>
        <w:t>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（3）递交</w:t>
      </w:r>
      <w:r>
        <w:rPr>
          <w:rFonts w:hint="eastAsia" w:ascii="宋体" w:hAnsi="宋体" w:cs="宋体"/>
          <w:bCs/>
          <w:color w:val="auto"/>
          <w:kern w:val="0"/>
          <w:sz w:val="24"/>
          <w:highlight w:val="none"/>
          <w:lang w:val="en-US" w:eastAsia="zh-CN"/>
        </w:rPr>
        <w:t>投标</w:t>
      </w:r>
      <w:r>
        <w:rPr>
          <w:rFonts w:hint="eastAsia" w:ascii="宋体" w:hAnsi="宋体" w:cs="宋体"/>
          <w:bCs/>
          <w:color w:val="auto"/>
          <w:kern w:val="0"/>
          <w:sz w:val="24"/>
          <w:highlight w:val="none"/>
        </w:rPr>
        <w:t>保函时所要求提供的法定代表人授权委托书或法定代表人身份证明中的人员须与投标文件组成中提供的人员一致，若提供的不一致则以无效标处理。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递交时间及地点：</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lang w:val="en-US" w:eastAsia="zh-CN"/>
        </w:rPr>
        <w:t>递交</w:t>
      </w:r>
      <w:r>
        <w:rPr>
          <w:rFonts w:hint="eastAsia" w:ascii="宋体" w:hAnsi="宋体" w:cs="宋体"/>
          <w:bCs/>
          <w:color w:val="auto"/>
          <w:kern w:val="0"/>
          <w:sz w:val="24"/>
          <w:highlight w:val="none"/>
        </w:rPr>
        <w:t>地点：台州湾新区海虹街道一楼大厅。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lang w:val="en-US" w:eastAsia="zh-CN"/>
        </w:rPr>
        <w:t>递交</w:t>
      </w:r>
      <w:r>
        <w:rPr>
          <w:rFonts w:hint="eastAsia" w:ascii="宋体" w:hAnsi="宋体" w:cs="宋体"/>
          <w:bCs/>
          <w:color w:val="auto"/>
          <w:kern w:val="0"/>
          <w:sz w:val="24"/>
          <w:highlight w:val="none"/>
        </w:rPr>
        <w:t>时间：2023年</w:t>
      </w:r>
      <w:r>
        <w:rPr>
          <w:rFonts w:hint="eastAsia" w:ascii="宋体" w:hAnsi="宋体" w:cs="宋体"/>
          <w:bCs/>
          <w:color w:val="auto"/>
          <w:kern w:val="0"/>
          <w:sz w:val="24"/>
          <w:highlight w:val="none"/>
          <w:lang w:val="en-US" w:eastAsia="zh-CN"/>
        </w:rPr>
        <w:t>10</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12</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09:00-09:30。</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 xml:space="preserve">接收人：台州市建设咨询有限公司（代理机构）； </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接收人联系方式：</w:t>
      </w:r>
      <w:r>
        <w:rPr>
          <w:rFonts w:hint="eastAsia" w:ascii="宋体" w:hAnsi="宋体" w:cs="宋体"/>
          <w:bCs/>
          <w:color w:val="auto"/>
          <w:kern w:val="0"/>
          <w:sz w:val="24"/>
          <w:highlight w:val="none"/>
          <w:lang w:val="en-US" w:eastAsia="zh-CN"/>
        </w:rPr>
        <w:t>13625760924</w:t>
      </w:r>
      <w:r>
        <w:rPr>
          <w:rFonts w:hint="eastAsia" w:ascii="宋体" w:hAnsi="宋体" w:cs="宋体"/>
          <w:bCs/>
          <w:color w:val="auto"/>
          <w:kern w:val="0"/>
          <w:sz w:val="24"/>
          <w:highlight w:val="none"/>
        </w:rPr>
        <w:t xml:space="preserve">（代理机构联系方式）；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highlight w:val="none"/>
        </w:rPr>
      </w:pPr>
      <w:r>
        <w:rPr>
          <w:rFonts w:hint="eastAsia" w:ascii="宋体" w:hAnsi="宋体" w:cs="宋体"/>
          <w:bCs/>
          <w:color w:val="auto"/>
          <w:kern w:val="0"/>
          <w:sz w:val="24"/>
          <w:highlight w:val="none"/>
        </w:rPr>
        <w:t xml:space="preserve">注：投标保函文件中必须包含投标企业的信息，包含但不限于投标企业名称、保证方式、保证金额、保函获得时间、保证项目名称、保函有效期限、保费标准、费用支付账户（基本账户）等。保费应一函一付，通过企业基本账户支付。工程保函的保险（保证）责任必须包括本招标文件“投标人须知 </w:t>
      </w:r>
      <w:r>
        <w:rPr>
          <w:rFonts w:hint="eastAsia" w:ascii="宋体" w:hAnsi="宋体" w:cs="宋体"/>
          <w:bCs/>
          <w:color w:val="auto"/>
          <w:kern w:val="0"/>
          <w:sz w:val="24"/>
          <w:highlight w:val="none"/>
          <w:lang w:val="en-US" w:eastAsia="zh-CN"/>
        </w:rPr>
        <w:t xml:space="preserve">前附表 13 </w:t>
      </w:r>
      <w:r>
        <w:rPr>
          <w:rFonts w:hint="eastAsia" w:ascii="宋体" w:hAnsi="宋体" w:cs="宋体"/>
          <w:bCs/>
          <w:color w:val="auto"/>
          <w:kern w:val="0"/>
          <w:sz w:val="24"/>
          <w:highlight w:val="none"/>
        </w:rPr>
        <w:t>”所列条款。</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①</w:t>
      </w:r>
      <w:r>
        <w:rPr>
          <w:rFonts w:hint="eastAsia" w:ascii="宋体" w:hAnsi="宋体" w:cs="宋体"/>
          <w:b/>
          <w:color w:val="auto"/>
          <w:kern w:val="0"/>
          <w:sz w:val="24"/>
          <w:highlight w:val="none"/>
          <w:lang w:val="en-US" w:eastAsia="zh-CN"/>
        </w:rPr>
        <w:t>本项目不接受以联合体形式递交保证金</w:t>
      </w:r>
      <w:r>
        <w:rPr>
          <w:rFonts w:hint="eastAsia" w:ascii="宋体" w:hAnsi="宋体" w:cs="宋体"/>
          <w:b/>
          <w:color w:val="auto"/>
          <w:kern w:val="0"/>
          <w:sz w:val="24"/>
          <w:highlight w:val="none"/>
        </w:rPr>
        <w:t>；</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②现金转账账号根据不同</w:t>
      </w:r>
      <w:r>
        <w:rPr>
          <w:rFonts w:hint="eastAsia" w:ascii="宋体" w:hAnsi="宋体" w:cs="宋体"/>
          <w:b/>
          <w:color w:val="auto"/>
          <w:kern w:val="0"/>
          <w:sz w:val="24"/>
          <w:highlight w:val="none"/>
          <w:lang w:val="en-US" w:eastAsia="zh-CN"/>
        </w:rPr>
        <w:t>项目</w:t>
      </w:r>
      <w:r>
        <w:rPr>
          <w:rFonts w:hint="eastAsia" w:ascii="宋体" w:hAnsi="宋体" w:cs="宋体"/>
          <w:b/>
          <w:color w:val="auto"/>
          <w:kern w:val="0"/>
          <w:sz w:val="24"/>
          <w:highlight w:val="none"/>
        </w:rPr>
        <w:t>（标段）由系统随机生成，此账号只在本</w:t>
      </w:r>
      <w:r>
        <w:rPr>
          <w:rFonts w:hint="eastAsia" w:ascii="宋体" w:hAnsi="宋体" w:cs="宋体"/>
          <w:b/>
          <w:color w:val="auto"/>
          <w:kern w:val="0"/>
          <w:sz w:val="24"/>
          <w:highlight w:val="none"/>
          <w:lang w:val="en-US" w:eastAsia="zh-CN"/>
        </w:rPr>
        <w:t>项目</w:t>
      </w:r>
      <w:r>
        <w:rPr>
          <w:rFonts w:hint="eastAsia" w:ascii="宋体" w:hAnsi="宋体" w:cs="宋体"/>
          <w:b/>
          <w:color w:val="auto"/>
          <w:kern w:val="0"/>
          <w:sz w:val="24"/>
          <w:highlight w:val="none"/>
        </w:rPr>
        <w:t>（标段）中使用有效，请注意核对。账号漏填、混填或错填均视为未按时缴纳保证金；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③以现金转账形式提交的投标保证金应当从投标人基本账户转出，购买</w:t>
      </w:r>
      <w:r>
        <w:rPr>
          <w:rFonts w:hint="eastAsia" w:ascii="宋体" w:hAnsi="宋体" w:cs="宋体"/>
          <w:b/>
          <w:color w:val="auto"/>
          <w:kern w:val="0"/>
          <w:sz w:val="24"/>
          <w:highlight w:val="none"/>
          <w:lang w:val="en-US" w:eastAsia="zh-CN"/>
        </w:rPr>
        <w:t>项目</w:t>
      </w:r>
      <w:r>
        <w:rPr>
          <w:rFonts w:hint="eastAsia" w:ascii="宋体" w:hAnsi="宋体" w:cs="宋体"/>
          <w:b/>
          <w:color w:val="auto"/>
          <w:kern w:val="0"/>
          <w:sz w:val="24"/>
          <w:highlight w:val="none"/>
        </w:rPr>
        <w:t>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④若有疑问，请咨询技术服务热线：0576-88865501</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⑤以上未按要求提供或提供不清晰的，评标委员会可能做出不利于投标人的评审结果，由此造成的风险由投标人自行承担。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hint="default" w:ascii="宋体" w:hAnsi="宋体" w:eastAsia="宋体" w:cs="宋体"/>
          <w:b/>
          <w:bCs/>
          <w:color w:val="auto"/>
          <w:kern w:val="2"/>
          <w:sz w:val="24"/>
          <w:szCs w:val="24"/>
          <w:highlight w:val="none"/>
          <w:lang w:val="en-US" w:eastAsia="zh-CN" w:bidi="ar-SA"/>
        </w:rPr>
      </w:pPr>
      <w:r>
        <w:rPr>
          <w:rFonts w:hint="eastAsia" w:ascii="宋体" w:hAnsi="宋体" w:cs="宋体"/>
          <w:b/>
          <w:color w:val="auto"/>
          <w:kern w:val="0"/>
          <w:sz w:val="24"/>
          <w:highlight w:val="none"/>
        </w:rPr>
        <w:t>4、</w:t>
      </w:r>
      <w:r>
        <w:rPr>
          <w:rFonts w:hint="eastAsia" w:ascii="宋体" w:hAnsi="宋体" w:cs="宋体"/>
          <w:bCs/>
          <w:color w:val="auto"/>
          <w:kern w:val="0"/>
          <w:sz w:val="24"/>
          <w:highlight w:val="none"/>
        </w:rPr>
        <w:t>购买工程电子保函截止时间：</w:t>
      </w:r>
      <w:r>
        <w:rPr>
          <w:rFonts w:hint="eastAsia" w:ascii="宋体" w:hAnsi="宋体" w:cs="宋体"/>
          <w:b/>
          <w:bCs/>
          <w:color w:val="auto"/>
          <w:kern w:val="0"/>
          <w:sz w:val="24"/>
          <w:highlight w:val="none"/>
          <w:u w:val="single"/>
        </w:rPr>
        <w:t xml:space="preserve"> 202</w:t>
      </w:r>
      <w:r>
        <w:rPr>
          <w:rFonts w:hint="eastAsia" w:ascii="宋体" w:hAnsi="宋体" w:cs="宋体"/>
          <w:b/>
          <w:bCs/>
          <w:color w:val="auto"/>
          <w:kern w:val="0"/>
          <w:sz w:val="24"/>
          <w:highlight w:val="none"/>
          <w:u w:val="single"/>
          <w:lang w:val="en-US" w:eastAsia="zh-CN"/>
        </w:rPr>
        <w:t>3</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10</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u w:val="single"/>
          <w:lang w:val="en-US" w:eastAsia="zh-CN"/>
        </w:rPr>
        <w:t xml:space="preserve"> 11 </w:t>
      </w:r>
      <w:r>
        <w:rPr>
          <w:rFonts w:hint="eastAsia" w:ascii="宋体" w:hAnsi="宋体" w:cs="宋体"/>
          <w:b/>
          <w:bCs/>
          <w:color w:val="auto"/>
          <w:kern w:val="0"/>
          <w:sz w:val="24"/>
          <w:highlight w:val="none"/>
          <w:lang w:val="en-US" w:eastAsia="zh-CN"/>
        </w:rPr>
        <w:t>日</w:t>
      </w:r>
      <w:r>
        <w:rPr>
          <w:rFonts w:hint="eastAsia" w:ascii="宋体" w:hAnsi="宋体" w:cs="宋体"/>
          <w:b/>
          <w:bCs/>
          <w:color w:val="auto"/>
          <w:kern w:val="0"/>
          <w:sz w:val="24"/>
          <w:highlight w:val="none"/>
        </w:rPr>
        <w:t>下午16点前</w:t>
      </w:r>
    </w:p>
    <w:p>
      <w:pPr>
        <w:pStyle w:val="6"/>
        <w:ind w:right="0" w:firstLine="482" w:firstLineChars="200"/>
        <w:rPr>
          <w:rFonts w:cs="宋体"/>
          <w:bCs/>
          <w:color w:val="auto"/>
          <w:sz w:val="24"/>
          <w:szCs w:val="24"/>
          <w:highlight w:val="none"/>
        </w:rPr>
      </w:pPr>
      <w:bookmarkStart w:id="29" w:name="_Toc28359085"/>
      <w:bookmarkStart w:id="30" w:name="_Toc35393627"/>
      <w:bookmarkStart w:id="31" w:name="_Toc35393796"/>
      <w:bookmarkStart w:id="32" w:name="_Toc28359008"/>
      <w:r>
        <w:rPr>
          <w:rFonts w:hint="eastAsia" w:cs="宋体"/>
          <w:bCs/>
          <w:color w:val="auto"/>
          <w:sz w:val="24"/>
          <w:szCs w:val="24"/>
          <w:highlight w:val="none"/>
          <w:lang w:val="en-US" w:eastAsia="zh-CN"/>
        </w:rPr>
        <w:t>八</w:t>
      </w:r>
      <w:r>
        <w:rPr>
          <w:rFonts w:hint="eastAsia" w:cs="宋体"/>
          <w:bCs/>
          <w:color w:val="auto"/>
          <w:sz w:val="24"/>
          <w:szCs w:val="24"/>
          <w:highlight w:val="none"/>
        </w:rPr>
        <w:t>、</w:t>
      </w:r>
      <w:bookmarkEnd w:id="29"/>
      <w:bookmarkEnd w:id="30"/>
      <w:bookmarkEnd w:id="31"/>
      <w:bookmarkEnd w:id="32"/>
      <w:r>
        <w:rPr>
          <w:rFonts w:hint="eastAsia" w:cs="宋体"/>
          <w:bCs/>
          <w:color w:val="auto"/>
          <w:sz w:val="24"/>
          <w:szCs w:val="24"/>
          <w:highlight w:val="none"/>
        </w:rPr>
        <w:t>联系方式</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（一）采购人（受理招标文件相关质疑及答复）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cs="宋体"/>
          <w:color w:val="auto"/>
          <w:sz w:val="24"/>
          <w:highlight w:val="none"/>
          <w:u w:val="single"/>
          <w:lang w:eastAsia="zh-CN"/>
        </w:rPr>
        <w:t>台州市自然资源和规划局台州湾新区（高新区）分局</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台州市甲南大道东段9号</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联系人：</w:t>
      </w:r>
      <w:bookmarkStart w:id="33" w:name="_Toc28359086"/>
      <w:bookmarkStart w:id="34" w:name="_Toc28359009"/>
      <w:r>
        <w:rPr>
          <w:rFonts w:hint="eastAsia" w:ascii="宋体" w:hAnsi="宋体" w:cs="宋体"/>
          <w:color w:val="auto"/>
          <w:sz w:val="24"/>
          <w:highlight w:val="none"/>
        </w:rPr>
        <w:t xml:space="preserve"> </w:t>
      </w:r>
      <w:r>
        <w:rPr>
          <w:rFonts w:hint="eastAsia" w:ascii="宋体" w:hAnsi="宋体" w:cs="宋体"/>
          <w:color w:val="auto"/>
          <w:sz w:val="24"/>
          <w:highlight w:val="none"/>
          <w:u w:val="single"/>
        </w:rPr>
        <w:t>蒋先生</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0576-88909633 </w:t>
      </w:r>
    </w:p>
    <w:bookmarkEnd w:id="33"/>
    <w:bookmarkEnd w:id="34"/>
    <w:p>
      <w:pPr>
        <w:spacing w:line="360" w:lineRule="auto"/>
        <w:ind w:firstLine="482" w:firstLineChars="200"/>
        <w:rPr>
          <w:rFonts w:ascii="宋体" w:hAnsi="宋体" w:cs="宋体"/>
          <w:b/>
          <w:color w:val="auto"/>
          <w:sz w:val="24"/>
          <w:highlight w:val="none"/>
        </w:rPr>
      </w:pPr>
      <w:r>
        <w:rPr>
          <w:rFonts w:hint="eastAsia" w:ascii="宋体" w:hAnsi="宋体" w:cs="宋体"/>
          <w:b/>
          <w:bCs/>
          <w:color w:val="auto"/>
          <w:sz w:val="24"/>
          <w:highlight w:val="none"/>
        </w:rPr>
        <w:t>（二）采购组织机构</w:t>
      </w:r>
    </w:p>
    <w:p>
      <w:pPr>
        <w:spacing w:line="360" w:lineRule="auto"/>
        <w:ind w:firstLine="480" w:firstLineChars="200"/>
        <w:rPr>
          <w:rFonts w:ascii="宋体" w:hAnsi="宋体" w:cs="宋体"/>
          <w:color w:val="auto"/>
          <w:sz w:val="24"/>
          <w:highlight w:val="none"/>
          <w:u w:val="single"/>
        </w:rPr>
      </w:pPr>
      <w:bookmarkStart w:id="35" w:name="_Toc28359087"/>
      <w:bookmarkStart w:id="36" w:name="_Toc28359010"/>
      <w:r>
        <w:rPr>
          <w:rFonts w:hint="eastAsia" w:ascii="宋体" w:hAnsi="宋体" w:cs="宋体"/>
          <w:color w:val="auto"/>
          <w:sz w:val="24"/>
          <w:highlight w:val="none"/>
        </w:rPr>
        <w:t>名 称：</w:t>
      </w:r>
      <w:r>
        <w:rPr>
          <w:rFonts w:hint="eastAsia" w:ascii="宋体" w:hAnsi="宋体" w:cs="宋体"/>
          <w:color w:val="auto"/>
          <w:sz w:val="24"/>
          <w:highlight w:val="none"/>
          <w:u w:val="single"/>
        </w:rPr>
        <w:t>台州市建设咨询有限公司</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浙江省台州市市府大道507号台州国际商务广场1幢（北门）十一楼</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rPr>
        <w:t>葛俊</w:t>
      </w:r>
    </w:p>
    <w:p>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0576-88517782</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rPr>
        <w:t>徐瑜（受理注册、中标结果相关质疑及答复）</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0576-88517786</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（三）同级政府采购监管机构</w:t>
      </w:r>
    </w:p>
    <w:p>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名 称：</w:t>
      </w:r>
      <w:r>
        <w:rPr>
          <w:rFonts w:hint="eastAsia" w:asciiTheme="minorEastAsia" w:hAnsiTheme="minorEastAsia" w:eastAsiaTheme="minorEastAsia" w:cstheme="minorEastAsia"/>
          <w:color w:val="auto"/>
          <w:sz w:val="24"/>
          <w:highlight w:val="none"/>
          <w:u w:val="single"/>
          <w:lang w:val="en-US" w:eastAsia="zh-CN"/>
        </w:rPr>
        <w:t>台州湾新区司法审计局</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台州市甲南大道东段9号</w:t>
      </w:r>
    </w:p>
    <w:p>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徐先生</w:t>
      </w:r>
    </w:p>
    <w:p>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w:t>
      </w:r>
      <w:r>
        <w:rPr>
          <w:rFonts w:hint="eastAsia" w:ascii="宋体" w:hAnsi="宋体" w:cs="宋体"/>
          <w:color w:val="auto"/>
          <w:sz w:val="24"/>
          <w:highlight w:val="none"/>
          <w:u w:val="single"/>
          <w:lang w:val="en-US" w:eastAsia="zh-CN"/>
        </w:rPr>
        <w:t>88538849</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（四）台州湾新区小额工程电子交易平台</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联系人：</w:t>
      </w:r>
      <w:r>
        <w:rPr>
          <w:rFonts w:hint="eastAsia" w:ascii="宋体" w:hAnsi="宋体" w:cs="宋体"/>
          <w:color w:val="auto"/>
          <w:sz w:val="24"/>
          <w:highlight w:val="none"/>
          <w:u w:val="single"/>
          <w:lang w:val="en-US" w:eastAsia="zh-CN"/>
        </w:rPr>
        <w:t>蔡永正、王明月</w:t>
      </w:r>
    </w:p>
    <w:p>
      <w:pPr>
        <w:spacing w:line="360" w:lineRule="auto"/>
        <w:ind w:firstLine="480" w:firstLineChars="200"/>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rPr>
        <w:t>联系电话：</w:t>
      </w:r>
      <w:r>
        <w:rPr>
          <w:rFonts w:hint="eastAsia" w:ascii="宋体" w:hAnsi="宋体" w:cs="宋体"/>
          <w:color w:val="auto"/>
          <w:sz w:val="24"/>
          <w:szCs w:val="24"/>
          <w:highlight w:val="none"/>
          <w:u w:val="single"/>
        </w:rPr>
        <w:t>13454667697</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color w:val="auto"/>
          <w:sz w:val="24"/>
          <w:highlight w:val="none"/>
        </w:rPr>
      </w:pPr>
      <w:r>
        <w:rPr>
          <w:rFonts w:hint="eastAsia" w:ascii="宋体" w:hAnsi="宋体" w:cs="宋体"/>
          <w:color w:val="auto"/>
          <w:sz w:val="24"/>
          <w:highlight w:val="none"/>
          <w:shd w:val="clear" w:color="auto" w:fill="FFFFFF"/>
        </w:rPr>
        <w:t>台州市建设咨询有限公司</w:t>
      </w:r>
      <w:r>
        <w:rPr>
          <w:rFonts w:hint="eastAsia" w:ascii="宋体" w:hAnsi="宋体" w:cs="宋体"/>
          <w:color w:val="auto"/>
          <w:kern w:val="0"/>
          <w:sz w:val="24"/>
          <w:highlight w:val="none"/>
        </w:rPr>
        <w:t xml:space="preserve">  </w:t>
      </w:r>
    </w:p>
    <w:p>
      <w:pPr>
        <w:widowControl/>
        <w:spacing w:line="360" w:lineRule="auto"/>
        <w:ind w:firstLine="200"/>
        <w:jc w:val="right"/>
        <w:rPr>
          <w:rFonts w:asciiTheme="minorEastAsia" w:hAnsiTheme="minorEastAsia" w:eastAsiaTheme="minorEastAsia" w:cstheme="minorEastAsia"/>
          <w:color w:val="auto"/>
          <w:kern w:val="0"/>
          <w:sz w:val="24"/>
          <w:highlight w:val="none"/>
        </w:rPr>
      </w:pPr>
      <w:r>
        <w:rPr>
          <w:rFonts w:hint="eastAsia" w:ascii="宋体" w:hAnsi="宋体" w:cs="宋体"/>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rPr>
        <w:t>2023年</w:t>
      </w:r>
      <w:r>
        <w:rPr>
          <w:rFonts w:hint="eastAsia" w:asciiTheme="minorEastAsia" w:hAnsiTheme="minorEastAsia" w:eastAsiaTheme="minorEastAsia" w:cstheme="minorEastAsia"/>
          <w:color w:val="auto"/>
          <w:sz w:val="24"/>
          <w:highlight w:val="none"/>
          <w:lang w:val="en-US" w:eastAsia="zh-CN"/>
        </w:rPr>
        <w:t>09</w:t>
      </w:r>
      <w:r>
        <w:rPr>
          <w:rFonts w:hint="eastAsia" w:asciiTheme="minorEastAsia" w:hAnsiTheme="minorEastAsia" w:eastAsiaTheme="minorEastAsia" w:cstheme="minorEastAsia"/>
          <w:color w:val="auto"/>
          <w:kern w:val="0"/>
          <w:sz w:val="24"/>
          <w:highlight w:val="none"/>
        </w:rPr>
        <w:t>月</w:t>
      </w:r>
    </w:p>
    <w:p>
      <w:pPr>
        <w:pStyle w:val="31"/>
        <w:ind w:firstLine="480"/>
        <w:rPr>
          <w:rFonts w:asciiTheme="minorEastAsia" w:hAnsiTheme="minorEastAsia" w:eastAsiaTheme="minorEastAsia" w:cstheme="minorEastAsia"/>
          <w:color w:val="auto"/>
          <w:kern w:val="0"/>
          <w:highlight w:val="none"/>
        </w:rPr>
      </w:pPr>
    </w:p>
    <w:p>
      <w:pPr>
        <w:pStyle w:val="31"/>
        <w:ind w:firstLine="480"/>
        <w:rPr>
          <w:rFonts w:asciiTheme="minorEastAsia" w:hAnsiTheme="minorEastAsia" w:eastAsiaTheme="minorEastAsia" w:cstheme="minorEastAsia"/>
          <w:color w:val="auto"/>
          <w:kern w:val="0"/>
          <w:highlight w:val="none"/>
        </w:rPr>
      </w:pPr>
    </w:p>
    <w:p>
      <w:pPr>
        <w:pStyle w:val="31"/>
        <w:ind w:firstLine="480"/>
        <w:rPr>
          <w:rFonts w:asciiTheme="minorEastAsia" w:hAnsiTheme="minorEastAsia" w:eastAsiaTheme="minorEastAsia" w:cstheme="minorEastAsia"/>
          <w:color w:val="auto"/>
          <w:kern w:val="0"/>
          <w:highlight w:val="none"/>
        </w:rPr>
      </w:pPr>
    </w:p>
    <w:p>
      <w:pPr>
        <w:pStyle w:val="31"/>
        <w:ind w:firstLine="480"/>
        <w:rPr>
          <w:rFonts w:asciiTheme="minorEastAsia" w:hAnsiTheme="minorEastAsia" w:eastAsiaTheme="minorEastAsia" w:cstheme="minorEastAsia"/>
          <w:color w:val="auto"/>
          <w:kern w:val="0"/>
          <w:highlight w:val="none"/>
        </w:rPr>
      </w:pPr>
    </w:p>
    <w:p>
      <w:pPr>
        <w:pStyle w:val="31"/>
        <w:ind w:firstLine="480"/>
        <w:rPr>
          <w:rFonts w:asciiTheme="minorEastAsia" w:hAnsiTheme="minorEastAsia" w:eastAsiaTheme="minorEastAsia" w:cstheme="minorEastAsia"/>
          <w:color w:val="auto"/>
          <w:kern w:val="0"/>
          <w:highlight w:val="none"/>
        </w:rPr>
      </w:pPr>
    </w:p>
    <w:p>
      <w:pPr>
        <w:pStyle w:val="31"/>
        <w:ind w:firstLine="480"/>
        <w:rPr>
          <w:rFonts w:asciiTheme="minorEastAsia" w:hAnsiTheme="minorEastAsia" w:eastAsiaTheme="minorEastAsia" w:cstheme="minorEastAsia"/>
          <w:color w:val="auto"/>
          <w:kern w:val="0"/>
          <w:highlight w:val="none"/>
        </w:rPr>
      </w:pPr>
    </w:p>
    <w:p>
      <w:pPr>
        <w:pStyle w:val="31"/>
        <w:ind w:firstLine="480"/>
        <w:rPr>
          <w:rFonts w:asciiTheme="minorEastAsia" w:hAnsiTheme="minorEastAsia" w:eastAsiaTheme="minorEastAsia" w:cstheme="minorEastAsia"/>
          <w:color w:val="auto"/>
          <w:kern w:val="0"/>
          <w:highlight w:val="none"/>
        </w:rPr>
      </w:pPr>
    </w:p>
    <w:p>
      <w:pPr>
        <w:pStyle w:val="31"/>
        <w:ind w:firstLine="480"/>
        <w:rPr>
          <w:rFonts w:asciiTheme="minorEastAsia" w:hAnsiTheme="minorEastAsia" w:eastAsiaTheme="minorEastAsia" w:cstheme="minorEastAsia"/>
          <w:color w:val="auto"/>
          <w:kern w:val="0"/>
          <w:highlight w:val="none"/>
        </w:rPr>
      </w:pPr>
    </w:p>
    <w:bookmarkEnd w:id="35"/>
    <w:bookmarkEnd w:id="36"/>
    <w:p>
      <w:pPr>
        <w:numPr>
          <w:ilvl w:val="0"/>
          <w:numId w:val="6"/>
        </w:numPr>
        <w:spacing w:line="360" w:lineRule="auto"/>
        <w:jc w:val="center"/>
        <w:rPr>
          <w:rFonts w:asciiTheme="minorEastAsia" w:hAnsiTheme="minorEastAsia" w:eastAsiaTheme="minorEastAsia"/>
          <w:b/>
          <w:color w:val="auto"/>
          <w:sz w:val="36"/>
          <w:szCs w:val="36"/>
          <w:highlight w:val="none"/>
        </w:rPr>
      </w:pPr>
      <w:bookmarkStart w:id="37" w:name="_Toc25017_WPSOffice_Level1"/>
      <w:r>
        <w:rPr>
          <w:rFonts w:hint="eastAsia" w:asciiTheme="minorEastAsia" w:hAnsiTheme="minorEastAsia" w:eastAsiaTheme="minorEastAsia"/>
          <w:b/>
          <w:color w:val="auto"/>
          <w:sz w:val="36"/>
          <w:szCs w:val="36"/>
          <w:highlight w:val="none"/>
        </w:rPr>
        <w:t>投标人须知</w:t>
      </w:r>
      <w:bookmarkEnd w:id="37"/>
    </w:p>
    <w:p>
      <w:pPr>
        <w:numPr>
          <w:ilvl w:val="0"/>
          <w:numId w:val="7"/>
        </w:numPr>
        <w:ind w:firstLine="482" w:firstLineChars="200"/>
        <w:rPr>
          <w:color w:val="auto"/>
          <w:highlight w:val="none"/>
        </w:rPr>
      </w:pPr>
      <w:r>
        <w:rPr>
          <w:rFonts w:hint="eastAsia" w:asciiTheme="minorEastAsia" w:hAnsiTheme="minorEastAsia" w:eastAsiaTheme="minorEastAsia"/>
          <w:b/>
          <w:color w:val="auto"/>
          <w:sz w:val="24"/>
          <w:highlight w:val="none"/>
        </w:rPr>
        <w:t>前附表</w:t>
      </w:r>
    </w:p>
    <w:tbl>
      <w:tblPr>
        <w:tblStyle w:val="25"/>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cs="宋体"/>
                <w:color w:val="auto"/>
                <w:highlight w:val="none"/>
              </w:rPr>
            </w:pPr>
            <w:r>
              <w:rPr>
                <w:rFonts w:hint="eastAsia" w:ascii="宋体" w:hAnsi="宋体" w:cs="宋体"/>
                <w:color w:val="auto"/>
                <w:highlight w:val="none"/>
              </w:rPr>
              <w:t>是否允许</w:t>
            </w:r>
          </w:p>
          <w:p>
            <w:pPr>
              <w:spacing w:line="300" w:lineRule="auto"/>
              <w:jc w:val="center"/>
              <w:rPr>
                <w:rFonts w:ascii="宋体" w:hAnsi="宋体" w:cs="宋体"/>
                <w:color w:val="auto"/>
                <w:highlight w:val="none"/>
              </w:rPr>
            </w:pPr>
            <w:r>
              <w:rPr>
                <w:rFonts w:hint="eastAsia" w:ascii="宋体" w:hAnsi="宋体" w:cs="宋体"/>
                <w:color w:val="auto"/>
                <w:highlight w:val="none"/>
              </w:rPr>
              <w:t>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eastAsia="zh-CN"/>
              </w:rPr>
              <w:t>是。</w:t>
            </w:r>
            <w:r>
              <w:rPr>
                <w:rFonts w:hint="eastAsia" w:ascii="宋体" w:hAnsi="宋体" w:cs="宋体"/>
                <w:color w:val="auto"/>
                <w:highlight w:val="none"/>
                <w:lang w:val="zh-CN" w:eastAsia="zh-CN"/>
              </w:rPr>
              <w:t>经甲方的书面同意，乙方可将本合同范围的</w:t>
            </w:r>
            <w:r>
              <w:rPr>
                <w:rFonts w:hint="eastAsia" w:ascii="宋体" w:hAnsi="宋体" w:cs="宋体"/>
                <w:color w:val="auto"/>
                <w:highlight w:val="none"/>
                <w:lang w:val="en-US" w:eastAsia="zh-CN"/>
              </w:rPr>
              <w:t>非主体</w:t>
            </w:r>
            <w:r>
              <w:rPr>
                <w:rFonts w:hint="eastAsia" w:ascii="宋体" w:hAnsi="宋体" w:cs="宋体"/>
                <w:color w:val="auto"/>
                <w:highlight w:val="none"/>
                <w:lang w:val="zh-CN" w:eastAsia="zh-CN"/>
              </w:rPr>
              <w:t>部分服务分包给</w:t>
            </w:r>
            <w:r>
              <w:rPr>
                <w:rFonts w:hint="eastAsia" w:ascii="宋体" w:hAnsi="宋体" w:cs="宋体"/>
                <w:color w:val="auto"/>
                <w:highlight w:val="none"/>
                <w:lang w:val="en-US" w:eastAsia="zh-CN"/>
              </w:rPr>
              <w:t>具备响应资质的</w:t>
            </w:r>
            <w:r>
              <w:rPr>
                <w:rFonts w:hint="eastAsia" w:ascii="宋体" w:hAnsi="宋体" w:cs="宋体"/>
                <w:color w:val="auto"/>
                <w:highlight w:val="none"/>
                <w:lang w:val="zh-CN" w:eastAsia="zh-CN"/>
              </w:rPr>
              <w:t>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答疑会或</w:t>
            </w:r>
          </w:p>
          <w:p>
            <w:pPr>
              <w:spacing w:line="300" w:lineRule="auto"/>
              <w:jc w:val="center"/>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宋体" w:hAnsi="宋体" w:cs="宋体"/>
                <w:color w:val="auto"/>
                <w:highlight w:val="none"/>
              </w:rPr>
            </w:pPr>
            <w:r>
              <w:rPr>
                <w:rFonts w:hint="eastAsia" w:ascii="宋体" w:hAnsi="宋体" w:cs="宋体"/>
                <w:color w:val="auto"/>
                <w:highlight w:val="none"/>
              </w:rPr>
              <w:t>1、投标人无需到开标现场，电子投标文件上传至台州湾新区小额工程电子交易平台。如遇有问题的请联系蔡先生，13454667697；王女士，13757680207。</w:t>
            </w:r>
          </w:p>
          <w:p>
            <w:pPr>
              <w:spacing w:line="300" w:lineRule="auto"/>
              <w:ind w:firstLine="420" w:firstLineChars="200"/>
              <w:rPr>
                <w:rFonts w:hint="eastAsia" w:ascii="宋体" w:hAnsi="宋体" w:cs="宋体"/>
                <w:color w:val="auto"/>
                <w:highlight w:val="none"/>
              </w:rPr>
            </w:pPr>
            <w:r>
              <w:rPr>
                <w:rFonts w:hint="eastAsia" w:ascii="宋体" w:hAnsi="宋体" w:cs="宋体"/>
                <w:color w:val="auto"/>
                <w:highlight w:val="none"/>
              </w:rPr>
              <w:t>2、电子投标文件上传步骤：</w:t>
            </w:r>
          </w:p>
          <w:p>
            <w:pPr>
              <w:spacing w:line="300" w:lineRule="auto"/>
              <w:ind w:firstLine="420" w:firstLineChars="200"/>
              <w:rPr>
                <w:rFonts w:hint="eastAsia" w:ascii="宋体" w:hAnsi="宋体" w:cs="宋体"/>
                <w:color w:val="auto"/>
                <w:highlight w:val="none"/>
              </w:rPr>
            </w:pPr>
            <w:r>
              <w:rPr>
                <w:rFonts w:hint="eastAsia" w:ascii="宋体" w:hAnsi="宋体" w:cs="宋体"/>
                <w:color w:val="auto"/>
                <w:highlight w:val="none"/>
              </w:rPr>
              <w:t>1) 台州湾新区小额工程电子交易平台（网址：http://www.tzwztb.com/）；</w:t>
            </w:r>
          </w:p>
          <w:p>
            <w:pPr>
              <w:spacing w:line="300" w:lineRule="auto"/>
              <w:ind w:firstLine="420" w:firstLineChars="200"/>
              <w:rPr>
                <w:rFonts w:hint="eastAsia" w:ascii="宋体" w:hAnsi="宋体" w:cs="宋体"/>
                <w:color w:val="auto"/>
                <w:highlight w:val="none"/>
              </w:rPr>
            </w:pPr>
            <w:r>
              <w:rPr>
                <w:rFonts w:hint="eastAsia" w:ascii="宋体" w:hAnsi="宋体" w:cs="宋体"/>
                <w:color w:val="auto"/>
                <w:highlight w:val="none"/>
              </w:rPr>
              <w:t>2) 投标人应提前办好ca锁（办理网址：http://www.tseal.cn/tcloud/common.xhtml?projId=295），绑定平台账户。</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投标与开标</w:t>
            </w:r>
          </w:p>
          <w:p>
            <w:pPr>
              <w:spacing w:line="300" w:lineRule="auto"/>
              <w:jc w:val="center"/>
              <w:rPr>
                <w:rFonts w:ascii="宋体" w:hAnsi="宋体" w:cs="宋体"/>
                <w:color w:val="auto"/>
                <w:highlight w:val="none"/>
              </w:rPr>
            </w:pPr>
            <w:r>
              <w:rPr>
                <w:rFonts w:hint="eastAsia" w:ascii="宋体" w:hAnsi="宋体" w:cs="宋体"/>
                <w:color w:val="auto"/>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1.本项目实行电子投标，投标人自行承担投标一切费用。</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2.标前准备：投标人在开标前确保成为台州湾新区小额工程电子交易平台正式注册用户，并完成CA数字证书办理（办理流程详见</w:t>
            </w:r>
            <w:r>
              <w:rPr>
                <w:rFonts w:hint="eastAsia" w:ascii="宋体" w:hAnsi="宋体" w:cs="宋体"/>
                <w:color w:val="auto"/>
                <w:highlight w:val="none"/>
                <w:lang w:val="en-US" w:eastAsia="zh-CN"/>
              </w:rPr>
              <w:t>平台官网</w:t>
            </w:r>
            <w:r>
              <w:rPr>
                <w:rFonts w:hint="eastAsia" w:ascii="宋体" w:hAnsi="宋体" w:cs="宋体"/>
                <w:color w:val="auto"/>
                <w:highlight w:val="none"/>
              </w:rPr>
              <w:t>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信用信息</w:t>
            </w:r>
          </w:p>
          <w:p>
            <w:pPr>
              <w:spacing w:line="300" w:lineRule="auto"/>
              <w:jc w:val="center"/>
              <w:rPr>
                <w:rFonts w:ascii="宋体" w:hAnsi="宋体" w:cs="宋体"/>
                <w:color w:val="auto"/>
                <w:highlight w:val="none"/>
              </w:rPr>
            </w:pPr>
            <w:r>
              <w:rPr>
                <w:rFonts w:hint="eastAsia" w:ascii="宋体" w:hAnsi="宋体" w:cs="宋体"/>
                <w:color w:val="auto"/>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rPr>
              <w:t>http://www.creditchina.gov.cn</w:t>
            </w:r>
            <w:r>
              <w:rPr>
                <w:rFonts w:hint="eastAsia" w:ascii="宋体" w:hAnsi="宋体" w:cs="宋体"/>
                <w:color w:val="auto"/>
                <w:highlight w:val="none"/>
              </w:rPr>
              <w:fldChar w:fldCharType="end"/>
            </w:r>
            <w:r>
              <w:rPr>
                <w:rFonts w:hint="eastAsia" w:ascii="宋体" w:hAnsi="宋体" w:cs="宋体"/>
                <w:color w:val="auto"/>
                <w:highlight w:val="none"/>
              </w:rPr>
              <w:t>）</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以书面形式向采购人、采购代理机构递交质疑函</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color w:val="auto"/>
                <w:highlight w:val="none"/>
              </w:rPr>
            </w:pPr>
            <w:r>
              <w:rPr>
                <w:rFonts w:hint="eastAsia" w:ascii="宋体" w:hAnsi="宋体" w:cs="宋体"/>
                <w:color w:val="auto"/>
                <w:highlight w:val="none"/>
              </w:rPr>
              <w:t>本项目投标应以人民币报价；</w:t>
            </w:r>
          </w:p>
          <w:p>
            <w:pPr>
              <w:spacing w:line="300" w:lineRule="auto"/>
              <w:rPr>
                <w:rFonts w:ascii="宋体" w:hAnsi="宋体" w:cs="宋体"/>
                <w:color w:val="auto"/>
                <w:highlight w:val="none"/>
              </w:rPr>
            </w:pPr>
            <w:r>
              <w:rPr>
                <w:rFonts w:hint="eastAsia" w:ascii="宋体" w:hAnsi="宋体" w:cs="宋体"/>
                <w:color w:val="auto"/>
                <w:highlight w:val="none"/>
              </w:rPr>
              <w:t>不论投标结果如何，投标人均应自行承担所有与投标有关的全部费用。</w:t>
            </w:r>
            <w:r>
              <w:rPr>
                <w:rFonts w:hint="eastAsia" w:ascii="宋体" w:hAnsi="宋体" w:cs="宋体"/>
                <w:b/>
                <w:bCs/>
                <w:color w:val="auto"/>
                <w:szCs w:val="21"/>
                <w:highlight w:val="none"/>
              </w:rPr>
              <w:t>本项目招标代理服务费</w:t>
            </w:r>
            <w:r>
              <w:rPr>
                <w:rFonts w:hint="eastAsia" w:ascii="宋体" w:hAnsi="宋体" w:cs="宋体"/>
                <w:b/>
                <w:bCs/>
                <w:color w:val="auto"/>
                <w:szCs w:val="21"/>
                <w:highlight w:val="none"/>
                <w:lang w:val="en-US" w:eastAsia="zh-CN"/>
              </w:rPr>
              <w:t>8000</w:t>
            </w:r>
            <w:r>
              <w:rPr>
                <w:rFonts w:hint="eastAsia" w:ascii="宋体" w:hAnsi="宋体" w:cs="宋体"/>
                <w:b/>
                <w:bCs/>
                <w:color w:val="auto"/>
                <w:szCs w:val="21"/>
                <w:highlight w:val="none"/>
              </w:rPr>
              <w:t>元，由中标单位支付，请各投标人报价时综合考虑。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其他</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
              <w:spacing w:after="0" w:line="400" w:lineRule="exact"/>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投标人有下列情形的，招标人对投标人的投标担保按下列相应规定进行处理：</w:t>
            </w:r>
          </w:p>
          <w:p>
            <w:pPr>
              <w:spacing w:line="400" w:lineRule="exact"/>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 （1）投标人放弃中标候选人或中标资格的（包括中标人无正当理由不与招标人订立合同；在签订合同时向招标人提出附加条件；不按照招标文件要求提交履约担保），对其投标担保全部不予退还；对招标人造成的经济损失（包括报价的差额损失）超过投标担保总金额的，应对超过部分予以赔偿；</w:t>
            </w:r>
          </w:p>
          <w:p>
            <w:pPr>
              <w:spacing w:line="400" w:lineRule="exact"/>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（2）投标人在投标有效期内撤销其投标文件的，对其投标担保全部不予退还；</w:t>
            </w:r>
          </w:p>
          <w:p>
            <w:pPr>
              <w:spacing w:line="400" w:lineRule="exact"/>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（3）投标人因同一行为涉及上述多种情形的，招标人按投标担保不予退还金额高的进行处理。</w:t>
            </w:r>
          </w:p>
          <w:p>
            <w:pPr>
              <w:spacing w:line="400" w:lineRule="exact"/>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（4）投标人违反《投标声明书》承诺内容的；</w:t>
            </w:r>
          </w:p>
          <w:p>
            <w:pPr>
              <w:spacing w:line="400" w:lineRule="exact"/>
              <w:ind w:firstLine="420" w:firstLineChars="200"/>
              <w:rPr>
                <w:rFonts w:hint="eastAsia" w:ascii="宋体" w:hAnsi="宋体" w:cs="宋体"/>
                <w:color w:val="auto"/>
                <w:highlight w:val="none"/>
              </w:rPr>
            </w:pPr>
            <w:r>
              <w:rPr>
                <w:rFonts w:hint="eastAsia" w:ascii="宋体" w:hAnsi="宋体" w:eastAsia="宋体" w:cs="宋体"/>
                <w:color w:val="auto"/>
                <w:kern w:val="2"/>
                <w:sz w:val="21"/>
                <w:szCs w:val="24"/>
                <w:highlight w:val="none"/>
                <w:lang w:val="en-US" w:eastAsia="zh-CN" w:bidi="ar-SA"/>
              </w:rPr>
              <w:t>（5）两家或两家以上投标单位上传投标文件的ip地址（或工程清单锁地址）相同，视为串标行为，取消评标资格，并没收投标保证金。</w:t>
            </w:r>
          </w:p>
        </w:tc>
      </w:tr>
    </w:tbl>
    <w:p>
      <w:pPr>
        <w:pStyle w:val="14"/>
        <w:snapToGrid w:val="0"/>
        <w:spacing w:line="360" w:lineRule="auto"/>
        <w:rPr>
          <w:rFonts w:hint="eastAsia" w:asciiTheme="minorEastAsia" w:hAnsiTheme="minorEastAsia" w:eastAsiaTheme="minorEastAsia"/>
          <w:b/>
          <w:color w:val="auto"/>
          <w:sz w:val="24"/>
          <w:highlight w:val="none"/>
        </w:rPr>
      </w:pPr>
    </w:p>
    <w:p>
      <w:pPr>
        <w:pStyle w:val="14"/>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pPr>
        <w:pStyle w:val="15"/>
        <w:numPr>
          <w:ilvl w:val="0"/>
          <w:numId w:val="8"/>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pPr>
        <w:numPr>
          <w:ilvl w:val="0"/>
          <w:numId w:val="8"/>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pStyle w:val="2"/>
        <w:spacing w:line="360" w:lineRule="auto"/>
        <w:ind w:firstLine="480" w:firstLineChars="200"/>
        <w:rPr>
          <w:color w:val="auto"/>
          <w:highlight w:val="none"/>
        </w:rPr>
      </w:pPr>
      <w:r>
        <w:rPr>
          <w:color w:val="auto"/>
          <w:highlight w:val="none"/>
        </w:rPr>
        <w:t>本招标文件仅适用于本次招标公告中所涉及的项目和内容。</w:t>
      </w:r>
    </w:p>
    <w:p>
      <w:pPr>
        <w:snapToGrid w:val="0"/>
        <w:spacing w:before="156"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pPr>
        <w:pStyle w:val="7"/>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p>
    <w:p>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p>
    <w:p>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pPr>
        <w:snapToGrid w:val="0"/>
        <w:spacing w:line="360" w:lineRule="auto"/>
        <w:ind w:firstLine="480" w:firstLineChars="200"/>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本项目不接受联合体投标。</w:t>
      </w:r>
    </w:p>
    <w:p>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1.投标文件以及投标人与</w:t>
      </w:r>
      <w:r>
        <w:rPr>
          <w:rFonts w:hint="eastAsia" w:ascii="宋体" w:hAnsi="宋体" w:cs="宋体" w:eastAsiaTheme="minorEastAsia"/>
          <w:color w:val="auto"/>
          <w:kern w:val="0"/>
          <w:sz w:val="24"/>
          <w:highlight w:val="none"/>
        </w:rPr>
        <w:t>台州市建设咨询有限公司</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pPr>
        <w:snapToGrid w:val="0"/>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本项目不组织现场踏勘。</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2.投标人自行承担踏勘现场发生的责任、风险和自身费用。</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在踏勘现场中介绍的资料和数据等，不构成对招标文件的修改或不作为投标人编制投标文件的依据。</w:t>
      </w:r>
    </w:p>
    <w:p>
      <w:pPr>
        <w:pStyle w:val="14"/>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（七）特别说明</w:t>
      </w:r>
    </w:p>
    <w:p>
      <w:pPr>
        <w:pStyle w:val="14"/>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。投标人投标所使用的采购项目实施人员必须为本法人员工。</w:t>
      </w:r>
    </w:p>
    <w:p>
      <w:pPr>
        <w:pStyle w:val="34"/>
        <w:snapToGrid w:val="0"/>
        <w:spacing w:line="360" w:lineRule="auto"/>
        <w:ind w:firstLine="480"/>
        <w:rPr>
          <w:rFonts w:ascii="宋体" w:hAnsi="宋体" w:cs="宋体"/>
          <w:color w:val="auto"/>
          <w:sz w:val="24"/>
          <w:szCs w:val="24"/>
          <w:highlight w:val="none"/>
        </w:rPr>
      </w:pPr>
      <w:r>
        <w:rPr>
          <w:rFonts w:hint="eastAsia" w:asciiTheme="minorEastAsia" w:hAnsiTheme="minorEastAsia" w:eastAsiaTheme="minorEastAsia" w:cstheme="minorBidi"/>
          <w:color w:val="auto"/>
          <w:sz w:val="24"/>
          <w:szCs w:val="24"/>
          <w:highlight w:val="none"/>
        </w:rPr>
        <w:t>2.</w:t>
      </w:r>
      <w:r>
        <w:rPr>
          <w:rFonts w:hint="eastAsia" w:ascii="宋体" w:hAnsi="宋体" w:cs="宋体"/>
          <w:color w:val="auto"/>
          <w:sz w:val="24"/>
          <w:szCs w:val="24"/>
          <w:highlight w:val="none"/>
        </w:rPr>
        <w:t>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pPr>
        <w:pStyle w:val="34"/>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pPr>
        <w:pStyle w:val="34"/>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（二）投标人在规定的时间内未对招标文件提出疑问、质疑或要求澄清的，将视其为无异议。</w:t>
      </w:r>
    </w:p>
    <w:p>
      <w:pPr>
        <w:pStyle w:val="34"/>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（三）对招标文件中描述有歧义或前后不一致的地方，评标委员会有权进行评判，但对同一条款的评判应适用于每个投标人。</w:t>
      </w:r>
    </w:p>
    <w:p>
      <w:pPr>
        <w:pStyle w:val="34"/>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w:t>
      </w:r>
      <w:r>
        <w:rPr>
          <w:rFonts w:hint="eastAsia" w:asciiTheme="minorEastAsia" w:hAnsiTheme="minorEastAsia" w:eastAsiaTheme="minorEastAsia" w:cstheme="minorBidi"/>
          <w:color w:val="auto"/>
          <w:sz w:val="24"/>
          <w:highlight w:val="none"/>
          <w:lang w:val="en-US" w:eastAsia="zh-CN"/>
        </w:rPr>
        <w:t>3</w:t>
      </w:r>
      <w:r>
        <w:rPr>
          <w:rFonts w:hint="eastAsia" w:asciiTheme="minorEastAsia" w:hAnsiTheme="minorEastAsia" w:eastAsiaTheme="minorEastAsia" w:cstheme="minorBidi"/>
          <w:color w:val="auto"/>
          <w:sz w:val="24"/>
          <w:highlight w:val="none"/>
        </w:rPr>
        <w:t>日前在浙江省政府采购网上以更正公告的形式通知各潜在的投标人；不足</w:t>
      </w:r>
      <w:r>
        <w:rPr>
          <w:rFonts w:hint="eastAsia" w:asciiTheme="minorEastAsia" w:hAnsiTheme="minorEastAsia" w:eastAsiaTheme="minorEastAsia" w:cstheme="minorBidi"/>
          <w:color w:val="auto"/>
          <w:sz w:val="24"/>
          <w:highlight w:val="none"/>
          <w:lang w:val="en-US" w:eastAsia="zh-CN"/>
        </w:rPr>
        <w:t>3</w:t>
      </w:r>
      <w:r>
        <w:rPr>
          <w:rFonts w:hint="eastAsia" w:asciiTheme="minorEastAsia" w:hAnsiTheme="minorEastAsia" w:eastAsiaTheme="minorEastAsia" w:cstheme="minorBidi"/>
          <w:color w:val="auto"/>
          <w:sz w:val="24"/>
          <w:highlight w:val="none"/>
        </w:rPr>
        <w:t>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pPr>
        <w:pStyle w:val="8"/>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投标人获取招标文件后，按照采购组织机构的要求提供：</w:t>
      </w:r>
      <w:r>
        <w:rPr>
          <w:rFonts w:hint="eastAsia" w:asciiTheme="minorEastAsia" w:hAnsiTheme="minorEastAsia" w:eastAsiaTheme="minorEastAsia"/>
          <w:color w:val="auto"/>
          <w:kern w:val="0"/>
          <w:sz w:val="24"/>
          <w:highlight w:val="none"/>
          <w:lang w:val="en-US" w:eastAsia="zh-CN"/>
        </w:rPr>
        <w:t>资格标、</w:t>
      </w:r>
      <w:r>
        <w:rPr>
          <w:rFonts w:hint="eastAsia" w:asciiTheme="minorEastAsia" w:hAnsiTheme="minorEastAsia" w:eastAsiaTheme="minorEastAsia"/>
          <w:color w:val="auto"/>
          <w:kern w:val="0"/>
          <w:sz w:val="24"/>
          <w:highlight w:val="none"/>
        </w:rPr>
        <w:t>技术</w:t>
      </w:r>
      <w:r>
        <w:rPr>
          <w:rFonts w:hint="eastAsia" w:asciiTheme="minorEastAsia" w:hAnsiTheme="minorEastAsia" w:eastAsiaTheme="minorEastAsia"/>
          <w:color w:val="auto"/>
          <w:kern w:val="0"/>
          <w:sz w:val="24"/>
          <w:highlight w:val="none"/>
          <w:lang w:val="en-US" w:eastAsia="zh-CN"/>
        </w:rPr>
        <w:t>标</w:t>
      </w:r>
      <w:r>
        <w:rPr>
          <w:rFonts w:hint="eastAsia" w:asciiTheme="minorEastAsia" w:hAnsiTheme="minorEastAsia" w:eastAsiaTheme="minorEastAsia"/>
          <w:color w:val="auto"/>
          <w:kern w:val="0"/>
          <w:sz w:val="24"/>
          <w:highlight w:val="none"/>
        </w:rPr>
        <w:t>和</w:t>
      </w:r>
      <w:r>
        <w:rPr>
          <w:rFonts w:hint="eastAsia" w:asciiTheme="minorEastAsia" w:hAnsiTheme="minorEastAsia" w:eastAsiaTheme="minorEastAsia"/>
          <w:color w:val="auto"/>
          <w:kern w:val="0"/>
          <w:sz w:val="24"/>
          <w:highlight w:val="none"/>
          <w:lang w:val="en-US" w:eastAsia="zh-CN"/>
        </w:rPr>
        <w:t>商务标</w:t>
      </w:r>
      <w:r>
        <w:rPr>
          <w:rFonts w:hint="eastAsia" w:asciiTheme="minorEastAsia" w:hAnsiTheme="minorEastAsia" w:eastAsiaTheme="minorEastAsia"/>
          <w:color w:val="auto"/>
          <w:kern w:val="0"/>
          <w:sz w:val="24"/>
          <w:highlight w:val="none"/>
          <w:lang w:val="zh-CN"/>
        </w:rPr>
        <w:t>。【特别提示：如在投标时有要求提供资料原件的，将原件扫描放入投标文件】若参与多标项投标的，则按每个标项分别独立编制投标文件。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eastAsia="zh-CN"/>
        </w:rPr>
        <w:t>资格标</w:t>
      </w:r>
      <w:r>
        <w:rPr>
          <w:rFonts w:hint="eastAsia" w:ascii="宋体" w:hAnsi="宋体"/>
          <w:b/>
          <w:color w:val="auto"/>
          <w:sz w:val="24"/>
          <w:highlight w:val="none"/>
        </w:rPr>
        <w:t>组成</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（1）投标声明书（附件1）；</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）具有依法缴纳税收和社会保障资金证明的承诺函（附件3）；</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）具有良好的商业信誉和健全的财务会计制度的承诺函（附件4）；</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）具有履行合同所必须的设备和专业技术能力的承诺函（附件5）；</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）需要说明的其他资料。</w:t>
      </w:r>
    </w:p>
    <w:p>
      <w:pPr>
        <w:snapToGrid w:val="0"/>
        <w:spacing w:line="360" w:lineRule="auto"/>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eastAsiaTheme="minorEastAsia"/>
          <w:b/>
          <w:color w:val="auto"/>
          <w:sz w:val="24"/>
          <w:highlight w:val="none"/>
          <w:lang w:val="en-US" w:eastAsia="zh-CN"/>
        </w:rPr>
        <w:t>技术标</w:t>
      </w:r>
      <w:r>
        <w:rPr>
          <w:rFonts w:hint="eastAsia" w:ascii="宋体" w:hAnsi="宋体"/>
          <w:b/>
          <w:color w:val="auto"/>
          <w:sz w:val="24"/>
          <w:highlight w:val="none"/>
        </w:rPr>
        <w:t>组成</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投标人基本情况表（附件6）；</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（2）技术方案（包括</w:t>
      </w:r>
      <w:r>
        <w:rPr>
          <w:rFonts w:hint="eastAsia" w:ascii="Calibri" w:hAnsi="Calibri" w:cs="Calibri"/>
          <w:color w:val="auto"/>
          <w:sz w:val="24"/>
          <w:highlight w:val="none"/>
        </w:rPr>
        <w:t>项目需求的理解与分析、项目实施方案、重难点分析、保障措施、进度安排等</w:t>
      </w:r>
      <w:r>
        <w:rPr>
          <w:rFonts w:hint="eastAsia" w:ascii="宋体" w:hAnsi="宋体"/>
          <w:bCs/>
          <w:color w:val="auto"/>
          <w:sz w:val="24"/>
          <w:highlight w:val="none"/>
        </w:rPr>
        <w:t>）；</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（3）项目负责人资格情况表（附件7）；</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（4）项目实施人员一览表（附件8）；</w:t>
      </w:r>
    </w:p>
    <w:p>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服务条款响应表（附件9）；</w:t>
      </w:r>
    </w:p>
    <w:p>
      <w:pPr>
        <w:pStyle w:val="8"/>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（6）证书一览表（与本项目相关的认证证书或文件；附件10）；</w:t>
      </w:r>
    </w:p>
    <w:p>
      <w:pPr>
        <w:pStyle w:val="8"/>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（7）同类业绩证明（如有，需提供合同复印件；附件11）；</w:t>
      </w:r>
    </w:p>
    <w:p>
      <w:pPr>
        <w:pStyle w:val="8"/>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（8）符合招标文件规定的其他证明文件及评分标准中涉及的其他材料。</w:t>
      </w:r>
    </w:p>
    <w:p>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w:t>
      </w:r>
      <w:r>
        <w:rPr>
          <w:rFonts w:hint="eastAsia" w:asciiTheme="minorEastAsia" w:hAnsiTheme="minorEastAsia" w:eastAsiaTheme="minorEastAsia"/>
          <w:b/>
          <w:color w:val="auto"/>
          <w:kern w:val="0"/>
          <w:sz w:val="24"/>
          <w:highlight w:val="none"/>
          <w:lang w:val="en-US" w:eastAsia="zh-CN"/>
        </w:rPr>
        <w:t>商务标</w:t>
      </w:r>
      <w:r>
        <w:rPr>
          <w:rFonts w:hint="eastAsia" w:asciiTheme="minorEastAsia" w:hAnsiTheme="minorEastAsia" w:eastAsiaTheme="minorEastAsia"/>
          <w:b/>
          <w:color w:val="auto"/>
          <w:kern w:val="0"/>
          <w:sz w:val="24"/>
          <w:highlight w:val="none"/>
        </w:rPr>
        <w:t>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（1）开标一览表（附件12）；</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2</w:t>
      </w:r>
      <w:r>
        <w:rPr>
          <w:rFonts w:hint="eastAsia" w:asciiTheme="minorEastAsia" w:hAnsiTheme="minorEastAsia" w:eastAsiaTheme="minorEastAsia"/>
          <w:color w:val="auto"/>
          <w:kern w:val="0"/>
          <w:sz w:val="24"/>
          <w:highlight w:val="none"/>
        </w:rPr>
        <w:t>）针对报价投标人认为其他需要说明的。</w:t>
      </w:r>
    </w:p>
    <w:p>
      <w:pPr>
        <w:autoSpaceDE w:val="0"/>
        <w:autoSpaceDN w:val="0"/>
        <w:adjustRightInd w:val="0"/>
        <w:spacing w:line="360" w:lineRule="auto"/>
        <w:ind w:firstLine="482" w:firstLineChars="200"/>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1.投标人应按照招标需求内容、责任范围以及合同条款进行报价。并按“开标一览表”规定的格式报出总价。投标总价中不得包含招标文件要求以外的内容，否则，在评标时不予核减。</w:t>
      </w:r>
    </w:p>
    <w:p>
      <w:pPr>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2.投标报价是履行合同的最终价格，</w:t>
      </w:r>
      <w:r>
        <w:rPr>
          <w:rFonts w:hint="eastAsia" w:ascii="宋体" w:hAnsi="宋体" w:eastAsia="宋体" w:cs="Times New Roman"/>
          <w:bCs/>
          <w:color w:val="auto"/>
          <w:spacing w:val="-4"/>
          <w:kern w:val="2"/>
          <w:sz w:val="24"/>
          <w:szCs w:val="24"/>
          <w:highlight w:val="none"/>
          <w:lang w:val="en-US" w:eastAsia="zh-CN" w:bidi="ar"/>
        </w:rPr>
        <w:t>包括现场踏勘、资料收集整理、数据调查分析、工作大纲编制、取样、试验、测试、检测、测量、模拟计算、组织评审费、会务费、餐费、住宿费、最终相关专题及报告的编制、印刷、报相关主管部门审批、咨询费、风险费、保险、利润、规费、税金、政策性文件规定及合同包含的所有风险、责任等所有费用</w:t>
      </w:r>
      <w:r>
        <w:rPr>
          <w:rFonts w:hint="eastAsia" w:asciiTheme="minorEastAsia" w:hAnsiTheme="minorEastAsia" w:eastAsiaTheme="minorEastAsia"/>
          <w:bCs/>
          <w:color w:val="auto"/>
          <w:kern w:val="0"/>
          <w:sz w:val="24"/>
          <w:highlight w:val="none"/>
        </w:rPr>
        <w:t>。供应商须充分考虑实际服务内容和需求，针对自身实际情况，核算所需的成本及合理 的利润，自行报价，结算时由供应商开具正式发票。各投标人应根据招标人提供的技术资料、工程量清单，以及本工程实际情况和自身的综合实力，竞报投标报价。总报价以人民币元计。知识产权等由投标人在投标报价时综合考虑，以后不作任何调整。</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3.投标报价不得为选择性报价和附有条件的报价。</w:t>
      </w:r>
    </w:p>
    <w:p>
      <w:pPr>
        <w:pStyle w:val="8"/>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pPr>
        <w:pStyle w:val="8"/>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pPr>
        <w:pStyle w:val="8"/>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在特殊情况下，采购人可与投标人协商延长投标文件的有效期。</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1.投标文件需由法定代表人或经其正式授权的代表签字或盖章。授权代表须出具书面授权证明，其《法定代表人授权书》应附在投标文件中。</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pPr>
        <w:pStyle w:val="14"/>
        <w:snapToGrid w:val="0"/>
        <w:spacing w:before="0" w:beforeLines="0" w:after="0" w:afterLines="0" w:line="360" w:lineRule="auto"/>
        <w:ind w:firstLine="413" w:firstLineChars="196"/>
        <w:rPr>
          <w:rFonts w:hAnsi="宋体"/>
          <w:b/>
          <w:bCs/>
          <w:color w:val="auto"/>
          <w:highlight w:val="none"/>
        </w:rPr>
      </w:pPr>
      <w:r>
        <w:rPr>
          <w:rFonts w:hAnsi="宋体"/>
          <w:b/>
          <w:bCs/>
          <w:color w:val="auto"/>
          <w:highlight w:val="none"/>
        </w:rPr>
        <w:t>（一）开标</w:t>
      </w:r>
    </w:p>
    <w:p>
      <w:pPr>
        <w:pStyle w:val="21"/>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28"/>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pPr>
        <w:pStyle w:val="14"/>
        <w:snapToGrid w:val="0"/>
        <w:spacing w:before="120" w:after="120" w:line="360" w:lineRule="auto"/>
        <w:ind w:firstLine="482" w:firstLineChars="200"/>
        <w:rPr>
          <w:rFonts w:ascii="宋体" w:hAnsi="宋体" w:eastAsia="宋体" w:cs="宋体"/>
          <w:b/>
          <w:bCs/>
          <w:color w:val="auto"/>
          <w:kern w:val="2"/>
          <w:sz w:val="24"/>
          <w:szCs w:val="24"/>
          <w:highlight w:val="none"/>
          <w:lang w:val="en-US" w:eastAsia="zh-CN" w:bidi="ar-SA"/>
        </w:rPr>
      </w:pPr>
      <w:r>
        <w:rPr>
          <w:rFonts w:ascii="宋体" w:hAnsi="宋体" w:eastAsia="宋体" w:cs="宋体"/>
          <w:b/>
          <w:bCs/>
          <w:color w:val="auto"/>
          <w:kern w:val="2"/>
          <w:sz w:val="24"/>
          <w:szCs w:val="24"/>
          <w:highlight w:val="none"/>
          <w:lang w:val="en-US" w:eastAsia="zh-CN" w:bidi="ar-SA"/>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3、采购人依法对资格文件进行审查，评标委员会对技术文件进行评审。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4、技术文件评审完成后，主持人宣告技术文件评审无效投标人名称及理由，公布经技术文件评审符合采购需求的投标人名单以及技术文件得分情况。</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5、开启各投标人</w:t>
      </w:r>
      <w:r>
        <w:rPr>
          <w:rFonts w:hint="eastAsia" w:ascii="宋体" w:hAnsi="宋体" w:cs="宋体"/>
          <w:color w:val="auto"/>
          <w:sz w:val="24"/>
          <w:highlight w:val="none"/>
          <w:lang w:val="en-US" w:eastAsia="zh-CN"/>
        </w:rPr>
        <w:t>商务</w:t>
      </w:r>
      <w:r>
        <w:rPr>
          <w:rFonts w:ascii="宋体" w:hAnsi="宋体" w:cs="宋体"/>
          <w:color w:val="auto"/>
          <w:sz w:val="24"/>
          <w:highlight w:val="none"/>
        </w:rPr>
        <w:t>文件。</w:t>
      </w:r>
    </w:p>
    <w:p>
      <w:pPr>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7、评标结束后，主持人公布投标</w:t>
      </w:r>
      <w:r>
        <w:rPr>
          <w:rFonts w:hint="eastAsia" w:ascii="宋体" w:hAnsi="宋体" w:cs="宋体"/>
          <w:color w:val="auto"/>
          <w:sz w:val="24"/>
          <w:highlight w:val="none"/>
          <w:lang w:val="en-US" w:eastAsia="zh-CN"/>
        </w:rPr>
        <w:t>商务</w:t>
      </w:r>
      <w:r>
        <w:rPr>
          <w:rFonts w:ascii="宋体" w:hAnsi="宋体" w:cs="宋体"/>
          <w:color w:val="auto"/>
          <w:sz w:val="24"/>
          <w:highlight w:val="none"/>
        </w:rPr>
        <w:t>得分、综合得分以及推荐中标候选人排序名单。</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8、开标会议结束。</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9、其他注意事项：</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（1）开标项目的时间均以国家授时中心发布的时间为准。</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（2）若投标人已申请多把CA锁，请注意使用差别。因ca锁使用错误引发的问题，由投标人自己负责。</w:t>
      </w:r>
    </w:p>
    <w:p>
      <w:pPr>
        <w:snapToGrid w:val="0"/>
        <w:spacing w:line="360" w:lineRule="auto"/>
        <w:ind w:firstLine="480" w:firstLineChars="200"/>
        <w:rPr>
          <w:rFonts w:hAnsi="宋体"/>
          <w:b w:val="0"/>
          <w:bCs/>
          <w:color w:val="auto"/>
          <w:highlight w:val="none"/>
        </w:rPr>
      </w:pPr>
      <w:r>
        <w:rPr>
          <w:rFonts w:hint="eastAsia" w:ascii="宋体" w:hAnsi="宋体" w:cs="宋体"/>
          <w:color w:val="auto"/>
          <w:sz w:val="24"/>
          <w:highlight w:val="none"/>
          <w:lang w:val="en-US" w:eastAsia="zh-CN"/>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hint="eastAsia" w:ascii="宋体" w:hAnsi="宋体"/>
          <w:b/>
          <w:color w:val="auto"/>
          <w:kern w:val="0"/>
          <w:sz w:val="24"/>
          <w:highlight w:val="none"/>
        </w:rPr>
      </w:pPr>
      <w:r>
        <w:rPr>
          <w:rFonts w:hint="eastAsia" w:ascii="宋体" w:hAnsi="宋体"/>
          <w:b/>
          <w:color w:val="auto"/>
          <w:kern w:val="0"/>
          <w:sz w:val="24"/>
          <w:highlight w:val="none"/>
        </w:rPr>
        <w:t>（三） 异常情况处理：</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1、电子交易平台发生故障而无法登录访问的；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2、电子交易平台应用或数据库出现错误，不能进行正常操作的；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3、电子交易平台发现严重安全漏洞，有潜在泄密危险的；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4、病毒发作导致不能进行正常操作的；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5、其他无法保证电子交易的公平、公正和安全的情况。</w:t>
      </w:r>
    </w:p>
    <w:p>
      <w:pPr>
        <w:pStyle w:val="8"/>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出现前款规定情形，不影响采购公平、公正性的，采购组织机构可以待上述情形消除后继续组织电子交易活动。</w:t>
      </w:r>
    </w:p>
    <w:p>
      <w:pPr>
        <w:pStyle w:val="8"/>
        <w:spacing w:line="360" w:lineRule="auto"/>
        <w:ind w:firstLine="723" w:firstLineChars="300"/>
        <w:rPr>
          <w:b/>
          <w:bCs/>
          <w:color w:val="auto"/>
          <w:sz w:val="24"/>
          <w:szCs w:val="22"/>
          <w:highlight w:val="none"/>
        </w:rPr>
      </w:pPr>
      <w:r>
        <w:rPr>
          <w:rFonts w:hint="eastAsia"/>
          <w:b/>
          <w:bCs/>
          <w:color w:val="auto"/>
          <w:sz w:val="24"/>
          <w:szCs w:val="22"/>
          <w:highlight w:val="none"/>
        </w:rPr>
        <w:t>（</w:t>
      </w:r>
      <w:r>
        <w:rPr>
          <w:rFonts w:hint="eastAsia"/>
          <w:b/>
          <w:bCs/>
          <w:color w:val="auto"/>
          <w:sz w:val="24"/>
          <w:szCs w:val="22"/>
          <w:highlight w:val="none"/>
          <w:lang w:val="en-US" w:eastAsia="zh-CN"/>
        </w:rPr>
        <w:t>四</w:t>
      </w:r>
      <w:r>
        <w:rPr>
          <w:rFonts w:hint="eastAsia"/>
          <w:b/>
          <w:bCs/>
          <w:color w:val="auto"/>
          <w:sz w:val="24"/>
          <w:szCs w:val="22"/>
          <w:highlight w:val="none"/>
        </w:rPr>
        <w:t>）开标异议</w:t>
      </w:r>
    </w:p>
    <w:p>
      <w:pPr>
        <w:pStyle w:val="8"/>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8"/>
        <w:spacing w:line="360" w:lineRule="auto"/>
        <w:ind w:firstLine="723" w:firstLineChars="300"/>
        <w:rPr>
          <w:color w:val="auto"/>
          <w:sz w:val="24"/>
          <w:szCs w:val="22"/>
          <w:highlight w:val="none"/>
        </w:rPr>
      </w:pPr>
      <w:r>
        <w:rPr>
          <w:rFonts w:hint="eastAsia"/>
          <w:b/>
          <w:bCs/>
          <w:color w:val="auto"/>
          <w:sz w:val="24"/>
          <w:szCs w:val="22"/>
          <w:highlight w:val="none"/>
        </w:rPr>
        <w:t>（</w:t>
      </w:r>
      <w:r>
        <w:rPr>
          <w:rFonts w:hint="eastAsia"/>
          <w:b/>
          <w:bCs/>
          <w:color w:val="auto"/>
          <w:sz w:val="24"/>
          <w:szCs w:val="22"/>
          <w:highlight w:val="none"/>
          <w:lang w:val="en-US" w:eastAsia="zh-CN"/>
        </w:rPr>
        <w:t>五</w:t>
      </w:r>
      <w:r>
        <w:rPr>
          <w:rFonts w:hint="eastAsia"/>
          <w:b/>
          <w:bCs/>
          <w:color w:val="auto"/>
          <w:sz w:val="24"/>
          <w:szCs w:val="22"/>
          <w:highlight w:val="none"/>
        </w:rPr>
        <w:t>）</w:t>
      </w:r>
      <w:r>
        <w:rPr>
          <w:rFonts w:hint="eastAsia"/>
          <w:color w:val="auto"/>
          <w:sz w:val="24"/>
          <w:szCs w:val="22"/>
          <w:highlight w:val="none"/>
        </w:rPr>
        <w:t>投标人不足三家，不得开标。</w:t>
      </w:r>
    </w:p>
    <w:p>
      <w:pPr>
        <w:pStyle w:val="14"/>
        <w:snapToGrid w:val="0"/>
        <w:spacing w:line="360" w:lineRule="auto"/>
        <w:ind w:firstLine="482" w:firstLineChars="200"/>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五、评标（详见第四章）</w:t>
      </w:r>
    </w:p>
    <w:p>
      <w:pPr>
        <w:pStyle w:val="21"/>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pPr>
        <w:spacing w:line="360" w:lineRule="auto"/>
        <w:ind w:firstLine="482" w:firstLineChars="200"/>
        <w:rPr>
          <w:rFonts w:hint="eastAsia" w:ascii="宋体" w:hAnsi="宋体" w:eastAsia="宋体"/>
          <w:b/>
          <w:bCs/>
          <w:color w:val="auto"/>
          <w:kern w:val="0"/>
          <w:sz w:val="24"/>
          <w:highlight w:val="none"/>
          <w:lang w:val="en-US" w:eastAsia="zh-CN"/>
        </w:rPr>
      </w:pP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b/>
          <w:bCs/>
          <w:color w:val="auto"/>
          <w:sz w:val="24"/>
          <w:highlight w:val="none"/>
          <w:lang w:val="en-US" w:eastAsia="zh-CN"/>
        </w:rPr>
        <w:t>一</w:t>
      </w:r>
      <w:r>
        <w:rPr>
          <w:rFonts w:hint="eastAsia" w:asciiTheme="minorEastAsia" w:hAnsiTheme="minorEastAsia" w:eastAsiaTheme="minorEastAsia"/>
          <w:b/>
          <w:bCs/>
          <w:color w:val="auto"/>
          <w:sz w:val="24"/>
          <w:highlight w:val="none"/>
        </w:rPr>
        <w:t>）</w:t>
      </w:r>
      <w:r>
        <w:rPr>
          <w:rFonts w:hint="eastAsia" w:ascii="宋体" w:hAnsi="宋体"/>
          <w:b/>
          <w:bCs/>
          <w:color w:val="auto"/>
          <w:kern w:val="0"/>
          <w:sz w:val="24"/>
          <w:highlight w:val="none"/>
        </w:rPr>
        <w:t>发布</w:t>
      </w:r>
      <w:r>
        <w:rPr>
          <w:b/>
          <w:bCs/>
          <w:color w:val="auto"/>
          <w:sz w:val="24"/>
          <w:highlight w:val="none"/>
        </w:rPr>
        <w:t>中标</w:t>
      </w:r>
      <w:r>
        <w:rPr>
          <w:rFonts w:hint="eastAsia" w:ascii="宋体" w:hAnsi="宋体"/>
          <w:b/>
          <w:bCs/>
          <w:color w:val="auto"/>
          <w:kern w:val="0"/>
          <w:sz w:val="24"/>
          <w:highlight w:val="none"/>
        </w:rPr>
        <w:t>结果公</w:t>
      </w:r>
      <w:r>
        <w:rPr>
          <w:rFonts w:hint="eastAsia" w:ascii="宋体" w:hAnsi="宋体"/>
          <w:b/>
          <w:bCs/>
          <w:color w:val="auto"/>
          <w:kern w:val="0"/>
          <w:sz w:val="24"/>
          <w:highlight w:val="none"/>
          <w:lang w:val="en-US" w:eastAsia="zh-CN"/>
        </w:rPr>
        <w:t>示</w:t>
      </w:r>
    </w:p>
    <w:p>
      <w:pPr>
        <w:spacing w:line="360" w:lineRule="auto"/>
        <w:ind w:firstLine="480" w:firstLineChars="200"/>
        <w:rPr>
          <w:rFonts w:hint="eastAsia" w:ascii="宋体" w:hAnsi="宋体" w:cs="Times New Roman"/>
          <w:color w:val="auto"/>
          <w:kern w:val="0"/>
          <w:sz w:val="24"/>
          <w:highlight w:val="none"/>
        </w:rPr>
      </w:pPr>
      <w:r>
        <w:rPr>
          <w:rFonts w:hint="eastAsia" w:ascii="宋体" w:hAnsi="宋体" w:cs="Times New Roman"/>
          <w:color w:val="auto"/>
          <w:kern w:val="0"/>
          <w:sz w:val="24"/>
          <w:highlight w:val="none"/>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pPr>
        <w:pStyle w:val="21"/>
        <w:spacing w:before="0" w:beforeAutospacing="0" w:after="0" w:afterAutospacing="0" w:line="360" w:lineRule="auto"/>
        <w:jc w:val="both"/>
        <w:rPr>
          <w:rFonts w:hint="eastAsia" w:ascii="宋体" w:hAnsi="宋体"/>
          <w:color w:val="auto"/>
          <w:kern w:val="0"/>
          <w:sz w:val="24"/>
          <w:highlight w:val="none"/>
        </w:rPr>
      </w:pPr>
      <w:r>
        <w:rPr>
          <w:rFonts w:hint="eastAsia" w:ascii="宋体" w:hAnsi="宋体"/>
          <w:color w:val="auto"/>
          <w:kern w:val="0"/>
          <w:sz w:val="24"/>
          <w:highlight w:val="none"/>
        </w:rPr>
        <w:t>采购组织机构自中标</w:t>
      </w:r>
      <w:r>
        <w:rPr>
          <w:rFonts w:hint="eastAsia"/>
          <w:color w:val="auto"/>
          <w:kern w:val="0"/>
          <w:sz w:val="24"/>
          <w:highlight w:val="none"/>
          <w:lang w:val="en-US" w:eastAsia="zh-CN"/>
        </w:rPr>
        <w:t>候选</w:t>
      </w:r>
      <w:r>
        <w:rPr>
          <w:rFonts w:hint="eastAsia" w:ascii="宋体" w:hAnsi="宋体"/>
          <w:color w:val="auto"/>
          <w:kern w:val="0"/>
          <w:sz w:val="24"/>
          <w:highlight w:val="none"/>
        </w:rPr>
        <w:t>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hint="eastAsia"/>
          <w:color w:val="auto"/>
          <w:kern w:val="0"/>
          <w:sz w:val="24"/>
          <w:highlight w:val="none"/>
          <w:lang w:val="en-US" w:eastAsia="zh-CN"/>
        </w:rPr>
        <w:t>3</w:t>
      </w:r>
      <w:r>
        <w:rPr>
          <w:rFonts w:ascii="宋体" w:hAnsi="宋体"/>
          <w:color w:val="auto"/>
          <w:kern w:val="0"/>
          <w:sz w:val="24"/>
          <w:highlight w:val="none"/>
        </w:rPr>
        <w:t>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w:t>
      </w:r>
      <w:r>
        <w:rPr>
          <w:rFonts w:hint="eastAsia" w:ascii="宋体" w:hAnsi="宋体" w:cs="宋体"/>
          <w:color w:val="auto"/>
          <w:sz w:val="24"/>
          <w:highlight w:val="none"/>
        </w:rPr>
        <w:t>台州湾新区小额工程电子交易平台</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w:t>
      </w:r>
      <w:r>
        <w:rPr>
          <w:rFonts w:hint="eastAsia"/>
          <w:color w:val="auto"/>
          <w:sz w:val="24"/>
          <w:highlight w:val="none"/>
          <w:lang w:val="en-US" w:eastAsia="zh-CN"/>
        </w:rPr>
        <w:t>示</w:t>
      </w:r>
      <w:r>
        <w:rPr>
          <w:color w:val="auto"/>
          <w:sz w:val="24"/>
          <w:highlight w:val="none"/>
        </w:rPr>
        <w:t>期为</w:t>
      </w:r>
      <w:r>
        <w:rPr>
          <w:rFonts w:hint="eastAsia"/>
          <w:color w:val="auto"/>
          <w:sz w:val="24"/>
          <w:highlight w:val="none"/>
          <w:lang w:val="en-US" w:eastAsia="zh-CN"/>
        </w:rPr>
        <w:t>3</w:t>
      </w:r>
      <w:r>
        <w:rPr>
          <w:color w:val="auto"/>
          <w:sz w:val="24"/>
          <w:highlight w:val="none"/>
        </w:rPr>
        <w:t>日</w:t>
      </w:r>
      <w:r>
        <w:rPr>
          <w:rFonts w:hint="eastAsia" w:ascii="宋体" w:hAnsi="宋体"/>
          <w:color w:val="auto"/>
          <w:kern w:val="0"/>
          <w:sz w:val="24"/>
          <w:highlight w:val="none"/>
        </w:rPr>
        <w:t>。</w:t>
      </w:r>
    </w:p>
    <w:p>
      <w:pPr>
        <w:pStyle w:val="21"/>
        <w:spacing w:before="0" w:beforeAutospacing="0" w:after="0" w:afterAutospacing="0" w:line="360" w:lineRule="auto"/>
        <w:ind w:firstLine="482" w:firstLineChars="200"/>
        <w:jc w:val="both"/>
        <w:rPr>
          <w:rFonts w:hint="default"/>
          <w:b/>
          <w:bCs/>
          <w:color w:val="auto"/>
          <w:highlight w:val="none"/>
        </w:rPr>
      </w:pPr>
      <w:r>
        <w:rPr>
          <w:rFonts w:asciiTheme="minorEastAsia" w:hAnsiTheme="minorEastAsia" w:eastAsiaTheme="minorEastAsia"/>
          <w:b/>
          <w:bCs/>
          <w:color w:val="auto"/>
          <w:highlight w:val="none"/>
        </w:rPr>
        <w:t>（</w:t>
      </w:r>
      <w:r>
        <w:rPr>
          <w:rFonts w:hint="eastAsia" w:asciiTheme="minorEastAsia" w:hAnsiTheme="minorEastAsia" w:eastAsiaTheme="minorEastAsia"/>
          <w:b/>
          <w:bCs/>
          <w:color w:val="auto"/>
          <w:highlight w:val="none"/>
          <w:lang w:val="en-US" w:eastAsia="zh-CN"/>
        </w:rPr>
        <w:t>二</w:t>
      </w:r>
      <w:r>
        <w:rPr>
          <w:rFonts w:asciiTheme="minorEastAsia" w:hAnsiTheme="minorEastAsia" w:eastAsiaTheme="minorEastAsia"/>
          <w:b/>
          <w:bCs/>
          <w:color w:val="auto"/>
          <w:highlight w:val="none"/>
        </w:rPr>
        <w:t>）</w:t>
      </w:r>
      <w:r>
        <w:rPr>
          <w:b/>
          <w:bCs/>
          <w:color w:val="auto"/>
          <w:highlight w:val="none"/>
        </w:rPr>
        <w:t>确定中标人</w:t>
      </w:r>
    </w:p>
    <w:p>
      <w:pPr>
        <w:spacing w:line="360" w:lineRule="auto"/>
        <w:ind w:firstLine="480" w:firstLineChars="200"/>
        <w:rPr>
          <w:rFonts w:ascii="宋体" w:hAnsi="宋体"/>
          <w:color w:val="auto"/>
          <w:kern w:val="0"/>
          <w:sz w:val="24"/>
          <w:highlight w:val="none"/>
        </w:rPr>
      </w:pPr>
      <w:r>
        <w:rPr>
          <w:rFonts w:hint="eastAsia" w:ascii="宋体" w:hAnsi="宋体" w:cs="Times New Roman"/>
          <w:color w:val="auto"/>
          <w:kern w:val="0"/>
          <w:sz w:val="24"/>
          <w:highlight w:val="none"/>
        </w:rPr>
        <w:t>本项目确定一名中标人，</w:t>
      </w:r>
      <w:r>
        <w:rPr>
          <w:rFonts w:hint="eastAsia" w:ascii="宋体" w:hAnsi="宋体" w:cs="Times New Roman"/>
          <w:color w:val="auto"/>
          <w:kern w:val="0"/>
          <w:sz w:val="24"/>
          <w:highlight w:val="none"/>
          <w:lang w:val="en-US" w:eastAsia="zh-CN"/>
        </w:rPr>
        <w:t>公示期满后，采购</w:t>
      </w:r>
      <w:r>
        <w:rPr>
          <w:rFonts w:hint="eastAsia" w:ascii="宋体" w:hAnsi="宋体" w:cs="Times New Roman"/>
          <w:color w:val="auto"/>
          <w:kern w:val="0"/>
          <w:sz w:val="24"/>
          <w:highlight w:val="none"/>
        </w:rPr>
        <w:t>人应确定本项目第一中标候选人为本项目中标人。</w:t>
      </w:r>
    </w:p>
    <w:p>
      <w:pPr>
        <w:pStyle w:val="11"/>
        <w:numPr>
          <w:ilvl w:val="0"/>
          <w:numId w:val="8"/>
        </w:numPr>
        <w:spacing w:line="360" w:lineRule="auto"/>
        <w:ind w:firstLine="482" w:firstLineChars="200"/>
        <w:jc w:val="both"/>
        <w:rPr>
          <w:b/>
          <w:bCs/>
          <w:color w:val="auto"/>
          <w:sz w:val="24"/>
          <w:highlight w:val="none"/>
        </w:rPr>
      </w:pPr>
      <w:r>
        <w:rPr>
          <w:rFonts w:hint="eastAsia"/>
          <w:b/>
          <w:bCs/>
          <w:color w:val="auto"/>
          <w:sz w:val="24"/>
          <w:highlight w:val="none"/>
        </w:rPr>
        <w:t>发放中标通知书</w:t>
      </w:r>
    </w:p>
    <w:p>
      <w:pPr>
        <w:pStyle w:val="2"/>
        <w:tabs>
          <w:tab w:val="left" w:pos="574"/>
        </w:tabs>
        <w:spacing w:after="0" w:line="400" w:lineRule="exact"/>
        <w:ind w:firstLine="480" w:firstLineChars="200"/>
        <w:rPr>
          <w:color w:val="auto"/>
          <w:highlight w:val="none"/>
        </w:rPr>
      </w:pPr>
      <w:r>
        <w:rPr>
          <w:rFonts w:hint="eastAsia"/>
          <w:color w:val="auto"/>
          <w:szCs w:val="32"/>
          <w:highlight w:val="none"/>
          <w:lang w:val="en-US" w:eastAsia="zh-CN"/>
        </w:rPr>
        <w:t>采购</w:t>
      </w:r>
      <w:r>
        <w:rPr>
          <w:rFonts w:hint="eastAsia"/>
          <w:color w:val="auto"/>
          <w:szCs w:val="32"/>
          <w:highlight w:val="none"/>
        </w:rPr>
        <w:t>人应当确定第一中标候选人为中标人。如涉及第二中标候选人和其他投标人资格无效的，评标结果不作调整。</w:t>
      </w:r>
    </w:p>
    <w:p>
      <w:pPr>
        <w:pStyle w:val="2"/>
        <w:tabs>
          <w:tab w:val="left" w:pos="574"/>
        </w:tabs>
        <w:spacing w:after="0" w:line="400" w:lineRule="exact"/>
        <w:ind w:firstLine="480" w:firstLineChars="200"/>
        <w:rPr>
          <w:rFonts w:hint="eastAsia"/>
          <w:color w:val="auto"/>
          <w:highlight w:val="none"/>
        </w:rPr>
      </w:pPr>
      <w:r>
        <w:rPr>
          <w:rFonts w:hint="eastAsia"/>
          <w:color w:val="auto"/>
          <w:szCs w:val="32"/>
          <w:highlight w:val="none"/>
        </w:rPr>
        <w:t>第一中标候选人放弃中标，或者因不可抗力提出不能履行合同，或者因违反规定造成其资格无效的，招标人可以确定第二中标候选人为中标人。如涉及其他投标人资格无效的，评标结果不作调整。如第二中标候选人存在上述同样情形的，本次招标失败，重新组织招标。</w:t>
      </w:r>
    </w:p>
    <w:p>
      <w:pPr>
        <w:pStyle w:val="2"/>
        <w:tabs>
          <w:tab w:val="left" w:pos="574"/>
        </w:tabs>
        <w:spacing w:after="0" w:line="400" w:lineRule="exact"/>
        <w:ind w:firstLine="480" w:firstLineChars="200"/>
        <w:rPr>
          <w:rFonts w:hint="eastAsia"/>
          <w:color w:val="auto"/>
          <w:highlight w:val="none"/>
        </w:rPr>
      </w:pPr>
      <w:r>
        <w:rPr>
          <w:rFonts w:hint="eastAsia"/>
          <w:color w:val="auto"/>
          <w:szCs w:val="32"/>
          <w:highlight w:val="none"/>
        </w:rPr>
        <w:t>中标人确定后，</w:t>
      </w:r>
      <w:r>
        <w:rPr>
          <w:rFonts w:hint="eastAsia"/>
          <w:color w:val="auto"/>
          <w:szCs w:val="32"/>
          <w:highlight w:val="none"/>
          <w:lang w:val="en-US" w:eastAsia="zh-CN"/>
        </w:rPr>
        <w:t>采购人</w:t>
      </w:r>
      <w:r>
        <w:rPr>
          <w:rFonts w:hint="eastAsia"/>
          <w:color w:val="auto"/>
          <w:szCs w:val="32"/>
          <w:highlight w:val="none"/>
        </w:rPr>
        <w:t>应当向中标人发出《中标通知书》。</w:t>
      </w:r>
    </w:p>
    <w:p>
      <w:pPr>
        <w:pStyle w:val="2"/>
        <w:tabs>
          <w:tab w:val="left" w:pos="574"/>
        </w:tabs>
        <w:spacing w:after="0" w:line="400" w:lineRule="exact"/>
        <w:ind w:firstLine="480" w:firstLineChars="200"/>
        <w:rPr>
          <w:rFonts w:hint="eastAsia"/>
          <w:color w:val="auto"/>
          <w:szCs w:val="32"/>
          <w:highlight w:val="none"/>
        </w:rPr>
      </w:pPr>
      <w:r>
        <w:rPr>
          <w:rFonts w:hint="eastAsia"/>
          <w:color w:val="auto"/>
          <w:szCs w:val="32"/>
          <w:highlight w:val="none"/>
          <w:lang w:val="en-US" w:eastAsia="zh-CN"/>
        </w:rPr>
        <w:t>采购</w:t>
      </w:r>
      <w:r>
        <w:rPr>
          <w:rFonts w:hint="eastAsia"/>
          <w:color w:val="auto"/>
          <w:szCs w:val="32"/>
          <w:highlight w:val="none"/>
        </w:rPr>
        <w:t>人在发出《中标通知书》的同时，应当将中标结果在交易场所（发布招标公告的媒体上）通知所有未中标的投标人。</w:t>
      </w:r>
    </w:p>
    <w:p>
      <w:pPr>
        <w:pStyle w:val="2"/>
        <w:tabs>
          <w:tab w:val="left" w:pos="574"/>
        </w:tabs>
        <w:spacing w:after="0" w:line="400" w:lineRule="exact"/>
        <w:ind w:firstLine="480" w:firstLineChars="200"/>
        <w:rPr>
          <w:rFonts w:hint="eastAsia"/>
          <w:color w:val="auto"/>
          <w:szCs w:val="32"/>
          <w:highlight w:val="none"/>
        </w:rPr>
      </w:pPr>
      <w:r>
        <w:rPr>
          <w:rFonts w:hint="eastAsia"/>
          <w:color w:val="auto"/>
          <w:szCs w:val="32"/>
          <w:highlight w:val="none"/>
        </w:rPr>
        <w:t>《中标通知书》对</w:t>
      </w:r>
      <w:r>
        <w:rPr>
          <w:rFonts w:hint="eastAsia"/>
          <w:color w:val="auto"/>
          <w:szCs w:val="32"/>
          <w:highlight w:val="none"/>
          <w:lang w:val="en-US" w:eastAsia="zh-CN"/>
        </w:rPr>
        <w:t>采购</w:t>
      </w:r>
      <w:r>
        <w:rPr>
          <w:rFonts w:hint="eastAsia"/>
          <w:color w:val="auto"/>
          <w:szCs w:val="32"/>
          <w:highlight w:val="none"/>
        </w:rPr>
        <w:t>人和中标人具有法律约束力。《中标通知书》发出后，如中标人因违反法律法规规定而中标无效的，应承担相应的法律责任，本次招标失败，应重新组织招标。</w:t>
      </w:r>
    </w:p>
    <w:p>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2.采购人不得向中标人提出任何不合理的要求作为签订合同的条件。</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3.中标人无故拖延、拒签合同的，将取消中标资格。</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5.询问或者质疑事项可能影响中标结果的，采购人应当暂停签订合同，已经签订合同的，应当中止履行合同。</w:t>
      </w:r>
    </w:p>
    <w:p>
      <w:pPr>
        <w:pStyle w:val="11"/>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pPr>
        <w:pStyle w:val="11"/>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1"/>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1.报名本项目的投标人认为招标文件、采购过程和中标结果使自己的权益受到损害的，通过</w:t>
      </w:r>
      <w:r>
        <w:rPr>
          <w:rFonts w:hint="eastAsia" w:ascii="宋体" w:hAnsi="宋体"/>
          <w:color w:val="auto"/>
          <w:sz w:val="24"/>
          <w:highlight w:val="none"/>
          <w:lang w:val="en-US" w:eastAsia="zh-CN"/>
        </w:rPr>
        <w:t>书面形式</w:t>
      </w:r>
      <w:r>
        <w:rPr>
          <w:rFonts w:hint="eastAsia" w:ascii="宋体" w:hAnsi="宋体"/>
          <w:color w:val="auto"/>
          <w:sz w:val="24"/>
          <w:highlight w:val="none"/>
        </w:rPr>
        <w:t>一次性向采购人或采购组织机构提出质疑：</w:t>
      </w:r>
    </w:p>
    <w:p>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（1）投标人认为招标文件的内容损害其权益的，应当自获取之日起（获取截止日之后收到招标文件的，以获取截止日为准）7个工作日内提出质疑；</w:t>
      </w:r>
    </w:p>
    <w:p>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（2）投标人对采购过程提出质疑的，应当在各采购程序环节结束之日起7个工作日内提出质疑；</w:t>
      </w:r>
    </w:p>
    <w:p>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（3）投标人对中标结果提出质疑的，应当在中标结果公告期限届满之日起7个工作日内提出质疑。</w:t>
      </w:r>
    </w:p>
    <w:p>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2.采购人或采购组织机构在收到投标人的书面质疑后7个工作日内作出答复，并以书面形式回复质疑投标人和其他有关投标人，但答复内容不涉及商业秘密。</w:t>
      </w:r>
    </w:p>
    <w:p>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1"/>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pPr>
        <w:pStyle w:val="11"/>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投标人对采购人或采购组织机构的质疑答复不满意或在规定时间内未得到答复的，可以在答复期满后15个工作日内，向同级政府采购监督管理机构投诉。</w:t>
      </w:r>
    </w:p>
    <w:p>
      <w:pPr>
        <w:pStyle w:val="11"/>
        <w:spacing w:line="360" w:lineRule="auto"/>
        <w:ind w:firstLine="480" w:firstLineChars="200"/>
        <w:jc w:val="both"/>
        <w:rPr>
          <w:rFonts w:asciiTheme="minorEastAsia" w:hAnsiTheme="minorEastAsia" w:eastAsiaTheme="minorEastAsia"/>
          <w:b/>
          <w:color w:val="auto"/>
          <w:sz w:val="36"/>
          <w:szCs w:val="36"/>
          <w:highlight w:val="none"/>
        </w:rPr>
      </w:pPr>
      <w:r>
        <w:rPr>
          <w:rFonts w:hint="eastAsia" w:ascii="宋体" w:hAnsi="宋体"/>
          <w:color w:val="auto"/>
          <w:sz w:val="24"/>
          <w:highlight w:val="none"/>
        </w:rPr>
        <w:br w:type="page"/>
      </w:r>
    </w:p>
    <w:p>
      <w:pPr>
        <w:numPr>
          <w:ilvl w:val="0"/>
          <w:numId w:val="6"/>
        </w:numPr>
        <w:spacing w:line="360" w:lineRule="auto"/>
        <w:jc w:val="center"/>
        <w:rPr>
          <w:rFonts w:asciiTheme="minorEastAsia" w:hAnsiTheme="minorEastAsia" w:eastAsiaTheme="minorEastAsia"/>
          <w:b/>
          <w:color w:val="auto"/>
          <w:sz w:val="36"/>
          <w:szCs w:val="36"/>
          <w:highlight w:val="none"/>
        </w:rPr>
      </w:pPr>
      <w:bookmarkStart w:id="38" w:name="_Toc13072_WPSOffice_Level1"/>
      <w:r>
        <w:rPr>
          <w:rFonts w:hint="eastAsia" w:asciiTheme="minorEastAsia" w:hAnsiTheme="minorEastAsia" w:eastAsiaTheme="minorEastAsia"/>
          <w:b/>
          <w:color w:val="auto"/>
          <w:sz w:val="36"/>
          <w:szCs w:val="36"/>
          <w:highlight w:val="none"/>
        </w:rPr>
        <w:t>招标需求</w:t>
      </w:r>
      <w:bookmarkEnd w:id="38"/>
    </w:p>
    <w:p>
      <w:pPr>
        <w:tabs>
          <w:tab w:val="left" w:pos="8280"/>
        </w:tabs>
        <w:autoSpaceDE w:val="0"/>
        <w:autoSpaceDN w:val="0"/>
        <w:adjustRightInd w:val="0"/>
        <w:spacing w:line="360" w:lineRule="auto"/>
        <w:ind w:right="25"/>
        <w:rPr>
          <w:color w:val="auto"/>
          <w:sz w:val="24"/>
          <w:highlight w:val="none"/>
        </w:rPr>
      </w:pPr>
      <w:r>
        <w:rPr>
          <w:rFonts w:hint="eastAsia"/>
          <w:b/>
          <w:color w:val="auto"/>
          <w:sz w:val="24"/>
          <w:highlight w:val="none"/>
        </w:rPr>
        <w:t>一、招标项目一览表</w:t>
      </w:r>
    </w:p>
    <w:p>
      <w:pPr>
        <w:tabs>
          <w:tab w:val="left" w:pos="8280"/>
        </w:tabs>
        <w:autoSpaceDE w:val="0"/>
        <w:autoSpaceDN w:val="0"/>
        <w:adjustRightInd w:val="0"/>
        <w:spacing w:line="360" w:lineRule="auto"/>
        <w:ind w:right="25" w:firstLine="280"/>
        <w:rPr>
          <w:color w:val="auto"/>
          <w:sz w:val="24"/>
          <w:highlight w:val="none"/>
        </w:rPr>
      </w:pPr>
      <w:r>
        <w:rPr>
          <w:rFonts w:hint="eastAsia"/>
          <w:color w:val="auto"/>
          <w:sz w:val="24"/>
          <w:highlight w:val="none"/>
        </w:rPr>
        <w:t>本次招标共</w:t>
      </w:r>
      <w:r>
        <w:rPr>
          <w:rFonts w:hint="eastAsia"/>
          <w:color w:val="auto"/>
          <w:sz w:val="24"/>
          <w:highlight w:val="none"/>
          <w:u w:val="single"/>
        </w:rPr>
        <w:t xml:space="preserve"> 1 </w:t>
      </w:r>
      <w:r>
        <w:rPr>
          <w:rFonts w:hint="eastAsia"/>
          <w:color w:val="auto"/>
          <w:sz w:val="24"/>
          <w:highlight w:val="none"/>
        </w:rPr>
        <w:t>个标段，具体内容如下表：</w:t>
      </w:r>
    </w:p>
    <w:tbl>
      <w:tblPr>
        <w:tblStyle w:val="2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2062"/>
        <w:gridCol w:w="1254"/>
        <w:gridCol w:w="1102"/>
        <w:gridCol w:w="1037"/>
        <w:gridCol w:w="1209"/>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159" w:type="dxa"/>
            <w:noWrap w:val="0"/>
            <w:vAlign w:val="center"/>
          </w:tcPr>
          <w:p>
            <w:pPr>
              <w:tabs>
                <w:tab w:val="left" w:pos="8280"/>
              </w:tabs>
              <w:autoSpaceDE w:val="0"/>
              <w:autoSpaceDN w:val="0"/>
              <w:adjustRightInd w:val="0"/>
              <w:spacing w:line="360" w:lineRule="auto"/>
              <w:ind w:right="25"/>
              <w:jc w:val="center"/>
              <w:rPr>
                <w:b/>
                <w:color w:val="auto"/>
                <w:sz w:val="21"/>
                <w:szCs w:val="21"/>
                <w:highlight w:val="none"/>
              </w:rPr>
            </w:pPr>
            <w:r>
              <w:rPr>
                <w:rFonts w:hint="eastAsia"/>
                <w:b/>
                <w:color w:val="auto"/>
                <w:sz w:val="21"/>
                <w:szCs w:val="21"/>
                <w:highlight w:val="none"/>
              </w:rPr>
              <w:t>标段号</w:t>
            </w:r>
          </w:p>
        </w:tc>
        <w:tc>
          <w:tcPr>
            <w:tcW w:w="2062" w:type="dxa"/>
            <w:noWrap w:val="0"/>
            <w:vAlign w:val="center"/>
          </w:tcPr>
          <w:p>
            <w:pPr>
              <w:tabs>
                <w:tab w:val="left" w:pos="8280"/>
              </w:tabs>
              <w:autoSpaceDE w:val="0"/>
              <w:autoSpaceDN w:val="0"/>
              <w:adjustRightInd w:val="0"/>
              <w:spacing w:line="360" w:lineRule="auto"/>
              <w:ind w:right="25" w:firstLine="105" w:firstLineChars="50"/>
              <w:jc w:val="center"/>
              <w:rPr>
                <w:b/>
                <w:color w:val="auto"/>
                <w:sz w:val="21"/>
                <w:szCs w:val="21"/>
                <w:highlight w:val="none"/>
              </w:rPr>
            </w:pPr>
            <w:r>
              <w:rPr>
                <w:rFonts w:hint="eastAsia"/>
                <w:b/>
                <w:color w:val="auto"/>
                <w:sz w:val="21"/>
                <w:szCs w:val="21"/>
                <w:highlight w:val="none"/>
              </w:rPr>
              <w:t>项目名称</w:t>
            </w:r>
          </w:p>
        </w:tc>
        <w:tc>
          <w:tcPr>
            <w:tcW w:w="1254" w:type="dxa"/>
            <w:noWrap w:val="0"/>
            <w:vAlign w:val="center"/>
          </w:tcPr>
          <w:p>
            <w:pPr>
              <w:tabs>
                <w:tab w:val="left" w:pos="8280"/>
              </w:tabs>
              <w:autoSpaceDE w:val="0"/>
              <w:autoSpaceDN w:val="0"/>
              <w:adjustRightInd w:val="0"/>
              <w:spacing w:line="360" w:lineRule="auto"/>
              <w:ind w:right="25"/>
              <w:rPr>
                <w:rFonts w:hint="eastAsia"/>
                <w:b/>
                <w:color w:val="auto"/>
                <w:sz w:val="21"/>
                <w:szCs w:val="21"/>
                <w:highlight w:val="none"/>
              </w:rPr>
            </w:pPr>
            <w:r>
              <w:rPr>
                <w:rFonts w:hint="eastAsia"/>
                <w:b/>
                <w:color w:val="auto"/>
                <w:sz w:val="21"/>
                <w:szCs w:val="21"/>
                <w:highlight w:val="none"/>
              </w:rPr>
              <w:t>规格</w:t>
            </w:r>
          </w:p>
          <w:p>
            <w:pPr>
              <w:tabs>
                <w:tab w:val="left" w:pos="8280"/>
              </w:tabs>
              <w:autoSpaceDE w:val="0"/>
              <w:autoSpaceDN w:val="0"/>
              <w:adjustRightInd w:val="0"/>
              <w:spacing w:line="360" w:lineRule="auto"/>
              <w:ind w:right="25"/>
              <w:rPr>
                <w:b/>
                <w:color w:val="auto"/>
                <w:sz w:val="21"/>
                <w:szCs w:val="21"/>
                <w:highlight w:val="none"/>
              </w:rPr>
            </w:pPr>
            <w:r>
              <w:rPr>
                <w:rFonts w:hint="eastAsia"/>
                <w:b/>
                <w:color w:val="auto"/>
                <w:sz w:val="21"/>
                <w:szCs w:val="21"/>
                <w:highlight w:val="none"/>
              </w:rPr>
              <w:t>型 号</w:t>
            </w:r>
          </w:p>
        </w:tc>
        <w:tc>
          <w:tcPr>
            <w:tcW w:w="1102" w:type="dxa"/>
            <w:noWrap w:val="0"/>
            <w:vAlign w:val="center"/>
          </w:tcPr>
          <w:p>
            <w:pPr>
              <w:tabs>
                <w:tab w:val="left" w:pos="8280"/>
              </w:tabs>
              <w:autoSpaceDE w:val="0"/>
              <w:autoSpaceDN w:val="0"/>
              <w:adjustRightInd w:val="0"/>
              <w:spacing w:line="360" w:lineRule="auto"/>
              <w:ind w:right="25"/>
              <w:jc w:val="center"/>
              <w:rPr>
                <w:b/>
                <w:color w:val="auto"/>
                <w:sz w:val="21"/>
                <w:szCs w:val="21"/>
                <w:highlight w:val="none"/>
              </w:rPr>
            </w:pPr>
            <w:r>
              <w:rPr>
                <w:rFonts w:hint="eastAsia"/>
                <w:b/>
                <w:color w:val="auto"/>
                <w:sz w:val="21"/>
                <w:szCs w:val="21"/>
                <w:highlight w:val="none"/>
              </w:rPr>
              <w:t>数量</w:t>
            </w:r>
          </w:p>
        </w:tc>
        <w:tc>
          <w:tcPr>
            <w:tcW w:w="1037" w:type="dxa"/>
            <w:noWrap w:val="0"/>
            <w:vAlign w:val="center"/>
          </w:tcPr>
          <w:p>
            <w:pPr>
              <w:tabs>
                <w:tab w:val="left" w:pos="8280"/>
              </w:tabs>
              <w:autoSpaceDE w:val="0"/>
              <w:autoSpaceDN w:val="0"/>
              <w:adjustRightInd w:val="0"/>
              <w:spacing w:line="360" w:lineRule="auto"/>
              <w:ind w:right="25"/>
              <w:jc w:val="center"/>
              <w:rPr>
                <w:b/>
                <w:color w:val="auto"/>
                <w:sz w:val="21"/>
                <w:szCs w:val="21"/>
                <w:highlight w:val="none"/>
              </w:rPr>
            </w:pPr>
            <w:r>
              <w:rPr>
                <w:rFonts w:hint="eastAsia"/>
                <w:b/>
                <w:color w:val="auto"/>
                <w:sz w:val="21"/>
                <w:szCs w:val="21"/>
                <w:highlight w:val="none"/>
              </w:rPr>
              <w:t>单位</w:t>
            </w:r>
          </w:p>
        </w:tc>
        <w:tc>
          <w:tcPr>
            <w:tcW w:w="1209" w:type="dxa"/>
            <w:noWrap w:val="0"/>
            <w:vAlign w:val="center"/>
          </w:tcPr>
          <w:p>
            <w:pPr>
              <w:tabs>
                <w:tab w:val="left" w:pos="8280"/>
              </w:tabs>
              <w:autoSpaceDE w:val="0"/>
              <w:autoSpaceDN w:val="0"/>
              <w:adjustRightInd w:val="0"/>
              <w:spacing w:line="360" w:lineRule="auto"/>
              <w:ind w:right="25"/>
              <w:jc w:val="center"/>
              <w:rPr>
                <w:b/>
                <w:color w:val="auto"/>
                <w:sz w:val="21"/>
                <w:szCs w:val="21"/>
                <w:highlight w:val="none"/>
              </w:rPr>
            </w:pPr>
            <w:r>
              <w:rPr>
                <w:rFonts w:hint="eastAsia"/>
                <w:b/>
                <w:color w:val="auto"/>
                <w:sz w:val="21"/>
                <w:szCs w:val="21"/>
                <w:highlight w:val="none"/>
              </w:rPr>
              <w:t>预算</w:t>
            </w:r>
          </w:p>
          <w:p>
            <w:pPr>
              <w:tabs>
                <w:tab w:val="left" w:pos="8280"/>
              </w:tabs>
              <w:autoSpaceDE w:val="0"/>
              <w:autoSpaceDN w:val="0"/>
              <w:adjustRightInd w:val="0"/>
              <w:spacing w:line="360" w:lineRule="auto"/>
              <w:ind w:right="25"/>
              <w:jc w:val="center"/>
              <w:rPr>
                <w:b/>
                <w:color w:val="auto"/>
                <w:sz w:val="21"/>
                <w:szCs w:val="21"/>
                <w:highlight w:val="none"/>
              </w:rPr>
            </w:pPr>
            <w:r>
              <w:rPr>
                <w:rFonts w:hint="eastAsia"/>
                <w:b/>
                <w:color w:val="auto"/>
                <w:sz w:val="21"/>
                <w:szCs w:val="21"/>
                <w:highlight w:val="none"/>
              </w:rPr>
              <w:t>（元）</w:t>
            </w:r>
          </w:p>
        </w:tc>
        <w:tc>
          <w:tcPr>
            <w:tcW w:w="997" w:type="dxa"/>
            <w:noWrap w:val="0"/>
            <w:vAlign w:val="center"/>
          </w:tcPr>
          <w:p>
            <w:pPr>
              <w:tabs>
                <w:tab w:val="left" w:pos="8280"/>
              </w:tabs>
              <w:autoSpaceDE w:val="0"/>
              <w:autoSpaceDN w:val="0"/>
              <w:adjustRightInd w:val="0"/>
              <w:spacing w:line="360" w:lineRule="auto"/>
              <w:ind w:right="25"/>
              <w:jc w:val="center"/>
              <w:rPr>
                <w:b/>
                <w:color w:val="auto"/>
                <w:sz w:val="21"/>
                <w:szCs w:val="21"/>
                <w:highlight w:val="none"/>
              </w:rPr>
            </w:pPr>
            <w:r>
              <w:rPr>
                <w:rFonts w:hint="eastAsia"/>
                <w:b/>
                <w:color w:val="auto"/>
                <w:sz w:val="21"/>
                <w:szCs w:val="21"/>
                <w:highlight w:val="none"/>
              </w:rPr>
              <w:t>交付地点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159" w:type="dxa"/>
            <w:noWrap w:val="0"/>
            <w:vAlign w:val="center"/>
          </w:tcPr>
          <w:p>
            <w:pPr>
              <w:tabs>
                <w:tab w:val="left" w:pos="8280"/>
              </w:tabs>
              <w:autoSpaceDE w:val="0"/>
              <w:autoSpaceDN w:val="0"/>
              <w:adjustRightInd w:val="0"/>
              <w:spacing w:line="360" w:lineRule="auto"/>
              <w:ind w:right="25"/>
              <w:jc w:val="center"/>
              <w:rPr>
                <w:color w:val="auto"/>
                <w:sz w:val="22"/>
                <w:szCs w:val="22"/>
                <w:highlight w:val="none"/>
              </w:rPr>
            </w:pPr>
            <w:r>
              <w:rPr>
                <w:rFonts w:hint="eastAsia"/>
                <w:color w:val="auto"/>
                <w:sz w:val="22"/>
                <w:szCs w:val="22"/>
                <w:highlight w:val="none"/>
              </w:rPr>
              <w:t>1</w:t>
            </w:r>
          </w:p>
        </w:tc>
        <w:tc>
          <w:tcPr>
            <w:tcW w:w="2062" w:type="dxa"/>
            <w:noWrap w:val="0"/>
            <w:vAlign w:val="center"/>
          </w:tcPr>
          <w:p>
            <w:pPr>
              <w:jc w:val="center"/>
              <w:rPr>
                <w:rFonts w:hint="eastAsia" w:eastAsia="宋体"/>
                <w:color w:val="auto"/>
                <w:sz w:val="22"/>
                <w:szCs w:val="22"/>
                <w:highlight w:val="none"/>
                <w:lang w:eastAsia="zh-CN"/>
              </w:rPr>
            </w:pPr>
            <w:r>
              <w:rPr>
                <w:rFonts w:hint="eastAsia"/>
                <w:color w:val="auto"/>
                <w:sz w:val="22"/>
                <w:szCs w:val="22"/>
                <w:highlight w:val="none"/>
                <w:lang w:eastAsia="zh-CN"/>
              </w:rPr>
              <w:t>台州湾新区重点防御区和承灾体海水越堤淹没调查评估和风险预警试点项目（重新招标）</w:t>
            </w:r>
          </w:p>
        </w:tc>
        <w:tc>
          <w:tcPr>
            <w:tcW w:w="1254" w:type="dxa"/>
            <w:noWrap w:val="0"/>
            <w:vAlign w:val="center"/>
          </w:tcPr>
          <w:p>
            <w:pPr>
              <w:jc w:val="center"/>
              <w:rPr>
                <w:color w:val="auto"/>
                <w:sz w:val="22"/>
                <w:szCs w:val="22"/>
                <w:highlight w:val="none"/>
              </w:rPr>
            </w:pPr>
            <w:r>
              <w:rPr>
                <w:rFonts w:hint="eastAsia"/>
                <w:color w:val="auto"/>
                <w:sz w:val="22"/>
                <w:szCs w:val="22"/>
                <w:highlight w:val="none"/>
              </w:rPr>
              <w:t>详见具体技术需求</w:t>
            </w:r>
          </w:p>
        </w:tc>
        <w:tc>
          <w:tcPr>
            <w:tcW w:w="1102" w:type="dxa"/>
            <w:noWrap w:val="0"/>
            <w:vAlign w:val="center"/>
          </w:tcPr>
          <w:p>
            <w:pPr>
              <w:jc w:val="center"/>
              <w:rPr>
                <w:color w:val="auto"/>
                <w:sz w:val="22"/>
                <w:szCs w:val="22"/>
                <w:highlight w:val="none"/>
              </w:rPr>
            </w:pPr>
            <w:r>
              <w:rPr>
                <w:rFonts w:hint="eastAsia"/>
                <w:color w:val="auto"/>
                <w:sz w:val="22"/>
                <w:szCs w:val="22"/>
                <w:highlight w:val="none"/>
              </w:rPr>
              <w:t>1</w:t>
            </w:r>
          </w:p>
        </w:tc>
        <w:tc>
          <w:tcPr>
            <w:tcW w:w="1037" w:type="dxa"/>
            <w:noWrap w:val="0"/>
            <w:vAlign w:val="center"/>
          </w:tcPr>
          <w:p>
            <w:pPr>
              <w:jc w:val="center"/>
              <w:rPr>
                <w:rFonts w:hint="eastAsia" w:eastAsia="宋体"/>
                <w:color w:val="auto"/>
                <w:sz w:val="22"/>
                <w:szCs w:val="22"/>
                <w:highlight w:val="none"/>
                <w:lang w:eastAsia="zh-CN"/>
              </w:rPr>
            </w:pPr>
            <w:r>
              <w:rPr>
                <w:rFonts w:hint="eastAsia"/>
                <w:color w:val="auto"/>
                <w:sz w:val="22"/>
                <w:szCs w:val="22"/>
                <w:highlight w:val="none"/>
                <w:lang w:eastAsia="zh-CN"/>
              </w:rPr>
              <w:t>项</w:t>
            </w:r>
          </w:p>
        </w:tc>
        <w:tc>
          <w:tcPr>
            <w:tcW w:w="1209" w:type="dxa"/>
            <w:noWrap w:val="0"/>
            <w:vAlign w:val="center"/>
          </w:tcPr>
          <w:p>
            <w:pPr>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400000</w:t>
            </w:r>
          </w:p>
        </w:tc>
        <w:tc>
          <w:tcPr>
            <w:tcW w:w="997" w:type="dxa"/>
            <w:noWrap w:val="0"/>
            <w:vAlign w:val="center"/>
          </w:tcPr>
          <w:p>
            <w:pPr>
              <w:pStyle w:val="14"/>
              <w:spacing w:before="120" w:after="120"/>
              <w:rPr>
                <w:rFonts w:hAnsi="宋体" w:cs="宋体"/>
                <w:bCs/>
                <w:color w:val="auto"/>
                <w:sz w:val="22"/>
                <w:szCs w:val="22"/>
                <w:highlight w:val="none"/>
              </w:rPr>
            </w:pPr>
            <w:r>
              <w:rPr>
                <w:color w:val="auto"/>
                <w:sz w:val="22"/>
                <w:szCs w:val="22"/>
                <w:highlight w:val="none"/>
              </w:rPr>
              <w:t>采购人指定地点</w:t>
            </w:r>
          </w:p>
        </w:tc>
      </w:tr>
    </w:tbl>
    <w:p>
      <w:pPr>
        <w:rPr>
          <w:color w:val="auto"/>
          <w:sz w:val="24"/>
          <w:highlight w:val="none"/>
        </w:rPr>
      </w:pPr>
    </w:p>
    <w:p>
      <w:pPr>
        <w:snapToGrid w:val="0"/>
        <w:spacing w:line="360" w:lineRule="auto"/>
        <w:jc w:val="left"/>
        <w:rPr>
          <w:b/>
          <w:bCs/>
          <w:color w:val="auto"/>
          <w:highlight w:val="none"/>
        </w:rPr>
      </w:pPr>
      <w:r>
        <w:rPr>
          <w:rFonts w:hint="eastAsia"/>
          <w:b/>
          <w:bCs/>
          <w:color w:val="auto"/>
          <w:highlight w:val="none"/>
          <w:lang w:val="en-US" w:eastAsia="zh-CN"/>
        </w:rPr>
        <w:t>二、</w:t>
      </w:r>
      <w:r>
        <w:rPr>
          <w:rFonts w:hint="eastAsia"/>
          <w:b/>
          <w:bCs/>
          <w:color w:val="auto"/>
          <w:highlight w:val="none"/>
        </w:rPr>
        <w:t>研究目标</w:t>
      </w:r>
    </w:p>
    <w:p>
      <w:pPr>
        <w:snapToGrid w:val="0"/>
        <w:spacing w:line="360" w:lineRule="auto"/>
        <w:ind w:firstLine="354" w:firstLineChars="169"/>
        <w:jc w:val="left"/>
        <w:rPr>
          <w:color w:val="auto"/>
          <w:highlight w:val="none"/>
        </w:rPr>
      </w:pPr>
      <w:r>
        <w:rPr>
          <w:rFonts w:hint="eastAsia"/>
          <w:color w:val="auto"/>
          <w:highlight w:val="none"/>
        </w:rPr>
        <w:t>基于气象海洋数值预报和人工智能技术，构建台州湾近海区域超高分辨率海面风场智能降尺度模型，实现台州湾近海高分辨率海面风场预报，结合堤坝位置、结构特征等地理信息，开展台州湾新区以堤坝越浪为重点的承灾体风险预警评估及预测试点，为防御海洋灾害提供参考依据。</w:t>
      </w:r>
    </w:p>
    <w:p>
      <w:pPr>
        <w:snapToGrid w:val="0"/>
        <w:spacing w:line="360" w:lineRule="auto"/>
        <w:jc w:val="left"/>
        <w:rPr>
          <w:b/>
          <w:bCs/>
          <w:color w:val="auto"/>
          <w:highlight w:val="none"/>
        </w:rPr>
      </w:pPr>
      <w:r>
        <w:rPr>
          <w:rFonts w:hint="eastAsia"/>
          <w:b/>
          <w:bCs/>
          <w:color w:val="auto"/>
          <w:highlight w:val="none"/>
          <w:lang w:val="en-US" w:eastAsia="zh-CN"/>
        </w:rPr>
        <w:t>三、</w:t>
      </w:r>
      <w:r>
        <w:rPr>
          <w:rFonts w:hint="eastAsia"/>
          <w:b/>
          <w:bCs/>
          <w:color w:val="auto"/>
          <w:highlight w:val="none"/>
        </w:rPr>
        <w:t>工作内容</w:t>
      </w:r>
    </w:p>
    <w:p>
      <w:pPr>
        <w:snapToGrid w:val="0"/>
        <w:spacing w:line="360" w:lineRule="auto"/>
        <w:ind w:firstLine="354" w:firstLineChars="169"/>
        <w:jc w:val="left"/>
        <w:rPr>
          <w:color w:val="auto"/>
          <w:highlight w:val="none"/>
        </w:rPr>
      </w:pPr>
      <w:r>
        <w:rPr>
          <w:rFonts w:hint="eastAsia"/>
          <w:color w:val="auto"/>
          <w:highlight w:val="none"/>
        </w:rPr>
        <w:t>（</w:t>
      </w:r>
      <w:r>
        <w:rPr>
          <w:rFonts w:hint="eastAsia"/>
          <w:color w:val="auto"/>
          <w:highlight w:val="none"/>
          <w:lang w:val="en-US" w:eastAsia="zh-CN"/>
        </w:rPr>
        <w:t>一</w:t>
      </w:r>
      <w:r>
        <w:rPr>
          <w:rFonts w:hint="eastAsia"/>
          <w:color w:val="auto"/>
          <w:highlight w:val="none"/>
        </w:rPr>
        <w:t>）基于深度学习的超分辨率海面风场构建</w:t>
      </w:r>
    </w:p>
    <w:p>
      <w:pPr>
        <w:snapToGrid w:val="0"/>
        <w:spacing w:line="360" w:lineRule="auto"/>
        <w:ind w:firstLine="354" w:firstLineChars="169"/>
        <w:jc w:val="left"/>
        <w:rPr>
          <w:color w:val="auto"/>
          <w:highlight w:val="none"/>
        </w:rPr>
      </w:pPr>
      <w:r>
        <w:rPr>
          <w:rFonts w:hint="eastAsia"/>
          <w:color w:val="auto"/>
          <w:highlight w:val="none"/>
        </w:rPr>
        <w:t>搜集台州湾近海的气象水文预报数据、再分析数据及高分辨率海面风场融合数据，基于深度学习算法，构建台州湾近海超分辨率海面风场智能降尺度模型，实现台州湾近海海面风场超分辨率预报，并与台州湾近海区域多源历史观测数据开展检验评估，考察海面风场预报精度，为海洋、海浪模型提供高分辨率驱动风场。</w:t>
      </w:r>
    </w:p>
    <w:p>
      <w:pPr>
        <w:snapToGrid w:val="0"/>
        <w:spacing w:line="360" w:lineRule="auto"/>
        <w:ind w:firstLine="354" w:firstLineChars="169"/>
        <w:jc w:val="left"/>
        <w:rPr>
          <w:color w:val="auto"/>
          <w:highlight w:val="none"/>
        </w:rPr>
      </w:pPr>
      <w:r>
        <w:rPr>
          <w:rFonts w:hint="eastAsia"/>
          <w:color w:val="auto"/>
          <w:highlight w:val="none"/>
        </w:rPr>
        <w:t>（</w:t>
      </w:r>
      <w:r>
        <w:rPr>
          <w:rFonts w:hint="eastAsia"/>
          <w:color w:val="auto"/>
          <w:highlight w:val="none"/>
          <w:lang w:val="en-US" w:eastAsia="zh-CN"/>
        </w:rPr>
        <w:t>二</w:t>
      </w:r>
      <w:r>
        <w:rPr>
          <w:rFonts w:hint="eastAsia"/>
          <w:color w:val="auto"/>
          <w:highlight w:val="none"/>
        </w:rPr>
        <w:t>）海洋背景动力特征研究</w:t>
      </w:r>
    </w:p>
    <w:p>
      <w:pPr>
        <w:snapToGrid w:val="0"/>
        <w:spacing w:line="360" w:lineRule="auto"/>
        <w:ind w:firstLine="354" w:firstLineChars="169"/>
        <w:jc w:val="left"/>
        <w:rPr>
          <w:color w:val="auto"/>
          <w:highlight w:val="none"/>
        </w:rPr>
      </w:pPr>
      <w:r>
        <w:rPr>
          <w:rFonts w:hint="eastAsia"/>
          <w:color w:val="auto"/>
          <w:highlight w:val="none"/>
        </w:rPr>
        <w:t>根据波浪、潮位等历史资料，及能有效分辨台州湾海域的高精度天文潮-风暴潮-海浪耦合数值模型，研究不同台风过程中台州湾海域风暴潮的水动力特性。研究极端气象条件下海浪、风暴潮、天文潮等在具有复杂地形岸线海区的时空演变特征，揭示其影响致灾程度的关键相互作用机理；研究不同风应力和底摩擦方案在浅海和极浅水深的适用性。</w:t>
      </w:r>
    </w:p>
    <w:p>
      <w:pPr>
        <w:snapToGrid w:val="0"/>
        <w:spacing w:line="360" w:lineRule="auto"/>
        <w:ind w:firstLine="354" w:firstLineChars="169"/>
        <w:jc w:val="left"/>
        <w:rPr>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）基于欧洲CLASH越浪数据集，利用人工智能技术开展越浪量的快速预测预</w:t>
      </w:r>
      <w:r>
        <w:rPr>
          <w:rFonts w:hint="eastAsia"/>
          <w:color w:val="auto"/>
          <w:highlight w:val="none"/>
          <w:lang w:val="en-US" w:eastAsia="zh-CN"/>
        </w:rPr>
        <w:t>报</w:t>
      </w:r>
    </w:p>
    <w:p>
      <w:pPr>
        <w:snapToGrid w:val="0"/>
        <w:spacing w:line="360" w:lineRule="auto"/>
        <w:ind w:firstLine="354" w:firstLineChars="169"/>
        <w:jc w:val="left"/>
        <w:rPr>
          <w:rFonts w:hint="eastAsia"/>
          <w:color w:val="auto"/>
          <w:highlight w:val="none"/>
        </w:rPr>
      </w:pPr>
      <w:r>
        <w:rPr>
          <w:rFonts w:hint="eastAsia"/>
          <w:color w:val="auto"/>
          <w:highlight w:val="none"/>
        </w:rPr>
        <w:t>针对不同的堤坝类型，利用欧洲CLASH数据集，优选特征变量，筛选数据记录，构建不同类型坡堤样本数据集；基于多层感知机神经网络MLP、广义回归神经网络GRNN和随机森林回归网络等神经网络，构建多种越浪预测模型；预置多个模型参数组合，经训练和参数优化，获得多类型坡堤下的越浪量预测最优模型。针对指定海堤，利用潮位和海浪数值预报结果，提取并计算不同预报时刻堤前水深、有效波高、堤前谱周期和波浪入射角等信息；选择最优预测模型，输入分时特征信息，估算海堤分时越浪量，并在此基础上，通过曲线拟合估算峰值越浪量。</w:t>
      </w:r>
    </w:p>
    <w:p>
      <w:pPr>
        <w:snapToGrid w:val="0"/>
        <w:spacing w:line="360" w:lineRule="auto"/>
        <w:ind w:firstLine="354" w:firstLineChars="169"/>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rPr>
        <w:t>基于建立的台风-海洋-越浪模型，建立典型海堤越浪风险预警模型</w:t>
      </w:r>
    </w:p>
    <w:p>
      <w:pPr>
        <w:snapToGrid w:val="0"/>
        <w:spacing w:line="360" w:lineRule="auto"/>
        <w:ind w:firstLine="354" w:firstLineChars="169"/>
        <w:jc w:val="left"/>
        <w:rPr>
          <w:color w:val="auto"/>
          <w:highlight w:val="none"/>
        </w:rPr>
      </w:pPr>
      <w:r>
        <w:rPr>
          <w:rFonts w:hint="eastAsia"/>
          <w:color w:val="auto"/>
          <w:highlight w:val="none"/>
        </w:rPr>
        <w:t>根据堤坝设计结构类型，综合考虑对行人、车辆通行等的影响因素，以及后方区域的重要程度，基于国内外相关技术规范，选取适合的允许越浪量标准作为参考阈值，并定义划分不同越浪风险等级，通过预测值与风险阈值的对比分析，进行越浪风险预警。</w:t>
      </w:r>
    </w:p>
    <w:p>
      <w:pPr>
        <w:snapToGrid w:val="0"/>
        <w:spacing w:line="360" w:lineRule="auto"/>
        <w:jc w:val="left"/>
        <w:rPr>
          <w:b/>
          <w:bCs/>
          <w:color w:val="auto"/>
          <w:highlight w:val="none"/>
        </w:rPr>
      </w:pPr>
      <w:r>
        <w:rPr>
          <w:rFonts w:hint="eastAsia"/>
          <w:b/>
          <w:bCs/>
          <w:color w:val="auto"/>
          <w:highlight w:val="none"/>
          <w:lang w:val="en-US" w:eastAsia="zh-CN"/>
        </w:rPr>
        <w:t>四、</w:t>
      </w:r>
      <w:r>
        <w:rPr>
          <w:rFonts w:hint="eastAsia"/>
          <w:b/>
          <w:bCs/>
          <w:color w:val="auto"/>
          <w:highlight w:val="none"/>
        </w:rPr>
        <w:t>考核指标</w:t>
      </w:r>
    </w:p>
    <w:p>
      <w:pPr>
        <w:snapToGrid w:val="0"/>
        <w:spacing w:line="360" w:lineRule="auto"/>
        <w:ind w:firstLine="354" w:firstLineChars="169"/>
        <w:jc w:val="left"/>
        <w:rPr>
          <w:color w:val="auto"/>
          <w:highlight w:val="none"/>
        </w:rPr>
      </w:pPr>
      <w:r>
        <w:rPr>
          <w:rFonts w:hint="eastAsia"/>
          <w:color w:val="auto"/>
          <w:highlight w:val="none"/>
        </w:rPr>
        <w:t>（</w:t>
      </w:r>
      <w:r>
        <w:rPr>
          <w:rFonts w:hint="eastAsia"/>
          <w:color w:val="auto"/>
          <w:highlight w:val="none"/>
          <w:lang w:val="en-US" w:eastAsia="zh-CN"/>
        </w:rPr>
        <w:t>一</w:t>
      </w:r>
      <w:r>
        <w:rPr>
          <w:rFonts w:hint="eastAsia"/>
          <w:color w:val="auto"/>
          <w:highlight w:val="none"/>
        </w:rPr>
        <w:t>）海面风场水平分辨率≤1km；预报时效≥3天；输出间隔≤3小时；</w:t>
      </w:r>
    </w:p>
    <w:p>
      <w:pPr>
        <w:snapToGrid w:val="0"/>
        <w:spacing w:line="360" w:lineRule="auto"/>
        <w:ind w:firstLine="354" w:firstLineChars="169"/>
        <w:jc w:val="left"/>
        <w:rPr>
          <w:color w:val="auto"/>
          <w:highlight w:val="none"/>
        </w:rPr>
      </w:pPr>
      <w:r>
        <w:rPr>
          <w:rFonts w:hint="eastAsia"/>
          <w:color w:val="auto"/>
          <w:highlight w:val="none"/>
        </w:rPr>
        <w:t>（</w:t>
      </w:r>
      <w:r>
        <w:rPr>
          <w:rFonts w:hint="eastAsia"/>
          <w:color w:val="auto"/>
          <w:highlight w:val="none"/>
          <w:lang w:val="en-US" w:eastAsia="zh-CN"/>
        </w:rPr>
        <w:t>二</w:t>
      </w:r>
      <w:r>
        <w:rPr>
          <w:rFonts w:hint="eastAsia"/>
          <w:color w:val="auto"/>
          <w:highlight w:val="none"/>
        </w:rPr>
        <w:t>）动力要素预报误差不超过20%；</w:t>
      </w:r>
    </w:p>
    <w:p>
      <w:pPr>
        <w:snapToGrid w:val="0"/>
        <w:spacing w:line="360" w:lineRule="auto"/>
        <w:ind w:firstLine="354" w:firstLineChars="169"/>
        <w:jc w:val="left"/>
        <w:rPr>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）训练集和测试集的相关系数达到0.9以上，越浪量误差控制在10倍以内的比例不少于70%。</w:t>
      </w:r>
    </w:p>
    <w:p>
      <w:pPr>
        <w:snapToGrid w:val="0"/>
        <w:spacing w:line="360" w:lineRule="auto"/>
        <w:jc w:val="left"/>
        <w:rPr>
          <w:b/>
          <w:bCs/>
          <w:color w:val="auto"/>
          <w:highlight w:val="none"/>
        </w:rPr>
      </w:pPr>
      <w:r>
        <w:rPr>
          <w:rFonts w:hint="eastAsia"/>
          <w:b/>
          <w:bCs/>
          <w:color w:val="auto"/>
          <w:highlight w:val="none"/>
          <w:lang w:val="en-US" w:eastAsia="zh-CN"/>
        </w:rPr>
        <w:t>五、</w:t>
      </w:r>
      <w:r>
        <w:rPr>
          <w:rFonts w:hint="eastAsia"/>
          <w:b/>
          <w:bCs/>
          <w:color w:val="auto"/>
          <w:highlight w:val="none"/>
        </w:rPr>
        <w:t>交付成果：</w:t>
      </w:r>
    </w:p>
    <w:p>
      <w:pPr>
        <w:snapToGrid w:val="0"/>
        <w:spacing w:line="360" w:lineRule="auto"/>
        <w:ind w:firstLine="354" w:firstLineChars="169"/>
        <w:jc w:val="left"/>
        <w:rPr>
          <w:color w:val="auto"/>
          <w:highlight w:val="none"/>
        </w:rPr>
      </w:pPr>
      <w:r>
        <w:rPr>
          <w:rFonts w:hint="eastAsia"/>
          <w:color w:val="auto"/>
          <w:highlight w:val="none"/>
        </w:rPr>
        <w:t>（</w:t>
      </w:r>
      <w:r>
        <w:rPr>
          <w:rFonts w:hint="eastAsia"/>
          <w:color w:val="auto"/>
          <w:highlight w:val="none"/>
          <w:lang w:val="en-US" w:eastAsia="zh-CN"/>
        </w:rPr>
        <w:t>一</w:t>
      </w:r>
      <w:r>
        <w:rPr>
          <w:rFonts w:hint="eastAsia"/>
          <w:color w:val="auto"/>
          <w:highlight w:val="none"/>
        </w:rPr>
        <w:t>）浙江近海超分辨率海面风场智能降尺度模型1套；</w:t>
      </w:r>
    </w:p>
    <w:p>
      <w:pPr>
        <w:snapToGrid w:val="0"/>
        <w:spacing w:line="360" w:lineRule="auto"/>
        <w:ind w:firstLine="354" w:firstLineChars="169"/>
        <w:jc w:val="left"/>
        <w:rPr>
          <w:color w:val="auto"/>
          <w:highlight w:val="none"/>
        </w:rPr>
      </w:pPr>
      <w:r>
        <w:rPr>
          <w:rFonts w:hint="eastAsia"/>
          <w:color w:val="auto"/>
          <w:highlight w:val="none"/>
        </w:rPr>
        <w:t>（</w:t>
      </w:r>
      <w:r>
        <w:rPr>
          <w:rFonts w:hint="eastAsia"/>
          <w:color w:val="auto"/>
          <w:highlight w:val="none"/>
          <w:lang w:val="en-US" w:eastAsia="zh-CN"/>
        </w:rPr>
        <w:t>二</w:t>
      </w:r>
      <w:r>
        <w:rPr>
          <w:rFonts w:hint="eastAsia"/>
          <w:color w:val="auto"/>
          <w:highlight w:val="none"/>
        </w:rPr>
        <w:t>）越浪风险预警模型</w:t>
      </w:r>
      <w:r>
        <w:rPr>
          <w:rFonts w:hint="eastAsia"/>
          <w:color w:val="auto"/>
          <w:highlight w:val="none"/>
          <w:lang w:val="en-US" w:eastAsia="zh-CN"/>
        </w:rPr>
        <w:t>2</w:t>
      </w:r>
      <w:r>
        <w:rPr>
          <w:rFonts w:hint="eastAsia"/>
          <w:color w:val="auto"/>
          <w:highlight w:val="none"/>
        </w:rPr>
        <w:t>套；</w:t>
      </w:r>
    </w:p>
    <w:p>
      <w:pPr>
        <w:snapToGrid w:val="0"/>
        <w:spacing w:line="360" w:lineRule="auto"/>
        <w:ind w:firstLine="354" w:firstLineChars="169"/>
        <w:jc w:val="left"/>
        <w:rPr>
          <w:rFonts w:hint="eastAsia" w:cs="Times New Roman"/>
          <w:b/>
          <w:bCs/>
          <w:color w:val="auto"/>
          <w:highlight w:val="none"/>
          <w:lang w:val="en-US" w:eastAsia="zh-CN"/>
        </w:rPr>
      </w:pPr>
      <w:r>
        <w:rPr>
          <w:rFonts w:hint="eastAsia"/>
          <w:color w:val="auto"/>
          <w:highlight w:val="none"/>
        </w:rPr>
        <w:t>（</w:t>
      </w:r>
      <w:r>
        <w:rPr>
          <w:rFonts w:hint="eastAsia"/>
          <w:color w:val="auto"/>
          <w:highlight w:val="none"/>
          <w:lang w:val="en-US" w:eastAsia="zh-CN"/>
        </w:rPr>
        <w:t>三</w:t>
      </w:r>
      <w:r>
        <w:rPr>
          <w:rFonts w:hint="eastAsia"/>
          <w:color w:val="auto"/>
          <w:highlight w:val="none"/>
        </w:rPr>
        <w:t>）技术总结报告1份。</w:t>
      </w:r>
    </w:p>
    <w:p>
      <w:pPr>
        <w:snapToGrid w:val="0"/>
        <w:spacing w:line="360" w:lineRule="auto"/>
        <w:jc w:val="left"/>
        <w:rPr>
          <w:rFonts w:hint="eastAsia" w:ascii="Times New Roman" w:hAnsi="Times New Roman" w:eastAsia="宋体" w:cs="Times New Roman"/>
          <w:b/>
          <w:bCs/>
          <w:color w:val="auto"/>
          <w:highlight w:val="none"/>
        </w:rPr>
      </w:pPr>
      <w:r>
        <w:rPr>
          <w:rFonts w:hint="eastAsia" w:cs="Times New Roman"/>
          <w:b/>
          <w:bCs/>
          <w:color w:val="auto"/>
          <w:highlight w:val="none"/>
          <w:lang w:val="en-US" w:eastAsia="zh-CN"/>
        </w:rPr>
        <w:t>六、</w:t>
      </w:r>
      <w:r>
        <w:rPr>
          <w:rFonts w:hint="eastAsia" w:ascii="Times New Roman" w:hAnsi="Times New Roman" w:eastAsia="宋体" w:cs="Times New Roman"/>
          <w:b/>
          <w:bCs/>
          <w:color w:val="auto"/>
          <w:highlight w:val="none"/>
        </w:rPr>
        <w:t>商务需求</w:t>
      </w:r>
    </w:p>
    <w:p>
      <w:pPr>
        <w:pStyle w:val="24"/>
        <w:tabs>
          <w:tab w:val="left" w:pos="720"/>
          <w:tab w:val="left" w:pos="1260"/>
          <w:tab w:val="left" w:pos="2160"/>
          <w:tab w:val="left" w:pos="2880"/>
          <w:tab w:val="left" w:pos="3600"/>
          <w:tab w:val="left" w:pos="4320"/>
          <w:tab w:val="left" w:pos="5040"/>
          <w:tab w:val="left" w:pos="5760"/>
        </w:tabs>
        <w:spacing w:after="0" w:line="360" w:lineRule="auto"/>
        <w:ind w:left="0" w:leftChars="0"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（一）项目服务期：合同签订之日起90天内完成</w:t>
      </w:r>
      <w:r>
        <w:rPr>
          <w:rFonts w:hint="eastAsia" w:cs="Times New Roman"/>
          <w:color w:val="auto"/>
          <w:kern w:val="2"/>
          <w:sz w:val="21"/>
          <w:szCs w:val="24"/>
          <w:highlight w:val="none"/>
          <w:lang w:val="en-US" w:eastAsia="zh-CN" w:bidi="ar-SA"/>
        </w:rPr>
        <w:t>，成果交付直至项目通过验收</w:t>
      </w:r>
      <w:r>
        <w:rPr>
          <w:rFonts w:hint="eastAsia" w:ascii="Times New Roman" w:hAnsi="Times New Roman" w:eastAsia="宋体" w:cs="Times New Roman"/>
          <w:color w:val="auto"/>
          <w:kern w:val="2"/>
          <w:sz w:val="21"/>
          <w:szCs w:val="24"/>
          <w:highlight w:val="none"/>
          <w:lang w:val="en-US" w:eastAsia="zh-CN" w:bidi="ar-SA"/>
        </w:rPr>
        <w:t>。</w:t>
      </w:r>
    </w:p>
    <w:p>
      <w:pPr>
        <w:pStyle w:val="24"/>
        <w:tabs>
          <w:tab w:val="left" w:pos="720"/>
          <w:tab w:val="left" w:pos="1260"/>
          <w:tab w:val="left" w:pos="2160"/>
          <w:tab w:val="left" w:pos="2880"/>
          <w:tab w:val="left" w:pos="3600"/>
          <w:tab w:val="left" w:pos="4320"/>
          <w:tab w:val="left" w:pos="5040"/>
          <w:tab w:val="left" w:pos="5760"/>
        </w:tabs>
        <w:spacing w:after="0" w:line="360" w:lineRule="auto"/>
        <w:ind w:left="0" w:leftChars="0"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（二）付款方式：合同签订生效后7个工作日内支付合同总金额的</w:t>
      </w:r>
      <w:r>
        <w:rPr>
          <w:rFonts w:hint="eastAsia" w:cs="Times New Roman"/>
          <w:color w:val="auto"/>
          <w:kern w:val="2"/>
          <w:sz w:val="21"/>
          <w:szCs w:val="24"/>
          <w:highlight w:val="none"/>
          <w:lang w:val="en-US" w:eastAsia="zh-CN" w:bidi="ar-SA"/>
        </w:rPr>
        <w:t>50</w:t>
      </w:r>
      <w:r>
        <w:rPr>
          <w:rFonts w:hint="eastAsia" w:ascii="Times New Roman" w:hAnsi="Times New Roman" w:eastAsia="宋体" w:cs="Times New Roman"/>
          <w:color w:val="auto"/>
          <w:kern w:val="2"/>
          <w:sz w:val="21"/>
          <w:szCs w:val="24"/>
          <w:highlight w:val="none"/>
          <w:lang w:val="en-US" w:eastAsia="zh-CN" w:bidi="ar-SA"/>
        </w:rPr>
        <w:t>%作为预付款，项目验收通过后一次性付清余款。</w:t>
      </w:r>
    </w:p>
    <w:p>
      <w:pPr>
        <w:pStyle w:val="13"/>
        <w:numPr>
          <w:ilvl w:val="0"/>
          <w:numId w:val="0"/>
        </w:numPr>
        <w:ind w:left="420" w:leftChars="0"/>
        <w:rPr>
          <w:rFonts w:hint="eastAsia"/>
          <w:color w:val="auto"/>
          <w:highlight w:val="none"/>
        </w:rPr>
      </w:pPr>
    </w:p>
    <w:p>
      <w:pPr>
        <w:pStyle w:val="10"/>
        <w:numPr>
          <w:ilvl w:val="0"/>
          <w:numId w:val="0"/>
        </w:numPr>
        <w:ind w:leftChars="0"/>
        <w:rPr>
          <w:rFonts w:hint="eastAsia"/>
          <w:color w:val="auto"/>
          <w:highlight w:val="none"/>
        </w:rPr>
      </w:pPr>
    </w:p>
    <w:p>
      <w:pPr>
        <w:rPr>
          <w:color w:val="auto"/>
          <w:highlight w:val="none"/>
        </w:rPr>
      </w:pPr>
    </w:p>
    <w:p>
      <w:pPr>
        <w:pStyle w:val="31"/>
        <w:ind w:firstLine="480"/>
        <w:rPr>
          <w:color w:val="auto"/>
          <w:highlight w:val="none"/>
        </w:rPr>
      </w:pPr>
    </w:p>
    <w:p>
      <w:pPr>
        <w:pStyle w:val="31"/>
        <w:ind w:firstLine="480"/>
        <w:rPr>
          <w:color w:val="auto"/>
          <w:highlight w:val="none"/>
        </w:rPr>
      </w:pPr>
    </w:p>
    <w:p>
      <w:pPr>
        <w:pStyle w:val="31"/>
        <w:ind w:firstLine="480"/>
        <w:rPr>
          <w:color w:val="auto"/>
          <w:highlight w:val="none"/>
        </w:rPr>
      </w:pPr>
    </w:p>
    <w:p>
      <w:pPr>
        <w:pStyle w:val="31"/>
        <w:ind w:firstLine="48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pStyle w:val="31"/>
        <w:ind w:left="0" w:leftChars="0" w:firstLine="0" w:firstLineChars="0"/>
        <w:rPr>
          <w:color w:val="auto"/>
          <w:highlight w:val="none"/>
        </w:rPr>
      </w:pPr>
    </w:p>
    <w:p>
      <w:pPr>
        <w:numPr>
          <w:ilvl w:val="0"/>
          <w:numId w:val="6"/>
        </w:numPr>
        <w:spacing w:line="360" w:lineRule="auto"/>
        <w:jc w:val="center"/>
        <w:rPr>
          <w:rFonts w:asciiTheme="minorEastAsia" w:hAnsiTheme="minorEastAsia" w:eastAsiaTheme="minorEastAsia"/>
          <w:b/>
          <w:color w:val="auto"/>
          <w:sz w:val="36"/>
          <w:szCs w:val="36"/>
          <w:highlight w:val="none"/>
        </w:rPr>
      </w:pPr>
      <w:bookmarkStart w:id="39" w:name="_Toc31173_WPSOffice_Level1"/>
      <w:r>
        <w:rPr>
          <w:rFonts w:hint="eastAsia" w:asciiTheme="minorEastAsia" w:hAnsiTheme="minorEastAsia" w:eastAsiaTheme="minorEastAsia"/>
          <w:b/>
          <w:color w:val="auto"/>
          <w:sz w:val="36"/>
          <w:szCs w:val="36"/>
          <w:highlight w:val="none"/>
        </w:rPr>
        <w:t>评标</w:t>
      </w:r>
      <w:bookmarkEnd w:id="39"/>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pPr>
        <w:pStyle w:val="24"/>
        <w:spacing w:after="0" w:line="360" w:lineRule="auto"/>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三、评标委员会</w:t>
      </w:r>
    </w:p>
    <w:p>
      <w:pPr>
        <w:pStyle w:val="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pPr>
        <w:pStyle w:val="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6.法律法规规定的其他情形。</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（三）评标委员会负责具体评标事务，并独立履行下列职责：</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1.审查、评价投标文件是否符合招标文件的商务、技术等实质性要求；</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2.要求投标人对投标文件有关事项作出澄清或者说明；</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3.对投标文件进行比较和评价；</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4.确定中标候选人名单，以及根据采购人委托直接确定中标人；</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5.向采购人、采购组织机构或者有关部门报告评标中发现的违法行为；</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pPr>
        <w:pStyle w:val="21"/>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四、无效标情形</w:t>
      </w:r>
    </w:p>
    <w:p>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（一）在</w:t>
      </w:r>
      <w:r>
        <w:rPr>
          <w:rFonts w:hint="eastAsia" w:asciiTheme="minorEastAsia" w:hAnsiTheme="minorEastAsia" w:eastAsiaTheme="minorEastAsia"/>
          <w:color w:val="auto"/>
          <w:kern w:val="0"/>
          <w:sz w:val="24"/>
          <w:highlight w:val="none"/>
          <w:lang w:eastAsia="zh-CN"/>
        </w:rPr>
        <w:t>资格标</w:t>
      </w:r>
      <w:r>
        <w:rPr>
          <w:rFonts w:hint="eastAsia" w:asciiTheme="minorEastAsia" w:hAnsiTheme="minorEastAsia" w:eastAsiaTheme="minorEastAsia"/>
          <w:color w:val="auto"/>
          <w:kern w:val="0"/>
          <w:sz w:val="24"/>
          <w:highlight w:val="none"/>
        </w:rPr>
        <w:t>或技术</w:t>
      </w:r>
      <w:r>
        <w:rPr>
          <w:rFonts w:hint="eastAsia" w:asciiTheme="minorEastAsia" w:hAnsiTheme="minorEastAsia" w:eastAsiaTheme="minorEastAsia"/>
          <w:color w:val="auto"/>
          <w:kern w:val="0"/>
          <w:sz w:val="24"/>
          <w:highlight w:val="none"/>
          <w:lang w:val="en-US" w:eastAsia="zh-CN"/>
        </w:rPr>
        <w:t>标</w:t>
      </w:r>
      <w:r>
        <w:rPr>
          <w:rFonts w:hint="eastAsia" w:asciiTheme="minorEastAsia" w:hAnsiTheme="minorEastAsia" w:eastAsiaTheme="minorEastAsia"/>
          <w:color w:val="auto"/>
          <w:kern w:val="0"/>
          <w:sz w:val="24"/>
          <w:highlight w:val="none"/>
        </w:rPr>
        <w:t>中出现投标报价的，或者报价文件中报价的服务跟商务与技术文件中的投标服务出现重大偏差的；</w:t>
      </w:r>
    </w:p>
    <w:p>
      <w:pPr>
        <w:pStyle w:val="21"/>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（二）不具备招标文件中规定的资格要求的；</w:t>
      </w:r>
      <w:r>
        <w:rPr>
          <w:rFonts w:hint="default" w:asciiTheme="minorEastAsia" w:hAnsiTheme="minorEastAsia" w:eastAsiaTheme="minorEastAsia"/>
          <w:color w:val="auto"/>
          <w:highlight w:val="none"/>
        </w:rPr>
        <w:tab/>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（三）投标文件含有采购人不能接受的附加条件的；</w:t>
      </w:r>
    </w:p>
    <w:p>
      <w:pPr>
        <w:pStyle w:val="11"/>
        <w:spacing w:line="360" w:lineRule="auto"/>
        <w:ind w:firstLine="480" w:firstLineChars="200"/>
        <w:jc w:val="both"/>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（八）有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不同投标人的投标文件由同一单位或者个人编制；</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2.不同投标人委托同一单位或者个人办理投标事宜；</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3.不同投标人的投标文件载明的项目管理成员或者联系人员为同一人；</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4.不同投标人的投标文件异常一致或者投标报价呈规律性差异；</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5.不同投标人的投标文件相互混装。</w:t>
      </w:r>
    </w:p>
    <w:p>
      <w:pPr>
        <w:pStyle w:val="21"/>
        <w:spacing w:before="0" w:beforeAutospacing="0" w:after="0" w:afterAutospacing="0" w:line="360" w:lineRule="auto"/>
        <w:ind w:firstLine="480" w:firstLineChars="200"/>
        <w:jc w:val="both"/>
        <w:rPr>
          <w:rFonts w:hint="default" w:asciiTheme="minorEastAsia" w:hAnsiTheme="minorEastAsia"/>
          <w:color w:val="auto"/>
          <w:highlight w:val="none"/>
        </w:rPr>
      </w:pPr>
      <w:r>
        <w:rPr>
          <w:rFonts w:asciiTheme="minorEastAsia" w:hAnsiTheme="minorEastAsia" w:eastAsiaTheme="minorEastAsia"/>
          <w:color w:val="auto"/>
          <w:highlight w:val="none"/>
        </w:rPr>
        <w:t>（九）</w:t>
      </w:r>
      <w:r>
        <w:rPr>
          <w:rFonts w:cs="宋体"/>
          <w:color w:val="auto"/>
          <w:highlight w:val="none"/>
        </w:rPr>
        <w:t>实质性要求（招标文件中打“▲”内容）不响应的；</w:t>
      </w:r>
    </w:p>
    <w:p>
      <w:pPr>
        <w:pStyle w:val="8"/>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（十）商务条款不响应的；</w:t>
      </w:r>
    </w:p>
    <w:p>
      <w:pPr>
        <w:pStyle w:val="8"/>
        <w:spacing w:line="360" w:lineRule="auto"/>
        <w:ind w:firstLine="480" w:firstLineChars="20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（十一）投标文件有效期不足的；</w:t>
      </w:r>
    </w:p>
    <w:p>
      <w:pPr>
        <w:pStyle w:val="8"/>
        <w:spacing w:line="360" w:lineRule="auto"/>
        <w:ind w:firstLine="480" w:firstLineChars="20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（十二）逾期或未按要求提交投标文件的；</w:t>
      </w:r>
    </w:p>
    <w:p>
      <w:pPr>
        <w:pStyle w:val="8"/>
        <w:spacing w:line="360" w:lineRule="auto"/>
        <w:ind w:firstLine="480" w:firstLineChars="20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（十三）两家或两家以上投标单位上传投标文件的ip地址（或工程清单锁地址）相同，视为串标行为，取消评标资格。</w:t>
      </w:r>
    </w:p>
    <w:p>
      <w:pPr>
        <w:pStyle w:val="8"/>
        <w:spacing w:line="360" w:lineRule="auto"/>
        <w:ind w:firstLine="480" w:firstLineChars="20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eastAsia="zh-CN"/>
        </w:rPr>
        <w:t>（</w:t>
      </w:r>
      <w:r>
        <w:rPr>
          <w:rFonts w:hint="eastAsia" w:asciiTheme="minorEastAsia" w:hAnsiTheme="minorEastAsia" w:eastAsiaTheme="minorEastAsia"/>
          <w:color w:val="auto"/>
          <w:kern w:val="0"/>
          <w:sz w:val="24"/>
          <w:szCs w:val="24"/>
          <w:highlight w:val="none"/>
          <w:lang w:val="en-US" w:eastAsia="zh-CN"/>
        </w:rPr>
        <w:t>十四</w:t>
      </w:r>
      <w:r>
        <w:rPr>
          <w:rFonts w:hint="eastAsia" w:asciiTheme="minorEastAsia" w:hAnsiTheme="minorEastAsia" w:eastAsiaTheme="minorEastAsia"/>
          <w:color w:val="auto"/>
          <w:kern w:val="0"/>
          <w:sz w:val="24"/>
          <w:szCs w:val="24"/>
          <w:highlight w:val="none"/>
          <w:lang w:eastAsia="zh-CN"/>
        </w:rPr>
        <w:t>）</w:t>
      </w:r>
      <w:r>
        <w:rPr>
          <w:rFonts w:hint="eastAsia" w:asciiTheme="minorEastAsia" w:hAnsiTheme="minorEastAsia" w:eastAsiaTheme="minorEastAsia"/>
          <w:color w:val="auto"/>
          <w:kern w:val="0"/>
          <w:sz w:val="24"/>
          <w:szCs w:val="24"/>
          <w:highlight w:val="none"/>
        </w:rPr>
        <w:t>被拒绝的投标文件为无效。</w:t>
      </w:r>
    </w:p>
    <w:p>
      <w:pPr>
        <w:pStyle w:val="8"/>
        <w:spacing w:line="360" w:lineRule="auto"/>
        <w:ind w:firstLine="480" w:firstLineChars="20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w:t>
      </w:r>
      <w:r>
        <w:rPr>
          <w:rFonts w:hint="eastAsia" w:asciiTheme="minorEastAsia" w:hAnsiTheme="minorEastAsia" w:eastAsiaTheme="minorEastAsia"/>
          <w:color w:val="auto"/>
          <w:kern w:val="0"/>
          <w:sz w:val="24"/>
          <w:szCs w:val="24"/>
          <w:highlight w:val="none"/>
          <w:lang w:val="en-US" w:eastAsia="zh-CN"/>
        </w:rPr>
        <w:t>五</w:t>
      </w:r>
      <w:r>
        <w:rPr>
          <w:rFonts w:hint="eastAsia" w:asciiTheme="minorEastAsia" w:hAnsiTheme="minorEastAsia" w:eastAsiaTheme="minorEastAsia"/>
          <w:color w:val="auto"/>
          <w:kern w:val="0"/>
          <w:sz w:val="24"/>
          <w:szCs w:val="24"/>
          <w:highlight w:val="none"/>
        </w:rPr>
        <w:t>）其他不符合法律法规相关规定的。</w:t>
      </w:r>
    </w:p>
    <w:p>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pPr>
        <w:pStyle w:val="21"/>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pPr>
        <w:pStyle w:val="21"/>
        <w:spacing w:before="0" w:beforeAutospacing="0" w:after="0" w:afterAutospacing="0" w:line="360" w:lineRule="auto"/>
        <w:ind w:firstLine="480" w:firstLineChars="200"/>
        <w:jc w:val="both"/>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pPr>
        <w:pStyle w:val="21"/>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pPr>
        <w:pStyle w:val="21"/>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pPr>
        <w:autoSpaceDE w:val="0"/>
        <w:autoSpaceDN w:val="0"/>
        <w:adjustRightInd w:val="0"/>
        <w:spacing w:line="360" w:lineRule="auto"/>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六、</w:t>
      </w:r>
      <w:r>
        <w:rPr>
          <w:rFonts w:hint="eastAsia" w:ascii="宋体" w:hAnsi="宋体" w:cs="宋体"/>
          <w:b/>
          <w:color w:val="auto"/>
          <w:kern w:val="0"/>
          <w:sz w:val="24"/>
          <w:highlight w:val="none"/>
        </w:rPr>
        <w:t>投标人有下列情形之一的，投标保证金将不予退还</w:t>
      </w:r>
    </w:p>
    <w:p>
      <w:pP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一</w:t>
      </w:r>
      <w:r>
        <w:rPr>
          <w:rFonts w:hint="eastAsia" w:ascii="宋体" w:hAnsi="宋体"/>
          <w:color w:val="auto"/>
          <w:sz w:val="24"/>
          <w:highlight w:val="none"/>
        </w:rPr>
        <w:t>）投标人在投标有效期内撤回投标文件的；</w:t>
      </w:r>
    </w:p>
    <w:p>
      <w:pP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二</w:t>
      </w:r>
      <w:r>
        <w:rPr>
          <w:rFonts w:hint="eastAsia" w:ascii="宋体" w:hAnsi="宋体"/>
          <w:color w:val="auto"/>
          <w:sz w:val="24"/>
          <w:highlight w:val="none"/>
        </w:rPr>
        <w:t>）未按规定提交履约保证金的；</w:t>
      </w:r>
    </w:p>
    <w:p>
      <w:pP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三</w:t>
      </w:r>
      <w:r>
        <w:rPr>
          <w:rFonts w:hint="eastAsia" w:ascii="宋体" w:hAnsi="宋体"/>
          <w:color w:val="auto"/>
          <w:sz w:val="24"/>
          <w:highlight w:val="none"/>
        </w:rPr>
        <w:t>）投标人在投标过程中弄虚作假，提供虚假材料的；</w:t>
      </w:r>
    </w:p>
    <w:p>
      <w:pPr>
        <w:snapToGrid w:val="0"/>
        <w:spacing w:line="400" w:lineRule="exact"/>
        <w:ind w:firstLine="470" w:firstLineChars="196"/>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四</w:t>
      </w:r>
      <w:r>
        <w:rPr>
          <w:rFonts w:hint="eastAsia" w:ascii="宋体" w:hAnsi="宋体"/>
          <w:color w:val="auto"/>
          <w:sz w:val="24"/>
          <w:highlight w:val="none"/>
        </w:rPr>
        <w:t>）中标人无正当理由不与采购单位签订合同的；</w:t>
      </w:r>
    </w:p>
    <w:p>
      <w:pPr>
        <w:snapToGrid w:val="0"/>
        <w:spacing w:line="400" w:lineRule="exact"/>
        <w:ind w:firstLine="470" w:firstLineChars="196"/>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五</w:t>
      </w:r>
      <w:r>
        <w:rPr>
          <w:rFonts w:hint="eastAsia" w:ascii="宋体" w:hAnsi="宋体"/>
          <w:color w:val="auto"/>
          <w:sz w:val="24"/>
          <w:highlight w:val="none"/>
        </w:rPr>
        <w:t>）</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六</w:t>
      </w:r>
      <w:r>
        <w:rPr>
          <w:rFonts w:hint="eastAsia" w:ascii="宋体" w:hAnsi="宋体"/>
          <w:color w:val="auto"/>
          <w:sz w:val="24"/>
          <w:highlight w:val="none"/>
        </w:rPr>
        <w:t>）拒绝履行合同义务的；</w:t>
      </w:r>
    </w:p>
    <w:p>
      <w:pPr>
        <w:pStyle w:val="14"/>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lang w:val="en-US" w:eastAsia="zh-CN"/>
        </w:rPr>
        <w:t>七</w:t>
      </w:r>
      <w:r>
        <w:rPr>
          <w:rFonts w:hint="eastAsia" w:hAnsi="宋体" w:cs="宋体"/>
          <w:b/>
          <w:color w:val="auto"/>
          <w:sz w:val="24"/>
          <w:highlight w:val="none"/>
        </w:rPr>
        <w:t>、评标过程的监控</w:t>
      </w:r>
    </w:p>
    <w:p>
      <w:pPr>
        <w:pStyle w:val="21"/>
        <w:spacing w:before="0" w:beforeAutospacing="0" w:after="0" w:afterAutospacing="0" w:line="360" w:lineRule="auto"/>
        <w:ind w:firstLine="480" w:firstLineChars="200"/>
        <w:jc w:val="both"/>
        <w:rPr>
          <w:color w:val="auto"/>
          <w:highlight w:val="none"/>
        </w:rPr>
      </w:pPr>
      <w:r>
        <w:rPr>
          <w:color w:val="auto"/>
          <w:highlight w:val="none"/>
        </w:rPr>
        <w:t>本项目评标过程实行全程录音、录像监控，投标人在评标过程中所进行的试图影响评标结果的不公正活动，可能导致其投标被拒绝。</w:t>
      </w:r>
    </w:p>
    <w:p>
      <w:pPr>
        <w:pStyle w:val="14"/>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lang w:val="en-US" w:eastAsia="zh-CN"/>
        </w:rPr>
        <w:t>八</w:t>
      </w: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评标程序</w:t>
      </w:r>
    </w:p>
    <w:p>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pPr>
        <w:pStyle w:val="11"/>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，采购人或采购组织机构依法对投标人的资格进行审查，对审查发现无效的进行必要的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w:t>
      </w:r>
      <w:r>
        <w:rPr>
          <w:rFonts w:hint="eastAsia" w:ascii="宋体" w:hAnsi="宋体" w:cs="宋体"/>
          <w:color w:val="auto"/>
          <w:sz w:val="24"/>
          <w:highlight w:val="none"/>
        </w:rPr>
        <w:t>台州湾新区小额工程电子交易平台</w:t>
      </w:r>
      <w:r>
        <w:rPr>
          <w:rFonts w:hint="eastAsia"/>
          <w:color w:val="auto"/>
          <w:sz w:val="24"/>
          <w:highlight w:val="none"/>
        </w:rPr>
        <w:t>公布</w:t>
      </w:r>
      <w:r>
        <w:rPr>
          <w:rFonts w:asciiTheme="minorEastAsia" w:hAnsiTheme="minorEastAsia" w:eastAsiaTheme="minorEastAsia"/>
          <w:color w:val="auto"/>
          <w:sz w:val="24"/>
          <w:highlight w:val="none"/>
        </w:rPr>
        <w:t>无效投标的投标人名单、投标无效的原因。</w:t>
      </w:r>
    </w:p>
    <w:tbl>
      <w:tblPr>
        <w:tblStyle w:val="25"/>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7092" w:type="dxa"/>
            <w:tcMar>
              <w:top w:w="57" w:type="dxa"/>
              <w:left w:w="108" w:type="dxa"/>
              <w:bottom w:w="0" w:type="dxa"/>
              <w:right w:w="108" w:type="dxa"/>
            </w:tcMar>
            <w:vAlign w:val="center"/>
          </w:tcPr>
          <w:p>
            <w:pPr>
              <w:pStyle w:val="53"/>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7092" w:type="dxa"/>
            <w:shd w:val="clear" w:color="auto" w:fill="F6F6F6"/>
            <w:tcMar>
              <w:top w:w="57" w:type="dxa"/>
              <w:left w:w="108" w:type="dxa"/>
              <w:bottom w:w="0" w:type="dxa"/>
              <w:right w:w="108" w:type="dxa"/>
            </w:tcMar>
            <w:vAlign w:val="center"/>
          </w:tcPr>
          <w:p>
            <w:pPr>
              <w:pStyle w:val="53"/>
              <w:spacing w:line="300" w:lineRule="auto"/>
              <w:ind w:left="15" w:leftChars="7" w:right="-17" w:rightChars="-8" w:firstLine="403" w:firstLineChars="192"/>
              <w:rPr>
                <w:color w:val="auto"/>
                <w:szCs w:val="21"/>
                <w:highlight w:val="none"/>
              </w:rPr>
            </w:pPr>
            <w:r>
              <w:rPr>
                <w:rFonts w:hint="eastAsia"/>
                <w:color w:val="auto"/>
                <w:szCs w:val="21"/>
                <w:highlight w:val="none"/>
              </w:rPr>
              <w:t>提供具有依法缴纳税收和社会保障资金证明的承诺函。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7092" w:type="dxa"/>
            <w:tcMar>
              <w:top w:w="57" w:type="dxa"/>
              <w:left w:w="108" w:type="dxa"/>
              <w:bottom w:w="0" w:type="dxa"/>
              <w:right w:w="108" w:type="dxa"/>
            </w:tcMar>
            <w:vAlign w:val="center"/>
          </w:tcPr>
          <w:p>
            <w:pPr>
              <w:pStyle w:val="53"/>
              <w:spacing w:before="117" w:line="300" w:lineRule="auto"/>
              <w:ind w:left="15" w:leftChars="7" w:right="-17" w:rightChars="-8" w:firstLine="403" w:firstLineChars="192"/>
              <w:rPr>
                <w:color w:val="auto"/>
                <w:szCs w:val="21"/>
                <w:highlight w:val="none"/>
              </w:rPr>
            </w:pPr>
            <w:r>
              <w:rPr>
                <w:rFonts w:hint="eastAsia"/>
                <w:color w:val="auto"/>
                <w:szCs w:val="21"/>
                <w:highlight w:val="none"/>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7092" w:type="dxa"/>
            <w:shd w:val="clear" w:color="auto" w:fill="F6F6F6"/>
            <w:tcMar>
              <w:top w:w="57" w:type="dxa"/>
              <w:left w:w="108" w:type="dxa"/>
              <w:bottom w:w="0" w:type="dxa"/>
              <w:right w:w="108" w:type="dxa"/>
            </w:tcMar>
            <w:vAlign w:val="center"/>
          </w:tcPr>
          <w:p>
            <w:pPr>
              <w:pStyle w:val="53"/>
              <w:spacing w:before="1" w:line="300" w:lineRule="auto"/>
              <w:ind w:left="15" w:leftChars="7" w:right="-17" w:rightChars="-8" w:firstLine="403" w:firstLineChars="192"/>
              <w:rPr>
                <w:color w:val="auto"/>
                <w:szCs w:val="21"/>
                <w:highlight w:val="none"/>
              </w:rPr>
            </w:pPr>
            <w:r>
              <w:rPr>
                <w:rFonts w:hint="eastAsia"/>
                <w:color w:val="auto"/>
                <w:szCs w:val="21"/>
                <w:highlight w:val="none"/>
              </w:rPr>
              <w:t>提供具有履行合同所必须的设备和专业技术能力的承诺函。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3" w:hRule="atLeast"/>
          <w:jc w:val="center"/>
        </w:trPr>
        <w:tc>
          <w:tcPr>
            <w:tcW w:w="1913" w:type="dxa"/>
            <w:tcMar>
              <w:top w:w="57" w:type="dxa"/>
              <w:left w:w="108" w:type="dxa"/>
              <w:bottom w:w="0" w:type="dxa"/>
              <w:right w:w="108" w:type="dxa"/>
            </w:tcMar>
            <w:vAlign w:val="center"/>
          </w:tcPr>
          <w:p>
            <w:pPr>
              <w:pStyle w:val="53"/>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7092" w:type="dxa"/>
            <w:tcMar>
              <w:top w:w="57" w:type="dxa"/>
              <w:left w:w="108" w:type="dxa"/>
              <w:bottom w:w="0" w:type="dxa"/>
              <w:right w:w="108" w:type="dxa"/>
            </w:tcMar>
            <w:vAlign w:val="center"/>
          </w:tcPr>
          <w:p>
            <w:pPr>
              <w:pStyle w:val="53"/>
              <w:spacing w:before="48" w:line="300" w:lineRule="auto"/>
              <w:ind w:left="15" w:leftChars="7" w:right="-17" w:rightChars="-8" w:firstLine="403" w:firstLineChars="192"/>
              <w:rPr>
                <w:color w:val="auto"/>
                <w:szCs w:val="21"/>
                <w:highlight w:val="none"/>
              </w:rPr>
            </w:pPr>
            <w:r>
              <w:rPr>
                <w:rFonts w:hint="eastAsia"/>
                <w:color w:val="auto"/>
                <w:szCs w:val="21"/>
                <w:highlight w:val="none"/>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line="300" w:lineRule="auto"/>
              <w:ind w:right="3" w:hanging="10"/>
              <w:jc w:val="center"/>
              <w:rPr>
                <w:color w:val="auto"/>
                <w:szCs w:val="21"/>
                <w:highlight w:val="none"/>
              </w:rPr>
            </w:pPr>
            <w:r>
              <w:rPr>
                <w:rFonts w:hint="eastAsia"/>
                <w:color w:val="auto"/>
                <w:szCs w:val="21"/>
                <w:highlight w:val="none"/>
              </w:rPr>
              <w:t>信用记录</w:t>
            </w:r>
          </w:p>
        </w:tc>
        <w:tc>
          <w:tcPr>
            <w:tcW w:w="7092" w:type="dxa"/>
            <w:shd w:val="clear" w:color="auto" w:fill="F6F6F6"/>
            <w:tcMar>
              <w:top w:w="57" w:type="dxa"/>
              <w:left w:w="108" w:type="dxa"/>
              <w:bottom w:w="0" w:type="dxa"/>
              <w:right w:w="108" w:type="dxa"/>
            </w:tcMar>
            <w:vAlign w:val="center"/>
          </w:tcPr>
          <w:p>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1.截止时点：开标后评标前。</w:t>
            </w:r>
          </w:p>
          <w:p>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tcMar>
              <w:top w:w="57" w:type="dxa"/>
              <w:left w:w="108" w:type="dxa"/>
              <w:bottom w:w="0" w:type="dxa"/>
              <w:right w:w="108" w:type="dxa"/>
            </w:tcMar>
            <w:vAlign w:val="center"/>
          </w:tcPr>
          <w:p>
            <w:pPr>
              <w:pStyle w:val="53"/>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1.单位负责人为同一人或者存在直接控股、管理关系的不同供应商，不得同时参加本项目投标。</w:t>
            </w:r>
          </w:p>
          <w:p>
            <w:pPr>
              <w:pStyle w:val="53"/>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pPr>
              <w:pStyle w:val="53"/>
              <w:spacing w:before="48" w:line="30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tcMar>
              <w:top w:w="57" w:type="dxa"/>
              <w:left w:w="108" w:type="dxa"/>
              <w:bottom w:w="0" w:type="dxa"/>
              <w:right w:w="108" w:type="dxa"/>
            </w:tcMar>
            <w:vAlign w:val="center"/>
          </w:tcPr>
          <w:p>
            <w:pPr>
              <w:pStyle w:val="53"/>
              <w:spacing w:before="48" w:line="300" w:lineRule="auto"/>
              <w:ind w:left="15" w:leftChars="7" w:right="-17" w:rightChars="-8" w:firstLine="403" w:firstLineChars="192"/>
              <w:rPr>
                <w:color w:val="auto"/>
                <w:szCs w:val="21"/>
                <w:highlight w:val="none"/>
              </w:rPr>
            </w:pPr>
            <w:r>
              <w:rPr>
                <w:rFonts w:hint="eastAsia"/>
                <w:color w:val="auto"/>
                <w:szCs w:val="21"/>
                <w:highlight w:val="none"/>
              </w:rPr>
              <w:t>本项目</w:t>
            </w:r>
            <w:r>
              <w:rPr>
                <w:rFonts w:hint="eastAsia"/>
                <w:color w:val="auto"/>
                <w:szCs w:val="21"/>
                <w:highlight w:val="none"/>
                <w:lang w:val="en-US" w:eastAsia="zh-CN"/>
              </w:rPr>
              <w:t>不</w:t>
            </w:r>
            <w:r>
              <w:rPr>
                <w:rFonts w:hint="eastAsia"/>
                <w:color w:val="auto"/>
                <w:szCs w:val="21"/>
                <w:highlight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line="300" w:lineRule="auto"/>
              <w:ind w:right="3" w:hanging="10"/>
              <w:jc w:val="center"/>
              <w:rPr>
                <w:color w:val="auto"/>
                <w:szCs w:val="21"/>
                <w:highlight w:val="none"/>
              </w:rPr>
            </w:pPr>
            <w:r>
              <w:rPr>
                <w:rFonts w:hint="eastAsia"/>
                <w:color w:val="auto"/>
                <w:szCs w:val="21"/>
                <w:highlight w:val="none"/>
              </w:rPr>
              <w:t>资质</w:t>
            </w:r>
          </w:p>
        </w:tc>
        <w:tc>
          <w:tcPr>
            <w:tcW w:w="7092" w:type="dxa"/>
            <w:tcMar>
              <w:top w:w="57" w:type="dxa"/>
              <w:left w:w="108" w:type="dxa"/>
              <w:bottom w:w="0" w:type="dxa"/>
              <w:right w:w="108" w:type="dxa"/>
            </w:tcMar>
            <w:vAlign w:val="center"/>
          </w:tcPr>
          <w:p>
            <w:pPr>
              <w:pStyle w:val="53"/>
              <w:spacing w:before="48" w:line="300" w:lineRule="auto"/>
              <w:ind w:left="15" w:leftChars="7" w:right="-17" w:rightChars="-8" w:firstLine="403" w:firstLineChars="192"/>
              <w:rPr>
                <w:color w:val="auto"/>
                <w:szCs w:val="21"/>
                <w:highlight w:val="none"/>
              </w:rPr>
            </w:pPr>
            <w:r>
              <w:rPr>
                <w:rFonts w:hint="eastAsia"/>
                <w:color w:val="auto"/>
                <w:szCs w:val="21"/>
                <w:highlight w:val="none"/>
              </w:rPr>
              <w:t>无</w:t>
            </w:r>
          </w:p>
        </w:tc>
      </w:tr>
    </w:tbl>
    <w:p>
      <w:pPr>
        <w:pStyle w:val="11"/>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pPr>
        <w:pStyle w:val="11"/>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在台州湾新区小额工程电子交易平台公布无效投标的投标人名单、投标无效的原因</w:t>
      </w:r>
      <w:r>
        <w:rPr>
          <w:rFonts w:hint="eastAsia" w:asciiTheme="minorEastAsia" w:hAnsiTheme="minorEastAsia" w:eastAsiaTheme="minorEastAsia"/>
          <w:color w:val="auto"/>
          <w:sz w:val="24"/>
          <w:highlight w:val="none"/>
        </w:rPr>
        <w:t>。</w:t>
      </w:r>
    </w:p>
    <w:tbl>
      <w:tblPr>
        <w:tblStyle w:val="2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3"/>
              <w:spacing w:line="300" w:lineRule="auto"/>
              <w:ind w:right="3" w:hanging="10"/>
              <w:jc w:val="center"/>
              <w:rPr>
                <w:color w:val="auto"/>
                <w:szCs w:val="21"/>
                <w:highlight w:val="none"/>
              </w:rPr>
            </w:pPr>
            <w:r>
              <w:rPr>
                <w:rFonts w:hint="eastAsia"/>
                <w:color w:val="auto"/>
                <w:szCs w:val="21"/>
                <w:highlight w:val="none"/>
              </w:rPr>
              <w:t>投标文件</w:t>
            </w:r>
          </w:p>
        </w:tc>
        <w:tc>
          <w:tcPr>
            <w:tcW w:w="7183" w:type="dxa"/>
            <w:tcMar>
              <w:top w:w="57" w:type="dxa"/>
              <w:left w:w="108" w:type="dxa"/>
              <w:bottom w:w="0" w:type="dxa"/>
              <w:right w:w="108" w:type="dxa"/>
            </w:tcMar>
            <w:vAlign w:val="center"/>
          </w:tcPr>
          <w:p>
            <w:pPr>
              <w:pStyle w:val="11"/>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3"/>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F6F6F6"/>
            <w:tcMar>
              <w:top w:w="57" w:type="dxa"/>
              <w:left w:w="108" w:type="dxa"/>
              <w:bottom w:w="0" w:type="dxa"/>
              <w:right w:w="108" w:type="dxa"/>
            </w:tcMar>
            <w:vAlign w:val="center"/>
          </w:tcPr>
          <w:p>
            <w:pPr>
              <w:pStyle w:val="11"/>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3"/>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tcMar>
              <w:top w:w="57" w:type="dxa"/>
              <w:left w:w="108" w:type="dxa"/>
              <w:bottom w:w="0" w:type="dxa"/>
              <w:right w:w="108" w:type="dxa"/>
            </w:tcMar>
            <w:vAlign w:val="center"/>
          </w:tcPr>
          <w:p>
            <w:pPr>
              <w:pStyle w:val="11"/>
              <w:spacing w:line="300" w:lineRule="auto"/>
              <w:ind w:left="15" w:leftChars="7" w:right="-17" w:rightChars="-8" w:firstLine="403" w:firstLineChars="192"/>
              <w:jc w:val="both"/>
              <w:rPr>
                <w:color w:val="auto"/>
                <w:highlight w:val="none"/>
              </w:rPr>
            </w:pPr>
            <w:r>
              <w:rPr>
                <w:rFonts w:hint="eastAsia"/>
                <w:color w:val="auto"/>
                <w:highlight w:val="none"/>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3"/>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tcMar>
              <w:top w:w="57" w:type="dxa"/>
              <w:left w:w="108" w:type="dxa"/>
              <w:bottom w:w="0" w:type="dxa"/>
              <w:right w:w="108" w:type="dxa"/>
            </w:tcMar>
            <w:vAlign w:val="center"/>
          </w:tcPr>
          <w:p>
            <w:pPr>
              <w:pStyle w:val="11"/>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3"/>
              <w:spacing w:line="300" w:lineRule="auto"/>
              <w:ind w:right="3" w:hanging="10"/>
              <w:jc w:val="center"/>
              <w:rPr>
                <w:color w:val="auto"/>
                <w:szCs w:val="21"/>
                <w:highlight w:val="none"/>
              </w:rPr>
            </w:pPr>
            <w:r>
              <w:rPr>
                <w:rFonts w:hint="eastAsia"/>
                <w:color w:val="auto"/>
                <w:szCs w:val="21"/>
                <w:highlight w:val="none"/>
              </w:rPr>
              <w:t>附加条件</w:t>
            </w:r>
          </w:p>
        </w:tc>
        <w:tc>
          <w:tcPr>
            <w:tcW w:w="7183" w:type="dxa"/>
            <w:tcMar>
              <w:top w:w="57" w:type="dxa"/>
              <w:left w:w="108" w:type="dxa"/>
              <w:bottom w:w="0" w:type="dxa"/>
              <w:right w:w="108" w:type="dxa"/>
            </w:tcMar>
            <w:vAlign w:val="center"/>
          </w:tcPr>
          <w:p>
            <w:pPr>
              <w:pStyle w:val="11"/>
              <w:spacing w:line="30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pPr>
        <w:pStyle w:val="21"/>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技术</w:t>
      </w:r>
      <w:r>
        <w:rPr>
          <w:rFonts w:hint="eastAsia" w:ascii="Arial" w:hAnsi="Arial" w:cs="Arial" w:eastAsiaTheme="minorEastAsia"/>
          <w:b/>
          <w:bCs/>
          <w:color w:val="auto"/>
          <w:highlight w:val="none"/>
          <w:lang w:val="en-US" w:eastAsia="zh-CN"/>
        </w:rPr>
        <w:t>标</w:t>
      </w:r>
      <w:r>
        <w:rPr>
          <w:rFonts w:ascii="Arial" w:hAnsi="Arial" w:cs="Arial" w:eastAsiaTheme="minorEastAsia"/>
          <w:b/>
          <w:bCs/>
          <w:color w:val="auto"/>
          <w:highlight w:val="none"/>
        </w:rPr>
        <w:t>及</w:t>
      </w:r>
      <w:r>
        <w:rPr>
          <w:rFonts w:hint="eastAsia" w:ascii="Arial" w:hAnsi="Arial" w:cs="Arial" w:eastAsiaTheme="minorEastAsia"/>
          <w:b/>
          <w:bCs/>
          <w:color w:val="auto"/>
          <w:highlight w:val="none"/>
          <w:lang w:val="en-US" w:eastAsia="zh-CN"/>
        </w:rPr>
        <w:t>商务标</w:t>
      </w:r>
      <w:r>
        <w:rPr>
          <w:rFonts w:ascii="Arial" w:hAnsi="Arial" w:cs="Arial" w:eastAsiaTheme="minorEastAsia"/>
          <w:b/>
          <w:bCs/>
          <w:color w:val="auto"/>
          <w:highlight w:val="none"/>
        </w:rPr>
        <w:t>评审</w:t>
      </w:r>
    </w:p>
    <w:p>
      <w:pPr>
        <w:numPr>
          <w:ilvl w:val="0"/>
          <w:numId w:val="0"/>
        </w:numPr>
        <w:autoSpaceDE w:val="0"/>
        <w:autoSpaceDN w:val="0"/>
        <w:adjustRightInd w:val="0"/>
        <w:spacing w:line="360" w:lineRule="auto"/>
        <w:ind w:right="85" w:rightChars="0" w:firstLine="240" w:firstLineChars="100"/>
        <w:rPr>
          <w:rFonts w:ascii="宋体"/>
          <w:b/>
          <w:bCs/>
          <w:color w:val="auto"/>
          <w:sz w:val="24"/>
          <w:highlight w:val="none"/>
        </w:rPr>
      </w:pPr>
      <w:r>
        <w:rPr>
          <w:rFonts w:hint="eastAsia" w:asciiTheme="minorEastAsia" w:hAnsiTheme="minorEastAsia" w:eastAsiaTheme="minorEastAsia"/>
          <w:color w:val="auto"/>
          <w:kern w:val="0"/>
          <w:sz w:val="24"/>
          <w:highlight w:val="none"/>
        </w:rPr>
        <w:t>项目评标方法为综合评分法，总计100分，评标按以下标准及要求进行：</w:t>
      </w:r>
    </w:p>
    <w:p>
      <w:pPr>
        <w:numPr>
          <w:ilvl w:val="0"/>
          <w:numId w:val="0"/>
        </w:numPr>
        <w:autoSpaceDE w:val="0"/>
        <w:autoSpaceDN w:val="0"/>
        <w:adjustRightInd w:val="0"/>
        <w:spacing w:line="360" w:lineRule="auto"/>
        <w:ind w:right="85" w:rightChars="0" w:firstLine="241" w:firstLineChars="100"/>
        <w:rPr>
          <w:rFonts w:ascii="宋体"/>
          <w:b/>
          <w:bCs/>
          <w:color w:val="auto"/>
          <w:sz w:val="24"/>
          <w:highlight w:val="none"/>
        </w:rPr>
      </w:pPr>
      <w:r>
        <w:rPr>
          <w:rFonts w:hint="eastAsia" w:ascii="宋体"/>
          <w:b/>
          <w:bCs/>
          <w:color w:val="auto"/>
          <w:sz w:val="24"/>
          <w:highlight w:val="none"/>
          <w:lang w:val="en-US" w:eastAsia="zh-CN"/>
        </w:rPr>
        <w:t>1、</w:t>
      </w:r>
      <w:r>
        <w:rPr>
          <w:rFonts w:hint="eastAsia" w:ascii="宋体"/>
          <w:b/>
          <w:bCs/>
          <w:color w:val="auto"/>
          <w:sz w:val="24"/>
          <w:highlight w:val="none"/>
        </w:rPr>
        <w:t>评分标准</w:t>
      </w:r>
    </w:p>
    <w:tbl>
      <w:tblPr>
        <w:tblStyle w:val="25"/>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124"/>
        <w:gridCol w:w="6285"/>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0"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7409" w:type="dxa"/>
            <w:gridSpan w:val="2"/>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评标标准</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790"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同类项目经验</w:t>
            </w:r>
          </w:p>
        </w:tc>
        <w:tc>
          <w:tcPr>
            <w:tcW w:w="6285" w:type="dxa"/>
            <w:vAlign w:val="center"/>
          </w:tcPr>
          <w:p>
            <w:pPr>
              <w:widowControl/>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2018 年1月1日(</w:t>
            </w:r>
            <w:r>
              <w:rPr>
                <w:rFonts w:hint="eastAsia" w:ascii="宋体" w:hAnsi="宋体" w:cs="宋体"/>
                <w:color w:val="auto"/>
                <w:kern w:val="0"/>
                <w:sz w:val="21"/>
                <w:szCs w:val="21"/>
                <w:highlight w:val="none"/>
                <w:lang w:val="en-US" w:eastAsia="zh-CN"/>
              </w:rPr>
              <w:t>以合同</w:t>
            </w:r>
            <w:r>
              <w:rPr>
                <w:rFonts w:hint="eastAsia" w:ascii="宋体" w:hAnsi="宋体" w:eastAsia="宋体" w:cs="宋体"/>
                <w:color w:val="auto"/>
                <w:kern w:val="0"/>
                <w:sz w:val="21"/>
                <w:szCs w:val="21"/>
                <w:highlight w:val="none"/>
              </w:rPr>
              <w:t>签订</w:t>
            </w:r>
            <w:r>
              <w:rPr>
                <w:rFonts w:hint="eastAsia" w:ascii="宋体" w:hAnsi="宋体" w:cs="宋体"/>
                <w:color w:val="auto"/>
                <w:kern w:val="0"/>
                <w:sz w:val="21"/>
                <w:szCs w:val="21"/>
                <w:highlight w:val="none"/>
                <w:lang w:val="en-US" w:eastAsia="zh-CN"/>
              </w:rPr>
              <w:t>时间为准</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以来</w:t>
            </w:r>
            <w:r>
              <w:rPr>
                <w:rFonts w:hint="eastAsia" w:ascii="宋体" w:hAnsi="宋体" w:eastAsia="宋体" w:cs="宋体"/>
                <w:color w:val="auto"/>
                <w:kern w:val="0"/>
                <w:sz w:val="21"/>
                <w:szCs w:val="21"/>
                <w:highlight w:val="none"/>
              </w:rPr>
              <w:t>承担过与本项目类似的风暴潮等海洋灾害预警报技术和系统研发的业绩每提供一个得1分，最高得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分；提供合同</w:t>
            </w:r>
            <w:r>
              <w:rPr>
                <w:rFonts w:hint="eastAsia" w:ascii="宋体" w:hAnsi="宋体" w:eastAsia="宋体" w:cs="宋体"/>
                <w:color w:val="auto"/>
                <w:kern w:val="0"/>
                <w:sz w:val="21"/>
                <w:szCs w:val="21"/>
                <w:highlight w:val="none"/>
                <w:lang w:val="en-US" w:eastAsia="zh-CN"/>
              </w:rPr>
              <w:t>清晰扫描件</w:t>
            </w:r>
            <w:r>
              <w:rPr>
                <w:rFonts w:hint="eastAsia" w:ascii="宋体" w:hAnsi="宋体" w:eastAsia="宋体" w:cs="宋体"/>
                <w:color w:val="auto"/>
                <w:kern w:val="0"/>
                <w:sz w:val="21"/>
                <w:szCs w:val="21"/>
                <w:highlight w:val="none"/>
              </w:rPr>
              <w:t>，否则不得分</w:t>
            </w:r>
            <w:r>
              <w:rPr>
                <w:rFonts w:hint="eastAsia" w:ascii="宋体" w:hAnsi="宋体" w:eastAsia="宋体" w:cs="宋体"/>
                <w:color w:val="auto"/>
                <w:kern w:val="0"/>
                <w:sz w:val="21"/>
                <w:szCs w:val="21"/>
                <w:highlight w:val="none"/>
                <w:lang w:eastAsia="zh-CN"/>
              </w:rPr>
              <w:t>。</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90"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w:t>
            </w:r>
          </w:p>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资质能力</w:t>
            </w:r>
          </w:p>
        </w:tc>
        <w:tc>
          <w:tcPr>
            <w:tcW w:w="6285" w:type="dxa"/>
            <w:vAlign w:val="center"/>
          </w:tcPr>
          <w:p>
            <w:pPr>
              <w:widowControl/>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具有重点实验室或工程研究中心</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得2分；提供</w:t>
            </w:r>
            <w:r>
              <w:rPr>
                <w:rFonts w:hint="eastAsia" w:ascii="宋体" w:hAnsi="宋体" w:eastAsia="宋体" w:cs="宋体"/>
                <w:color w:val="auto"/>
                <w:kern w:val="0"/>
                <w:sz w:val="21"/>
                <w:szCs w:val="21"/>
                <w:highlight w:val="none"/>
                <w:lang w:val="en-US" w:eastAsia="zh-CN"/>
              </w:rPr>
              <w:t>相关证明清晰扫描件</w:t>
            </w:r>
            <w:r>
              <w:rPr>
                <w:rFonts w:hint="eastAsia" w:ascii="宋体" w:hAnsi="宋体" w:eastAsia="宋体" w:cs="宋体"/>
                <w:color w:val="auto"/>
                <w:kern w:val="0"/>
                <w:sz w:val="21"/>
                <w:szCs w:val="21"/>
                <w:highlight w:val="none"/>
              </w:rPr>
              <w:t>，否则不得分</w:t>
            </w:r>
            <w:r>
              <w:rPr>
                <w:rFonts w:hint="eastAsia" w:ascii="宋体" w:hAnsi="宋体" w:eastAsia="宋体" w:cs="宋体"/>
                <w:color w:val="auto"/>
                <w:kern w:val="0"/>
                <w:sz w:val="21"/>
                <w:szCs w:val="21"/>
                <w:highlight w:val="none"/>
                <w:lang w:eastAsia="zh-CN"/>
              </w:rPr>
              <w:t>。</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90"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w:t>
            </w:r>
          </w:p>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荣誉</w:t>
            </w:r>
          </w:p>
        </w:tc>
        <w:tc>
          <w:tcPr>
            <w:tcW w:w="6285" w:type="dxa"/>
            <w:vAlign w:val="center"/>
          </w:tcPr>
          <w:p>
            <w:pPr>
              <w:widowControl/>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投标人</w:t>
            </w:r>
            <w:r>
              <w:rPr>
                <w:rFonts w:hint="eastAsia" w:ascii="宋体" w:hAnsi="宋体" w:cs="宋体"/>
                <w:color w:val="auto"/>
                <w:kern w:val="0"/>
                <w:sz w:val="21"/>
                <w:szCs w:val="21"/>
                <w:highlight w:val="none"/>
                <w:lang w:eastAsia="zh-CN"/>
              </w:rPr>
              <w:t>（包括项目负责人及参与人）近五年来（</w:t>
            </w:r>
            <w:r>
              <w:rPr>
                <w:rFonts w:hint="eastAsia" w:ascii="宋体" w:hAnsi="宋体" w:cs="宋体"/>
                <w:color w:val="auto"/>
                <w:kern w:val="0"/>
                <w:sz w:val="21"/>
                <w:szCs w:val="21"/>
                <w:highlight w:val="none"/>
                <w:lang w:val="en-US" w:eastAsia="zh-CN"/>
              </w:rPr>
              <w:t>2018年1月1日以来</w:t>
            </w:r>
            <w:r>
              <w:rPr>
                <w:rFonts w:hint="eastAsia" w:ascii="宋体" w:hAnsi="宋体" w:cs="宋体"/>
                <w:color w:val="auto"/>
                <w:kern w:val="0"/>
                <w:sz w:val="21"/>
                <w:szCs w:val="21"/>
                <w:highlight w:val="none"/>
                <w:lang w:eastAsia="zh-CN"/>
              </w:rPr>
              <w:t>）获得海洋学会、航海学会、省人民政府组织颁发的省部级及以上</w:t>
            </w:r>
            <w:r>
              <w:rPr>
                <w:rFonts w:hint="eastAsia" w:ascii="宋体" w:hAnsi="宋体" w:eastAsia="宋体" w:cs="宋体"/>
                <w:color w:val="auto"/>
                <w:kern w:val="0"/>
                <w:sz w:val="21"/>
                <w:szCs w:val="21"/>
                <w:highlight w:val="none"/>
                <w:lang w:val="en-US" w:eastAsia="zh-CN"/>
              </w:rPr>
              <w:t>与本项目相符合的相关</w:t>
            </w:r>
            <w:r>
              <w:rPr>
                <w:rFonts w:hint="eastAsia" w:ascii="宋体" w:hAnsi="宋体" w:eastAsia="宋体" w:cs="宋体"/>
                <w:color w:val="auto"/>
                <w:kern w:val="0"/>
                <w:sz w:val="21"/>
                <w:szCs w:val="21"/>
                <w:highlight w:val="none"/>
              </w:rPr>
              <w:t>奖项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荣誉</w:t>
            </w:r>
            <w:r>
              <w:rPr>
                <w:rFonts w:hint="eastAsia" w:ascii="宋体" w:hAnsi="宋体" w:eastAsia="宋体" w:cs="宋体"/>
                <w:color w:val="auto"/>
                <w:kern w:val="0"/>
                <w:sz w:val="21"/>
                <w:szCs w:val="21"/>
                <w:highlight w:val="none"/>
              </w:rPr>
              <w:t>，每提供一项得1分，最高得3分；提供</w:t>
            </w:r>
            <w:r>
              <w:rPr>
                <w:rFonts w:hint="eastAsia" w:ascii="宋体" w:hAnsi="宋体" w:eastAsia="宋体" w:cs="宋体"/>
                <w:color w:val="auto"/>
                <w:kern w:val="0"/>
                <w:sz w:val="21"/>
                <w:szCs w:val="21"/>
                <w:highlight w:val="none"/>
                <w:lang w:val="en-US" w:eastAsia="zh-CN"/>
              </w:rPr>
              <w:t>奖项、荣誉</w:t>
            </w:r>
            <w:r>
              <w:rPr>
                <w:rFonts w:hint="eastAsia" w:ascii="宋体" w:hAnsi="宋体" w:eastAsia="宋体" w:cs="宋体"/>
                <w:color w:val="auto"/>
                <w:kern w:val="0"/>
                <w:sz w:val="21"/>
                <w:szCs w:val="21"/>
                <w:highlight w:val="none"/>
              </w:rPr>
              <w:t>证书</w:t>
            </w:r>
            <w:r>
              <w:rPr>
                <w:rFonts w:hint="eastAsia" w:ascii="宋体" w:hAnsi="宋体" w:eastAsia="宋体" w:cs="宋体"/>
                <w:color w:val="auto"/>
                <w:kern w:val="0"/>
                <w:sz w:val="21"/>
                <w:szCs w:val="21"/>
                <w:highlight w:val="none"/>
                <w:lang w:val="en-US" w:eastAsia="zh-CN"/>
              </w:rPr>
              <w:t>清晰扫描件</w:t>
            </w:r>
            <w:r>
              <w:rPr>
                <w:rFonts w:hint="eastAsia" w:ascii="宋体" w:hAnsi="宋体" w:eastAsia="宋体" w:cs="宋体"/>
                <w:color w:val="auto"/>
                <w:kern w:val="0"/>
                <w:sz w:val="21"/>
                <w:szCs w:val="21"/>
                <w:highlight w:val="none"/>
              </w:rPr>
              <w:t>，否则不得分</w:t>
            </w:r>
            <w:r>
              <w:rPr>
                <w:rFonts w:hint="eastAsia" w:ascii="宋体" w:hAnsi="宋体" w:eastAsia="宋体" w:cs="宋体"/>
                <w:color w:val="auto"/>
                <w:kern w:val="0"/>
                <w:sz w:val="21"/>
                <w:szCs w:val="21"/>
                <w:highlight w:val="none"/>
                <w:lang w:eastAsia="zh-CN"/>
              </w:rPr>
              <w:t>。</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90"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w:t>
            </w:r>
          </w:p>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负责人</w:t>
            </w:r>
          </w:p>
        </w:tc>
        <w:tc>
          <w:tcPr>
            <w:tcW w:w="6285" w:type="dxa"/>
            <w:vAlign w:val="center"/>
          </w:tcPr>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项目负责人具有海洋工程</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rPr>
              <w:t>土木</w:t>
            </w:r>
            <w:r>
              <w:rPr>
                <w:rFonts w:hint="eastAsia" w:ascii="宋体" w:hAnsi="宋体" w:eastAsia="宋体" w:cs="宋体"/>
                <w:color w:val="auto"/>
                <w:kern w:val="0"/>
                <w:sz w:val="21"/>
                <w:szCs w:val="21"/>
                <w:highlight w:val="none"/>
                <w:lang w:val="en-US" w:eastAsia="zh-CN"/>
              </w:rPr>
              <w:t>工程或</w:t>
            </w:r>
            <w:r>
              <w:rPr>
                <w:rFonts w:hint="eastAsia" w:ascii="宋体" w:hAnsi="宋体" w:eastAsia="宋体" w:cs="宋体"/>
                <w:color w:val="auto"/>
                <w:kern w:val="0"/>
                <w:sz w:val="21"/>
                <w:szCs w:val="21"/>
                <w:highlight w:val="none"/>
              </w:rPr>
              <w:t>水利工程</w:t>
            </w:r>
            <w:r>
              <w:rPr>
                <w:rFonts w:hint="eastAsia" w:ascii="宋体" w:hAnsi="宋体" w:eastAsia="宋体" w:cs="宋体"/>
                <w:color w:val="auto"/>
                <w:kern w:val="0"/>
                <w:sz w:val="21"/>
                <w:szCs w:val="21"/>
                <w:highlight w:val="none"/>
                <w:lang w:val="en-US" w:eastAsia="zh-CN"/>
              </w:rPr>
              <w:t>相关专业</w:t>
            </w:r>
            <w:r>
              <w:rPr>
                <w:rFonts w:hint="eastAsia" w:ascii="宋体" w:hAnsi="宋体" w:eastAsia="宋体" w:cs="宋体"/>
                <w:color w:val="auto"/>
                <w:kern w:val="0"/>
                <w:sz w:val="21"/>
                <w:szCs w:val="21"/>
                <w:highlight w:val="none"/>
              </w:rPr>
              <w:t>的正高级职称得3分，否则不得分。</w:t>
            </w:r>
          </w:p>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w:t>
            </w:r>
            <w:r>
              <w:rPr>
                <w:rFonts w:hint="eastAsia" w:ascii="宋体" w:hAnsi="宋体" w:eastAsia="宋体" w:cs="宋体"/>
                <w:color w:val="auto"/>
                <w:kern w:val="0"/>
                <w:sz w:val="21"/>
                <w:szCs w:val="21"/>
                <w:highlight w:val="none"/>
                <w:lang w:val="en-US" w:eastAsia="zh-CN"/>
              </w:rPr>
              <w:t>人员在投标</w:t>
            </w:r>
            <w:r>
              <w:rPr>
                <w:rFonts w:hint="eastAsia" w:ascii="宋体" w:hAnsi="宋体" w:eastAsia="宋体" w:cs="宋体"/>
                <w:color w:val="auto"/>
                <w:kern w:val="0"/>
                <w:sz w:val="21"/>
                <w:szCs w:val="21"/>
                <w:highlight w:val="none"/>
              </w:rPr>
              <w:t>单位</w:t>
            </w:r>
            <w:r>
              <w:rPr>
                <w:rFonts w:hint="eastAsia" w:ascii="宋体" w:hAnsi="宋体" w:eastAsia="宋体" w:cs="宋体"/>
                <w:color w:val="auto"/>
                <w:kern w:val="0"/>
                <w:sz w:val="21"/>
                <w:szCs w:val="21"/>
                <w:highlight w:val="none"/>
                <w:lang w:val="en-US" w:eastAsia="zh-CN"/>
              </w:rPr>
              <w:t>缴纳的</w:t>
            </w:r>
            <w:r>
              <w:rPr>
                <w:rFonts w:hint="eastAsia" w:ascii="宋体" w:hAnsi="宋体" w:eastAsia="宋体" w:cs="宋体"/>
                <w:color w:val="auto"/>
                <w:kern w:val="0"/>
                <w:sz w:val="21"/>
                <w:szCs w:val="21"/>
                <w:highlight w:val="none"/>
              </w:rPr>
              <w:t>近</w:t>
            </w:r>
            <w:r>
              <w:rPr>
                <w:rFonts w:hint="eastAsia" w:ascii="宋体" w:hAnsi="宋体" w:eastAsia="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个月</w:t>
            </w:r>
            <w:r>
              <w:rPr>
                <w:rFonts w:hint="eastAsia" w:ascii="宋体" w:hAnsi="宋体" w:eastAsia="宋体" w:cs="宋体"/>
                <w:color w:val="auto"/>
                <w:kern w:val="0"/>
                <w:sz w:val="21"/>
                <w:szCs w:val="21"/>
                <w:highlight w:val="none"/>
                <w:lang w:val="en-US" w:eastAsia="zh-CN"/>
              </w:rPr>
              <w:t>中其中一个月</w:t>
            </w:r>
            <w:r>
              <w:rPr>
                <w:rFonts w:hint="eastAsia" w:ascii="宋体" w:hAnsi="宋体" w:eastAsia="宋体" w:cs="宋体"/>
                <w:color w:val="auto"/>
                <w:kern w:val="0"/>
                <w:sz w:val="21"/>
                <w:szCs w:val="21"/>
                <w:highlight w:val="none"/>
              </w:rPr>
              <w:t>的社保证明,否则不得分。）</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790"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项目人员投入情况（项目负责人除外）</w:t>
            </w:r>
          </w:p>
        </w:tc>
        <w:tc>
          <w:tcPr>
            <w:tcW w:w="6285" w:type="dxa"/>
            <w:vAlign w:val="center"/>
          </w:tcPr>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拟投入本项目组人员</w:t>
            </w:r>
            <w:r>
              <w:rPr>
                <w:rFonts w:hint="eastAsia" w:ascii="宋体" w:hAnsi="宋体" w:eastAsia="宋体" w:cs="宋体"/>
                <w:color w:val="auto"/>
                <w:kern w:val="0"/>
                <w:sz w:val="21"/>
                <w:szCs w:val="21"/>
                <w:highlight w:val="none"/>
                <w:lang w:val="en-US" w:eastAsia="zh-CN"/>
              </w:rPr>
              <w:t>专业包括：</w:t>
            </w:r>
            <w:r>
              <w:rPr>
                <w:rFonts w:hint="eastAsia" w:ascii="宋体" w:hAnsi="宋体" w:eastAsia="宋体" w:cs="宋体"/>
                <w:color w:val="auto"/>
                <w:kern w:val="0"/>
                <w:sz w:val="21"/>
                <w:szCs w:val="21"/>
                <w:highlight w:val="none"/>
              </w:rPr>
              <w:t>港口海岸与近海工程、物理海洋学、土木</w:t>
            </w:r>
            <w:r>
              <w:rPr>
                <w:rFonts w:hint="eastAsia" w:ascii="宋体" w:hAnsi="宋体" w:eastAsia="宋体" w:cs="宋体"/>
                <w:color w:val="auto"/>
                <w:kern w:val="0"/>
                <w:sz w:val="21"/>
                <w:szCs w:val="21"/>
                <w:highlight w:val="none"/>
                <w:lang w:val="en-US" w:eastAsia="zh-CN"/>
              </w:rPr>
              <w:t>工程、</w:t>
            </w:r>
            <w:r>
              <w:rPr>
                <w:rFonts w:hint="eastAsia" w:ascii="宋体" w:hAnsi="宋体" w:eastAsia="宋体" w:cs="宋体"/>
                <w:color w:val="auto"/>
                <w:kern w:val="0"/>
                <w:sz w:val="21"/>
                <w:szCs w:val="21"/>
                <w:highlight w:val="none"/>
              </w:rPr>
              <w:t>水利</w:t>
            </w:r>
            <w:r>
              <w:rPr>
                <w:rFonts w:hint="eastAsia" w:ascii="宋体" w:hAnsi="宋体" w:eastAsia="宋体" w:cs="宋体"/>
                <w:color w:val="auto"/>
                <w:kern w:val="0"/>
                <w:sz w:val="21"/>
                <w:szCs w:val="21"/>
                <w:highlight w:val="none"/>
                <w:lang w:val="en-US" w:eastAsia="zh-CN"/>
              </w:rPr>
              <w:t>工程</w:t>
            </w:r>
            <w:r>
              <w:rPr>
                <w:rFonts w:hint="eastAsia" w:ascii="宋体" w:hAnsi="宋体" w:cs="宋体"/>
                <w:color w:val="auto"/>
                <w:kern w:val="0"/>
                <w:sz w:val="21"/>
                <w:szCs w:val="21"/>
                <w:highlight w:val="none"/>
                <w:lang w:val="en-US" w:eastAsia="zh-CN"/>
              </w:rPr>
              <w:t>、计算机、软件</w:t>
            </w:r>
            <w:r>
              <w:rPr>
                <w:rFonts w:hint="eastAsia" w:ascii="宋体" w:hAnsi="宋体" w:eastAsia="宋体" w:cs="宋体"/>
                <w:color w:val="auto"/>
                <w:kern w:val="0"/>
                <w:sz w:val="21"/>
                <w:szCs w:val="21"/>
                <w:highlight w:val="none"/>
              </w:rPr>
              <w:t>等专业。</w:t>
            </w:r>
          </w:p>
          <w:p>
            <w:pPr>
              <w:numPr>
                <w:ilvl w:val="0"/>
                <w:numId w:val="0"/>
              </w:num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技术负责人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不与项目负责人兼任）</w:t>
            </w:r>
            <w:r>
              <w:rPr>
                <w:rFonts w:hint="eastAsia" w:ascii="宋体" w:hAnsi="宋体" w:eastAsia="宋体" w:cs="宋体"/>
                <w:color w:val="auto"/>
                <w:kern w:val="0"/>
                <w:sz w:val="21"/>
                <w:szCs w:val="21"/>
                <w:highlight w:val="none"/>
              </w:rPr>
              <w:t>具有</w:t>
            </w:r>
            <w:r>
              <w:rPr>
                <w:rFonts w:hint="eastAsia" w:ascii="宋体" w:hAnsi="宋体" w:cs="宋体"/>
                <w:color w:val="auto"/>
                <w:kern w:val="0"/>
                <w:sz w:val="21"/>
                <w:szCs w:val="21"/>
                <w:highlight w:val="none"/>
                <w:lang w:val="en-US" w:eastAsia="zh-CN"/>
              </w:rPr>
              <w:t>技术资格</w:t>
            </w:r>
            <w:r>
              <w:rPr>
                <w:rFonts w:hint="eastAsia" w:ascii="宋体" w:hAnsi="宋体" w:eastAsia="宋体" w:cs="宋体"/>
                <w:color w:val="auto"/>
                <w:kern w:val="0"/>
                <w:sz w:val="21"/>
                <w:szCs w:val="21"/>
                <w:highlight w:val="none"/>
              </w:rPr>
              <w:t>高级</w:t>
            </w:r>
            <w:r>
              <w:rPr>
                <w:rFonts w:hint="eastAsia" w:ascii="宋体" w:hAnsi="宋体" w:cs="宋体"/>
                <w:color w:val="auto"/>
                <w:kern w:val="0"/>
                <w:sz w:val="21"/>
                <w:szCs w:val="21"/>
                <w:highlight w:val="none"/>
                <w:lang w:val="en-US" w:eastAsia="zh-CN"/>
              </w:rPr>
              <w:t>证书</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得2</w:t>
            </w:r>
            <w:r>
              <w:rPr>
                <w:rFonts w:hint="eastAsia" w:ascii="宋体" w:hAnsi="宋体" w:eastAsia="宋体" w:cs="宋体"/>
                <w:color w:val="auto"/>
                <w:kern w:val="0"/>
                <w:sz w:val="21"/>
                <w:szCs w:val="21"/>
                <w:highlight w:val="none"/>
                <w:lang w:val="en-US" w:eastAsia="zh-CN"/>
              </w:rPr>
              <w:t>分。</w:t>
            </w:r>
          </w:p>
          <w:p>
            <w:pPr>
              <w:numPr>
                <w:ilvl w:val="0"/>
                <w:numId w:val="0"/>
              </w:num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团队人员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除项目负责人和技术负责人外）</w:t>
            </w:r>
            <w:r>
              <w:rPr>
                <w:rFonts w:hint="eastAsia" w:ascii="宋体" w:hAnsi="宋体" w:eastAsia="宋体" w:cs="宋体"/>
                <w:color w:val="auto"/>
                <w:kern w:val="0"/>
                <w:sz w:val="21"/>
                <w:szCs w:val="21"/>
                <w:highlight w:val="none"/>
              </w:rPr>
              <w:t>配置合理，能保证项目实施和完成，具有</w:t>
            </w:r>
            <w:r>
              <w:rPr>
                <w:rFonts w:hint="eastAsia" w:ascii="宋体" w:hAnsi="宋体" w:eastAsia="宋体" w:cs="宋体"/>
                <w:color w:val="auto"/>
                <w:kern w:val="0"/>
                <w:sz w:val="21"/>
                <w:szCs w:val="21"/>
                <w:highlight w:val="none"/>
                <w:lang w:val="en-US" w:eastAsia="zh-CN"/>
              </w:rPr>
              <w:t>以上相关专业中</w:t>
            </w:r>
            <w:r>
              <w:rPr>
                <w:rFonts w:hint="eastAsia" w:ascii="宋体" w:hAnsi="宋体" w:eastAsia="宋体" w:cs="宋体"/>
                <w:color w:val="auto"/>
                <w:kern w:val="0"/>
                <w:sz w:val="21"/>
                <w:szCs w:val="21"/>
                <w:highlight w:val="none"/>
              </w:rPr>
              <w:t>级职称</w:t>
            </w:r>
            <w:r>
              <w:rPr>
                <w:rFonts w:hint="eastAsia" w:ascii="宋体" w:hAnsi="宋体" w:eastAsia="宋体" w:cs="宋体"/>
                <w:color w:val="auto"/>
                <w:kern w:val="0"/>
                <w:sz w:val="21"/>
                <w:szCs w:val="21"/>
                <w:highlight w:val="none"/>
                <w:lang w:val="en-US" w:eastAsia="zh-CN"/>
              </w:rPr>
              <w:t>及以上的</w:t>
            </w:r>
            <w:r>
              <w:rPr>
                <w:rFonts w:hint="eastAsia" w:ascii="宋体" w:hAnsi="宋体" w:eastAsia="宋体" w:cs="宋体"/>
                <w:color w:val="auto"/>
                <w:kern w:val="0"/>
                <w:sz w:val="21"/>
                <w:szCs w:val="21"/>
                <w:highlight w:val="none"/>
              </w:rPr>
              <w:t>每位得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分，最高得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p>
            <w:pPr>
              <w:numPr>
                <w:ilvl w:val="0"/>
                <w:numId w:val="0"/>
              </w:num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w:t>
            </w:r>
            <w:r>
              <w:rPr>
                <w:rFonts w:hint="eastAsia" w:ascii="宋体" w:hAnsi="宋体" w:eastAsia="宋体" w:cs="宋体"/>
                <w:color w:val="auto"/>
                <w:kern w:val="0"/>
                <w:sz w:val="21"/>
                <w:szCs w:val="21"/>
                <w:highlight w:val="none"/>
                <w:lang w:val="en-US" w:eastAsia="zh-CN"/>
              </w:rPr>
              <w:t>人员在投标</w:t>
            </w:r>
            <w:r>
              <w:rPr>
                <w:rFonts w:hint="eastAsia" w:ascii="宋体" w:hAnsi="宋体" w:eastAsia="宋体" w:cs="宋体"/>
                <w:color w:val="auto"/>
                <w:kern w:val="0"/>
                <w:sz w:val="21"/>
                <w:szCs w:val="21"/>
                <w:highlight w:val="none"/>
              </w:rPr>
              <w:t>单位</w:t>
            </w:r>
            <w:r>
              <w:rPr>
                <w:rFonts w:hint="eastAsia" w:ascii="宋体" w:hAnsi="宋体" w:eastAsia="宋体" w:cs="宋体"/>
                <w:color w:val="auto"/>
                <w:kern w:val="0"/>
                <w:sz w:val="21"/>
                <w:szCs w:val="21"/>
                <w:highlight w:val="none"/>
                <w:lang w:val="en-US" w:eastAsia="zh-CN"/>
              </w:rPr>
              <w:t>缴纳的</w:t>
            </w:r>
            <w:r>
              <w:rPr>
                <w:rFonts w:hint="eastAsia" w:ascii="宋体" w:hAnsi="宋体" w:eastAsia="宋体" w:cs="宋体"/>
                <w:color w:val="auto"/>
                <w:kern w:val="0"/>
                <w:sz w:val="21"/>
                <w:szCs w:val="21"/>
                <w:highlight w:val="none"/>
              </w:rPr>
              <w:t>近</w:t>
            </w:r>
            <w:r>
              <w:rPr>
                <w:rFonts w:hint="eastAsia" w:ascii="宋体" w:hAnsi="宋体" w:eastAsia="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个月</w:t>
            </w:r>
            <w:r>
              <w:rPr>
                <w:rFonts w:hint="eastAsia" w:ascii="宋体" w:hAnsi="宋体" w:eastAsia="宋体" w:cs="宋体"/>
                <w:color w:val="auto"/>
                <w:kern w:val="0"/>
                <w:sz w:val="21"/>
                <w:szCs w:val="21"/>
                <w:highlight w:val="none"/>
                <w:lang w:val="en-US" w:eastAsia="zh-CN"/>
              </w:rPr>
              <w:t>中其中一个月</w:t>
            </w:r>
            <w:r>
              <w:rPr>
                <w:rFonts w:hint="eastAsia" w:ascii="宋体" w:hAnsi="宋体" w:eastAsia="宋体" w:cs="宋体"/>
                <w:color w:val="auto"/>
                <w:kern w:val="0"/>
                <w:sz w:val="21"/>
                <w:szCs w:val="21"/>
                <w:highlight w:val="none"/>
              </w:rPr>
              <w:t>的社保证明,否则不得分。）</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790" w:type="dxa"/>
            <w:vMerge w:val="restart"/>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6</w:t>
            </w:r>
          </w:p>
        </w:tc>
        <w:tc>
          <w:tcPr>
            <w:tcW w:w="1124" w:type="dxa"/>
            <w:vMerge w:val="restart"/>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对项目服务内容的理解情况</w:t>
            </w:r>
          </w:p>
        </w:tc>
        <w:tc>
          <w:tcPr>
            <w:tcW w:w="6285" w:type="dxa"/>
            <w:vAlign w:val="center"/>
          </w:tcPr>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对项目服务内容的理解情况，包括项目的必要性、工作关键点及合理化建议的简述。</w:t>
            </w:r>
          </w:p>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根据投标人对本项目背景的解读，了解项目基本情况，能对台州湾海洋风暴潮灾害现状、特点作针对性分析，根据此项目的特点阐述对本项目的台风浪越浪灾害模型和数值系统构建的理解。</w:t>
            </w:r>
          </w:p>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1）对项目总体及关键点有深刻认识，解决方案可操作性强，建议可行，充分满足项目要求得</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-12分；</w:t>
            </w:r>
          </w:p>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2）对项目总体及关键点有一定认识，解决难点方案可操作性一般，建议基本可行，基本满足项目要求得</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9.9</w:t>
            </w:r>
            <w:r>
              <w:rPr>
                <w:rFonts w:hint="eastAsia" w:ascii="宋体" w:hAnsi="宋体" w:eastAsia="宋体" w:cs="宋体"/>
                <w:color w:val="auto"/>
                <w:kern w:val="0"/>
                <w:sz w:val="21"/>
                <w:szCs w:val="21"/>
                <w:highlight w:val="none"/>
              </w:rPr>
              <w:t>分；</w:t>
            </w:r>
          </w:p>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3）对项目总体及关键点认识一般得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7.9</w:t>
            </w:r>
            <w:r>
              <w:rPr>
                <w:rFonts w:hint="eastAsia" w:ascii="宋体" w:hAnsi="宋体" w:eastAsia="宋体" w:cs="宋体"/>
                <w:color w:val="auto"/>
                <w:kern w:val="0"/>
                <w:sz w:val="21"/>
                <w:szCs w:val="21"/>
                <w:highlight w:val="none"/>
              </w:rPr>
              <w:t>分。</w:t>
            </w:r>
          </w:p>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4）缺项得0分。</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1" w:hRule="atLeast"/>
          <w:jc w:val="center"/>
        </w:trPr>
        <w:tc>
          <w:tcPr>
            <w:tcW w:w="790"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项目工作内容技术方案</w:t>
            </w:r>
          </w:p>
        </w:tc>
        <w:tc>
          <w:tcPr>
            <w:tcW w:w="6285" w:type="dxa"/>
            <w:vAlign w:val="center"/>
          </w:tcPr>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技术方案全面、科学、可行；能满足项目采购需求，注重采用新技术和行业已有的经验、成果；各工序的内容和顺序安排协调合理；突出技术特点和优势；根据项目特点，合理安排分组。对本次项目的技术难点分析、风险分析和解决难题、规避风险措施的合理性和可操作性强得</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-12分；</w:t>
            </w:r>
          </w:p>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2）技术方案基本较好，能满足项目采购需求，可操作性较好得</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9.9</w:t>
            </w:r>
            <w:r>
              <w:rPr>
                <w:rFonts w:hint="eastAsia" w:ascii="宋体" w:hAnsi="宋体" w:eastAsia="宋体" w:cs="宋体"/>
                <w:color w:val="auto"/>
                <w:kern w:val="0"/>
                <w:sz w:val="21"/>
                <w:szCs w:val="21"/>
                <w:highlight w:val="none"/>
              </w:rPr>
              <w:t>分；</w:t>
            </w:r>
          </w:p>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）技术方案基本</w:t>
            </w:r>
            <w:r>
              <w:rPr>
                <w:rFonts w:hint="eastAsia" w:ascii="宋体" w:hAnsi="宋体" w:cs="宋体"/>
                <w:color w:val="auto"/>
                <w:kern w:val="0"/>
                <w:sz w:val="21"/>
                <w:szCs w:val="21"/>
                <w:highlight w:val="none"/>
                <w:lang w:val="en-US" w:eastAsia="zh-CN"/>
              </w:rPr>
              <w:t>一般</w:t>
            </w:r>
            <w:r>
              <w:rPr>
                <w:rFonts w:hint="eastAsia" w:ascii="宋体" w:hAnsi="宋体" w:eastAsia="宋体" w:cs="宋体"/>
                <w:color w:val="auto"/>
                <w:kern w:val="0"/>
                <w:sz w:val="21"/>
                <w:szCs w:val="21"/>
                <w:highlight w:val="none"/>
              </w:rPr>
              <w:t>，能满足项目采购需求，可操作性</w:t>
            </w:r>
            <w:r>
              <w:rPr>
                <w:rFonts w:hint="eastAsia" w:ascii="宋体" w:hAnsi="宋体" w:cs="宋体"/>
                <w:color w:val="auto"/>
                <w:kern w:val="0"/>
                <w:sz w:val="21"/>
                <w:szCs w:val="21"/>
                <w:highlight w:val="none"/>
                <w:lang w:val="en-US" w:eastAsia="zh-CN"/>
              </w:rPr>
              <w:t>欠缺</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7.9</w:t>
            </w:r>
            <w:r>
              <w:rPr>
                <w:rFonts w:hint="eastAsia" w:ascii="宋体" w:hAnsi="宋体" w:eastAsia="宋体" w:cs="宋体"/>
                <w:color w:val="auto"/>
                <w:kern w:val="0"/>
                <w:sz w:val="21"/>
                <w:szCs w:val="21"/>
                <w:highlight w:val="none"/>
              </w:rPr>
              <w:t>分；</w:t>
            </w:r>
          </w:p>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4）缺项得0分。</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90"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重点、难点把握</w:t>
            </w:r>
          </w:p>
        </w:tc>
        <w:tc>
          <w:tcPr>
            <w:tcW w:w="6285" w:type="dxa"/>
            <w:vAlign w:val="center"/>
          </w:tcPr>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供应商对项目重点、难点的把握，解决方案及合理化建议，重难点把握准确建议合理的8-10分，重难点把握一般建议欠合理的得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-7</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分，重难点分析不突出建议不合理的得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5.9</w:t>
            </w:r>
            <w:r>
              <w:rPr>
                <w:rFonts w:hint="eastAsia" w:ascii="宋体" w:hAnsi="宋体" w:eastAsia="宋体" w:cs="宋体"/>
                <w:color w:val="auto"/>
                <w:kern w:val="0"/>
                <w:sz w:val="21"/>
                <w:szCs w:val="21"/>
                <w:highlight w:val="none"/>
              </w:rPr>
              <w:t>分，缺项不得分。</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790"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9</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服务质量保证措施</w:t>
            </w:r>
          </w:p>
        </w:tc>
        <w:tc>
          <w:tcPr>
            <w:tcW w:w="6285" w:type="dxa"/>
            <w:vAlign w:val="center"/>
          </w:tcPr>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为满足采购人的目标，投标文件中应提供服务的质量保证措施，根据质量保证措施的有效性、针对性等进行评分。由专家在0-</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分之间进行评分，缺项不得分。</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90" w:type="dxa"/>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项目实施进度安排</w:t>
            </w:r>
          </w:p>
        </w:tc>
        <w:tc>
          <w:tcPr>
            <w:tcW w:w="6285" w:type="dxa"/>
            <w:vAlign w:val="center"/>
          </w:tcPr>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根据各投标供应商针对本项目的拟安排工作进度情况由专家在0-</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分之间进行评分，缺项不得分。</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90" w:type="dxa"/>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质量保证措施</w:t>
            </w:r>
          </w:p>
        </w:tc>
        <w:tc>
          <w:tcPr>
            <w:tcW w:w="6285" w:type="dxa"/>
            <w:vAlign w:val="center"/>
          </w:tcPr>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根据投标供应商针对本项目所提供的质量保证措施由专家在0-</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分之间进行评分，缺项不得分。</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90" w:type="dxa"/>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组织实施方案</w:t>
            </w:r>
          </w:p>
        </w:tc>
        <w:tc>
          <w:tcPr>
            <w:tcW w:w="6285" w:type="dxa"/>
            <w:vAlign w:val="center"/>
          </w:tcPr>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根据供应商提供的组织实施统筹、分工安排、保障等的情况。由专家在0-</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分之间进行评分，缺项不得分。</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90" w:type="dxa"/>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验收方案</w:t>
            </w:r>
          </w:p>
        </w:tc>
        <w:tc>
          <w:tcPr>
            <w:tcW w:w="6285" w:type="dxa"/>
            <w:vAlign w:val="center"/>
          </w:tcPr>
          <w:p>
            <w:pPr>
              <w:spacing w:line="36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验收指标的详细明确程度、验收资料完整性、有关验收的其他内容等方案考核评分。由专家在0-</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分之间进行评分，缺项不得分。</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292" w:type="dxa"/>
            <w:gridSpan w:val="4"/>
            <w:vAlign w:val="center"/>
          </w:tcPr>
          <w:p>
            <w:pPr>
              <w:spacing w:line="360" w:lineRule="auto"/>
              <w:ind w:firstLine="411" w:firstLineChars="196"/>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790" w:type="dxa"/>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124"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报价分（20分）</w:t>
            </w:r>
          </w:p>
        </w:tc>
        <w:tc>
          <w:tcPr>
            <w:tcW w:w="6285" w:type="dxa"/>
            <w:vAlign w:val="center"/>
          </w:tcPr>
          <w:p>
            <w:pPr>
              <w:spacing w:line="360" w:lineRule="auto"/>
              <w:ind w:firstLine="411" w:firstLineChars="196"/>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以合格投标人有效投标总报价中的最低价为基准价，基准价为</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分。投标报价得分＝（评标基准价/投标报价）×</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%×100（小数点后保留2位小数）</w:t>
            </w:r>
            <w:r>
              <w:rPr>
                <w:rFonts w:hint="eastAsia" w:ascii="宋体" w:hAnsi="宋体" w:eastAsia="宋体" w:cs="宋体"/>
                <w:color w:val="auto"/>
                <w:kern w:val="0"/>
                <w:sz w:val="21"/>
                <w:szCs w:val="21"/>
                <w:highlight w:val="none"/>
                <w:lang w:eastAsia="zh-CN"/>
              </w:rPr>
              <w:t>。</w:t>
            </w:r>
          </w:p>
        </w:tc>
        <w:tc>
          <w:tcPr>
            <w:tcW w:w="1093"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20分</w:t>
            </w:r>
          </w:p>
        </w:tc>
      </w:tr>
    </w:tbl>
    <w:p>
      <w:pPr>
        <w:spacing w:line="360" w:lineRule="auto"/>
        <w:rPr>
          <w:color w:val="auto"/>
          <w:highlight w:val="none"/>
        </w:rPr>
      </w:pPr>
      <w:r>
        <w:rPr>
          <w:rFonts w:hint="eastAsia"/>
          <w:b/>
          <w:bCs/>
          <w:color w:val="auto"/>
          <w:highlight w:val="none"/>
        </w:rPr>
        <w:t>注</w:t>
      </w:r>
      <w:r>
        <w:rPr>
          <w:rFonts w:hint="eastAsia"/>
          <w:color w:val="auto"/>
          <w:highlight w:val="none"/>
        </w:rPr>
        <w:t>：①请扫描上传合同、证书、报告及其他相关证明材料的原件至投标文件，并加盖公章。</w:t>
      </w:r>
    </w:p>
    <w:p>
      <w:pPr>
        <w:pStyle w:val="14"/>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2.评审要求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（1）评标委员会应当按照招标文件中规定的评标方法和标准，对符合性审查合格的投标文件的商务部分和技术部分进行综合比较与评价，其中</w:t>
      </w:r>
      <w:r>
        <w:rPr>
          <w:rFonts w:hint="eastAsia" w:ascii="宋体"/>
          <w:bCs/>
          <w:color w:val="auto"/>
          <w:sz w:val="24"/>
          <w:highlight w:val="none"/>
          <w:lang w:val="zh-CN"/>
        </w:rPr>
        <w:t>客观</w:t>
      </w:r>
      <w:r>
        <w:rPr>
          <w:rFonts w:hint="eastAsia" w:ascii="宋体"/>
          <w:bCs/>
          <w:color w:val="auto"/>
          <w:sz w:val="24"/>
          <w:highlight w:val="none"/>
        </w:rPr>
        <w:t>评分项的分值</w:t>
      </w:r>
      <w:r>
        <w:rPr>
          <w:rFonts w:hint="eastAsia" w:ascii="宋体"/>
          <w:bCs/>
          <w:color w:val="auto"/>
          <w:sz w:val="24"/>
          <w:highlight w:val="none"/>
          <w:lang w:val="zh-CN"/>
        </w:rPr>
        <w:t>应当一致。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（2）对于投标文件报价出现前后不一致的，除招标文件另有规定外，按照下列规定修正：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①“台州湾新区小额工程电子交易平台”上开启的投标报价与电子投标文件中开标一览表（报价表）内容不一致的，以电子投标文件中开标一览表（报价表）为准；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②投标文件中开标一览表（报价表）内容与投标文件中相应内容不一致的，以开标一览表（报价表）为准；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③大写金额和小写金额不一致的，以大写金额为准。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同时出现两种以上不一致的，按照前款规定的顺序修正。修正应当采用询标的形式，并加盖公章。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评标结果按评审后综合得分由高到低顺序排列。</w:t>
      </w:r>
      <w:r>
        <w:rPr>
          <w:rFonts w:hint="eastAsia" w:ascii="宋体" w:hAnsi="宋体" w:cs="宋体"/>
          <w:color w:val="auto"/>
          <w:sz w:val="24"/>
          <w:highlight w:val="none"/>
          <w:lang w:val="zh-CN"/>
        </w:rPr>
        <w:t>得分相同</w:t>
      </w:r>
      <w:r>
        <w:rPr>
          <w:rFonts w:hint="eastAsia" w:ascii="宋体" w:hAnsi="宋体" w:cs="宋体"/>
          <w:color w:val="auto"/>
          <w:sz w:val="24"/>
          <w:highlight w:val="none"/>
        </w:rPr>
        <w:t>的</w:t>
      </w:r>
      <w:r>
        <w:rPr>
          <w:rFonts w:hint="eastAsia" w:ascii="宋体" w:hAnsi="宋体" w:cs="宋体"/>
          <w:color w:val="auto"/>
          <w:sz w:val="24"/>
          <w:highlight w:val="none"/>
          <w:lang w:val="zh-CN"/>
        </w:rPr>
        <w:t>，</w:t>
      </w:r>
      <w:r>
        <w:rPr>
          <w:rFonts w:hint="eastAsia" w:ascii="宋体" w:hAnsi="宋体" w:cs="宋体"/>
          <w:color w:val="auto"/>
          <w:sz w:val="24"/>
          <w:highlight w:val="none"/>
        </w:rPr>
        <w:t>按</w:t>
      </w:r>
      <w:r>
        <w:rPr>
          <w:rFonts w:hint="eastAsia" w:ascii="宋体" w:hAnsi="宋体" w:cs="宋体"/>
          <w:color w:val="auto"/>
          <w:sz w:val="24"/>
          <w:highlight w:val="none"/>
          <w:lang w:val="zh-CN"/>
        </w:rPr>
        <w:t>投标报价</w:t>
      </w:r>
      <w:r>
        <w:rPr>
          <w:rFonts w:hint="eastAsia" w:ascii="宋体" w:hAnsi="宋体" w:cs="宋体"/>
          <w:color w:val="auto"/>
          <w:sz w:val="24"/>
          <w:highlight w:val="none"/>
        </w:rPr>
        <w:t>由</w:t>
      </w:r>
      <w:r>
        <w:rPr>
          <w:rFonts w:hint="eastAsia" w:ascii="宋体" w:hAnsi="宋体" w:cs="宋体"/>
          <w:color w:val="auto"/>
          <w:sz w:val="24"/>
          <w:highlight w:val="none"/>
          <w:lang w:val="zh-CN"/>
        </w:rPr>
        <w:t>低</w:t>
      </w:r>
      <w:r>
        <w:rPr>
          <w:rFonts w:hint="eastAsia" w:ascii="宋体" w:hAnsi="宋体" w:cs="宋体"/>
          <w:color w:val="auto"/>
          <w:sz w:val="24"/>
          <w:highlight w:val="none"/>
        </w:rPr>
        <w:t>到高顺序排列。</w:t>
      </w:r>
      <w:r>
        <w:rPr>
          <w:rFonts w:hint="eastAsia" w:ascii="宋体" w:hAnsi="宋体" w:cs="宋体"/>
          <w:color w:val="auto"/>
          <w:sz w:val="24"/>
          <w:highlight w:val="none"/>
          <w:lang w:val="zh-CN"/>
        </w:rPr>
        <w:t>得分且投标报价相同的</w:t>
      </w:r>
      <w:r>
        <w:rPr>
          <w:rFonts w:hint="eastAsia" w:ascii="宋体" w:hAnsi="宋体" w:cs="宋体"/>
          <w:color w:val="auto"/>
          <w:sz w:val="24"/>
          <w:highlight w:val="none"/>
        </w:rPr>
        <w:t>并列</w:t>
      </w:r>
      <w:r>
        <w:rPr>
          <w:rFonts w:hint="eastAsia" w:ascii="宋体" w:hAnsi="宋体" w:cs="宋体"/>
          <w:color w:val="auto"/>
          <w:sz w:val="24"/>
          <w:highlight w:val="none"/>
          <w:lang w:val="zh-CN"/>
        </w:rPr>
        <w:t>。</w:t>
      </w:r>
      <w:r>
        <w:rPr>
          <w:rFonts w:hint="eastAsia" w:ascii="宋体" w:hAnsi="宋体" w:cs="宋体"/>
          <w:color w:val="auto"/>
          <w:sz w:val="24"/>
          <w:highlight w:val="none"/>
        </w:rPr>
        <w:t>投标文件满足招标文件全部实质性要求，且按照评审因素的量化指标评审得分最高的投标人为排名第一的</w:t>
      </w:r>
      <w:r>
        <w:rPr>
          <w:rFonts w:hint="eastAsia" w:ascii="宋体" w:hAnsi="宋体" w:cs="宋体"/>
          <w:color w:val="auto"/>
          <w:sz w:val="24"/>
          <w:highlight w:val="none"/>
          <w:lang w:val="en-US" w:eastAsia="zh-CN"/>
        </w:rPr>
        <w:t>为第一</w:t>
      </w:r>
      <w:r>
        <w:rPr>
          <w:rFonts w:hint="eastAsia" w:ascii="宋体" w:hAnsi="宋体" w:cs="宋体"/>
          <w:color w:val="auto"/>
          <w:sz w:val="24"/>
          <w:highlight w:val="none"/>
        </w:rPr>
        <w:t>中标候选人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排名第二的为第二中标后选人</w:t>
      </w:r>
      <w:r>
        <w:rPr>
          <w:rFonts w:hint="eastAsia" w:ascii="宋体" w:hAnsi="宋体" w:cs="宋体"/>
          <w:color w:val="auto"/>
          <w:sz w:val="24"/>
          <w:highlight w:val="none"/>
        </w:rPr>
        <w:t>。</w:t>
      </w:r>
      <w:r>
        <w:rPr>
          <w:rFonts w:hint="eastAsia" w:ascii="宋体" w:hAnsi="宋体"/>
          <w:bCs/>
          <w:color w:val="auto"/>
          <w:sz w:val="24"/>
          <w:highlight w:val="none"/>
        </w:rPr>
        <w:t>若出现总得分相同时，按技术标得分由高到低顺序排列；若以上均相同的，则抽签确定。</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pPr>
        <w:spacing w:line="360" w:lineRule="auto"/>
        <w:ind w:firstLine="480"/>
        <w:rPr>
          <w:rFonts w:asciiTheme="minorEastAsia" w:hAnsiTheme="minorEastAsia" w:eastAsiaTheme="minorEastAsia"/>
          <w:b/>
          <w:color w:val="auto"/>
          <w:sz w:val="36"/>
          <w:szCs w:val="36"/>
          <w:highlight w:val="none"/>
        </w:rPr>
      </w:pPr>
      <w:r>
        <w:rPr>
          <w:rFonts w:hint="eastAsia" w:ascii="宋体" w:hAnsi="宋体" w:cs="宋体"/>
          <w:color w:val="auto"/>
          <w:sz w:val="24"/>
          <w:highlight w:val="none"/>
        </w:rPr>
        <w:t>评标委员会根据全体评标成员签字的原始评标记录和评标结果编写评标报告。</w:t>
      </w:r>
      <w:bookmarkStart w:id="40" w:name="_Toc27944_WPSOffice_Level1"/>
    </w:p>
    <w:bookmarkEnd w:id="40"/>
    <w:p>
      <w:pPr>
        <w:pStyle w:val="3"/>
        <w:ind w:firstLine="480"/>
        <w:rPr>
          <w:rFonts w:hint="eastAsia" w:ascii="仿宋" w:hAnsi="仿宋" w:eastAsia="仿宋" w:cs="仿宋"/>
          <w:color w:val="auto"/>
          <w:highlight w:val="none"/>
        </w:rPr>
      </w:pPr>
    </w:p>
    <w:p>
      <w:pPr>
        <w:numPr>
          <w:ilvl w:val="0"/>
          <w:numId w:val="6"/>
        </w:numPr>
        <w:spacing w:line="360" w:lineRule="auto"/>
        <w:jc w:val="center"/>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拟签订的合同文本</w:t>
      </w:r>
    </w:p>
    <w:p>
      <w:pPr>
        <w:jc w:val="center"/>
        <w:rPr>
          <w:rFonts w:hint="eastAsia"/>
          <w:b/>
          <w:bCs/>
          <w:color w:val="auto"/>
          <w:sz w:val="52"/>
          <w:szCs w:val="52"/>
          <w:highlight w:val="none"/>
          <w:lang w:eastAsia="zh-CN"/>
        </w:rPr>
      </w:pPr>
      <w:r>
        <w:rPr>
          <w:rFonts w:hint="eastAsia"/>
          <w:b/>
          <w:bCs/>
          <w:color w:val="auto"/>
          <w:sz w:val="52"/>
          <w:szCs w:val="52"/>
          <w:highlight w:val="none"/>
          <w:lang w:eastAsia="zh-CN"/>
        </w:rPr>
        <w:t>台州湾新区重点防御区和承灾体海水越堤淹没调查评估和风险预警试点项目</w:t>
      </w:r>
    </w:p>
    <w:p>
      <w:pPr>
        <w:jc w:val="center"/>
        <w:rPr>
          <w:rFonts w:hint="eastAsia"/>
          <w:b/>
          <w:bCs/>
          <w:color w:val="auto"/>
          <w:sz w:val="52"/>
          <w:szCs w:val="52"/>
          <w:highlight w:val="none"/>
          <w:lang w:eastAsia="zh-CN"/>
        </w:rPr>
      </w:pPr>
      <w:bookmarkStart w:id="73" w:name="_GoBack"/>
      <w:bookmarkEnd w:id="73"/>
      <w:r>
        <w:rPr>
          <w:rFonts w:hint="eastAsia"/>
          <w:b/>
          <w:bCs/>
          <w:color w:val="auto"/>
          <w:sz w:val="52"/>
          <w:szCs w:val="52"/>
          <w:highlight w:val="none"/>
          <w:lang w:eastAsia="zh-CN"/>
        </w:rPr>
        <w:t>（重新招标）</w:t>
      </w:r>
    </w:p>
    <w:p>
      <w:pPr>
        <w:jc w:val="center"/>
        <w:rPr>
          <w:rFonts w:hint="eastAsia"/>
          <w:b/>
          <w:bCs/>
          <w:color w:val="auto"/>
          <w:sz w:val="52"/>
          <w:szCs w:val="52"/>
          <w:highlight w:val="none"/>
        </w:rPr>
      </w:pPr>
      <w:r>
        <w:rPr>
          <w:rFonts w:hint="eastAsia"/>
          <w:b/>
          <w:bCs/>
          <w:color w:val="auto"/>
          <w:sz w:val="52"/>
          <w:szCs w:val="52"/>
          <w:highlight w:val="none"/>
        </w:rPr>
        <w:t>合同</w:t>
      </w:r>
    </w:p>
    <w:p>
      <w:pPr>
        <w:rPr>
          <w:rFonts w:hint="eastAsia"/>
          <w:b/>
          <w:bCs/>
          <w:color w:val="auto"/>
          <w:highlight w:val="none"/>
        </w:rPr>
      </w:pPr>
    </w:p>
    <w:p>
      <w:pPr>
        <w:rPr>
          <w:rFonts w:hint="eastAsia"/>
          <w:b/>
          <w:bCs/>
          <w:color w:val="auto"/>
          <w:highlight w:val="none"/>
        </w:rPr>
      </w:pPr>
    </w:p>
    <w:p>
      <w:pPr>
        <w:rPr>
          <w:rFonts w:hint="eastAsia"/>
          <w:b/>
          <w:bCs/>
          <w:color w:val="auto"/>
          <w:highlight w:val="none"/>
        </w:rPr>
      </w:pPr>
    </w:p>
    <w:p>
      <w:pPr>
        <w:rPr>
          <w:rFonts w:hint="eastAsia"/>
          <w:b/>
          <w:bCs/>
          <w:color w:val="auto"/>
          <w:highlight w:val="none"/>
        </w:rPr>
      </w:pPr>
    </w:p>
    <w:p>
      <w:pPr>
        <w:rPr>
          <w:rFonts w:hint="eastAsia"/>
          <w:b/>
          <w:bCs/>
          <w:color w:val="auto"/>
          <w:highlight w:val="none"/>
        </w:rPr>
      </w:pPr>
    </w:p>
    <w:p>
      <w:pPr>
        <w:rPr>
          <w:rFonts w:hint="eastAsia"/>
          <w:b/>
          <w:bCs/>
          <w:color w:val="auto"/>
          <w:highlight w:val="none"/>
        </w:rPr>
      </w:pPr>
    </w:p>
    <w:p>
      <w:pPr>
        <w:rPr>
          <w:rFonts w:hint="eastAsia"/>
          <w:b/>
          <w:bCs/>
          <w:color w:val="auto"/>
          <w:highlight w:val="none"/>
        </w:rPr>
      </w:pPr>
    </w:p>
    <w:p>
      <w:pPr>
        <w:rPr>
          <w:rFonts w:hint="eastAsia"/>
          <w:b/>
          <w:bCs/>
          <w:color w:val="auto"/>
          <w:sz w:val="30"/>
          <w:szCs w:val="30"/>
          <w:highlight w:val="none"/>
        </w:rPr>
      </w:pPr>
    </w:p>
    <w:p>
      <w:pPr>
        <w:ind w:firstLine="1807" w:firstLineChars="600"/>
        <w:rPr>
          <w:rFonts w:hint="eastAsia"/>
          <w:b/>
          <w:bCs/>
          <w:color w:val="auto"/>
          <w:sz w:val="30"/>
          <w:szCs w:val="30"/>
          <w:highlight w:val="none"/>
        </w:rPr>
      </w:pPr>
    </w:p>
    <w:p>
      <w:pPr>
        <w:ind w:firstLine="1807" w:firstLineChars="600"/>
        <w:rPr>
          <w:rFonts w:hint="eastAsia"/>
          <w:b/>
          <w:bCs/>
          <w:color w:val="auto"/>
          <w:sz w:val="30"/>
          <w:szCs w:val="30"/>
          <w:highlight w:val="none"/>
        </w:rPr>
      </w:pPr>
    </w:p>
    <w:p>
      <w:pPr>
        <w:ind w:firstLine="1807" w:firstLineChars="600"/>
        <w:rPr>
          <w:rFonts w:hint="eastAsia"/>
          <w:b/>
          <w:bCs/>
          <w:color w:val="auto"/>
          <w:sz w:val="30"/>
          <w:szCs w:val="30"/>
          <w:highlight w:val="none"/>
        </w:rPr>
      </w:pPr>
    </w:p>
    <w:p>
      <w:pPr>
        <w:widowControl/>
        <w:snapToGrid w:val="0"/>
        <w:spacing w:before="100" w:beforeAutospacing="1" w:after="100" w:afterAutospacing="1" w:line="320" w:lineRule="atLeast"/>
        <w:ind w:left="2939" w:leftChars="266" w:hanging="2380" w:hangingChars="850"/>
        <w:jc w:val="left"/>
        <w:rPr>
          <w:rFonts w:hint="eastAsia" w:ascii="宋体" w:hAnsi="宋体" w:eastAsia="宋体" w:cs="宋体"/>
          <w:color w:val="auto"/>
          <w:kern w:val="0"/>
          <w:sz w:val="28"/>
          <w:szCs w:val="28"/>
          <w:highlight w:val="none"/>
          <w:u w:val="single"/>
          <w:lang w:eastAsia="zh-CN"/>
        </w:rPr>
      </w:pPr>
      <w:r>
        <w:rPr>
          <w:rFonts w:hint="eastAsia" w:ascii="宋体" w:hAnsi="宋体" w:cs="宋体"/>
          <w:color w:val="auto"/>
          <w:kern w:val="0"/>
          <w:sz w:val="28"/>
          <w:szCs w:val="28"/>
          <w:highlight w:val="none"/>
        </w:rPr>
        <w:t>项  目 名  称：</w:t>
      </w:r>
      <w:r>
        <w:rPr>
          <w:rFonts w:hint="eastAsia" w:ascii="宋体" w:hAnsi="宋体" w:cs="宋体"/>
          <w:color w:val="auto"/>
          <w:kern w:val="0"/>
          <w:sz w:val="28"/>
          <w:szCs w:val="28"/>
          <w:highlight w:val="none"/>
          <w:u w:val="single"/>
          <w:lang w:eastAsia="zh-CN"/>
        </w:rPr>
        <w:t>台州湾新区重点防御区和承灾体海水越堤淹没调查评估和风险预警试点项目（重新招标）</w:t>
      </w:r>
    </w:p>
    <w:p>
      <w:pPr>
        <w:widowControl/>
        <w:tabs>
          <w:tab w:val="left" w:pos="1442"/>
        </w:tabs>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  目 地  点：</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台州湾新区</w:t>
      </w:r>
      <w:r>
        <w:rPr>
          <w:rFonts w:hint="eastAsia" w:ascii="宋体" w:hAnsi="宋体" w:cs="宋体"/>
          <w:color w:val="auto"/>
          <w:kern w:val="0"/>
          <w:sz w:val="28"/>
          <w:szCs w:val="28"/>
          <w:highlight w:val="none"/>
          <w:u w:val="single"/>
        </w:rPr>
        <w:t xml:space="preserve">                     </w:t>
      </w:r>
    </w:p>
    <w:p>
      <w:pPr>
        <w:widowControl/>
        <w:snapToGrid w:val="0"/>
        <w:spacing w:before="100" w:beforeAutospacing="1" w:after="100" w:afterAutospacing="1" w:line="320" w:lineRule="atLeast"/>
        <w:ind w:firstLine="420" w:firstLineChars="150"/>
        <w:jc w:val="left"/>
        <w:rPr>
          <w:rFonts w:hint="default" w:ascii="宋体" w:hAnsi="宋体" w:eastAsia="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rPr>
        <w:t>发  包  人：</w:t>
      </w:r>
      <w:r>
        <w:rPr>
          <w:rFonts w:hint="eastAsia" w:ascii="宋体" w:hAnsi="宋体" w:cs="宋体"/>
          <w:color w:val="auto"/>
          <w:kern w:val="0"/>
          <w:sz w:val="28"/>
          <w:szCs w:val="28"/>
          <w:highlight w:val="none"/>
          <w:u w:val="single"/>
          <w:lang w:val="en-US" w:eastAsia="zh-CN"/>
        </w:rPr>
        <w:t xml:space="preserve"> </w:t>
      </w:r>
      <w:r>
        <w:rPr>
          <w:rFonts w:hint="eastAsia" w:ascii="宋体" w:hAnsi="宋体"/>
          <w:color w:val="auto"/>
          <w:sz w:val="28"/>
          <w:highlight w:val="none"/>
          <w:u w:val="single"/>
          <w:lang w:eastAsia="zh-CN"/>
        </w:rPr>
        <w:t>台州市自然资源和规划局台州湾新区（高新区）分局</w:t>
      </w:r>
      <w:r>
        <w:rPr>
          <w:rFonts w:hint="eastAsia" w:ascii="宋体" w:hAnsi="宋体"/>
          <w:color w:val="auto"/>
          <w:sz w:val="28"/>
          <w:highlight w:val="none"/>
          <w:u w:val="single"/>
          <w:lang w:val="en-US" w:eastAsia="zh-CN"/>
        </w:rPr>
        <w:t xml:space="preserve">   </w:t>
      </w:r>
    </w:p>
    <w:p>
      <w:pPr>
        <w:widowControl/>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承  包  人：</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签  订  日  期：</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single"/>
        </w:rPr>
        <w:t xml:space="preserve">     </w:t>
      </w:r>
    </w:p>
    <w:p>
      <w:pPr>
        <w:pStyle w:val="22"/>
        <w:rPr>
          <w:rFonts w:hint="eastAsia"/>
          <w:color w:val="auto"/>
          <w:highlight w:val="none"/>
        </w:rPr>
      </w:pPr>
    </w:p>
    <w:p>
      <w:pPr>
        <w:rPr>
          <w:rFonts w:hint="eastAsia"/>
          <w:b/>
          <w:bCs/>
          <w:color w:val="auto"/>
          <w:highlight w:val="none"/>
        </w:rPr>
      </w:pPr>
    </w:p>
    <w:p>
      <w:pPr>
        <w:rPr>
          <w:rFonts w:hint="eastAsia"/>
          <w:b/>
          <w:bCs/>
          <w:color w:val="auto"/>
          <w:highlight w:val="none"/>
        </w:rPr>
      </w:pPr>
    </w:p>
    <w:p>
      <w:pPr>
        <w:adjustRightInd w:val="0"/>
        <w:snapToGrid w:val="0"/>
        <w:spacing w:line="324" w:lineRule="auto"/>
        <w:jc w:val="center"/>
        <w:outlineLvl w:val="0"/>
        <w:rPr>
          <w:rFonts w:hint="eastAsia" w:ascii="黑体"/>
          <w:b/>
          <w:color w:val="auto"/>
          <w:sz w:val="30"/>
          <w:szCs w:val="30"/>
          <w:highlight w:val="none"/>
        </w:rPr>
      </w:pPr>
      <w:bookmarkStart w:id="41" w:name="_Toc5209"/>
      <w:r>
        <w:rPr>
          <w:rFonts w:hint="eastAsia" w:ascii="黑体"/>
          <w:b/>
          <w:color w:val="auto"/>
          <w:sz w:val="30"/>
          <w:szCs w:val="30"/>
          <w:highlight w:val="none"/>
        </w:rPr>
        <w:t>合同条款</w:t>
      </w:r>
      <w:bookmarkEnd w:id="41"/>
    </w:p>
    <w:p>
      <w:pPr>
        <w:adjustRightInd w:val="0"/>
        <w:snapToGrid w:val="0"/>
        <w:spacing w:line="324" w:lineRule="auto"/>
        <w:jc w:val="center"/>
        <w:outlineLvl w:val="0"/>
        <w:rPr>
          <w:rFonts w:hint="eastAsia" w:ascii="黑体"/>
          <w:b/>
          <w:color w:val="auto"/>
          <w:sz w:val="28"/>
          <w:szCs w:val="28"/>
          <w:highlight w:val="none"/>
        </w:rPr>
      </w:pPr>
    </w:p>
    <w:p>
      <w:pPr>
        <w:spacing w:line="440" w:lineRule="exact"/>
        <w:jc w:val="left"/>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rPr>
        <w:t>项目名称：</w:t>
      </w:r>
      <w:r>
        <w:rPr>
          <w:rFonts w:hint="eastAsia" w:ascii="宋体" w:hAnsi="宋体" w:cs="宋体"/>
          <w:color w:val="auto"/>
          <w:sz w:val="24"/>
          <w:szCs w:val="32"/>
          <w:highlight w:val="none"/>
          <w:lang w:eastAsia="zh-CN"/>
        </w:rPr>
        <w:t>台州湾新区重点防御区和承灾体海水越堤淹没调查评估和风险预警试点项目（重新招标）</w:t>
      </w:r>
    </w:p>
    <w:p>
      <w:pPr>
        <w:spacing w:line="440" w:lineRule="exact"/>
        <w:jc w:val="left"/>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项目编号：</w:t>
      </w:r>
    </w:p>
    <w:p>
      <w:pPr>
        <w:spacing w:line="440" w:lineRule="exact"/>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甲方（采购人）：</w:t>
      </w:r>
      <w:r>
        <w:rPr>
          <w:rFonts w:hint="eastAsia" w:ascii="宋体" w:hAnsi="宋体" w:cs="宋体"/>
          <w:color w:val="auto"/>
          <w:sz w:val="24"/>
          <w:szCs w:val="32"/>
          <w:highlight w:val="none"/>
          <w:lang w:eastAsia="zh-CN"/>
        </w:rPr>
        <w:t>台州市自然资源和规划局台州湾新区（高新区）分局</w:t>
      </w:r>
      <w:r>
        <w:rPr>
          <w:rFonts w:hint="eastAsia" w:ascii="宋体" w:hAnsi="宋体" w:cs="宋体"/>
          <w:color w:val="auto"/>
          <w:sz w:val="24"/>
          <w:szCs w:val="32"/>
          <w:highlight w:val="none"/>
        </w:rPr>
        <w:t xml:space="preserve">  </w:t>
      </w:r>
    </w:p>
    <w:p>
      <w:pPr>
        <w:spacing w:line="440" w:lineRule="exact"/>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 xml:space="preserve">乙方（供应商）： </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依照《中华人民共和国政府采购法》，</w:t>
      </w:r>
      <w:r>
        <w:rPr>
          <w:rFonts w:hint="eastAsia" w:ascii="宋体" w:hAnsi="宋体" w:cs="宋体"/>
          <w:b/>
          <w:bCs/>
          <w:color w:val="auto"/>
          <w:sz w:val="24"/>
          <w:szCs w:val="32"/>
          <w:highlight w:val="none"/>
          <w:u w:val="single"/>
          <w:lang w:val="zh-CN"/>
        </w:rPr>
        <w:t>台州湾新区重点防御区和承灾体海水越堤淹没调查评估和风险预警试点项目（重新招标）</w:t>
      </w:r>
      <w:r>
        <w:rPr>
          <w:rFonts w:hint="eastAsia" w:ascii="宋体" w:hAnsi="宋体" w:cs="宋体"/>
          <w:color w:val="auto"/>
          <w:sz w:val="24"/>
          <w:szCs w:val="32"/>
          <w:highlight w:val="none"/>
          <w:lang w:val="zh-CN"/>
        </w:rPr>
        <w:t>（招标编号：</w:t>
      </w:r>
      <w:r>
        <w:rPr>
          <w:rFonts w:hint="eastAsia" w:ascii="宋体" w:hAnsi="宋体" w:eastAsia="宋体" w:cs="宋体"/>
          <w:b/>
          <w:bCs/>
          <w:color w:val="auto"/>
          <w:sz w:val="24"/>
          <w:szCs w:val="32"/>
          <w:highlight w:val="none"/>
          <w:u w:val="single"/>
          <w:lang w:val="en-US" w:eastAsia="zh-CN"/>
        </w:rPr>
        <w:t xml:space="preserve">               </w:t>
      </w:r>
      <w:r>
        <w:rPr>
          <w:rFonts w:hint="eastAsia" w:ascii="宋体" w:hAnsi="宋体" w:cs="宋体"/>
          <w:color w:val="auto"/>
          <w:sz w:val="24"/>
          <w:szCs w:val="32"/>
          <w:highlight w:val="none"/>
          <w:lang w:val="zh-CN"/>
        </w:rPr>
        <w:t>）于</w:t>
      </w:r>
      <w:r>
        <w:rPr>
          <w:rFonts w:hint="eastAsia" w:ascii="宋体" w:hAnsi="宋体" w:cs="宋体"/>
          <w:b/>
          <w:bCs/>
          <w:color w:val="auto"/>
          <w:sz w:val="24"/>
          <w:szCs w:val="32"/>
          <w:highlight w:val="none"/>
          <w:lang w:val="zh-CN"/>
        </w:rPr>
        <w:t>202</w:t>
      </w:r>
      <w:r>
        <w:rPr>
          <w:rFonts w:hint="eastAsia" w:ascii="宋体" w:hAnsi="宋体" w:cs="宋体"/>
          <w:b/>
          <w:bCs/>
          <w:color w:val="auto"/>
          <w:sz w:val="24"/>
          <w:szCs w:val="32"/>
          <w:highlight w:val="none"/>
          <w:lang w:val="zh-CN" w:eastAsia="zh-CN"/>
        </w:rPr>
        <w:t>3</w:t>
      </w:r>
      <w:r>
        <w:rPr>
          <w:rFonts w:hint="eastAsia" w:ascii="宋体" w:hAnsi="宋体" w:cs="宋体"/>
          <w:b/>
          <w:bCs/>
          <w:color w:val="auto"/>
          <w:sz w:val="24"/>
          <w:szCs w:val="32"/>
          <w:highlight w:val="none"/>
          <w:lang w:val="zh-CN"/>
        </w:rPr>
        <w:t>年 月  日</w:t>
      </w:r>
      <w:r>
        <w:rPr>
          <w:rFonts w:hint="eastAsia" w:ascii="宋体" w:hAnsi="宋体" w:cs="宋体"/>
          <w:color w:val="auto"/>
          <w:sz w:val="24"/>
          <w:szCs w:val="32"/>
          <w:highlight w:val="none"/>
          <w:lang w:val="zh-CN"/>
        </w:rPr>
        <w:t>，在</w:t>
      </w:r>
      <w:r>
        <w:rPr>
          <w:rFonts w:hint="eastAsia" w:ascii="宋体" w:hAnsi="宋体" w:cs="宋体"/>
          <w:color w:val="auto"/>
          <w:sz w:val="24"/>
          <w:szCs w:val="32"/>
          <w:highlight w:val="none"/>
          <w:lang w:val="en-US" w:eastAsia="zh-CN"/>
        </w:rPr>
        <w:t>台州湾新区小额工程交易电子平台完成招标，</w:t>
      </w:r>
      <w:r>
        <w:rPr>
          <w:rFonts w:hint="eastAsia" w:ascii="宋体" w:hAnsi="宋体" w:cs="宋体"/>
          <w:color w:val="auto"/>
          <w:sz w:val="24"/>
          <w:szCs w:val="32"/>
          <w:highlight w:val="none"/>
          <w:lang w:val="zh-CN"/>
        </w:rPr>
        <w:t>确定由乙方中标。</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根据《中华人民共和国民法典》和政府采购结果，经甲、乙双方友好协商，本着平等、自愿的原则，就甲方委托乙方承包</w:t>
      </w:r>
      <w:r>
        <w:rPr>
          <w:rFonts w:hint="eastAsia" w:ascii="宋体" w:hAnsi="宋体" w:cs="宋体"/>
          <w:b/>
          <w:bCs/>
          <w:color w:val="auto"/>
          <w:sz w:val="24"/>
          <w:szCs w:val="32"/>
          <w:highlight w:val="none"/>
          <w:u w:val="single"/>
          <w:lang w:val="zh-CN"/>
        </w:rPr>
        <w:t>台州湾新区重点防御区和承灾体海水越堤淹没调查评估和风险预警试点项目（重新招标）</w:t>
      </w:r>
      <w:r>
        <w:rPr>
          <w:rFonts w:hint="eastAsia" w:ascii="宋体" w:hAnsi="宋体" w:cs="宋体"/>
          <w:color w:val="auto"/>
          <w:sz w:val="24"/>
          <w:szCs w:val="32"/>
          <w:highlight w:val="none"/>
          <w:lang w:val="zh-CN"/>
        </w:rPr>
        <w:t>一事，达成以下协议：</w:t>
      </w:r>
    </w:p>
    <w:p>
      <w:pPr>
        <w:pStyle w:val="24"/>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一</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项目内容</w:t>
      </w:r>
    </w:p>
    <w:p>
      <w:pPr>
        <w:pStyle w:val="2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rPr>
          <w:rFonts w:hint="eastAsia" w:ascii="宋体" w:hAnsi="宋体" w:eastAsia="宋体" w:cs="宋体"/>
          <w:b/>
          <w:color w:val="auto"/>
          <w:sz w:val="24"/>
          <w:highlight w:val="none"/>
          <w:lang w:eastAsia="zh-CN"/>
        </w:rPr>
      </w:pPr>
      <w:r>
        <w:rPr>
          <w:rFonts w:hint="eastAsia" w:ascii="宋体" w:hAnsi="宋体" w:cs="宋体"/>
          <w:b/>
          <w:bCs/>
          <w:color w:val="auto"/>
          <w:sz w:val="24"/>
          <w:highlight w:val="none"/>
          <w:lang w:val="en-US" w:eastAsia="zh-CN"/>
        </w:rPr>
        <w:t>（1）基于深度学习的超分辨率海面风场构建；</w:t>
      </w:r>
      <w:r>
        <w:rPr>
          <w:rFonts w:hint="eastAsia" w:ascii="宋体" w:hAnsi="宋体" w:eastAsia="宋体" w:cs="宋体"/>
          <w:b/>
          <w:bCs/>
          <w:color w:val="auto"/>
          <w:sz w:val="24"/>
          <w:highlight w:val="none"/>
          <w:lang w:val="en-US" w:eastAsia="zh-CN"/>
        </w:rPr>
        <w:t>（2）海洋背景动力特征研究；（3）基于欧洲CLASH越浪数据集，利用人工智能技术开展越浪量的快速预测</w:t>
      </w:r>
      <w:r>
        <w:rPr>
          <w:rFonts w:hint="eastAsia" w:ascii="宋体" w:hAnsi="宋体" w:cs="宋体"/>
          <w:b/>
          <w:bCs/>
          <w:color w:val="auto"/>
          <w:sz w:val="24"/>
          <w:highlight w:val="none"/>
          <w:lang w:val="en-US" w:eastAsia="zh-CN"/>
        </w:rPr>
        <w:t>预报</w:t>
      </w:r>
      <w:r>
        <w:rPr>
          <w:rFonts w:hint="eastAsia" w:ascii="宋体" w:hAnsi="宋体" w:eastAsia="宋体" w:cs="宋体"/>
          <w:b/>
          <w:bCs/>
          <w:color w:val="auto"/>
          <w:sz w:val="24"/>
          <w:highlight w:val="none"/>
          <w:lang w:val="en-US" w:eastAsia="zh-CN"/>
        </w:rPr>
        <w:t>；（4）基于建立的台风-海洋-越浪模型，建立典型海堤越浪风险预警模型。</w:t>
      </w:r>
    </w:p>
    <w:p>
      <w:pPr>
        <w:numPr>
          <w:ilvl w:val="0"/>
          <w:numId w:val="9"/>
        </w:numPr>
        <w:snapToGrid w:val="0"/>
        <w:spacing w:before="120" w:after="120" w:line="440" w:lineRule="exact"/>
        <w:rPr>
          <w:rFonts w:hint="eastAsia" w:ascii="宋体" w:hAnsi="宋体" w:cs="宋体"/>
          <w:b/>
          <w:color w:val="auto"/>
          <w:sz w:val="24"/>
          <w:highlight w:val="none"/>
        </w:rPr>
      </w:pPr>
      <w:r>
        <w:rPr>
          <w:rFonts w:hint="eastAsia" w:ascii="宋体" w:hAnsi="宋体" w:cs="宋体"/>
          <w:b/>
          <w:color w:val="auto"/>
          <w:sz w:val="24"/>
          <w:highlight w:val="none"/>
        </w:rPr>
        <w:t>合同金额</w:t>
      </w:r>
    </w:p>
    <w:p>
      <w:pPr>
        <w:snapToGrid w:val="0"/>
        <w:spacing w:before="120" w:after="120"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本合同金额为（大写）：________________元（￥___________元）人民币。</w:t>
      </w:r>
    </w:p>
    <w:p>
      <w:pPr>
        <w:numPr>
          <w:ilvl w:val="0"/>
          <w:numId w:val="9"/>
        </w:numPr>
        <w:snapToGrid w:val="0"/>
        <w:spacing w:before="120" w:after="120" w:line="440" w:lineRule="exact"/>
        <w:ind w:left="0" w:leftChars="0" w:firstLine="0" w:firstLineChars="0"/>
        <w:rPr>
          <w:rFonts w:hint="eastAsia" w:ascii="宋体" w:hAnsi="宋体" w:cs="宋体"/>
          <w:b/>
          <w:color w:val="auto"/>
          <w:sz w:val="24"/>
          <w:highlight w:val="none"/>
        </w:rPr>
      </w:pPr>
      <w:r>
        <w:rPr>
          <w:rFonts w:hint="eastAsia" w:ascii="宋体" w:hAnsi="宋体" w:cs="宋体"/>
          <w:b/>
          <w:color w:val="auto"/>
          <w:sz w:val="24"/>
          <w:highlight w:val="none"/>
        </w:rPr>
        <w:t>提交服务成果时间和地点</w:t>
      </w:r>
    </w:p>
    <w:p>
      <w:pPr>
        <w:numPr>
          <w:ilvl w:val="0"/>
          <w:numId w:val="0"/>
        </w:numPr>
        <w:snapToGrid w:val="0"/>
        <w:spacing w:before="120" w:after="120" w:line="440" w:lineRule="exact"/>
        <w:ind w:leftChars="0" w:firstLine="240" w:firstLineChars="100"/>
        <w:rPr>
          <w:rFonts w:hint="eastAsia" w:ascii="宋体" w:hAnsi="宋体" w:cs="宋体"/>
          <w:b w:val="0"/>
          <w:bCs/>
          <w:color w:val="auto"/>
          <w:sz w:val="24"/>
          <w:highlight w:val="none"/>
        </w:rPr>
      </w:pPr>
      <w:r>
        <w:rPr>
          <w:rFonts w:hint="eastAsia" w:ascii="宋体" w:hAnsi="宋体" w:cs="宋体"/>
          <w:b w:val="0"/>
          <w:bCs/>
          <w:color w:val="auto"/>
          <w:sz w:val="24"/>
          <w:highlight w:val="none"/>
        </w:rPr>
        <w:t xml:space="preserve">3.1 提交服务成果时间：                                                      </w:t>
      </w:r>
    </w:p>
    <w:p>
      <w:pPr>
        <w:snapToGrid w:val="0"/>
        <w:spacing w:before="120" w:after="120" w:line="440" w:lineRule="exact"/>
        <w:ind w:left="409" w:leftChars="114" w:hanging="170" w:hangingChars="71"/>
        <w:rPr>
          <w:rFonts w:hint="eastAsia" w:ascii="宋体" w:hAnsi="宋体" w:cs="宋体"/>
          <w:b w:val="0"/>
          <w:bCs/>
          <w:color w:val="auto"/>
          <w:sz w:val="24"/>
          <w:highlight w:val="none"/>
        </w:rPr>
      </w:pPr>
      <w:r>
        <w:rPr>
          <w:rFonts w:hint="eastAsia" w:ascii="宋体" w:hAnsi="宋体" w:cs="宋体"/>
          <w:b w:val="0"/>
          <w:bCs/>
          <w:color w:val="auto"/>
          <w:sz w:val="24"/>
          <w:highlight w:val="none"/>
        </w:rPr>
        <w:t xml:space="preserve">3.2 提交服务成果地点：                                                      </w:t>
      </w:r>
    </w:p>
    <w:p>
      <w:pPr>
        <w:snapToGrid w:val="0"/>
        <w:spacing w:before="120" w:after="120" w:line="440" w:lineRule="exact"/>
        <w:ind w:left="409" w:leftChars="114" w:hanging="170" w:hangingChars="71"/>
        <w:rPr>
          <w:rFonts w:hint="eastAsia" w:ascii="宋体" w:hAnsi="宋体" w:cs="宋体"/>
          <w:b w:val="0"/>
          <w:bCs/>
          <w:color w:val="auto"/>
          <w:sz w:val="24"/>
          <w:highlight w:val="none"/>
        </w:rPr>
      </w:pPr>
      <w:r>
        <w:rPr>
          <w:rFonts w:hint="eastAsia" w:ascii="宋体" w:hAnsi="宋体" w:cs="宋体"/>
          <w:b w:val="0"/>
          <w:bCs/>
          <w:color w:val="auto"/>
          <w:sz w:val="24"/>
          <w:highlight w:val="none"/>
        </w:rPr>
        <w:t>3.3 乙方必须按投标文件承诺的服务响应条款向甲方提供服务。</w:t>
      </w:r>
    </w:p>
    <w:p>
      <w:pPr>
        <w:snapToGrid w:val="0"/>
        <w:spacing w:before="120" w:after="120" w:line="440" w:lineRule="exact"/>
        <w:ind w:left="412" w:hanging="412" w:hangingChars="171"/>
        <w:rPr>
          <w:rFonts w:hint="eastAsia" w:ascii="宋体" w:hAnsi="宋体" w:cs="宋体"/>
          <w:b/>
          <w:color w:val="auto"/>
          <w:sz w:val="24"/>
          <w:highlight w:val="none"/>
        </w:rPr>
      </w:pPr>
      <w:r>
        <w:rPr>
          <w:rFonts w:hint="eastAsia" w:ascii="宋体" w:hAnsi="宋体" w:cs="宋体"/>
          <w:b/>
          <w:color w:val="auto"/>
          <w:sz w:val="24"/>
          <w:highlight w:val="none"/>
        </w:rPr>
        <w:t>四、知识产权</w:t>
      </w:r>
    </w:p>
    <w:p>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en-US" w:eastAsia="zh-CN"/>
        </w:rPr>
        <w:t>1</w:t>
      </w:r>
      <w:r>
        <w:rPr>
          <w:rFonts w:ascii="宋体" w:hAnsi="宋体" w:cs="宋体"/>
          <w:color w:val="auto"/>
          <w:sz w:val="24"/>
          <w:szCs w:val="32"/>
          <w:highlight w:val="none"/>
        </w:rPr>
        <w:t>.</w:t>
      </w:r>
      <w:r>
        <w:rPr>
          <w:rFonts w:hint="eastAsia" w:ascii="宋体" w:hAnsi="宋体" w:cs="宋体"/>
          <w:color w:val="auto"/>
          <w:sz w:val="24"/>
          <w:szCs w:val="32"/>
          <w:highlight w:val="none"/>
          <w:lang w:val="zh-CN"/>
        </w:rPr>
        <w:t>本合同所产生技术成果的全部知识产权，包括但不限于著作权、专利权、专利申请权、技术秘密、商标权等，全部归甲方所有，未经甲方事先书面许可，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en-US" w:eastAsia="zh-CN"/>
        </w:rPr>
        <w:t>2</w:t>
      </w:r>
      <w:r>
        <w:rPr>
          <w:rFonts w:ascii="宋体" w:hAnsi="宋体" w:cs="宋体"/>
          <w:color w:val="auto"/>
          <w:sz w:val="24"/>
          <w:szCs w:val="32"/>
          <w:highlight w:val="none"/>
        </w:rPr>
        <w:t>.</w:t>
      </w:r>
      <w:r>
        <w:rPr>
          <w:rFonts w:hint="eastAsia" w:ascii="宋体" w:hAnsi="宋体" w:cs="宋体"/>
          <w:color w:val="auto"/>
          <w:sz w:val="24"/>
          <w:szCs w:val="32"/>
          <w:highlight w:val="none"/>
          <w:lang w:val="zh-CN"/>
        </w:rPr>
        <w:t>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lang w:eastAsia="zh-Hans"/>
        </w:rPr>
        <w:t>.</w:t>
      </w:r>
      <w:r>
        <w:rPr>
          <w:rFonts w:hint="eastAsia" w:ascii="宋体" w:hAnsi="宋体" w:cs="宋体"/>
          <w:color w:val="auto"/>
          <w:sz w:val="24"/>
          <w:szCs w:val="32"/>
          <w:highlight w:val="none"/>
          <w:lang w:val="zh-CN"/>
        </w:rPr>
        <w:t>如乙方发现任何交付成果的知识产权可能有瑕疵，应立即书面通知甲方，并立即采取一切必要措施使交付成果合法化。</w:t>
      </w:r>
    </w:p>
    <w:p>
      <w:pPr>
        <w:keepNext w:val="0"/>
        <w:keepLines w:val="0"/>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cs="宋体"/>
          <w:b/>
          <w:bCs/>
          <w:color w:val="auto"/>
          <w:sz w:val="24"/>
          <w:highlight w:val="none"/>
        </w:rPr>
      </w:pP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lang w:eastAsia="zh-Hans"/>
        </w:rPr>
        <w:t>.</w:t>
      </w:r>
      <w:r>
        <w:rPr>
          <w:rFonts w:hint="eastAsia" w:ascii="宋体" w:hAnsi="宋体" w:cs="宋体"/>
          <w:color w:val="auto"/>
          <w:sz w:val="24"/>
          <w:szCs w:val="32"/>
          <w:highlight w:val="none"/>
          <w:lang w:val="zh-CN"/>
        </w:rPr>
        <w:t>本条规定自本合同生效之日起即应履行，长期有效，并且不受本合同届满、提前终止或本合同中其他条款的无效或履行完毕等情形的影响</w:t>
      </w:r>
      <w:r>
        <w:rPr>
          <w:rFonts w:hint="eastAsia" w:ascii="宋体" w:hAnsi="宋体" w:cs="宋体"/>
          <w:b/>
          <w:bCs/>
          <w:color w:val="auto"/>
          <w:sz w:val="24"/>
          <w:highlight w:val="none"/>
        </w:rPr>
        <w:t>。</w:t>
      </w:r>
    </w:p>
    <w:p>
      <w:pPr>
        <w:snapToGrid w:val="0"/>
        <w:spacing w:before="120" w:after="120" w:line="440" w:lineRule="exact"/>
        <w:ind w:left="412" w:hanging="412" w:hangingChars="171"/>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五、转包或分包</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1.本合同范围的服务，应由乙方直接供应，不得转让他人供应；</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 除非得到甲方的书面同意，乙方不得将本合同范围的服务全部或部分分包给他人供应；</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3.如有转让和未经甲方同意的分包行为，甲方有权解除合同。</w:t>
      </w:r>
    </w:p>
    <w:p>
      <w:pPr>
        <w:snapToGrid w:val="0"/>
        <w:spacing w:before="120" w:after="120" w:line="440" w:lineRule="exact"/>
        <w:ind w:left="412" w:hanging="412" w:hangingChars="171"/>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 xml:space="preserve">六、双方的权利和义务 </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1、甲方职责和义务</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1.1.甲方应当主要负责项目所有外部关系的联系与协调，为乙方工作提供良好的外部条件。</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1.2.甲方应当按采购文件双方约定的内容和时间，向乙方提供与项目有关的资料。</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 xml:space="preserve">1.3.甲方应当按采购文件约定的时间就乙方书面提交并要求做出决定的一切事宜做出书面决定。   </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2、乙方职责和义务</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2.1.根据投标响应文件的承诺向甲方委派项目负责人、</w:t>
      </w:r>
      <w:r>
        <w:rPr>
          <w:rFonts w:hint="eastAsia" w:ascii="宋体" w:hAnsi="宋体"/>
          <w:bCs/>
          <w:color w:val="auto"/>
          <w:sz w:val="24"/>
          <w:highlight w:val="none"/>
        </w:rPr>
        <w:t>技术负责人</w:t>
      </w:r>
      <w:r>
        <w:rPr>
          <w:rFonts w:hint="eastAsia" w:ascii="宋体" w:hAnsi="宋体" w:eastAsia="宋体" w:cs="宋体"/>
          <w:color w:val="auto"/>
          <w:sz w:val="24"/>
          <w:szCs w:val="32"/>
          <w:highlight w:val="none"/>
          <w:lang w:val="zh-CN"/>
        </w:rPr>
        <w:t>。</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2.2.在履行本合同义务的期间，应运用合理的技能，认真、勤奋的工作。</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2.3.在本合同期内或合同终止后，未征得有关方同意，不得泄漏与本项目、本合同有关的技术、资料等。</w:t>
      </w:r>
    </w:p>
    <w:p>
      <w:pPr>
        <w:snapToGrid w:val="0"/>
        <w:spacing w:before="120" w:after="120" w:line="440" w:lineRule="exact"/>
        <w:rPr>
          <w:rFonts w:hint="eastAsia" w:ascii="宋体" w:hAnsi="宋体" w:cs="宋体"/>
          <w:b/>
          <w:color w:val="auto"/>
          <w:sz w:val="24"/>
          <w:highlight w:val="none"/>
        </w:rPr>
      </w:pPr>
      <w:r>
        <w:rPr>
          <w:rFonts w:hint="eastAsia" w:ascii="宋体" w:hAnsi="宋体" w:eastAsia="宋体" w:cs="宋体"/>
          <w:b/>
          <w:color w:val="auto"/>
          <w:sz w:val="24"/>
          <w:highlight w:val="none"/>
          <w:lang w:val="zh-CN"/>
        </w:rPr>
        <w:t>七</w:t>
      </w:r>
      <w:r>
        <w:rPr>
          <w:rFonts w:hint="eastAsia" w:ascii="宋体" w:hAnsi="宋体" w:cs="宋体"/>
          <w:b/>
          <w:color w:val="auto"/>
          <w:sz w:val="24"/>
          <w:highlight w:val="none"/>
        </w:rPr>
        <w:t>、款项支付</w:t>
      </w:r>
    </w:p>
    <w:p>
      <w:pPr>
        <w:pStyle w:val="24"/>
        <w:tabs>
          <w:tab w:val="left" w:pos="720"/>
          <w:tab w:val="left" w:pos="1260"/>
          <w:tab w:val="left" w:pos="2160"/>
          <w:tab w:val="left" w:pos="2880"/>
          <w:tab w:val="left" w:pos="3600"/>
          <w:tab w:val="left" w:pos="4320"/>
          <w:tab w:val="left" w:pos="5040"/>
          <w:tab w:val="left" w:pos="5760"/>
        </w:tabs>
        <w:spacing w:after="0" w:line="360" w:lineRule="auto"/>
        <w:ind w:left="0" w:leftChars="0" w:firstLine="482" w:firstLineChars="200"/>
        <w:rPr>
          <w:rFonts w:hint="eastAsia" w:ascii="宋体" w:hAnsi="宋体" w:cs="宋体"/>
          <w:b/>
          <w:bCs/>
          <w:color w:val="auto"/>
          <w:sz w:val="24"/>
          <w:highlight w:val="none"/>
          <w:lang w:eastAsia="zh-CN"/>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合同签订生效后</w:t>
      </w:r>
      <w:r>
        <w:rPr>
          <w:rFonts w:hint="eastAsia" w:ascii="宋体" w:hAnsi="宋体" w:cs="宋体"/>
          <w:b/>
          <w:bCs/>
          <w:color w:val="auto"/>
          <w:sz w:val="24"/>
          <w:highlight w:val="none"/>
          <w:lang w:val="en-US" w:eastAsia="zh-CN"/>
        </w:rPr>
        <w:t>支付</w:t>
      </w:r>
      <w:r>
        <w:rPr>
          <w:rFonts w:hint="eastAsia" w:ascii="宋体" w:hAnsi="宋体" w:cs="宋体"/>
          <w:b/>
          <w:bCs/>
          <w:color w:val="auto"/>
          <w:sz w:val="24"/>
          <w:highlight w:val="none"/>
        </w:rPr>
        <w:t>合同总金额的</w:t>
      </w:r>
      <w:r>
        <w:rPr>
          <w:rFonts w:hint="eastAsia" w:ascii="宋体" w:hAnsi="宋体" w:cs="宋体"/>
          <w:b/>
          <w:bCs/>
          <w:color w:val="auto"/>
          <w:sz w:val="24"/>
          <w:highlight w:val="none"/>
          <w:lang w:val="en-US" w:eastAsia="zh-CN"/>
        </w:rPr>
        <w:t>50</w:t>
      </w:r>
      <w:r>
        <w:rPr>
          <w:rFonts w:hint="eastAsia" w:ascii="宋体" w:hAnsi="宋体" w:cs="宋体"/>
          <w:b/>
          <w:bCs/>
          <w:color w:val="auto"/>
          <w:sz w:val="24"/>
          <w:highlight w:val="none"/>
        </w:rPr>
        <w:t>%作为预付款</w:t>
      </w:r>
      <w:r>
        <w:rPr>
          <w:rFonts w:hint="eastAsia" w:ascii="宋体" w:hAnsi="宋体" w:cs="宋体"/>
          <w:b/>
          <w:bCs/>
          <w:color w:val="auto"/>
          <w:sz w:val="24"/>
          <w:highlight w:val="none"/>
          <w:lang w:eastAsia="zh-CN"/>
        </w:rPr>
        <w:t>；</w:t>
      </w:r>
    </w:p>
    <w:p>
      <w:pPr>
        <w:pStyle w:val="24"/>
        <w:tabs>
          <w:tab w:val="left" w:pos="720"/>
          <w:tab w:val="left" w:pos="1260"/>
          <w:tab w:val="left" w:pos="2160"/>
          <w:tab w:val="left" w:pos="2880"/>
          <w:tab w:val="left" w:pos="3600"/>
          <w:tab w:val="left" w:pos="4320"/>
          <w:tab w:val="left" w:pos="5040"/>
          <w:tab w:val="left" w:pos="5760"/>
        </w:tabs>
        <w:spacing w:after="0" w:line="360" w:lineRule="auto"/>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2.提交正式成果并通过</w:t>
      </w:r>
      <w:r>
        <w:rPr>
          <w:rFonts w:hint="eastAsia" w:ascii="宋体" w:hAnsi="宋体" w:cs="宋体"/>
          <w:b/>
          <w:bCs/>
          <w:color w:val="auto"/>
          <w:sz w:val="24"/>
          <w:highlight w:val="none"/>
        </w:rPr>
        <w:t>验收后</w:t>
      </w:r>
      <w:r>
        <w:rPr>
          <w:rFonts w:hint="eastAsia" w:ascii="宋体" w:hAnsi="宋体" w:cs="宋体"/>
          <w:b/>
          <w:bCs/>
          <w:color w:val="auto"/>
          <w:sz w:val="24"/>
          <w:highlight w:val="none"/>
          <w:lang w:val="en-US" w:eastAsia="zh-CN"/>
        </w:rPr>
        <w:t>支付</w:t>
      </w:r>
      <w:r>
        <w:rPr>
          <w:rFonts w:hint="eastAsia" w:ascii="宋体" w:hAnsi="宋体" w:cs="宋体"/>
          <w:b/>
          <w:bCs/>
          <w:color w:val="auto"/>
          <w:sz w:val="24"/>
          <w:highlight w:val="none"/>
        </w:rPr>
        <w:t>合同总金额的</w:t>
      </w:r>
      <w:r>
        <w:rPr>
          <w:rFonts w:hint="eastAsia" w:ascii="宋体" w:hAnsi="宋体" w:cs="宋体"/>
          <w:b/>
          <w:bCs/>
          <w:color w:val="auto"/>
          <w:sz w:val="24"/>
          <w:highlight w:val="none"/>
          <w:lang w:val="en-US" w:eastAsia="zh-CN"/>
        </w:rPr>
        <w:t>50</w:t>
      </w:r>
      <w:r>
        <w:rPr>
          <w:rFonts w:hint="eastAsia" w:ascii="宋体" w:hAnsi="宋体" w:cs="宋体"/>
          <w:b/>
          <w:bCs/>
          <w:color w:val="auto"/>
          <w:sz w:val="24"/>
          <w:highlight w:val="none"/>
        </w:rPr>
        <w:t>%。</w:t>
      </w:r>
    </w:p>
    <w:p>
      <w:pPr>
        <w:rPr>
          <w:rFonts w:hint="default" w:eastAsia="宋体"/>
          <w:color w:val="auto"/>
          <w:highlight w:val="none"/>
          <w:lang w:val="en-US" w:eastAsia="zh-CN"/>
        </w:rPr>
      </w:pPr>
      <w:r>
        <w:rPr>
          <w:rFonts w:hint="eastAsia" w:ascii="宋体" w:hAnsi="宋体" w:cs="宋体"/>
          <w:b/>
          <w:bCs/>
          <w:color w:val="auto"/>
          <w:sz w:val="24"/>
          <w:highlight w:val="none"/>
          <w:lang w:val="en-US" w:eastAsia="zh-CN"/>
        </w:rPr>
        <w:t xml:space="preserve">    甲方收到乙方开具的正式发票后支付每期合同款</w:t>
      </w:r>
    </w:p>
    <w:p>
      <w:pPr>
        <w:snapToGrid w:val="0"/>
        <w:spacing w:before="158" w:beforeLines="50" w:after="158" w:afterLines="50" w:line="440" w:lineRule="exact"/>
        <w:rPr>
          <w:rFonts w:hint="eastAsia"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、税费</w:t>
      </w:r>
    </w:p>
    <w:p>
      <w:pPr>
        <w:snapToGrid w:val="0"/>
        <w:spacing w:before="158" w:beforeLines="50" w:after="158" w:afterLines="5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pPr>
        <w:snapToGrid w:val="0"/>
        <w:spacing w:before="120" w:after="120" w:line="440" w:lineRule="exact"/>
        <w:ind w:left="412" w:hanging="412" w:hangingChars="171"/>
        <w:rPr>
          <w:rFonts w:hint="eastAsia" w:ascii="宋体" w:hAnsi="宋体" w:cs="宋体"/>
          <w:color w:val="auto"/>
          <w:sz w:val="24"/>
          <w:highlight w:val="none"/>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、质量保证及后续服务</w:t>
      </w:r>
    </w:p>
    <w:p>
      <w:pPr>
        <w:snapToGrid w:val="0"/>
        <w:spacing w:before="120" w:after="120"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乙方应按招标文件规定向甲方提供服务。</w:t>
      </w:r>
    </w:p>
    <w:p>
      <w:pPr>
        <w:snapToGrid w:val="0"/>
        <w:spacing w:before="120" w:after="120"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2．乙方提供的服务成果在服务质量保证期内发生故障，乙方应负责免费提供后续服务。对达不到要求者，根据实际情况，经双方协商，可按以下办法处理：</w:t>
      </w:r>
    </w:p>
    <w:p>
      <w:pPr>
        <w:snapToGrid w:val="0"/>
        <w:spacing w:before="120" w:after="120" w:line="440" w:lineRule="exact"/>
        <w:ind w:firstLine="420"/>
        <w:rPr>
          <w:rFonts w:hint="eastAsia" w:ascii="宋体" w:hAnsi="宋体" w:cs="宋体"/>
          <w:color w:val="auto"/>
          <w:sz w:val="24"/>
          <w:highlight w:val="none"/>
        </w:rPr>
      </w:pPr>
      <w:r>
        <w:rPr>
          <w:rFonts w:hint="eastAsia" w:ascii="宋体" w:hAnsi="宋体" w:cs="宋体"/>
          <w:color w:val="auto"/>
          <w:sz w:val="24"/>
          <w:highlight w:val="none"/>
        </w:rPr>
        <w:t>⑴重做：由乙方承担所发生的全部费用。</w:t>
      </w:r>
    </w:p>
    <w:p>
      <w:pPr>
        <w:snapToGrid w:val="0"/>
        <w:spacing w:before="120" w:after="120" w:line="440" w:lineRule="exact"/>
        <w:ind w:firstLine="420"/>
        <w:rPr>
          <w:rFonts w:hint="eastAsia" w:ascii="宋体" w:hAnsi="宋体" w:cs="宋体"/>
          <w:color w:val="auto"/>
          <w:sz w:val="24"/>
          <w:highlight w:val="none"/>
        </w:rPr>
      </w:pPr>
      <w:r>
        <w:rPr>
          <w:rFonts w:hint="eastAsia" w:ascii="宋体" w:hAnsi="宋体" w:cs="宋体"/>
          <w:color w:val="auto"/>
          <w:sz w:val="24"/>
          <w:highlight w:val="none"/>
        </w:rPr>
        <w:t>⑵贬值处理：由甲乙双方合议定价。</w:t>
      </w:r>
    </w:p>
    <w:p>
      <w:pPr>
        <w:snapToGrid w:val="0"/>
        <w:spacing w:before="120" w:after="120" w:line="440" w:lineRule="exact"/>
        <w:ind w:left="420" w:leftChars="200"/>
        <w:rPr>
          <w:rFonts w:hint="eastAsia" w:ascii="宋体" w:hAnsi="宋体" w:cs="宋体"/>
          <w:color w:val="auto"/>
          <w:sz w:val="24"/>
          <w:highlight w:val="none"/>
        </w:rPr>
      </w:pPr>
      <w:r>
        <w:rPr>
          <w:rFonts w:hint="eastAsia" w:ascii="宋体" w:hAnsi="宋体" w:cs="宋体"/>
          <w:color w:val="auto"/>
          <w:sz w:val="24"/>
          <w:highlight w:val="none"/>
        </w:rPr>
        <w:t>⑶解除合同。</w:t>
      </w:r>
    </w:p>
    <w:p>
      <w:pPr>
        <w:numPr>
          <w:ilvl w:val="0"/>
          <w:numId w:val="10"/>
        </w:numPr>
        <w:snapToGrid w:val="0"/>
        <w:spacing w:before="120" w:after="120"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如在使用过程中发生问题，乙方在接到甲方通知后在</w:t>
      </w:r>
      <w:r>
        <w:rPr>
          <w:rFonts w:hint="eastAsia" w:ascii="宋体" w:hAnsi="宋体" w:cs="宋体"/>
          <w:color w:val="auto"/>
          <w:sz w:val="24"/>
          <w:highlight w:val="none"/>
          <w:u w:val="single"/>
          <w:lang w:val="en-US" w:eastAsia="zh-CN"/>
        </w:rPr>
        <w:t xml:space="preserve"> 8 </w:t>
      </w:r>
      <w:r>
        <w:rPr>
          <w:rFonts w:hint="eastAsia" w:ascii="宋体" w:hAnsi="宋体" w:cs="宋体"/>
          <w:color w:val="auto"/>
          <w:sz w:val="24"/>
          <w:highlight w:val="none"/>
        </w:rPr>
        <w:t>小时内到达甲方现场。</w:t>
      </w:r>
    </w:p>
    <w:p>
      <w:pPr>
        <w:snapToGrid w:val="0"/>
        <w:spacing w:before="120" w:after="120"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4．在</w:t>
      </w:r>
      <w:r>
        <w:rPr>
          <w:rFonts w:hint="eastAsia" w:ascii="宋体" w:hAnsi="宋体" w:cs="宋体"/>
          <w:b/>
          <w:color w:val="auto"/>
          <w:sz w:val="24"/>
          <w:highlight w:val="none"/>
        </w:rPr>
        <w:t>服务质量保证期</w:t>
      </w:r>
      <w:r>
        <w:rPr>
          <w:rFonts w:hint="eastAsia" w:ascii="宋体" w:hAnsi="宋体" w:cs="宋体"/>
          <w:color w:val="auto"/>
          <w:sz w:val="24"/>
          <w:highlight w:val="none"/>
        </w:rPr>
        <w:t>内，乙方应对出现的质量及安全问题负责处理解决并承担一切费用。</w:t>
      </w:r>
    </w:p>
    <w:p>
      <w:pPr>
        <w:snapToGrid w:val="0"/>
        <w:spacing w:before="120" w:after="120" w:line="440" w:lineRule="exact"/>
        <w:rPr>
          <w:rFonts w:hint="eastAsia" w:ascii="宋体" w:hAnsi="宋体" w:cs="宋体"/>
          <w:b/>
          <w:color w:val="auto"/>
          <w:sz w:val="24"/>
          <w:highlight w:val="none"/>
        </w:rPr>
      </w:pPr>
      <w:r>
        <w:rPr>
          <w:rFonts w:hint="eastAsia" w:ascii="宋体" w:hAnsi="宋体" w:cs="宋体"/>
          <w:b/>
          <w:color w:val="auto"/>
          <w:sz w:val="24"/>
          <w:highlight w:val="none"/>
        </w:rPr>
        <w:t>十、违约责任</w:t>
      </w:r>
    </w:p>
    <w:p>
      <w:pPr>
        <w:spacing w:line="50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1.甲方无正当理由拒收接受服务的，甲方向乙方偿付合同款项百分之五作为违约金。</w:t>
      </w:r>
    </w:p>
    <w:p>
      <w:pPr>
        <w:spacing w:line="50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2.甲方无故逾期验收和办理款项支付手续的,甲方应按逾期付款总额每日万分之五向乙方支付违约金。</w:t>
      </w:r>
    </w:p>
    <w:p>
      <w:pPr>
        <w:spacing w:line="500" w:lineRule="exact"/>
        <w:ind w:firstLine="480" w:firstLineChars="200"/>
        <w:rPr>
          <w:rFonts w:hint="eastAsia" w:ascii="宋体" w:hAnsi="宋体" w:cs="宋体"/>
          <w:b/>
          <w:color w:val="auto"/>
          <w:sz w:val="24"/>
          <w:highlight w:val="none"/>
        </w:rPr>
      </w:pPr>
      <w:r>
        <w:rPr>
          <w:rFonts w:hint="eastAsia" w:ascii="宋体" w:hAnsi="宋体" w:cs="宋体"/>
          <w:color w:val="auto"/>
          <w:sz w:val="24"/>
          <w:szCs w:val="32"/>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napToGrid w:val="0"/>
        <w:spacing w:before="120" w:after="120" w:line="440" w:lineRule="exact"/>
        <w:rPr>
          <w:rFonts w:hint="eastAsia" w:ascii="宋体" w:hAnsi="宋体" w:cs="宋体"/>
          <w:b/>
          <w:color w:val="auto"/>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一</w:t>
      </w:r>
      <w:r>
        <w:rPr>
          <w:rFonts w:hint="eastAsia" w:ascii="宋体" w:hAnsi="宋体" w:cs="宋体"/>
          <w:b/>
          <w:color w:val="auto"/>
          <w:sz w:val="24"/>
          <w:highlight w:val="none"/>
        </w:rPr>
        <w:t>、不可抗力事件处理</w:t>
      </w:r>
    </w:p>
    <w:p>
      <w:pPr>
        <w:snapToGrid w:val="0"/>
        <w:spacing w:before="120" w:after="120"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pPr>
        <w:snapToGrid w:val="0"/>
        <w:spacing w:before="120" w:after="120"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pPr>
        <w:snapToGrid w:val="0"/>
        <w:spacing w:before="120" w:after="120"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pPr>
        <w:spacing w:line="440" w:lineRule="exact"/>
        <w:rPr>
          <w:rFonts w:ascii="宋体" w:hAnsi="宋体"/>
          <w:b/>
          <w:color w:val="auto"/>
          <w:sz w:val="24"/>
          <w:highlight w:val="none"/>
          <w:lang w:val="zh-CN"/>
        </w:rPr>
      </w:pPr>
      <w:r>
        <w:rPr>
          <w:rFonts w:hint="eastAsia" w:ascii="宋体" w:hAnsi="宋体" w:cs="宋体"/>
          <w:b/>
          <w:color w:val="auto"/>
          <w:sz w:val="24"/>
          <w:highlight w:val="none"/>
        </w:rPr>
        <w:t>十二、</w:t>
      </w:r>
      <w:r>
        <w:rPr>
          <w:rFonts w:hint="eastAsia" w:ascii="宋体" w:hAnsi="宋体"/>
          <w:b/>
          <w:color w:val="auto"/>
          <w:sz w:val="24"/>
          <w:highlight w:val="none"/>
          <w:lang w:val="zh-CN"/>
        </w:rPr>
        <w:t>解决争议的方法</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1. </w:t>
      </w:r>
      <w:r>
        <w:rPr>
          <w:rFonts w:ascii="宋体" w:hAnsi="宋体"/>
          <w:bCs/>
          <w:color w:val="auto"/>
          <w:sz w:val="24"/>
          <w:highlight w:val="none"/>
        </w:rPr>
        <w:t>如双方在履行合同时发生纠纷，应协商解决；协商不成时，可提请政府采购管理部门调解；调解不成的通过以下方式</w:t>
      </w:r>
      <w:r>
        <w:rPr>
          <w:rFonts w:hint="eastAsia" w:ascii="宋体" w:hAnsi="宋体"/>
          <w:bCs/>
          <w:color w:val="auto"/>
          <w:sz w:val="24"/>
          <w:highlight w:val="none"/>
        </w:rPr>
        <w:t>（2）</w:t>
      </w:r>
      <w:r>
        <w:rPr>
          <w:rFonts w:ascii="宋体" w:hAnsi="宋体"/>
          <w:bCs/>
          <w:color w:val="auto"/>
          <w:sz w:val="24"/>
          <w:highlight w:val="none"/>
        </w:rPr>
        <w:t>解决：</w:t>
      </w:r>
    </w:p>
    <w:p>
      <w:pPr>
        <w:spacing w:line="360" w:lineRule="auto"/>
        <w:ind w:firstLine="480" w:firstLineChars="200"/>
        <w:rPr>
          <w:rFonts w:ascii="宋体" w:hAnsi="宋体"/>
          <w:bCs/>
          <w:color w:val="auto"/>
          <w:sz w:val="24"/>
          <w:highlight w:val="none"/>
        </w:rPr>
      </w:pPr>
      <w:r>
        <w:rPr>
          <w:rFonts w:ascii="宋体" w:hAnsi="宋体"/>
          <w:bCs/>
          <w:color w:val="auto"/>
          <w:sz w:val="24"/>
          <w:highlight w:val="none"/>
        </w:rPr>
        <w:t>（1）提交台州仲裁委员会仲裁。</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（2）依法向</w:t>
      </w:r>
      <w:r>
        <w:rPr>
          <w:rFonts w:hint="eastAsia" w:ascii="宋体" w:hAnsi="宋体"/>
          <w:bCs/>
          <w:color w:val="auto"/>
          <w:sz w:val="24"/>
          <w:highlight w:val="none"/>
          <w:lang w:eastAsia="zh-CN"/>
        </w:rPr>
        <w:t>甲方所在地</w:t>
      </w:r>
      <w:r>
        <w:rPr>
          <w:rFonts w:hint="eastAsia" w:ascii="宋体" w:hAnsi="宋体"/>
          <w:bCs/>
          <w:color w:val="auto"/>
          <w:sz w:val="24"/>
          <w:highlight w:val="none"/>
        </w:rPr>
        <w:t>人民法院提起诉讼。</w:t>
      </w:r>
    </w:p>
    <w:p>
      <w:pPr>
        <w:spacing w:line="440" w:lineRule="exact"/>
        <w:jc w:val="left"/>
        <w:rPr>
          <w:rFonts w:hint="eastAsia" w:ascii="宋体" w:hAnsi="宋体" w:cs="宋体"/>
          <w:b/>
          <w:bCs/>
          <w:color w:val="auto"/>
          <w:sz w:val="24"/>
          <w:szCs w:val="32"/>
          <w:highlight w:val="none"/>
          <w:lang w:val="zh-CN"/>
        </w:rPr>
      </w:pPr>
      <w:r>
        <w:rPr>
          <w:rFonts w:hint="eastAsia" w:ascii="宋体" w:hAnsi="宋体" w:cs="宋体"/>
          <w:b/>
          <w:color w:val="auto"/>
          <w:sz w:val="24"/>
          <w:highlight w:val="none"/>
        </w:rPr>
        <w:t>十三、</w:t>
      </w:r>
      <w:r>
        <w:rPr>
          <w:rFonts w:hint="eastAsia" w:ascii="宋体" w:hAnsi="宋体" w:cs="宋体"/>
          <w:b/>
          <w:bCs/>
          <w:color w:val="auto"/>
          <w:sz w:val="24"/>
          <w:szCs w:val="32"/>
          <w:highlight w:val="none"/>
          <w:lang w:val="zh-CN"/>
        </w:rPr>
        <w:t>合同生效及其它</w:t>
      </w:r>
    </w:p>
    <w:p>
      <w:pPr>
        <w:spacing w:line="500" w:lineRule="exact"/>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1.合同经甲、乙二方签字并加盖单位公章后生效。</w:t>
      </w:r>
    </w:p>
    <w:p>
      <w:pPr>
        <w:spacing w:line="500" w:lineRule="exact"/>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2.合同执行中涉及采购资金和采购内容修改或补充的，须经甲方认同并签书面补充协议，经报政府采购监督管理部门备案后，方可作为主合同不可分割的一部分。</w:t>
      </w:r>
    </w:p>
    <w:p>
      <w:pPr>
        <w:spacing w:line="500" w:lineRule="exact"/>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3.招标文件、投标文件与本合同具有同等法律效力。</w:t>
      </w:r>
    </w:p>
    <w:p>
      <w:pPr>
        <w:spacing w:line="500" w:lineRule="exact"/>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4.本合同未尽事宜，遵照《</w:t>
      </w:r>
      <w:r>
        <w:rPr>
          <w:rFonts w:hint="eastAsia" w:ascii="宋体" w:hAnsi="宋体" w:cs="宋体"/>
          <w:color w:val="auto"/>
          <w:sz w:val="24"/>
          <w:szCs w:val="32"/>
          <w:highlight w:val="none"/>
        </w:rPr>
        <w:t>中华人民共和国民法典</w:t>
      </w:r>
      <w:r>
        <w:rPr>
          <w:rFonts w:hint="eastAsia" w:ascii="宋体" w:hAnsi="宋体" w:cs="宋体"/>
          <w:color w:val="auto"/>
          <w:sz w:val="24"/>
          <w:szCs w:val="32"/>
          <w:highlight w:val="none"/>
          <w:lang w:val="zh-CN"/>
        </w:rPr>
        <w:t>》有关条文执行。</w:t>
      </w:r>
    </w:p>
    <w:p>
      <w:pPr>
        <w:spacing w:line="500" w:lineRule="exact"/>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sz w:val="24"/>
          <w:szCs w:val="32"/>
          <w:highlight w:val="none"/>
          <w:lang w:val="zh-CN"/>
        </w:rPr>
        <w:t>5.本合同一式六份，具有同等法律效力，甲、乙方各执</w:t>
      </w:r>
      <w:r>
        <w:rPr>
          <w:rFonts w:hint="eastAsia" w:ascii="宋体" w:hAnsi="宋体" w:cs="宋体"/>
          <w:color w:val="auto"/>
          <w:sz w:val="24"/>
          <w:szCs w:val="32"/>
          <w:highlight w:val="none"/>
          <w:lang w:val="en-US" w:eastAsia="zh-CN"/>
        </w:rPr>
        <w:t>三</w:t>
      </w:r>
      <w:r>
        <w:rPr>
          <w:rFonts w:hint="eastAsia" w:ascii="宋体" w:hAnsi="宋体" w:cs="宋体"/>
          <w:color w:val="auto"/>
          <w:sz w:val="24"/>
          <w:szCs w:val="32"/>
          <w:highlight w:val="none"/>
          <w:lang w:val="zh-CN"/>
        </w:rPr>
        <w:t>份。</w:t>
      </w:r>
    </w:p>
    <w:p>
      <w:pPr>
        <w:pStyle w:val="24"/>
        <w:spacing w:line="440" w:lineRule="exact"/>
        <w:rPr>
          <w:rFonts w:hint="eastAsia" w:ascii="宋体" w:hAnsi="宋体" w:cs="宋体"/>
          <w:color w:val="auto"/>
          <w:highlight w:val="none"/>
          <w:lang w:val="zh-CN"/>
        </w:rPr>
      </w:pPr>
    </w:p>
    <w:p>
      <w:pPr>
        <w:spacing w:line="440" w:lineRule="exact"/>
        <w:rPr>
          <w:rFonts w:hint="eastAsia" w:ascii="宋体" w:hAnsi="宋体" w:cs="宋体"/>
          <w:color w:val="auto"/>
          <w:sz w:val="24"/>
          <w:szCs w:val="32"/>
          <w:highlight w:val="none"/>
        </w:rPr>
      </w:pPr>
      <w:r>
        <w:rPr>
          <w:rFonts w:hint="eastAsia" w:ascii="宋体" w:hAnsi="宋体" w:cs="宋体"/>
          <w:color w:val="auto"/>
          <w:sz w:val="24"/>
          <w:szCs w:val="32"/>
          <w:highlight w:val="none"/>
        </w:rPr>
        <w:t>甲方（公章）：                          乙方（公章）：</w:t>
      </w:r>
    </w:p>
    <w:p>
      <w:pPr>
        <w:spacing w:line="440" w:lineRule="exact"/>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法定代表人或委托代理人（签字）：         法定代表人或委托代理人（签字）：</w:t>
      </w:r>
    </w:p>
    <w:p>
      <w:pPr>
        <w:spacing w:line="440" w:lineRule="exact"/>
        <w:rPr>
          <w:rFonts w:hint="eastAsia" w:ascii="宋体" w:hAnsi="宋体" w:cs="宋体"/>
          <w:color w:val="auto"/>
          <w:sz w:val="24"/>
          <w:szCs w:val="32"/>
          <w:highlight w:val="none"/>
        </w:rPr>
      </w:pPr>
      <w:r>
        <w:rPr>
          <w:rFonts w:hint="eastAsia" w:ascii="宋体" w:hAnsi="宋体" w:cs="宋体"/>
          <w:color w:val="auto"/>
          <w:sz w:val="24"/>
          <w:szCs w:val="32"/>
          <w:highlight w:val="none"/>
        </w:rPr>
        <w:t>联系电话：                              联系电话：</w:t>
      </w:r>
    </w:p>
    <w:p>
      <w:pPr>
        <w:spacing w:line="440" w:lineRule="exact"/>
        <w:rPr>
          <w:rFonts w:hint="eastAsia" w:ascii="宋体" w:hAnsi="宋体" w:cs="宋体"/>
          <w:color w:val="auto"/>
          <w:sz w:val="24"/>
          <w:szCs w:val="32"/>
          <w:highlight w:val="none"/>
        </w:rPr>
      </w:pPr>
      <w:r>
        <w:rPr>
          <w:rFonts w:hint="eastAsia" w:ascii="宋体" w:hAnsi="宋体" w:cs="宋体"/>
          <w:color w:val="auto"/>
          <w:sz w:val="24"/>
          <w:szCs w:val="32"/>
          <w:highlight w:val="none"/>
        </w:rPr>
        <w:t>开户银行（必填）：                      开户银行（必填）：</w:t>
      </w:r>
    </w:p>
    <w:p>
      <w:pPr>
        <w:spacing w:line="440" w:lineRule="exact"/>
        <w:rPr>
          <w:rFonts w:hint="eastAsia" w:ascii="宋体" w:hAnsi="宋体" w:cs="宋体"/>
          <w:color w:val="auto"/>
          <w:sz w:val="24"/>
          <w:szCs w:val="32"/>
          <w:highlight w:val="none"/>
        </w:rPr>
      </w:pPr>
      <w:r>
        <w:rPr>
          <w:rFonts w:hint="eastAsia" w:ascii="宋体" w:hAnsi="宋体" w:cs="宋体"/>
          <w:color w:val="auto"/>
          <w:sz w:val="24"/>
          <w:szCs w:val="32"/>
          <w:highlight w:val="none"/>
        </w:rPr>
        <w:t>账号（必填）：                          账号（必填）：</w:t>
      </w:r>
    </w:p>
    <w:p>
      <w:pPr>
        <w:spacing w:line="440" w:lineRule="exact"/>
        <w:rPr>
          <w:rFonts w:hint="eastAsia" w:ascii="宋体" w:hAnsi="宋体" w:cs="宋体"/>
          <w:color w:val="auto"/>
          <w:sz w:val="24"/>
          <w:szCs w:val="32"/>
          <w:highlight w:val="none"/>
        </w:rPr>
      </w:pPr>
      <w:r>
        <w:rPr>
          <w:rFonts w:hint="eastAsia" w:ascii="宋体" w:hAnsi="宋体" w:cs="宋体"/>
          <w:color w:val="auto"/>
          <w:sz w:val="24"/>
          <w:szCs w:val="32"/>
          <w:highlight w:val="none"/>
        </w:rPr>
        <w:t>签订时间：    年    月    日            签订时间：    年    月    日</w:t>
      </w:r>
    </w:p>
    <w:p>
      <w:pPr>
        <w:spacing w:line="460" w:lineRule="exact"/>
        <w:ind w:firstLine="495"/>
        <w:rPr>
          <w:color w:val="auto"/>
          <w:highlight w:val="none"/>
        </w:rPr>
      </w:pPr>
    </w:p>
    <w:p>
      <w:pPr>
        <w:pStyle w:val="5"/>
        <w:numPr>
          <w:ilvl w:val="0"/>
          <w:numId w:val="0"/>
        </w:numPr>
        <w:spacing w:before="0" w:after="0" w:line="360" w:lineRule="auto"/>
        <w:ind w:left="425" w:leftChars="0"/>
        <w:jc w:val="both"/>
        <w:rPr>
          <w:rFonts w:hint="eastAsia"/>
          <w:color w:val="auto"/>
          <w:sz w:val="32"/>
          <w:szCs w:val="32"/>
          <w:highlight w:val="none"/>
        </w:rPr>
      </w:pPr>
    </w:p>
    <w:p>
      <w:pPr>
        <w:rPr>
          <w:rFonts w:ascii="仿宋" w:hAnsi="仿宋" w:eastAsia="仿宋" w:cs="仿宋"/>
          <w:color w:val="auto"/>
          <w:highlight w:val="none"/>
        </w:rPr>
      </w:pPr>
    </w:p>
    <w:p>
      <w:pPr>
        <w:autoSpaceDE w:val="0"/>
        <w:autoSpaceDN w:val="0"/>
        <w:spacing w:line="360" w:lineRule="exact"/>
        <w:ind w:firstLine="767" w:firstLineChars="273"/>
        <w:jc w:val="center"/>
        <w:rPr>
          <w:rFonts w:hAnsi="宋体"/>
          <w:b/>
          <w:color w:val="auto"/>
          <w:sz w:val="28"/>
          <w:szCs w:val="28"/>
          <w:highlight w:val="none"/>
        </w:rPr>
        <w:sectPr>
          <w:pgSz w:w="11906" w:h="16838"/>
          <w:pgMar w:top="1247" w:right="1361" w:bottom="1247" w:left="1361" w:header="851" w:footer="851" w:gutter="0"/>
          <w:pgNumType w:fmt="numberInDash"/>
          <w:cols w:space="720" w:num="1"/>
          <w:docGrid w:type="lines" w:linePitch="312" w:charSpace="0"/>
        </w:sectPr>
      </w:pPr>
    </w:p>
    <w:p>
      <w:pPr>
        <w:spacing w:line="360" w:lineRule="auto"/>
        <w:jc w:val="center"/>
        <w:rPr>
          <w:rFonts w:asciiTheme="minorEastAsia" w:hAnsiTheme="minorEastAsia" w:eastAsiaTheme="minorEastAsia"/>
          <w:b/>
          <w:color w:val="auto"/>
          <w:sz w:val="36"/>
          <w:szCs w:val="36"/>
          <w:highlight w:val="none"/>
        </w:rPr>
      </w:pPr>
      <w:bookmarkStart w:id="42" w:name="_Toc5481_WPSOffice_Level1"/>
      <w:r>
        <w:rPr>
          <w:rFonts w:hint="eastAsia" w:asciiTheme="minorEastAsia" w:hAnsiTheme="minorEastAsia" w:eastAsiaTheme="minorEastAsia"/>
          <w:b/>
          <w:color w:val="auto"/>
          <w:sz w:val="36"/>
          <w:szCs w:val="36"/>
          <w:highlight w:val="none"/>
        </w:rPr>
        <w:t>第六章 投标文件格式</w:t>
      </w:r>
      <w:bookmarkEnd w:id="42"/>
    </w:p>
    <w:p>
      <w:pPr>
        <w:rPr>
          <w:rFonts w:ascii="宋体" w:hAnsi="宋体"/>
          <w:b/>
          <w:color w:val="auto"/>
          <w:sz w:val="30"/>
          <w:szCs w:val="30"/>
          <w:highlight w:val="none"/>
        </w:rPr>
      </w:pPr>
    </w:p>
    <w:p>
      <w:pPr>
        <w:rPr>
          <w:rFonts w:ascii="宋体" w:hAnsi="宋体"/>
          <w:b/>
          <w:color w:val="auto"/>
          <w:kern w:val="0"/>
          <w:sz w:val="28"/>
          <w:szCs w:val="28"/>
          <w:highlight w:val="none"/>
        </w:rPr>
      </w:pP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pPr>
        <w:spacing w:line="360" w:lineRule="auto"/>
        <w:rPr>
          <w:rFonts w:asciiTheme="minorEastAsia" w:hAnsiTheme="minorEastAsia" w:eastAsiaTheme="minorEastAsia"/>
          <w:b/>
          <w:color w:val="auto"/>
          <w:sz w:val="30"/>
          <w:szCs w:val="30"/>
          <w:highlight w:val="none"/>
        </w:rPr>
      </w:pPr>
    </w:p>
    <w:p>
      <w:pPr>
        <w:jc w:val="center"/>
        <w:rPr>
          <w:rFonts w:hint="eastAsia"/>
          <w:color w:val="auto"/>
          <w:sz w:val="44"/>
          <w:szCs w:val="44"/>
          <w:highlight w:val="none"/>
          <w:lang w:eastAsia="zh-CN"/>
        </w:rPr>
      </w:pPr>
      <w:r>
        <w:rPr>
          <w:rFonts w:hint="eastAsia"/>
          <w:color w:val="auto"/>
          <w:sz w:val="44"/>
          <w:szCs w:val="44"/>
          <w:highlight w:val="none"/>
          <w:lang w:eastAsia="zh-CN"/>
        </w:rPr>
        <w:t>台州湾新区重点防御区和承灾体海水越堤淹没调查评估和风险预警试点项目</w:t>
      </w:r>
    </w:p>
    <w:p>
      <w:pPr>
        <w:jc w:val="center"/>
        <w:rPr>
          <w:rFonts w:hint="eastAsia" w:eastAsia="宋体"/>
          <w:color w:val="auto"/>
          <w:sz w:val="44"/>
          <w:szCs w:val="44"/>
          <w:highlight w:val="none"/>
          <w:lang w:eastAsia="zh-CN"/>
        </w:rPr>
      </w:pPr>
      <w:r>
        <w:rPr>
          <w:rFonts w:hint="eastAsia"/>
          <w:color w:val="auto"/>
          <w:sz w:val="44"/>
          <w:szCs w:val="44"/>
          <w:highlight w:val="none"/>
          <w:lang w:eastAsia="zh-CN"/>
        </w:rPr>
        <w:t>（重新招标）</w:t>
      </w:r>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pPr>
        <w:pStyle w:val="24"/>
        <w:rPr>
          <w:color w:val="auto"/>
          <w:highlight w:val="none"/>
        </w:rPr>
      </w:pPr>
    </w:p>
    <w:p>
      <w:pPr>
        <w:jc w:val="center"/>
        <w:rPr>
          <w:color w:val="auto"/>
          <w:sz w:val="84"/>
          <w:szCs w:val="84"/>
          <w:highlight w:val="none"/>
          <w:lang w:val="zh-CN"/>
        </w:rPr>
      </w:pPr>
      <w:r>
        <w:rPr>
          <w:rFonts w:hint="eastAsia"/>
          <w:color w:val="auto"/>
          <w:sz w:val="84"/>
          <w:szCs w:val="84"/>
          <w:highlight w:val="none"/>
          <w:lang w:val="zh-CN"/>
        </w:rPr>
        <w:t>投</w:t>
      </w:r>
    </w:p>
    <w:p>
      <w:pPr>
        <w:jc w:val="center"/>
        <w:rPr>
          <w:color w:val="auto"/>
          <w:sz w:val="84"/>
          <w:szCs w:val="84"/>
          <w:highlight w:val="none"/>
          <w:lang w:val="zh-CN"/>
        </w:rPr>
      </w:pPr>
      <w:r>
        <w:rPr>
          <w:rFonts w:hint="eastAsia"/>
          <w:color w:val="auto"/>
          <w:sz w:val="84"/>
          <w:szCs w:val="84"/>
          <w:highlight w:val="none"/>
          <w:lang w:val="zh-CN"/>
        </w:rPr>
        <w:t>标</w:t>
      </w:r>
    </w:p>
    <w:p>
      <w:pPr>
        <w:jc w:val="center"/>
        <w:rPr>
          <w:color w:val="auto"/>
          <w:sz w:val="84"/>
          <w:szCs w:val="84"/>
          <w:highlight w:val="none"/>
        </w:rPr>
      </w:pPr>
      <w:r>
        <w:rPr>
          <w:rFonts w:hint="eastAsia"/>
          <w:color w:val="auto"/>
          <w:sz w:val="84"/>
          <w:szCs w:val="84"/>
          <w:highlight w:val="none"/>
          <w:lang w:val="zh-CN"/>
        </w:rPr>
        <w:t>文</w:t>
      </w:r>
    </w:p>
    <w:p>
      <w:pPr>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eastAsia="zh-CN"/>
        </w:rPr>
        <w:t>资格标</w:t>
      </w:r>
      <w:r>
        <w:rPr>
          <w:rFonts w:hint="eastAsia" w:ascii="宋体" w:hAnsi="宋体"/>
          <w:b/>
          <w:color w:val="auto"/>
          <w:sz w:val="28"/>
          <w:szCs w:val="28"/>
          <w:highlight w:val="none"/>
        </w:rPr>
        <w:t>）</w:t>
      </w:r>
    </w:p>
    <w:p>
      <w:pPr>
        <w:pStyle w:val="24"/>
        <w:rPr>
          <w:color w:val="auto"/>
          <w:highlight w:val="none"/>
        </w:rPr>
      </w:pP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pPr>
        <w:snapToGrid w:val="0"/>
        <w:spacing w:before="50" w:after="50" w:line="360" w:lineRule="auto"/>
        <w:rPr>
          <w:rFonts w:ascii="仿宋_GB2312" w:hAnsi="宋体" w:eastAsia="仿宋_GB2312"/>
          <w:b/>
          <w:color w:val="auto"/>
          <w:sz w:val="36"/>
          <w:szCs w:val="36"/>
          <w:highlight w:val="none"/>
        </w:rPr>
      </w:pPr>
    </w:p>
    <w:p>
      <w:pPr>
        <w:spacing w:line="360" w:lineRule="auto"/>
        <w:jc w:val="center"/>
        <w:rPr>
          <w:b/>
          <w:bCs/>
          <w:color w:val="auto"/>
          <w:sz w:val="36"/>
          <w:szCs w:val="36"/>
          <w:highlight w:val="none"/>
        </w:rPr>
      </w:pPr>
      <w:r>
        <w:rPr>
          <w:rFonts w:hint="eastAsia"/>
          <w:b/>
          <w:bCs/>
          <w:color w:val="auto"/>
          <w:sz w:val="36"/>
          <w:szCs w:val="36"/>
          <w:highlight w:val="none"/>
          <w:lang w:eastAsia="zh-CN"/>
        </w:rPr>
        <w:t>资格标</w:t>
      </w:r>
      <w:r>
        <w:rPr>
          <w:rFonts w:hint="eastAsia"/>
          <w:b/>
          <w:bCs/>
          <w:color w:val="auto"/>
          <w:sz w:val="36"/>
          <w:szCs w:val="36"/>
          <w:highlight w:val="none"/>
        </w:rPr>
        <w:t>目录</w:t>
      </w:r>
    </w:p>
    <w:p>
      <w:pPr>
        <w:spacing w:line="360" w:lineRule="auto"/>
        <w:ind w:firstLine="560" w:firstLineChars="200"/>
        <w:rPr>
          <w:color w:val="auto"/>
          <w:sz w:val="28"/>
          <w:szCs w:val="36"/>
          <w:highlight w:val="none"/>
        </w:rPr>
      </w:pP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（1）投标声明书（附件1）；</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）具有依法缴纳税收和社会保障资金证明的承诺函（附件3）；</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）具有良好的商业信誉和健全的财务会计制度的承诺函（附件4）；</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）具有履行合同所必须的设备和专业技术能力的承诺函（附件5）；</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）需要说明的其他资料。</w:t>
      </w:r>
    </w:p>
    <w:p>
      <w:pPr>
        <w:spacing w:line="360" w:lineRule="auto"/>
        <w:rPr>
          <w:rFonts w:ascii="宋体" w:hAnsi="宋体"/>
          <w:b/>
          <w:color w:val="auto"/>
          <w:sz w:val="28"/>
          <w:highlight w:val="none"/>
        </w:rPr>
      </w:pPr>
    </w:p>
    <w:p>
      <w:pPr>
        <w:spacing w:line="360" w:lineRule="auto"/>
        <w:ind w:left="420"/>
        <w:rPr>
          <w:rFonts w:ascii="宋体" w:hAnsi="宋体"/>
          <w:b/>
          <w:color w:val="auto"/>
          <w:sz w:val="28"/>
          <w:highlight w:val="none"/>
        </w:rPr>
      </w:pPr>
    </w:p>
    <w:p>
      <w:pPr>
        <w:pStyle w:val="33"/>
        <w:rPr>
          <w:rFonts w:ascii="宋体" w:hAnsi="宋体"/>
          <w:b/>
          <w:color w:val="auto"/>
          <w:sz w:val="28"/>
          <w:highlight w:val="none"/>
        </w:rPr>
      </w:pPr>
    </w:p>
    <w:p>
      <w:pPr>
        <w:pStyle w:val="33"/>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rPr>
          <w:rFonts w:ascii="宋体" w:hAnsi="宋体"/>
          <w:b/>
          <w:color w:val="auto"/>
          <w:sz w:val="28"/>
          <w:highlight w:val="none"/>
        </w:rPr>
      </w:pPr>
    </w:p>
    <w:p>
      <w:pPr>
        <w:pStyle w:val="5"/>
        <w:numPr>
          <w:ilvl w:val="0"/>
          <w:numId w:val="0"/>
        </w:numPr>
        <w:ind w:left="425"/>
        <w:jc w:val="both"/>
        <w:rPr>
          <w:color w:val="auto"/>
          <w:highlight w:val="none"/>
        </w:rPr>
      </w:pPr>
    </w:p>
    <w:p>
      <w:pPr>
        <w:rPr>
          <w:color w:val="auto"/>
          <w:highlight w:val="none"/>
        </w:rPr>
      </w:pPr>
    </w:p>
    <w:p>
      <w:pPr>
        <w:pStyle w:val="8"/>
        <w:rPr>
          <w:rFonts w:ascii="宋体" w:hAnsi="宋体"/>
          <w:b/>
          <w:color w:val="auto"/>
          <w:sz w:val="28"/>
          <w:highlight w:val="none"/>
        </w:rPr>
      </w:pPr>
    </w:p>
    <w:p>
      <w:pPr>
        <w:pStyle w:val="8"/>
        <w:rPr>
          <w:rFonts w:ascii="宋体" w:hAnsi="宋体"/>
          <w:b/>
          <w:color w:val="auto"/>
          <w:sz w:val="28"/>
          <w:highlight w:val="none"/>
        </w:rPr>
      </w:pPr>
    </w:p>
    <w:p>
      <w:pPr>
        <w:rPr>
          <w:rFonts w:ascii="宋体" w:hAnsi="宋体"/>
          <w:b/>
          <w:color w:val="auto"/>
          <w:sz w:val="28"/>
          <w:highlight w:val="none"/>
        </w:rPr>
      </w:pPr>
    </w:p>
    <w:p>
      <w:pPr>
        <w:pStyle w:val="24"/>
        <w:rPr>
          <w:color w:val="auto"/>
          <w:highlight w:val="none"/>
        </w:rPr>
      </w:pPr>
    </w:p>
    <w:p>
      <w:pPr>
        <w:spacing w:line="312" w:lineRule="auto"/>
        <w:rPr>
          <w:rFonts w:ascii="宋体" w:hAnsi="宋体"/>
          <w:b/>
          <w:color w:val="auto"/>
          <w:sz w:val="28"/>
          <w:highlight w:val="none"/>
        </w:rPr>
      </w:pPr>
      <w:r>
        <w:rPr>
          <w:rFonts w:hint="eastAsia" w:ascii="宋体" w:hAnsi="宋体"/>
          <w:b/>
          <w:color w:val="auto"/>
          <w:sz w:val="28"/>
          <w:highlight w:val="none"/>
        </w:rPr>
        <w:t>附件1</w:t>
      </w:r>
    </w:p>
    <w:p>
      <w:pPr>
        <w:adjustRightInd w:val="0"/>
        <w:snapToGrid w:val="0"/>
        <w:spacing w:line="312" w:lineRule="auto"/>
        <w:ind w:right="480"/>
        <w:jc w:val="center"/>
        <w:rPr>
          <w:rFonts w:ascii="宋体" w:hAnsi="宋体"/>
          <w:b/>
          <w:color w:val="auto"/>
          <w:kern w:val="0"/>
          <w:sz w:val="32"/>
          <w:szCs w:val="32"/>
          <w:highlight w:val="none"/>
          <w:lang w:val="zh-CN"/>
        </w:rPr>
      </w:pPr>
      <w:bookmarkStart w:id="43" w:name="_Toc31708_WPSOffice_Level1"/>
      <w:bookmarkStart w:id="44" w:name="_Toc30723_WPSOffice_Level1"/>
      <w:r>
        <w:rPr>
          <w:rFonts w:hint="eastAsia" w:ascii="宋体" w:hAnsi="宋体"/>
          <w:b/>
          <w:color w:val="auto"/>
          <w:kern w:val="0"/>
          <w:sz w:val="32"/>
          <w:szCs w:val="32"/>
          <w:highlight w:val="none"/>
          <w:lang w:val="zh-CN"/>
        </w:rPr>
        <w:t>投标声明书</w:t>
      </w:r>
      <w:bookmarkEnd w:id="43"/>
      <w:bookmarkEnd w:id="44"/>
    </w:p>
    <w:p>
      <w:pPr>
        <w:snapToGrid w:val="0"/>
        <w:spacing w:before="120" w:beforeLines="50" w:after="50" w:line="312" w:lineRule="auto"/>
        <w:rPr>
          <w:rFonts w:ascii="宋体" w:hAnsi="宋体" w:cs="宋体"/>
          <w:color w:val="auto"/>
          <w:kern w:val="0"/>
          <w:sz w:val="24"/>
          <w:highlight w:val="none"/>
        </w:rPr>
      </w:pPr>
      <w:r>
        <w:rPr>
          <w:rFonts w:hint="eastAsia" w:ascii="宋体" w:hAnsi="宋体" w:cs="宋体"/>
          <w:color w:val="auto"/>
          <w:kern w:val="0"/>
          <w:sz w:val="24"/>
          <w:highlight w:val="none"/>
          <w:u w:val="single"/>
          <w:lang w:eastAsia="zh-CN"/>
        </w:rPr>
        <w:t>台州市自然资源和规划局台州湾新区（高新区）分局</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系中华人民共和国合法企业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二类事业单位</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，经营地址。</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 xml:space="preserve">              招标项目名称                </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pPr>
        <w:numPr>
          <w:ilvl w:val="0"/>
          <w:numId w:val="11"/>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1"/>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11"/>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pPr>
        <w:numPr>
          <w:ilvl w:val="0"/>
          <w:numId w:val="11"/>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numPr>
          <w:ilvl w:val="0"/>
          <w:numId w:val="11"/>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numPr>
          <w:ilvl w:val="0"/>
          <w:numId w:val="11"/>
        </w:numPr>
        <w:snapToGrid w:val="0"/>
        <w:spacing w:line="360" w:lineRule="auto"/>
        <w:ind w:left="5" w:firstLine="415"/>
        <w:rPr>
          <w:color w:val="auto"/>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adjustRightInd w:val="0"/>
        <w:snapToGrid w:val="0"/>
        <w:spacing w:line="360" w:lineRule="auto"/>
        <w:ind w:firstLine="4838" w:firstLineChars="2016"/>
        <w:rPr>
          <w:rFonts w:hint="eastAsia" w:ascii="宋体" w:hAnsi="宋体"/>
          <w:b/>
          <w:color w:val="auto"/>
          <w:sz w:val="28"/>
          <w:highlight w:val="none"/>
        </w:rPr>
      </w:pPr>
      <w:r>
        <w:rPr>
          <w:rFonts w:hint="eastAsia" w:ascii="宋体" w:hAnsi="宋体" w:cs="仿宋_GB2312"/>
          <w:color w:val="auto"/>
          <w:kern w:val="0"/>
          <w:sz w:val="24"/>
          <w:highlight w:val="none"/>
          <w:lang w:val="zh-CN"/>
        </w:rPr>
        <w:t>日期：    年   月   日</w:t>
      </w: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pPr>
        <w:spacing w:line="360" w:lineRule="auto"/>
        <w:ind w:firstLine="321" w:firstLineChars="100"/>
        <w:jc w:val="center"/>
        <w:rPr>
          <w:rFonts w:hAnsi="宋体"/>
          <w:b/>
          <w:color w:val="auto"/>
          <w:sz w:val="32"/>
          <w:szCs w:val="32"/>
          <w:highlight w:val="none"/>
          <w:u w:val="single"/>
        </w:rPr>
      </w:pPr>
      <w:bookmarkStart w:id="45" w:name="_Toc24373_WPSOffice_Level1"/>
      <w:bookmarkStart w:id="46"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5"/>
      <w:bookmarkEnd w:id="46"/>
    </w:p>
    <w:p>
      <w:pPr>
        <w:snapToGrid w:val="0"/>
        <w:spacing w:before="120" w:beforeLines="50" w:after="50" w:line="360" w:lineRule="auto"/>
        <w:rPr>
          <w:rFonts w:ascii="宋体" w:hAnsi="宋体" w:cs="宋体"/>
          <w:color w:val="auto"/>
          <w:kern w:val="0"/>
          <w:sz w:val="24"/>
          <w:highlight w:val="none"/>
        </w:rPr>
      </w:pPr>
      <w:r>
        <w:rPr>
          <w:rFonts w:hint="eastAsia" w:ascii="宋体" w:hAnsi="宋体" w:cs="宋体"/>
          <w:color w:val="auto"/>
          <w:kern w:val="0"/>
          <w:sz w:val="24"/>
          <w:highlight w:val="none"/>
          <w:u w:val="single"/>
          <w:lang w:eastAsia="zh-CN"/>
        </w:rPr>
        <w:t>台州市自然资源和规划局台州湾新区（高新区）分局</w:t>
      </w:r>
      <w:r>
        <w:rPr>
          <w:rFonts w:hint="eastAsia" w:ascii="宋体" w:hAnsi="宋体" w:cs="宋体"/>
          <w:color w:val="auto"/>
          <w:kern w:val="0"/>
          <w:sz w:val="24"/>
          <w:highlight w:val="none"/>
        </w:rPr>
        <w:t>：</w:t>
      </w:r>
    </w:p>
    <w:p>
      <w:pPr>
        <w:pStyle w:val="14"/>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w:t>
      </w:r>
      <w:r>
        <w:rPr>
          <w:rFonts w:hint="eastAsia" w:hAnsi="宋体" w:cs="宋体"/>
          <w:color w:val="auto"/>
          <w:kern w:val="0"/>
          <w:sz w:val="24"/>
          <w:highlight w:val="none"/>
        </w:rPr>
        <w:t>（编号为</w:t>
      </w:r>
      <w:r>
        <w:rPr>
          <w:rFonts w:hint="eastAsia" w:hAnsi="宋体" w:cs="宋体"/>
          <w:color w:val="auto"/>
          <w:kern w:val="0"/>
          <w:sz w:val="24"/>
          <w:highlight w:val="none"/>
          <w:u w:val="single"/>
        </w:rPr>
        <w:t xml:space="preserve">           </w:t>
      </w:r>
      <w:r>
        <w:rPr>
          <w:rFonts w:hint="eastAsia" w:hAnsi="宋体" w:cs="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pPr>
        <w:pStyle w:val="14"/>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4"/>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r>
        <w:rPr>
          <w:rFonts w:hint="eastAsia" w:ascii="宋体"/>
          <w:color w:val="auto"/>
          <w:sz w:val="24"/>
          <w:highlight w:val="none"/>
        </w:rPr>
        <w:t>投标人全称（公章）：                              日期：</w:t>
      </w:r>
    </w:p>
    <w:p>
      <w:pPr>
        <w:spacing w:line="360" w:lineRule="auto"/>
        <w:rPr>
          <w:color w:val="auto"/>
          <w:sz w:val="24"/>
          <w:highlight w:val="none"/>
        </w:rPr>
      </w:pPr>
    </w:p>
    <w:p>
      <w:pPr>
        <w:spacing w:line="360" w:lineRule="auto"/>
        <w:rPr>
          <w:b/>
          <w:color w:val="auto"/>
          <w:sz w:val="24"/>
          <w:highlight w:val="none"/>
        </w:rPr>
      </w:pPr>
      <w:r>
        <w:rPr>
          <w:rFonts w:hint="eastAsia" w:ascii="宋体"/>
          <w:b/>
          <w:color w:val="auto"/>
          <w:sz w:val="24"/>
          <w:highlight w:val="none"/>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rPr>
          <w:rFonts w:hint="eastAsia" w:ascii="宋体" w:hAnsi="宋体"/>
          <w:b/>
          <w:color w:val="auto"/>
          <w:sz w:val="28"/>
          <w:highlight w:val="none"/>
        </w:rPr>
      </w:pPr>
      <w:r>
        <w:rPr>
          <w:rFonts w:hint="eastAsia" w:ascii="宋体" w:hAnsi="宋体"/>
          <w:b/>
          <w:color w:val="auto"/>
          <w:sz w:val="28"/>
          <w:highlight w:val="none"/>
        </w:rPr>
        <w:br w:type="page"/>
      </w:r>
      <w:bookmarkStart w:id="47" w:name="_Toc26389_WPSOffice_Level1"/>
      <w:bookmarkStart w:id="48" w:name="_Toc16825_WPSOffice_Level1"/>
      <w:bookmarkStart w:id="49" w:name="_Toc12331_WPSOffice_Level1"/>
    </w:p>
    <w:p>
      <w:pPr>
        <w:rPr>
          <w:rFonts w:ascii="宋体" w:hAnsi="宋体"/>
          <w:b/>
          <w:color w:val="auto"/>
          <w:sz w:val="28"/>
          <w:highlight w:val="none"/>
        </w:rPr>
      </w:pPr>
      <w:r>
        <w:rPr>
          <w:rFonts w:hint="eastAsia" w:ascii="宋体" w:hAnsi="宋体"/>
          <w:b/>
          <w:color w:val="auto"/>
          <w:sz w:val="28"/>
          <w:highlight w:val="none"/>
        </w:rPr>
        <w:t>附件3</w:t>
      </w:r>
    </w:p>
    <w:p>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pPr>
        <w:widowControl/>
        <w:adjustRightInd w:val="0"/>
        <w:snapToGrid w:val="0"/>
        <w:jc w:val="center"/>
        <w:rPr>
          <w:rFonts w:ascii="宋体" w:hAnsi="宋体"/>
          <w:b/>
          <w:color w:val="auto"/>
          <w:kern w:val="0"/>
          <w:sz w:val="32"/>
          <w:szCs w:val="32"/>
          <w:highlight w:val="none"/>
        </w:rPr>
      </w:pPr>
    </w:p>
    <w:p>
      <w:pPr>
        <w:widowControl/>
        <w:adjustRightInd w:val="0"/>
        <w:snapToGrid w:val="0"/>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pPr>
        <w:adjustRightInd w:val="0"/>
        <w:snapToGrid w:val="0"/>
        <w:jc w:val="left"/>
        <w:rPr>
          <w:rFonts w:ascii="宋体" w:hAnsi="宋体"/>
          <w:b/>
          <w:color w:val="auto"/>
          <w:kern w:val="0"/>
          <w:sz w:val="32"/>
          <w:szCs w:val="32"/>
          <w:highlight w:val="none"/>
        </w:rPr>
      </w:pPr>
    </w:p>
    <w:p>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台州市自然资源和规划局台州湾新区（高新区）分局</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pPr>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附件4</w:t>
      </w:r>
    </w:p>
    <w:p>
      <w:pPr>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pPr>
        <w:jc w:val="center"/>
        <w:rPr>
          <w:rFonts w:ascii="宋体" w:hAnsi="宋体"/>
          <w:b/>
          <w:color w:val="auto"/>
          <w:kern w:val="0"/>
          <w:sz w:val="32"/>
          <w:szCs w:val="32"/>
          <w:highlight w:val="none"/>
        </w:rPr>
      </w:pPr>
    </w:p>
    <w:p>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台州市自然资源和规划局台州湾新区（高新区）分局</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pPr>
        <w:jc w:val="center"/>
        <w:rPr>
          <w:rFonts w:ascii="宋体" w:hAnsi="宋体"/>
          <w:b/>
          <w:color w:val="auto"/>
          <w:kern w:val="0"/>
          <w:sz w:val="32"/>
          <w:szCs w:val="32"/>
          <w:highlight w:val="none"/>
        </w:rPr>
      </w:pPr>
    </w:p>
    <w:p>
      <w:pPr>
        <w:jc w:val="center"/>
        <w:rPr>
          <w:rFonts w:ascii="宋体" w:hAnsi="宋体"/>
          <w:b/>
          <w:color w:val="auto"/>
          <w:kern w:val="0"/>
          <w:sz w:val="32"/>
          <w:szCs w:val="32"/>
          <w:highlight w:val="none"/>
        </w:rPr>
      </w:pPr>
    </w:p>
    <w:p>
      <w:pPr>
        <w:rPr>
          <w:rFonts w:ascii="宋体" w:hAnsi="宋体"/>
          <w:b/>
          <w:color w:val="auto"/>
          <w:kern w:val="0"/>
          <w:sz w:val="32"/>
          <w:szCs w:val="32"/>
          <w:highlight w:val="none"/>
        </w:rPr>
      </w:pPr>
      <w:r>
        <w:rPr>
          <w:rFonts w:ascii="宋体" w:hAnsi="宋体"/>
          <w:b/>
          <w:color w:val="auto"/>
          <w:kern w:val="0"/>
          <w:sz w:val="32"/>
          <w:szCs w:val="32"/>
          <w:highlight w:val="none"/>
        </w:rPr>
        <w:br w:type="page"/>
      </w:r>
    </w:p>
    <w:p>
      <w:pPr>
        <w:jc w:val="left"/>
        <w:rPr>
          <w:rFonts w:ascii="宋体" w:hAnsi="宋体"/>
          <w:b/>
          <w:color w:val="auto"/>
          <w:kern w:val="0"/>
          <w:sz w:val="32"/>
          <w:szCs w:val="32"/>
          <w:highlight w:val="none"/>
        </w:rPr>
      </w:pPr>
      <w:r>
        <w:rPr>
          <w:rFonts w:hint="eastAsia" w:ascii="宋体" w:hAnsi="宋体"/>
          <w:b/>
          <w:color w:val="auto"/>
          <w:kern w:val="0"/>
          <w:sz w:val="32"/>
          <w:szCs w:val="32"/>
          <w:highlight w:val="none"/>
        </w:rPr>
        <w:t>附件5</w:t>
      </w:r>
    </w:p>
    <w:p>
      <w:pPr>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pPr>
        <w:jc w:val="center"/>
        <w:rPr>
          <w:rFonts w:ascii="宋体" w:hAnsi="宋体"/>
          <w:b/>
          <w:color w:val="auto"/>
          <w:sz w:val="28"/>
          <w:highlight w:val="none"/>
        </w:rPr>
      </w:pPr>
    </w:p>
    <w:p>
      <w:pPr>
        <w:widowControl/>
        <w:shd w:val="clear" w:color="auto" w:fill="FFFFFF"/>
        <w:snapToGrid w:val="0"/>
        <w:spacing w:after="50" w:line="48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台州市自然资源和规划局台州湾新区（高新区）分局</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sz w:val="24"/>
          <w:highlight w:val="none"/>
          <w:u w:val="single"/>
          <w:lang w:eastAsia="zh-CN"/>
        </w:rPr>
        <w:t>台州湾新区重点防御区和承灾体海水越堤淹没调查评估和风险预警试点项目（重新招标）</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lang w:val="en-US" w:eastAsia="zh-CN"/>
        </w:rPr>
        <w:t xml:space="preserve">            </w:t>
      </w:r>
      <w:r>
        <w:rPr>
          <w:rFonts w:hint="eastAsia" w:hAnsi="宋体" w:cs="宋体"/>
          <w:color w:val="auto"/>
          <w:kern w:val="0"/>
          <w:sz w:val="24"/>
          <w:highlight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pPr>
        <w:jc w:val="center"/>
        <w:rPr>
          <w:color w:val="auto"/>
          <w:sz w:val="52"/>
          <w:szCs w:val="52"/>
          <w:highlight w:val="none"/>
        </w:rPr>
      </w:pPr>
    </w:p>
    <w:p>
      <w:pPr>
        <w:jc w:val="center"/>
        <w:rPr>
          <w:color w:val="auto"/>
          <w:sz w:val="52"/>
          <w:szCs w:val="52"/>
          <w:highlight w:val="none"/>
        </w:rPr>
      </w:pPr>
    </w:p>
    <w:p>
      <w:pPr>
        <w:jc w:val="center"/>
        <w:rPr>
          <w:color w:val="auto"/>
          <w:sz w:val="52"/>
          <w:szCs w:val="52"/>
          <w:highlight w:val="none"/>
        </w:rPr>
      </w:pPr>
    </w:p>
    <w:p>
      <w:pPr>
        <w:rPr>
          <w:color w:val="auto"/>
          <w:sz w:val="52"/>
          <w:szCs w:val="52"/>
          <w:highlight w:val="none"/>
        </w:rPr>
      </w:pPr>
    </w:p>
    <w:p>
      <w:pPr>
        <w:pStyle w:val="5"/>
        <w:numPr>
          <w:ilvl w:val="0"/>
          <w:numId w:val="0"/>
        </w:numPr>
        <w:jc w:val="both"/>
        <w:rPr>
          <w:color w:val="auto"/>
          <w:highlight w:val="none"/>
        </w:rPr>
      </w:pPr>
    </w:p>
    <w:p>
      <w:pPr>
        <w:jc w:val="center"/>
        <w:rPr>
          <w:color w:val="auto"/>
          <w:sz w:val="52"/>
          <w:szCs w:val="52"/>
          <w:highlight w:val="none"/>
        </w:rPr>
      </w:pPr>
    </w:p>
    <w:p>
      <w:pPr>
        <w:pStyle w:val="5"/>
        <w:numPr>
          <w:ilvl w:val="0"/>
          <w:numId w:val="0"/>
        </w:numPr>
        <w:ind w:left="425"/>
        <w:jc w:val="both"/>
        <w:rPr>
          <w:color w:val="auto"/>
          <w:highlight w:val="none"/>
        </w:rPr>
      </w:pPr>
    </w:p>
    <w:p>
      <w:pPr>
        <w:rPr>
          <w:color w:val="auto"/>
          <w:highlight w:val="none"/>
        </w:rPr>
      </w:pPr>
    </w:p>
    <w:bookmarkEnd w:id="47"/>
    <w:bookmarkEnd w:id="48"/>
    <w:bookmarkEnd w:id="49"/>
    <w:p>
      <w:pPr>
        <w:jc w:val="center"/>
        <w:rPr>
          <w:color w:val="auto"/>
          <w:highlight w:val="none"/>
        </w:rPr>
      </w:pPr>
    </w:p>
    <w:p>
      <w:pPr>
        <w:jc w:val="center"/>
        <w:rPr>
          <w:rFonts w:hint="eastAsia"/>
          <w:color w:val="auto"/>
          <w:sz w:val="44"/>
          <w:szCs w:val="44"/>
          <w:highlight w:val="none"/>
          <w:lang w:eastAsia="zh-CN"/>
        </w:rPr>
      </w:pPr>
      <w:r>
        <w:rPr>
          <w:rFonts w:hint="eastAsia"/>
          <w:color w:val="auto"/>
          <w:sz w:val="44"/>
          <w:szCs w:val="44"/>
          <w:highlight w:val="none"/>
          <w:lang w:eastAsia="zh-CN"/>
        </w:rPr>
        <w:t>台州湾新区重点防御区和承灾体海水越堤淹没调查评估和风险预警试点项目</w:t>
      </w:r>
    </w:p>
    <w:p>
      <w:pPr>
        <w:jc w:val="center"/>
        <w:rPr>
          <w:rFonts w:hint="eastAsia" w:eastAsia="宋体"/>
          <w:color w:val="auto"/>
          <w:sz w:val="44"/>
          <w:szCs w:val="44"/>
          <w:highlight w:val="none"/>
          <w:lang w:eastAsia="zh-CN"/>
        </w:rPr>
      </w:pPr>
      <w:r>
        <w:rPr>
          <w:rFonts w:hint="eastAsia"/>
          <w:color w:val="auto"/>
          <w:sz w:val="44"/>
          <w:szCs w:val="44"/>
          <w:highlight w:val="none"/>
          <w:lang w:eastAsia="zh-CN"/>
        </w:rPr>
        <w:t>（重新招标）</w:t>
      </w:r>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  ）</w:t>
      </w:r>
    </w:p>
    <w:p>
      <w:pPr>
        <w:autoSpaceDE w:val="0"/>
        <w:autoSpaceDN w:val="0"/>
        <w:adjustRightInd w:val="0"/>
        <w:spacing w:line="360" w:lineRule="auto"/>
        <w:jc w:val="center"/>
        <w:rPr>
          <w:rFonts w:ascii="宋体" w:hAnsi="宋体" w:cs="宋体"/>
          <w:color w:val="auto"/>
          <w:sz w:val="24"/>
          <w:highlight w:val="none"/>
          <w:lang w:val="zh-CN"/>
        </w:rPr>
      </w:pPr>
    </w:p>
    <w:p>
      <w:pPr>
        <w:jc w:val="center"/>
        <w:rPr>
          <w:color w:val="auto"/>
          <w:sz w:val="84"/>
          <w:szCs w:val="84"/>
          <w:highlight w:val="none"/>
          <w:lang w:val="zh-CN"/>
        </w:rPr>
      </w:pPr>
      <w:r>
        <w:rPr>
          <w:rFonts w:hint="eastAsia"/>
          <w:color w:val="auto"/>
          <w:sz w:val="84"/>
          <w:szCs w:val="84"/>
          <w:highlight w:val="none"/>
          <w:lang w:val="zh-CN"/>
        </w:rPr>
        <w:t>投</w:t>
      </w:r>
    </w:p>
    <w:p>
      <w:pPr>
        <w:jc w:val="center"/>
        <w:rPr>
          <w:color w:val="auto"/>
          <w:sz w:val="84"/>
          <w:szCs w:val="84"/>
          <w:highlight w:val="none"/>
          <w:lang w:val="zh-CN"/>
        </w:rPr>
      </w:pPr>
      <w:r>
        <w:rPr>
          <w:rFonts w:hint="eastAsia"/>
          <w:color w:val="auto"/>
          <w:sz w:val="84"/>
          <w:szCs w:val="84"/>
          <w:highlight w:val="none"/>
          <w:lang w:val="zh-CN"/>
        </w:rPr>
        <w:t>标</w:t>
      </w:r>
    </w:p>
    <w:p>
      <w:pPr>
        <w:jc w:val="center"/>
        <w:rPr>
          <w:color w:val="auto"/>
          <w:sz w:val="84"/>
          <w:szCs w:val="84"/>
          <w:highlight w:val="none"/>
        </w:rPr>
      </w:pPr>
      <w:r>
        <w:rPr>
          <w:rFonts w:hint="eastAsia"/>
          <w:color w:val="auto"/>
          <w:sz w:val="84"/>
          <w:szCs w:val="84"/>
          <w:highlight w:val="none"/>
          <w:lang w:val="zh-CN"/>
        </w:rPr>
        <w:t>文</w:t>
      </w:r>
    </w:p>
    <w:p>
      <w:pPr>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en-US" w:eastAsia="zh-CN"/>
        </w:rPr>
        <w:t>技术标</w:t>
      </w:r>
      <w:r>
        <w:rPr>
          <w:rFonts w:hint="eastAsia" w:ascii="宋体" w:hAnsi="宋体"/>
          <w:b/>
          <w:color w:val="auto"/>
          <w:sz w:val="28"/>
          <w:szCs w:val="28"/>
          <w:highlight w:val="none"/>
        </w:rPr>
        <w:t>）</w:t>
      </w:r>
    </w:p>
    <w:p>
      <w:pPr>
        <w:pStyle w:val="24"/>
        <w:rPr>
          <w:color w:val="auto"/>
          <w:highlight w:val="none"/>
        </w:rPr>
      </w:pP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napToGrid w:val="0"/>
        <w:spacing w:before="50" w:after="50" w:line="360" w:lineRule="auto"/>
        <w:rPr>
          <w:rFonts w:ascii="仿宋_GB2312" w:hAnsi="宋体" w:eastAsia="仿宋_GB2312"/>
          <w:b/>
          <w:color w:val="auto"/>
          <w:sz w:val="36"/>
          <w:szCs w:val="36"/>
          <w:highlight w:val="none"/>
        </w:rPr>
      </w:pPr>
    </w:p>
    <w:p>
      <w:pPr>
        <w:pStyle w:val="8"/>
        <w:rPr>
          <w:rFonts w:ascii="仿宋_GB2312" w:hAnsi="宋体" w:eastAsia="仿宋_GB2312"/>
          <w:b/>
          <w:color w:val="auto"/>
          <w:sz w:val="36"/>
          <w:szCs w:val="36"/>
          <w:highlight w:val="none"/>
        </w:rPr>
      </w:pPr>
    </w:p>
    <w:p>
      <w:pPr>
        <w:rPr>
          <w:b/>
          <w:bCs/>
          <w:color w:val="auto"/>
          <w:sz w:val="32"/>
          <w:szCs w:val="32"/>
          <w:highlight w:val="none"/>
          <w:lang w:val="zh-CN"/>
        </w:rPr>
      </w:pPr>
      <w:bookmarkStart w:id="50" w:name="_Toc11308_WPSOffice_Level1"/>
      <w:bookmarkStart w:id="51" w:name="_Toc5889_WPSOffice_Level1"/>
    </w:p>
    <w:p>
      <w:pPr>
        <w:jc w:val="center"/>
        <w:rPr>
          <w:b/>
          <w:bCs/>
          <w:color w:val="auto"/>
          <w:sz w:val="36"/>
          <w:szCs w:val="36"/>
          <w:highlight w:val="none"/>
          <w:lang w:val="zh-CN"/>
        </w:rPr>
      </w:pPr>
    </w:p>
    <w:p>
      <w:pPr>
        <w:jc w:val="center"/>
        <w:rPr>
          <w:b/>
          <w:bCs/>
          <w:color w:val="auto"/>
          <w:sz w:val="36"/>
          <w:szCs w:val="36"/>
          <w:highlight w:val="none"/>
          <w:lang w:val="zh-CN"/>
        </w:rPr>
      </w:pPr>
    </w:p>
    <w:p>
      <w:pPr>
        <w:jc w:val="center"/>
        <w:rPr>
          <w:b/>
          <w:bCs/>
          <w:color w:val="auto"/>
          <w:sz w:val="36"/>
          <w:szCs w:val="36"/>
          <w:highlight w:val="none"/>
          <w:lang w:val="zh-CN"/>
        </w:rPr>
      </w:pPr>
    </w:p>
    <w:p>
      <w:pPr>
        <w:jc w:val="center"/>
        <w:rPr>
          <w:b/>
          <w:bCs/>
          <w:color w:val="auto"/>
          <w:sz w:val="36"/>
          <w:szCs w:val="36"/>
          <w:highlight w:val="none"/>
          <w:lang w:val="zh-CN"/>
        </w:rPr>
      </w:pPr>
    </w:p>
    <w:p>
      <w:pPr>
        <w:jc w:val="center"/>
        <w:rPr>
          <w:b/>
          <w:bCs/>
          <w:color w:val="auto"/>
          <w:sz w:val="36"/>
          <w:szCs w:val="36"/>
          <w:highlight w:val="none"/>
        </w:rPr>
      </w:pPr>
      <w:r>
        <w:rPr>
          <w:rFonts w:hint="eastAsia"/>
          <w:b/>
          <w:bCs/>
          <w:color w:val="auto"/>
          <w:sz w:val="36"/>
          <w:szCs w:val="36"/>
          <w:highlight w:val="none"/>
          <w:lang w:val="en-US" w:eastAsia="zh-CN"/>
        </w:rPr>
        <w:t>技术标</w:t>
      </w:r>
      <w:r>
        <w:rPr>
          <w:rFonts w:hint="eastAsia"/>
          <w:b/>
          <w:bCs/>
          <w:color w:val="auto"/>
          <w:sz w:val="36"/>
          <w:szCs w:val="36"/>
          <w:highlight w:val="none"/>
        </w:rPr>
        <w:t>目录</w:t>
      </w:r>
      <w:bookmarkEnd w:id="50"/>
      <w:bookmarkEnd w:id="51"/>
    </w:p>
    <w:p>
      <w:pPr>
        <w:spacing w:line="360" w:lineRule="auto"/>
        <w:rPr>
          <w:color w:val="auto"/>
          <w:sz w:val="24"/>
          <w:highlight w:val="none"/>
        </w:rPr>
      </w:pP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（1）投标人基本情况表（附件6）；</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（2）技术方案（包括</w:t>
      </w:r>
      <w:r>
        <w:rPr>
          <w:rFonts w:hint="eastAsia" w:ascii="Calibri" w:hAnsi="Calibri" w:cs="Calibri"/>
          <w:color w:val="auto"/>
          <w:sz w:val="24"/>
          <w:highlight w:val="none"/>
        </w:rPr>
        <w:t>项目需求的理解与分析、项目实施方案、重难点分析、保障措施、进度安排等</w:t>
      </w:r>
      <w:r>
        <w:rPr>
          <w:rFonts w:hint="eastAsia" w:ascii="宋体" w:hAnsi="宋体"/>
          <w:bCs/>
          <w:color w:val="auto"/>
          <w:sz w:val="24"/>
          <w:highlight w:val="none"/>
        </w:rPr>
        <w:t>）；</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（3）项目负责人资格情况表（附件7）；</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（4）项目实施人员一览表（附件8）；</w:t>
      </w:r>
    </w:p>
    <w:p>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服务条款响应表（附件9）；</w:t>
      </w:r>
    </w:p>
    <w:p>
      <w:pPr>
        <w:pStyle w:val="8"/>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（6）证书一览表（与本项目相关的认证证书或文件；附件10）；</w:t>
      </w:r>
    </w:p>
    <w:p>
      <w:pPr>
        <w:pStyle w:val="8"/>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（7）同类业绩证明（如有，需提供合同复印件；附件11）；</w:t>
      </w:r>
    </w:p>
    <w:p>
      <w:pPr>
        <w:pStyle w:val="8"/>
        <w:spacing w:line="360" w:lineRule="auto"/>
        <w:ind w:left="420" w:firstLine="0"/>
        <w:rPr>
          <w:color w:val="auto"/>
          <w:sz w:val="28"/>
          <w:szCs w:val="28"/>
          <w:highlight w:val="none"/>
        </w:rPr>
      </w:pPr>
      <w:r>
        <w:rPr>
          <w:rFonts w:hint="eastAsia" w:ascii="宋体" w:hAnsi="宋体"/>
          <w:bCs/>
          <w:color w:val="auto"/>
          <w:sz w:val="24"/>
          <w:highlight w:val="none"/>
        </w:rPr>
        <w:t>（8）符合招标文件规定的其他证明文件及评分标准中涉及的其他材料。</w:t>
      </w:r>
    </w:p>
    <w:p>
      <w:pPr>
        <w:pStyle w:val="8"/>
        <w:spacing w:line="360" w:lineRule="auto"/>
        <w:ind w:firstLine="0"/>
        <w:rPr>
          <w:rFonts w:ascii="宋体" w:hAnsi="宋体"/>
          <w:bCs/>
          <w:color w:val="auto"/>
          <w:sz w:val="24"/>
          <w:highlight w:val="none"/>
        </w:rPr>
      </w:pPr>
    </w:p>
    <w:p>
      <w:pPr>
        <w:pStyle w:val="8"/>
        <w:spacing w:line="360" w:lineRule="auto"/>
        <w:ind w:firstLine="0"/>
        <w:rPr>
          <w:rFonts w:ascii="宋体" w:hAnsi="宋体"/>
          <w:bCs/>
          <w:color w:val="auto"/>
          <w:sz w:val="24"/>
          <w:highlight w:val="none"/>
        </w:rPr>
      </w:pPr>
    </w:p>
    <w:p>
      <w:pPr>
        <w:pStyle w:val="8"/>
        <w:spacing w:line="360" w:lineRule="auto"/>
        <w:ind w:firstLine="0"/>
        <w:rPr>
          <w:rFonts w:ascii="宋体" w:hAnsi="宋体"/>
          <w:bCs/>
          <w:color w:val="auto"/>
          <w:sz w:val="24"/>
          <w:highlight w:val="none"/>
        </w:rPr>
      </w:pPr>
    </w:p>
    <w:p>
      <w:pPr>
        <w:pStyle w:val="8"/>
        <w:spacing w:line="360" w:lineRule="auto"/>
        <w:ind w:firstLine="0"/>
        <w:rPr>
          <w:rFonts w:ascii="宋体" w:hAnsi="宋体"/>
          <w:bCs/>
          <w:color w:val="auto"/>
          <w:sz w:val="24"/>
          <w:highlight w:val="none"/>
        </w:rPr>
      </w:pPr>
    </w:p>
    <w:p>
      <w:pPr>
        <w:pStyle w:val="8"/>
        <w:spacing w:line="360" w:lineRule="auto"/>
        <w:ind w:firstLine="0"/>
        <w:rPr>
          <w:rFonts w:ascii="宋体" w:hAnsi="宋体"/>
          <w:bCs/>
          <w:color w:val="auto"/>
          <w:sz w:val="24"/>
          <w:highlight w:val="none"/>
        </w:rPr>
      </w:pPr>
    </w:p>
    <w:p>
      <w:pPr>
        <w:pStyle w:val="8"/>
        <w:spacing w:line="360" w:lineRule="auto"/>
        <w:ind w:firstLine="0"/>
        <w:rPr>
          <w:rFonts w:ascii="宋体" w:hAnsi="宋体"/>
          <w:bCs/>
          <w:color w:val="auto"/>
          <w:sz w:val="24"/>
          <w:highlight w:val="none"/>
        </w:rPr>
      </w:pPr>
    </w:p>
    <w:p>
      <w:pPr>
        <w:pStyle w:val="8"/>
        <w:spacing w:line="360" w:lineRule="auto"/>
        <w:ind w:firstLine="0"/>
        <w:rPr>
          <w:rFonts w:ascii="宋体" w:hAnsi="宋体"/>
          <w:bCs/>
          <w:color w:val="auto"/>
          <w:sz w:val="24"/>
          <w:highlight w:val="none"/>
        </w:rPr>
      </w:pPr>
    </w:p>
    <w:p>
      <w:pPr>
        <w:pStyle w:val="8"/>
        <w:spacing w:line="360" w:lineRule="auto"/>
        <w:ind w:firstLine="0"/>
        <w:rPr>
          <w:rFonts w:ascii="宋体" w:hAnsi="宋体"/>
          <w:bCs/>
          <w:color w:val="auto"/>
          <w:sz w:val="24"/>
          <w:highlight w:val="none"/>
        </w:rPr>
      </w:pPr>
    </w:p>
    <w:p>
      <w:pPr>
        <w:rPr>
          <w:color w:val="auto"/>
          <w:highlight w:val="none"/>
        </w:rPr>
      </w:pPr>
    </w:p>
    <w:p>
      <w:pPr>
        <w:pStyle w:val="37"/>
        <w:shd w:val="clear" w:color="auto" w:fill="FFFFFF"/>
        <w:spacing w:before="0" w:beforeAutospacing="0" w:after="0" w:afterAutospacing="0" w:line="360" w:lineRule="auto"/>
        <w:rPr>
          <w:rFonts w:hint="eastAsia"/>
          <w:b/>
          <w:color w:val="auto"/>
          <w:sz w:val="28"/>
          <w:highlight w:val="none"/>
        </w:rPr>
      </w:pPr>
    </w:p>
    <w:p>
      <w:pPr>
        <w:pStyle w:val="37"/>
        <w:shd w:val="clear" w:color="auto" w:fill="FFFFFF"/>
        <w:spacing w:before="0" w:beforeAutospacing="0" w:after="0" w:afterAutospacing="0" w:line="360" w:lineRule="auto"/>
        <w:rPr>
          <w:rFonts w:hint="eastAsia"/>
          <w:b/>
          <w:color w:val="auto"/>
          <w:sz w:val="28"/>
          <w:highlight w:val="none"/>
        </w:rPr>
      </w:pPr>
    </w:p>
    <w:p>
      <w:pPr>
        <w:pStyle w:val="37"/>
        <w:shd w:val="clear" w:color="auto" w:fill="FFFFFF"/>
        <w:spacing w:before="0" w:beforeAutospacing="0" w:after="0" w:afterAutospacing="0" w:line="360" w:lineRule="auto"/>
        <w:rPr>
          <w:rFonts w:hint="eastAsia"/>
          <w:b/>
          <w:color w:val="auto"/>
          <w:sz w:val="28"/>
          <w:highlight w:val="none"/>
        </w:rPr>
      </w:pPr>
    </w:p>
    <w:p>
      <w:pPr>
        <w:pStyle w:val="37"/>
        <w:shd w:val="clear" w:color="auto" w:fill="FFFFFF"/>
        <w:spacing w:before="0" w:beforeAutospacing="0" w:after="0" w:afterAutospacing="0" w:line="360" w:lineRule="auto"/>
        <w:rPr>
          <w:rFonts w:hint="eastAsia"/>
          <w:b/>
          <w:color w:val="auto"/>
          <w:sz w:val="28"/>
          <w:highlight w:val="none"/>
        </w:rPr>
      </w:pPr>
    </w:p>
    <w:p>
      <w:pPr>
        <w:pStyle w:val="37"/>
        <w:shd w:val="clear" w:color="auto" w:fill="FFFFFF"/>
        <w:spacing w:before="0" w:beforeAutospacing="0" w:after="0" w:afterAutospacing="0" w:line="360" w:lineRule="auto"/>
        <w:rPr>
          <w:b/>
          <w:color w:val="auto"/>
          <w:sz w:val="28"/>
          <w:highlight w:val="none"/>
        </w:rPr>
      </w:pPr>
      <w:r>
        <w:rPr>
          <w:rFonts w:hint="eastAsia"/>
          <w:b/>
          <w:color w:val="auto"/>
          <w:sz w:val="28"/>
          <w:highlight w:val="none"/>
        </w:rPr>
        <w:t>附件6</w:t>
      </w:r>
    </w:p>
    <w:p>
      <w:pPr>
        <w:pStyle w:val="37"/>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w:t>
      </w:r>
      <w:bookmarkStart w:id="52" w:name="_Toc14261_WPSOffice_Level1"/>
      <w:bookmarkStart w:id="53" w:name="_Toc13307_WPSOffice_Level1"/>
      <w:r>
        <w:rPr>
          <w:rFonts w:hint="eastAsia"/>
          <w:b/>
          <w:color w:val="auto"/>
          <w:sz w:val="32"/>
          <w:szCs w:val="32"/>
          <w:highlight w:val="none"/>
        </w:rPr>
        <w:t>投标</w:t>
      </w:r>
      <w:r>
        <w:rPr>
          <w:rFonts w:hint="eastAsia"/>
          <w:b/>
          <w:bCs/>
          <w:color w:val="auto"/>
          <w:sz w:val="32"/>
          <w:szCs w:val="32"/>
          <w:highlight w:val="none"/>
        </w:rPr>
        <w:t>人基本情况表</w:t>
      </w:r>
      <w:bookmarkEnd w:id="52"/>
      <w:bookmarkEnd w:id="53"/>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2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企业名称</w:t>
            </w:r>
          </w:p>
        </w:tc>
        <w:tc>
          <w:tcPr>
            <w:tcW w:w="3979" w:type="dxa"/>
            <w:gridSpan w:val="6"/>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法人代表</w:t>
            </w:r>
          </w:p>
        </w:tc>
        <w:tc>
          <w:tcPr>
            <w:tcW w:w="2151" w:type="dxa"/>
            <w:gridSpan w:val="2"/>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2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企业性质</w:t>
            </w:r>
          </w:p>
        </w:tc>
        <w:tc>
          <w:tcPr>
            <w:tcW w:w="2151" w:type="dxa"/>
            <w:gridSpan w:val="2"/>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23" w:type="dxa"/>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37"/>
              <w:shd w:val="clear" w:color="auto" w:fill="FFFFFF"/>
              <w:spacing w:before="0" w:beforeAutospacing="0" w:after="0" w:afterAutospacing="0"/>
              <w:jc w:val="center"/>
              <w:rPr>
                <w:bCs/>
                <w:color w:val="auto"/>
                <w:highlight w:val="none"/>
              </w:rPr>
            </w:pPr>
          </w:p>
        </w:tc>
        <w:tc>
          <w:tcPr>
            <w:tcW w:w="2001" w:type="dxa"/>
            <w:gridSpan w:val="3"/>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传真</w:t>
            </w:r>
          </w:p>
        </w:tc>
        <w:tc>
          <w:tcPr>
            <w:tcW w:w="2151" w:type="dxa"/>
            <w:gridSpan w:val="2"/>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2001" w:type="dxa"/>
            <w:gridSpan w:val="3"/>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2151" w:type="dxa"/>
            <w:gridSpan w:val="2"/>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23" w:type="dxa"/>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pPr>
              <w:pStyle w:val="37"/>
              <w:shd w:val="clear" w:color="auto" w:fill="FFFFFF"/>
              <w:spacing w:before="0" w:beforeAutospacing="0" w:after="0" w:afterAutospacing="0"/>
              <w:jc w:val="center"/>
              <w:rPr>
                <w:bCs/>
                <w:color w:val="auto"/>
                <w:highlight w:val="none"/>
              </w:rPr>
            </w:pPr>
            <w:r>
              <w:rPr>
                <w:rFonts w:hint="eastAsia"/>
                <w:bCs/>
                <w:color w:val="auto"/>
                <w:highlight w:val="none"/>
              </w:rPr>
              <w:t>企</w:t>
            </w:r>
          </w:p>
          <w:p>
            <w:pPr>
              <w:pStyle w:val="37"/>
              <w:shd w:val="clear" w:color="auto" w:fill="FFFFFF"/>
              <w:spacing w:before="0" w:beforeAutospacing="0" w:after="0" w:afterAutospacing="0"/>
              <w:jc w:val="center"/>
              <w:rPr>
                <w:bCs/>
                <w:color w:val="auto"/>
                <w:highlight w:val="none"/>
              </w:rPr>
            </w:pPr>
            <w:r>
              <w:rPr>
                <w:rFonts w:hint="eastAsia"/>
                <w:bCs/>
                <w:color w:val="auto"/>
                <w:highlight w:val="none"/>
              </w:rPr>
              <w:t>业</w:t>
            </w:r>
          </w:p>
          <w:p>
            <w:pPr>
              <w:pStyle w:val="37"/>
              <w:shd w:val="clear" w:color="auto" w:fill="FFFFFF"/>
              <w:spacing w:before="0" w:beforeAutospacing="0" w:after="0" w:afterAutospacing="0"/>
              <w:jc w:val="center"/>
              <w:rPr>
                <w:bCs/>
                <w:color w:val="auto"/>
                <w:highlight w:val="none"/>
              </w:rPr>
            </w:pPr>
            <w:r>
              <w:rPr>
                <w:rFonts w:hint="eastAsia"/>
                <w:bCs/>
                <w:color w:val="auto"/>
                <w:highlight w:val="none"/>
              </w:rPr>
              <w:t>概</w:t>
            </w:r>
          </w:p>
          <w:p>
            <w:pPr>
              <w:pStyle w:val="37"/>
              <w:shd w:val="clear" w:color="auto" w:fill="FFFFFF"/>
              <w:spacing w:before="0" w:beforeAutospacing="0" w:after="0" w:afterAutospacing="0"/>
              <w:jc w:val="center"/>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职工人数</w:t>
            </w:r>
          </w:p>
        </w:tc>
        <w:tc>
          <w:tcPr>
            <w:tcW w:w="910" w:type="dxa"/>
            <w:gridSpan w:val="2"/>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1163" w:type="dxa"/>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widowControl/>
              <w:jc w:val="center"/>
              <w:rPr>
                <w:rFonts w:ascii="宋体" w:hAnsi="宋体" w:cs="宋体"/>
                <w:bCs/>
                <w:color w:val="auto"/>
                <w:kern w:val="0"/>
                <w:sz w:val="24"/>
                <w:highlight w:val="none"/>
              </w:rPr>
            </w:pPr>
          </w:p>
          <w:p>
            <w:pPr>
              <w:pStyle w:val="37"/>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37"/>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注册资金</w:t>
            </w:r>
          </w:p>
        </w:tc>
        <w:tc>
          <w:tcPr>
            <w:tcW w:w="910" w:type="dxa"/>
            <w:gridSpan w:val="2"/>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37"/>
              <w:shd w:val="clear" w:color="auto" w:fill="FFFFFF"/>
              <w:spacing w:before="0" w:beforeAutospacing="0" w:after="0" w:afterAutospacing="0"/>
              <w:jc w:val="center"/>
              <w:rPr>
                <w:bCs/>
                <w:color w:val="auto"/>
                <w:highlight w:val="none"/>
              </w:rPr>
            </w:pPr>
          </w:p>
        </w:tc>
        <w:tc>
          <w:tcPr>
            <w:tcW w:w="1218"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10"/>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8131" w:type="dxa"/>
            <w:gridSpan w:val="11"/>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rFonts w:hint="eastAsia"/>
                <w:bCs/>
                <w:color w:val="auto"/>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pPr>
              <w:pStyle w:val="37"/>
              <w:shd w:val="clear" w:color="auto" w:fill="FFFFFF"/>
              <w:spacing w:before="0" w:beforeAutospacing="0" w:after="0" w:afterAutospacing="0"/>
              <w:jc w:val="center"/>
              <w:rPr>
                <w:bCs/>
                <w:color w:val="auto"/>
                <w:highlight w:val="none"/>
              </w:rPr>
            </w:pPr>
            <w:r>
              <w:rPr>
                <w:rFonts w:hint="eastAsia"/>
                <w:bCs/>
                <w:color w:val="auto"/>
                <w:highlight w:val="none"/>
              </w:rPr>
              <w:t>企业有关资质获证情况</w:t>
            </w:r>
          </w:p>
        </w:tc>
        <w:tc>
          <w:tcPr>
            <w:tcW w:w="1553" w:type="dxa"/>
            <w:gridSpan w:val="2"/>
            <w:vMerge w:val="restart"/>
            <w:tcMar>
              <w:top w:w="57" w:type="dxa"/>
              <w:left w:w="85" w:type="dxa"/>
              <w:bottom w:w="0" w:type="dxa"/>
              <w:right w:w="85" w:type="dxa"/>
            </w:tcMar>
            <w:vAlign w:val="center"/>
          </w:tcPr>
          <w:p>
            <w:pPr>
              <w:pStyle w:val="37"/>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tcMar>
              <w:top w:w="57" w:type="dxa"/>
              <w:left w:w="85" w:type="dxa"/>
              <w:bottom w:w="0" w:type="dxa"/>
              <w:right w:w="85" w:type="dxa"/>
            </w:tcMar>
            <w:vAlign w:val="center"/>
          </w:tcPr>
          <w:p>
            <w:pPr>
              <w:pStyle w:val="37"/>
              <w:spacing w:before="0" w:beforeAutospacing="0" w:after="0" w:afterAutospacing="0"/>
              <w:jc w:val="center"/>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pPr>
              <w:pStyle w:val="37"/>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pPr>
              <w:pStyle w:val="37"/>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pPr>
              <w:pStyle w:val="37"/>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pPr>
              <w:pStyle w:val="37"/>
              <w:spacing w:before="0" w:beforeAutospacing="0" w:after="0" w:afterAutospacing="0"/>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color w:val="auto"/>
                <w:highlight w:val="none"/>
              </w:rPr>
            </w:pPr>
          </w:p>
        </w:tc>
        <w:tc>
          <w:tcPr>
            <w:tcW w:w="1553" w:type="dxa"/>
            <w:gridSpan w:val="2"/>
            <w:vMerge w:val="continue"/>
            <w:tcMar>
              <w:top w:w="57" w:type="dxa"/>
              <w:left w:w="85" w:type="dxa"/>
              <w:bottom w:w="0" w:type="dxa"/>
              <w:right w:w="85" w:type="dxa"/>
            </w:tcMar>
            <w:vAlign w:val="center"/>
          </w:tcPr>
          <w:p>
            <w:pPr>
              <w:pStyle w:val="37"/>
              <w:spacing w:before="0" w:beforeAutospacing="0" w:after="0" w:afterAutospacing="0"/>
              <w:jc w:val="center"/>
              <w:rPr>
                <w:bCs/>
                <w:color w:val="auto"/>
                <w:highlight w:val="none"/>
              </w:rPr>
            </w:pPr>
          </w:p>
        </w:tc>
        <w:tc>
          <w:tcPr>
            <w:tcW w:w="1333" w:type="dxa"/>
            <w:gridSpan w:val="3"/>
            <w:tcMar>
              <w:top w:w="57" w:type="dxa"/>
              <w:left w:w="85" w:type="dxa"/>
              <w:bottom w:w="0" w:type="dxa"/>
              <w:right w:w="85" w:type="dxa"/>
            </w:tcMar>
            <w:vAlign w:val="center"/>
          </w:tcPr>
          <w:p>
            <w:pPr>
              <w:pStyle w:val="37"/>
              <w:spacing w:before="0" w:beforeAutospacing="0" w:after="0" w:afterAutospacing="0"/>
              <w:jc w:val="center"/>
              <w:rPr>
                <w:bCs/>
                <w:color w:val="auto"/>
                <w:highlight w:val="none"/>
              </w:rPr>
            </w:pPr>
          </w:p>
        </w:tc>
        <w:tc>
          <w:tcPr>
            <w:tcW w:w="1418" w:type="dxa"/>
            <w:gridSpan w:val="2"/>
            <w:tcMar>
              <w:top w:w="57" w:type="dxa"/>
              <w:left w:w="85" w:type="dxa"/>
              <w:bottom w:w="0" w:type="dxa"/>
              <w:right w:w="85" w:type="dxa"/>
            </w:tcMar>
            <w:vAlign w:val="center"/>
          </w:tcPr>
          <w:p>
            <w:pPr>
              <w:pStyle w:val="37"/>
              <w:spacing w:before="0" w:beforeAutospacing="0" w:after="0" w:afterAutospacing="0"/>
              <w:jc w:val="center"/>
              <w:rPr>
                <w:bCs/>
                <w:color w:val="auto"/>
                <w:highlight w:val="none"/>
              </w:rPr>
            </w:pPr>
          </w:p>
        </w:tc>
        <w:tc>
          <w:tcPr>
            <w:tcW w:w="1276" w:type="dxa"/>
            <w:tcMar>
              <w:top w:w="57" w:type="dxa"/>
              <w:left w:w="85" w:type="dxa"/>
              <w:bottom w:w="0" w:type="dxa"/>
              <w:right w:w="85" w:type="dxa"/>
            </w:tcMar>
            <w:vAlign w:val="center"/>
          </w:tcPr>
          <w:p>
            <w:pPr>
              <w:pStyle w:val="37"/>
              <w:spacing w:before="0" w:beforeAutospacing="0" w:after="0" w:afterAutospacing="0"/>
              <w:jc w:val="center"/>
              <w:rPr>
                <w:bCs/>
                <w:color w:val="auto"/>
                <w:highlight w:val="none"/>
              </w:rPr>
            </w:pPr>
          </w:p>
        </w:tc>
        <w:tc>
          <w:tcPr>
            <w:tcW w:w="1618" w:type="dxa"/>
            <w:gridSpan w:val="2"/>
            <w:tcMar>
              <w:top w:w="57" w:type="dxa"/>
              <w:left w:w="85" w:type="dxa"/>
              <w:bottom w:w="0" w:type="dxa"/>
              <w:right w:w="85" w:type="dxa"/>
            </w:tcMar>
            <w:vAlign w:val="center"/>
          </w:tcPr>
          <w:p>
            <w:pPr>
              <w:pStyle w:val="37"/>
              <w:spacing w:before="0" w:beforeAutospacing="0" w:after="0" w:afterAutospacing="0"/>
              <w:jc w:val="center"/>
              <w:rPr>
                <w:bCs/>
                <w:color w:val="auto"/>
                <w:highlight w:val="none"/>
              </w:rPr>
            </w:pPr>
          </w:p>
        </w:tc>
        <w:tc>
          <w:tcPr>
            <w:tcW w:w="933" w:type="dxa"/>
            <w:tcMar>
              <w:top w:w="57" w:type="dxa"/>
              <w:left w:w="85" w:type="dxa"/>
              <w:bottom w:w="0" w:type="dxa"/>
              <w:right w:w="85" w:type="dxa"/>
            </w:tcMar>
            <w:vAlign w:val="center"/>
          </w:tcPr>
          <w:p>
            <w:pPr>
              <w:pStyle w:val="37"/>
              <w:spacing w:before="0" w:beforeAutospacing="0" w:after="0" w:afterAutospacing="0"/>
              <w:jc w:val="center"/>
              <w:rPr>
                <w:color w:val="auto"/>
                <w:highlight w:val="none"/>
              </w:rPr>
            </w:pPr>
          </w:p>
        </w:tc>
      </w:tr>
    </w:tbl>
    <w:p>
      <w:pPr>
        <w:spacing w:line="360" w:lineRule="auto"/>
        <w:ind w:firstLine="424" w:firstLineChars="177"/>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pStyle w:val="37"/>
        <w:shd w:val="clear" w:color="auto" w:fill="FFFFFF"/>
        <w:spacing w:before="0" w:beforeAutospacing="0" w:after="0" w:afterAutospacing="0" w:line="360" w:lineRule="auto"/>
        <w:ind w:firstLine="424" w:firstLineChars="177"/>
        <w:rPr>
          <w:rFonts w:hint="eastAsia" w:ascii="宋体" w:hAnsi="宋体"/>
          <w:b/>
          <w:color w:val="auto"/>
          <w:sz w:val="28"/>
          <w:highlight w:val="none"/>
        </w:rPr>
      </w:pPr>
      <w:r>
        <w:rPr>
          <w:rFonts w:hint="eastAsia"/>
          <w:color w:val="auto"/>
          <w:highlight w:val="none"/>
        </w:rPr>
        <w:t>日        期：</w:t>
      </w:r>
    </w:p>
    <w:p>
      <w:pPr>
        <w:pStyle w:val="24"/>
        <w:rPr>
          <w:rFonts w:hint="eastAsia"/>
          <w:color w:val="auto"/>
          <w:highlight w:val="none"/>
        </w:rPr>
      </w:pPr>
    </w:p>
    <w:p>
      <w:pPr>
        <w:rPr>
          <w:rFonts w:hint="eastAsia"/>
          <w:color w:val="auto"/>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附件7</w:t>
      </w:r>
    </w:p>
    <w:p>
      <w:pPr>
        <w:spacing w:before="120" w:beforeLines="50" w:after="12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bl>
    <w:p>
      <w:pPr>
        <w:spacing w:line="360" w:lineRule="auto"/>
        <w:ind w:left="420"/>
        <w:rPr>
          <w:rFonts w:ascii="宋体" w:hAnsi="宋体"/>
          <w:color w:val="auto"/>
          <w:sz w:val="24"/>
          <w:highlight w:val="none"/>
        </w:rPr>
      </w:pP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jc w:val="left"/>
        <w:rPr>
          <w:rFonts w:hint="eastAsia" w:ascii="宋体" w:hAnsi="宋体"/>
          <w:b/>
          <w:bCs/>
          <w:color w:val="auto"/>
          <w:kern w:val="0"/>
          <w:sz w:val="32"/>
          <w:szCs w:val="32"/>
          <w:highlight w:val="none"/>
        </w:rPr>
      </w:pPr>
      <w:bookmarkStart w:id="54" w:name="_Toc26601_WPSOffice_Level1"/>
      <w:bookmarkStart w:id="55" w:name="_Toc12856_WPSOffice_Level1"/>
    </w:p>
    <w:p>
      <w:pPr>
        <w:jc w:val="left"/>
        <w:rPr>
          <w:rFonts w:ascii="宋体" w:hAnsi="宋体"/>
          <w:b/>
          <w:bCs/>
          <w:color w:val="auto"/>
          <w:kern w:val="0"/>
          <w:sz w:val="32"/>
          <w:szCs w:val="32"/>
          <w:highlight w:val="none"/>
        </w:rPr>
      </w:pPr>
      <w:r>
        <w:rPr>
          <w:rFonts w:hint="eastAsia" w:ascii="宋体" w:hAnsi="宋体"/>
          <w:b/>
          <w:bCs/>
          <w:color w:val="auto"/>
          <w:kern w:val="0"/>
          <w:sz w:val="32"/>
          <w:szCs w:val="32"/>
          <w:highlight w:val="none"/>
        </w:rPr>
        <w:t>附件8</w:t>
      </w:r>
    </w:p>
    <w:p>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5"/>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color w:val="auto"/>
                <w:szCs w:val="21"/>
                <w:highlight w:val="none"/>
              </w:rPr>
            </w:pPr>
            <w:r>
              <w:rPr>
                <w:rFonts w:hint="eastAsia" w:ascii="宋体" w:hAnsi="宋体"/>
                <w:b/>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120"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pPr>
        <w:pStyle w:val="38"/>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w:t>
      </w:r>
    </w:p>
    <w:p>
      <w:pPr>
        <w:pStyle w:val="38"/>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ascii="宋体" w:hAnsi="宋体"/>
          <w:color w:val="auto"/>
          <w:szCs w:val="21"/>
          <w:highlight w:val="none"/>
        </w:rPr>
        <w:t>投标截止日之前的</w:t>
      </w:r>
      <w:r>
        <w:rPr>
          <w:rFonts w:hint="eastAsia" w:ascii="宋体" w:hAnsi="宋体"/>
          <w:color w:val="auto"/>
          <w:szCs w:val="21"/>
          <w:highlight w:val="none"/>
        </w:rPr>
        <w:t>代缴个税税单、参加社会保险的《投保单》或《社会保险参保人员证明》等。</w:t>
      </w:r>
    </w:p>
    <w:p>
      <w:pPr>
        <w:snapToGrid w:val="0"/>
        <w:spacing w:before="50" w:after="120" w:afterLines="50" w:line="360" w:lineRule="auto"/>
        <w:jc w:val="left"/>
        <w:rPr>
          <w:rFonts w:ascii="宋体" w:hAnsi="宋体"/>
          <w:color w:val="auto"/>
          <w:sz w:val="24"/>
          <w:szCs w:val="20"/>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jc w:val="left"/>
        <w:rPr>
          <w:rFonts w:ascii="宋体" w:hAnsi="宋体"/>
          <w:b/>
          <w:bCs/>
          <w:color w:val="auto"/>
          <w:kern w:val="0"/>
          <w:sz w:val="32"/>
          <w:szCs w:val="32"/>
          <w:highlight w:val="none"/>
        </w:rPr>
      </w:pPr>
    </w:p>
    <w:p>
      <w:pPr>
        <w:jc w:val="left"/>
        <w:rPr>
          <w:rFonts w:ascii="宋体" w:hAnsi="宋体"/>
          <w:b/>
          <w:bCs/>
          <w:color w:val="auto"/>
          <w:kern w:val="0"/>
          <w:sz w:val="32"/>
          <w:szCs w:val="32"/>
          <w:highlight w:val="none"/>
        </w:rPr>
      </w:pPr>
      <w:r>
        <w:rPr>
          <w:rFonts w:ascii="宋体" w:hAnsi="宋体"/>
          <w:b/>
          <w:bCs/>
          <w:color w:val="auto"/>
          <w:kern w:val="0"/>
          <w:sz w:val="32"/>
          <w:szCs w:val="32"/>
          <w:highlight w:val="none"/>
        </w:rPr>
        <w:br w:type="page"/>
      </w:r>
    </w:p>
    <w:p>
      <w:pPr>
        <w:spacing w:line="360" w:lineRule="auto"/>
        <w:jc w:val="left"/>
        <w:rPr>
          <w:rFonts w:ascii="宋体" w:hAnsi="宋体"/>
          <w:b/>
          <w:bCs/>
          <w:color w:val="auto"/>
          <w:kern w:val="0"/>
          <w:sz w:val="32"/>
          <w:szCs w:val="32"/>
          <w:highlight w:val="none"/>
        </w:rPr>
      </w:pPr>
      <w:r>
        <w:rPr>
          <w:rFonts w:hint="eastAsia" w:ascii="宋体" w:hAnsi="宋体"/>
          <w:b/>
          <w:bCs/>
          <w:color w:val="auto"/>
          <w:kern w:val="0"/>
          <w:sz w:val="32"/>
          <w:szCs w:val="32"/>
          <w:highlight w:val="none"/>
        </w:rPr>
        <w:t>附件9</w:t>
      </w:r>
    </w:p>
    <w:p>
      <w:pPr>
        <w:adjustRightInd w:val="0"/>
        <w:snapToGrid w:val="0"/>
        <w:ind w:firstLine="1205" w:firstLineChars="375"/>
        <w:jc w:val="center"/>
        <w:rPr>
          <w:rFonts w:ascii="宋体" w:hAnsi="宋体"/>
          <w:b/>
          <w:color w:val="auto"/>
          <w:kern w:val="0"/>
          <w:sz w:val="32"/>
          <w:szCs w:val="32"/>
          <w:highlight w:val="none"/>
        </w:rPr>
      </w:pPr>
      <w:r>
        <w:rPr>
          <w:rFonts w:ascii="宋体" w:hAnsi="宋体"/>
          <w:b/>
          <w:color w:val="auto"/>
          <w:kern w:val="0"/>
          <w:sz w:val="32"/>
          <w:szCs w:val="32"/>
          <w:highlight w:val="none"/>
        </w:rPr>
        <w:t>服务条款响应表</w:t>
      </w:r>
    </w:p>
    <w:p>
      <w:pPr>
        <w:adjustRightInd w:val="0"/>
        <w:snapToGrid w:val="0"/>
        <w:ind w:firstLine="1205" w:firstLineChars="375"/>
        <w:jc w:val="center"/>
        <w:rPr>
          <w:rFonts w:ascii="宋体" w:hAnsi="宋体"/>
          <w:b/>
          <w:color w:val="auto"/>
          <w:kern w:val="0"/>
          <w:sz w:val="32"/>
          <w:szCs w:val="32"/>
          <w:highlight w:val="none"/>
        </w:rPr>
      </w:pPr>
    </w:p>
    <w:tbl>
      <w:tblPr>
        <w:tblStyle w:val="25"/>
        <w:tblW w:w="52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3563"/>
        <w:gridCol w:w="2492"/>
        <w:gridCol w:w="124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序号</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u w:val="thick" w:color="FFFFFF"/>
              </w:rPr>
              <w:t>招标文件</w:t>
            </w:r>
            <w:r>
              <w:rPr>
                <w:rFonts w:ascii="宋体" w:hAnsi="宋体"/>
                <w:color w:val="auto"/>
                <w:sz w:val="24"/>
                <w:highlight w:val="none"/>
              </w:rPr>
              <w:t>要求</w:t>
            </w:r>
          </w:p>
        </w:tc>
        <w:tc>
          <w:tcPr>
            <w:tcW w:w="1401"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投标响应内容</w:t>
            </w:r>
          </w:p>
        </w:tc>
        <w:tc>
          <w:tcPr>
            <w:tcW w:w="698"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响应情况</w:t>
            </w:r>
          </w:p>
        </w:tc>
        <w:tc>
          <w:tcPr>
            <w:tcW w:w="400"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1</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（服务期）</w:t>
            </w: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2</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（付款方式）</w:t>
            </w: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3</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4</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5</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6</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7</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w:t>
            </w: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2003" w:type="pct"/>
            <w:vAlign w:val="center"/>
          </w:tcPr>
          <w:p>
            <w:pPr>
              <w:adjustRightInd w:val="0"/>
              <w:snapToGrid w:val="0"/>
              <w:spacing w:before="100" w:beforeAutospacing="1" w:after="100" w:afterAutospacing="1"/>
              <w:rPr>
                <w:rFonts w:ascii="宋体" w:hAnsi="宋体"/>
                <w:color w:val="auto"/>
                <w:sz w:val="24"/>
                <w:highlight w:val="none"/>
              </w:rPr>
            </w:pP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bl>
    <w:p>
      <w:pPr>
        <w:pStyle w:val="14"/>
        <w:adjustRightInd w:val="0"/>
        <w:snapToGrid w:val="0"/>
        <w:rPr>
          <w:rFonts w:hAnsi="宋体"/>
          <w:b/>
          <w:color w:val="auto"/>
          <w:szCs w:val="21"/>
          <w:highlight w:val="none"/>
        </w:rPr>
      </w:pPr>
      <w:r>
        <w:rPr>
          <w:rFonts w:hAnsi="宋体"/>
          <w:b/>
          <w:color w:val="auto"/>
          <w:szCs w:val="21"/>
          <w:highlight w:val="none"/>
        </w:rPr>
        <w:t>说明：1</w:t>
      </w:r>
      <w:r>
        <w:rPr>
          <w:rFonts w:hint="eastAsia" w:hAnsi="宋体"/>
          <w:b/>
          <w:color w:val="auto"/>
          <w:szCs w:val="21"/>
          <w:highlight w:val="none"/>
        </w:rPr>
        <w:t>、</w:t>
      </w:r>
      <w:r>
        <w:rPr>
          <w:rFonts w:hAnsi="宋体"/>
          <w:b/>
          <w:color w:val="auto"/>
          <w:szCs w:val="21"/>
          <w:highlight w:val="none"/>
        </w:rPr>
        <w:t>投标人若不填写</w:t>
      </w:r>
      <w:r>
        <w:rPr>
          <w:rFonts w:hint="eastAsia" w:hAnsi="宋体"/>
          <w:b/>
          <w:color w:val="auto"/>
          <w:szCs w:val="21"/>
          <w:highlight w:val="none"/>
        </w:rPr>
        <w:t>此表</w:t>
      </w:r>
      <w:r>
        <w:rPr>
          <w:rFonts w:hAnsi="宋体"/>
          <w:b/>
          <w:color w:val="auto"/>
          <w:szCs w:val="21"/>
          <w:highlight w:val="none"/>
        </w:rPr>
        <w:t>，则视为完全响应</w:t>
      </w:r>
      <w:r>
        <w:rPr>
          <w:rFonts w:hint="eastAsia" w:hAnsi="宋体"/>
          <w:b/>
          <w:color w:val="auto"/>
          <w:szCs w:val="21"/>
          <w:highlight w:val="none"/>
        </w:rPr>
        <w:t>招标</w:t>
      </w:r>
      <w:r>
        <w:rPr>
          <w:rFonts w:hAnsi="宋体"/>
          <w:b/>
          <w:color w:val="auto"/>
          <w:szCs w:val="21"/>
          <w:highlight w:val="none"/>
        </w:rPr>
        <w:t>文件要求</w:t>
      </w:r>
      <w:r>
        <w:rPr>
          <w:rFonts w:hint="eastAsia" w:hAnsi="宋体"/>
          <w:b/>
          <w:color w:val="auto"/>
          <w:szCs w:val="21"/>
          <w:highlight w:val="none"/>
        </w:rPr>
        <w:t>。</w:t>
      </w:r>
    </w:p>
    <w:p>
      <w:pPr>
        <w:pStyle w:val="14"/>
        <w:adjustRightInd w:val="0"/>
        <w:snapToGrid w:val="0"/>
        <w:rPr>
          <w:rFonts w:hAnsi="宋体"/>
          <w:b/>
          <w:color w:val="auto"/>
          <w:szCs w:val="21"/>
          <w:highlight w:val="none"/>
        </w:rPr>
      </w:pPr>
      <w:r>
        <w:rPr>
          <w:rFonts w:hint="eastAsia" w:hAnsi="宋体"/>
          <w:b/>
          <w:color w:val="auto"/>
          <w:szCs w:val="21"/>
          <w:highlight w:val="none"/>
        </w:rPr>
        <w:t xml:space="preserve">       2、</w:t>
      </w:r>
      <w:r>
        <w:rPr>
          <w:rFonts w:hAnsi="宋体"/>
          <w:b/>
          <w:color w:val="auto"/>
          <w:szCs w:val="21"/>
          <w:highlight w:val="none"/>
        </w:rPr>
        <w:t xml:space="preserve">投标人拟提供的服务承诺与招标文件中的要求不一致时，则必须在技术标《服务条款响应表》中予以明确。 </w:t>
      </w:r>
    </w:p>
    <w:p>
      <w:pPr>
        <w:adjustRightInd w:val="0"/>
        <w:snapToGrid w:val="0"/>
        <w:jc w:val="left"/>
        <w:rPr>
          <w:rFonts w:ascii="宋体" w:hAnsi="宋体"/>
          <w:b/>
          <w:color w:val="auto"/>
          <w:kern w:val="0"/>
          <w:szCs w:val="21"/>
          <w:highlight w:val="none"/>
        </w:rPr>
      </w:pPr>
      <w:r>
        <w:rPr>
          <w:rFonts w:hint="eastAsia" w:ascii="宋体" w:hAnsi="宋体"/>
          <w:b/>
          <w:color w:val="auto"/>
          <w:szCs w:val="21"/>
          <w:highlight w:val="none"/>
        </w:rPr>
        <w:t xml:space="preserve">       3</w:t>
      </w:r>
      <w:r>
        <w:rPr>
          <w:rFonts w:ascii="宋体" w:hAnsi="宋体"/>
          <w:b/>
          <w:color w:val="auto"/>
          <w:szCs w:val="21"/>
          <w:highlight w:val="none"/>
        </w:rPr>
        <w:t>、响应情况分别为：正偏离、响应或负偏离。投标人可在备注栏内就偏离原因进行简要说明。</w:t>
      </w:r>
    </w:p>
    <w:bookmarkEnd w:id="54"/>
    <w:bookmarkEnd w:id="55"/>
    <w:p>
      <w:pPr>
        <w:spacing w:line="360" w:lineRule="auto"/>
        <w:rPr>
          <w:rFonts w:ascii="宋体" w:hAnsi="宋体"/>
          <w:color w:val="auto"/>
          <w:sz w:val="24"/>
          <w:highlight w:val="none"/>
        </w:rPr>
      </w:pPr>
    </w:p>
    <w:p>
      <w:pPr>
        <w:pStyle w:val="24"/>
        <w:rPr>
          <w:color w:val="auto"/>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b/>
          <w:color w:val="auto"/>
          <w:sz w:val="28"/>
          <w:highlight w:val="none"/>
        </w:rPr>
      </w:pPr>
    </w:p>
    <w:p>
      <w:pPr>
        <w:rPr>
          <w:rFonts w:ascii="宋体" w:hAnsi="宋体"/>
          <w:b/>
          <w:color w:val="auto"/>
          <w:sz w:val="28"/>
          <w:highlight w:val="none"/>
        </w:rPr>
      </w:pPr>
      <w:r>
        <w:rPr>
          <w:rFonts w:hint="eastAsia" w:ascii="宋体" w:hAnsi="宋体"/>
          <w:b/>
          <w:color w:val="auto"/>
          <w:sz w:val="28"/>
          <w:highlight w:val="none"/>
        </w:rPr>
        <w:br w:type="page"/>
      </w:r>
    </w:p>
    <w:p>
      <w:pPr>
        <w:pStyle w:val="40"/>
        <w:spacing w:line="360" w:lineRule="auto"/>
        <w:jc w:val="left"/>
        <w:rPr>
          <w:rFonts w:ascii="宋体" w:hAnsi="宋体"/>
          <w:b/>
          <w:color w:val="auto"/>
          <w:sz w:val="28"/>
          <w:highlight w:val="none"/>
        </w:rPr>
      </w:pPr>
      <w:r>
        <w:rPr>
          <w:rFonts w:hint="eastAsia" w:ascii="宋体" w:hAnsi="宋体"/>
          <w:b/>
          <w:color w:val="auto"/>
          <w:sz w:val="28"/>
          <w:highlight w:val="none"/>
        </w:rPr>
        <w:t>附件10</w:t>
      </w:r>
    </w:p>
    <w:p>
      <w:pPr>
        <w:pStyle w:val="41"/>
        <w:spacing w:line="360" w:lineRule="auto"/>
        <w:jc w:val="center"/>
        <w:rPr>
          <w:rFonts w:ascii="宋体" w:hAnsi="宋体" w:cs="Arial"/>
          <w:color w:val="auto"/>
          <w:sz w:val="28"/>
          <w:szCs w:val="28"/>
          <w:highlight w:val="none"/>
        </w:rPr>
      </w:pPr>
      <w:bookmarkStart w:id="56" w:name="_Toc17604_WPSOffice_Level1"/>
      <w:bookmarkStart w:id="57" w:name="_Toc11030_WPSOffice_Level1"/>
      <w:r>
        <w:rPr>
          <w:rFonts w:hint="eastAsia" w:ascii="宋体" w:hAnsi="宋体"/>
          <w:b/>
          <w:color w:val="auto"/>
          <w:sz w:val="32"/>
          <w:szCs w:val="32"/>
          <w:highlight w:val="none"/>
        </w:rPr>
        <w:t>证书一览表</w:t>
      </w:r>
      <w:bookmarkEnd w:id="56"/>
      <w:bookmarkEnd w:id="57"/>
    </w:p>
    <w:tbl>
      <w:tblPr>
        <w:tblStyle w:val="25"/>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41"/>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58" w:type="dxa"/>
            <w:tcBorders>
              <w:top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60" w:type="dxa"/>
            <w:tcBorders>
              <w:top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58" w:type="dxa"/>
            <w:tcBorders>
              <w:bottom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60" w:type="dxa"/>
            <w:tcBorders>
              <w:bottom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pPr>
              <w:pStyle w:val="41"/>
              <w:spacing w:line="360" w:lineRule="auto"/>
              <w:jc w:val="center"/>
              <w:rPr>
                <w:rFonts w:ascii="宋体" w:hAnsi="宋体" w:cs="Arial"/>
                <w:color w:val="auto"/>
                <w:szCs w:val="21"/>
                <w:highlight w:val="none"/>
              </w:rPr>
            </w:pPr>
          </w:p>
        </w:tc>
      </w:tr>
    </w:tbl>
    <w:p>
      <w:pPr>
        <w:pStyle w:val="41"/>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41"/>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pPr>
        <w:pStyle w:val="41"/>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pPr>
        <w:pStyle w:val="41"/>
        <w:tabs>
          <w:tab w:val="left" w:pos="1050"/>
        </w:tabs>
        <w:spacing w:line="360" w:lineRule="auto"/>
        <w:rPr>
          <w:rFonts w:ascii="仿宋_GB2312" w:hAnsi="宋体" w:eastAsia="仿宋_GB2312"/>
          <w:color w:val="auto"/>
          <w:sz w:val="24"/>
          <w:highlight w:val="none"/>
        </w:rPr>
      </w:pPr>
    </w:p>
    <w:p>
      <w:pPr>
        <w:pStyle w:val="41"/>
        <w:tabs>
          <w:tab w:val="left" w:pos="1050"/>
        </w:tabs>
        <w:spacing w:line="360" w:lineRule="auto"/>
        <w:ind w:firstLine="720" w:firstLineChars="300"/>
        <w:rPr>
          <w:rFonts w:ascii="仿宋_GB2312" w:hAnsi="宋体" w:eastAsia="仿宋_GB2312"/>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pPr>
        <w:spacing w:line="360" w:lineRule="auto"/>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pStyle w:val="37"/>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pStyle w:val="24"/>
        <w:ind w:left="0" w:leftChars="0" w:firstLine="0" w:firstLineChars="0"/>
        <w:rPr>
          <w:rFonts w:ascii="宋体" w:hAnsi="宋体"/>
          <w:b/>
          <w:color w:val="auto"/>
          <w:sz w:val="28"/>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附件11</w:t>
      </w:r>
    </w:p>
    <w:p>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25"/>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color w:val="auto"/>
                <w:szCs w:val="21"/>
                <w:highlight w:val="none"/>
              </w:rPr>
            </w:pPr>
          </w:p>
        </w:tc>
      </w:tr>
    </w:tbl>
    <w:p>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120"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可只提供首页、含金额页、盖章页并加盖投标人公章</w:t>
      </w:r>
      <w:r>
        <w:rPr>
          <w:rFonts w:ascii="宋体" w:hAnsi="宋体" w:cs="Arial"/>
          <w:color w:val="auto"/>
          <w:szCs w:val="21"/>
          <w:highlight w:val="none"/>
        </w:rPr>
        <w:t>）</w:t>
      </w:r>
      <w:r>
        <w:rPr>
          <w:rFonts w:hint="eastAsia" w:ascii="宋体" w:hAnsi="宋体" w:cs="Arial"/>
          <w:color w:val="auto"/>
          <w:szCs w:val="21"/>
          <w:highlight w:val="none"/>
        </w:rPr>
        <w:t>。</w:t>
      </w:r>
    </w:p>
    <w:p>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.投标人</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60" w:lineRule="auto"/>
        <w:rPr>
          <w:rFonts w:ascii="宋体" w:hAnsi="宋体"/>
          <w:color w:val="auto"/>
          <w:sz w:val="22"/>
          <w:szCs w:val="22"/>
          <w:highlight w:val="none"/>
        </w:rPr>
      </w:pPr>
    </w:p>
    <w:p>
      <w:pPr>
        <w:pStyle w:val="24"/>
        <w:rPr>
          <w:color w:val="auto"/>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jc w:val="both"/>
        <w:rPr>
          <w:color w:val="auto"/>
          <w:sz w:val="52"/>
          <w:szCs w:val="52"/>
          <w:highlight w:val="none"/>
        </w:rPr>
      </w:pPr>
      <w:bookmarkStart w:id="58" w:name="_Toc4615_WPSOffice_Level1"/>
      <w:bookmarkStart w:id="59" w:name="_Toc21322_WPSOffice_Level1"/>
      <w:bookmarkStart w:id="60" w:name="_Toc30468_WPSOffice_Level1"/>
    </w:p>
    <w:bookmarkEnd w:id="58"/>
    <w:bookmarkEnd w:id="59"/>
    <w:bookmarkEnd w:id="60"/>
    <w:p>
      <w:pPr>
        <w:jc w:val="center"/>
        <w:rPr>
          <w:rFonts w:hint="eastAsia"/>
          <w:color w:val="auto"/>
          <w:sz w:val="44"/>
          <w:szCs w:val="44"/>
          <w:highlight w:val="none"/>
          <w:lang w:eastAsia="zh-CN"/>
        </w:rPr>
      </w:pPr>
    </w:p>
    <w:p>
      <w:pPr>
        <w:jc w:val="center"/>
        <w:rPr>
          <w:rFonts w:hint="eastAsia"/>
          <w:color w:val="auto"/>
          <w:sz w:val="44"/>
          <w:szCs w:val="44"/>
          <w:highlight w:val="none"/>
          <w:lang w:eastAsia="zh-CN"/>
        </w:rPr>
      </w:pPr>
      <w:r>
        <w:rPr>
          <w:rFonts w:hint="eastAsia"/>
          <w:color w:val="auto"/>
          <w:sz w:val="44"/>
          <w:szCs w:val="44"/>
          <w:highlight w:val="none"/>
          <w:lang w:eastAsia="zh-CN"/>
        </w:rPr>
        <w:t>台州湾新区重点防御区和承灾体海水越堤淹没调查评估和风险预警试点项目</w:t>
      </w:r>
    </w:p>
    <w:p>
      <w:pPr>
        <w:jc w:val="center"/>
        <w:rPr>
          <w:rFonts w:hint="eastAsia" w:eastAsia="宋体"/>
          <w:color w:val="auto"/>
          <w:sz w:val="44"/>
          <w:szCs w:val="44"/>
          <w:highlight w:val="none"/>
          <w:lang w:eastAsia="zh-CN"/>
        </w:rPr>
      </w:pPr>
      <w:r>
        <w:rPr>
          <w:rFonts w:hint="eastAsia"/>
          <w:color w:val="auto"/>
          <w:sz w:val="44"/>
          <w:szCs w:val="44"/>
          <w:highlight w:val="none"/>
          <w:lang w:eastAsia="zh-CN"/>
        </w:rPr>
        <w:t>（重新招标）</w:t>
      </w:r>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  ）</w:t>
      </w:r>
    </w:p>
    <w:p>
      <w:pPr>
        <w:pStyle w:val="24"/>
        <w:rPr>
          <w:color w:val="auto"/>
          <w:highlight w:val="none"/>
        </w:rPr>
      </w:pPr>
    </w:p>
    <w:p>
      <w:pPr>
        <w:jc w:val="center"/>
        <w:rPr>
          <w:rFonts w:hint="eastAsia"/>
          <w:color w:val="auto"/>
          <w:sz w:val="84"/>
          <w:szCs w:val="84"/>
          <w:highlight w:val="none"/>
          <w:lang w:val="en-US" w:eastAsia="zh-CN"/>
        </w:rPr>
      </w:pPr>
      <w:bookmarkStart w:id="61" w:name="_Toc14572_WPSOffice_Level1"/>
      <w:bookmarkStart w:id="62" w:name="_Toc3932_WPSOffice_Level1"/>
      <w:r>
        <w:rPr>
          <w:rFonts w:hint="eastAsia"/>
          <w:color w:val="auto"/>
          <w:sz w:val="84"/>
          <w:szCs w:val="84"/>
          <w:highlight w:val="none"/>
          <w:lang w:val="en-US" w:eastAsia="zh-CN"/>
        </w:rPr>
        <w:t>商</w:t>
      </w:r>
    </w:p>
    <w:p>
      <w:pPr>
        <w:jc w:val="center"/>
        <w:rPr>
          <w:rFonts w:hint="eastAsia"/>
          <w:color w:val="auto"/>
          <w:sz w:val="84"/>
          <w:szCs w:val="84"/>
          <w:highlight w:val="none"/>
          <w:lang w:val="en-US" w:eastAsia="zh-CN"/>
        </w:rPr>
      </w:pPr>
      <w:r>
        <w:rPr>
          <w:rFonts w:hint="eastAsia"/>
          <w:color w:val="auto"/>
          <w:sz w:val="84"/>
          <w:szCs w:val="84"/>
          <w:highlight w:val="none"/>
          <w:lang w:val="en-US" w:eastAsia="zh-CN"/>
        </w:rPr>
        <w:t>务</w:t>
      </w:r>
    </w:p>
    <w:p>
      <w:pPr>
        <w:jc w:val="center"/>
        <w:rPr>
          <w:color w:val="auto"/>
          <w:sz w:val="84"/>
          <w:szCs w:val="84"/>
          <w:highlight w:val="none"/>
        </w:rPr>
      </w:pPr>
      <w:r>
        <w:rPr>
          <w:rFonts w:hint="eastAsia"/>
          <w:color w:val="auto"/>
          <w:sz w:val="84"/>
          <w:szCs w:val="84"/>
          <w:highlight w:val="none"/>
        </w:rPr>
        <w:t>文</w:t>
      </w:r>
      <w:bookmarkEnd w:id="61"/>
      <w:bookmarkEnd w:id="62"/>
    </w:p>
    <w:p>
      <w:pPr>
        <w:jc w:val="center"/>
        <w:rPr>
          <w:color w:val="auto"/>
          <w:sz w:val="84"/>
          <w:szCs w:val="84"/>
          <w:highlight w:val="none"/>
        </w:rPr>
      </w:pPr>
      <w:bookmarkStart w:id="63" w:name="_Toc16973_WPSOffice_Level1"/>
      <w:bookmarkStart w:id="64" w:name="_Toc7562_WPSOffice_Level1"/>
      <w:r>
        <w:rPr>
          <w:rFonts w:hint="eastAsia"/>
          <w:color w:val="auto"/>
          <w:sz w:val="84"/>
          <w:szCs w:val="84"/>
          <w:highlight w:val="none"/>
        </w:rPr>
        <w:t>件</w:t>
      </w:r>
      <w:bookmarkEnd w:id="63"/>
      <w:bookmarkEnd w:id="64"/>
    </w:p>
    <w:p>
      <w:pPr>
        <w:spacing w:line="360" w:lineRule="auto"/>
        <w:ind w:right="532"/>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spacing w:line="360" w:lineRule="auto"/>
        <w:ind w:right="532" w:firstLine="720" w:firstLineChars="200"/>
        <w:rPr>
          <w:rFonts w:ascii="宋体" w:hAnsi="宋体"/>
          <w:color w:val="auto"/>
          <w:sz w:val="36"/>
          <w:szCs w:val="36"/>
          <w:highlight w:val="none"/>
        </w:rPr>
      </w:pPr>
      <w:bookmarkStart w:id="65" w:name="_Toc26700_WPSOffice_Level1"/>
      <w:bookmarkStart w:id="66" w:name="_Toc4603_WPSOffice_Level1"/>
      <w:r>
        <w:rPr>
          <w:rFonts w:hint="eastAsia" w:ascii="宋体" w:hAnsi="宋体"/>
          <w:color w:val="auto"/>
          <w:sz w:val="36"/>
          <w:szCs w:val="36"/>
          <w:highlight w:val="none"/>
        </w:rPr>
        <w:t>投标人全称（公章）：</w:t>
      </w:r>
      <w:bookmarkEnd w:id="65"/>
      <w:bookmarkEnd w:id="66"/>
    </w:p>
    <w:p>
      <w:pPr>
        <w:spacing w:line="360" w:lineRule="auto"/>
        <w:ind w:right="-108" w:firstLine="720" w:firstLineChars="200"/>
        <w:rPr>
          <w:rFonts w:ascii="宋体" w:hAnsi="宋体"/>
          <w:color w:val="auto"/>
          <w:sz w:val="36"/>
          <w:szCs w:val="36"/>
          <w:highlight w:val="none"/>
        </w:rPr>
      </w:pPr>
      <w:bookmarkStart w:id="67" w:name="_Toc1391_WPSOffice_Level1"/>
      <w:bookmarkStart w:id="68" w:name="_Toc32593_WPSOffice_Level1"/>
      <w:r>
        <w:rPr>
          <w:rFonts w:hint="eastAsia" w:ascii="宋体" w:hAnsi="宋体"/>
          <w:color w:val="auto"/>
          <w:sz w:val="36"/>
          <w:szCs w:val="36"/>
          <w:highlight w:val="none"/>
        </w:rPr>
        <w:t>地    址：</w:t>
      </w:r>
      <w:bookmarkEnd w:id="67"/>
      <w:bookmarkEnd w:id="68"/>
    </w:p>
    <w:p>
      <w:pPr>
        <w:spacing w:line="360" w:lineRule="auto"/>
        <w:ind w:right="-108" w:firstLine="720" w:firstLineChars="200"/>
        <w:rPr>
          <w:rFonts w:ascii="宋体" w:hAnsi="宋体"/>
          <w:color w:val="auto"/>
          <w:sz w:val="36"/>
          <w:szCs w:val="36"/>
          <w:highlight w:val="none"/>
        </w:rPr>
      </w:pPr>
      <w:bookmarkStart w:id="69" w:name="_Toc20938_WPSOffice_Level1"/>
      <w:bookmarkStart w:id="70" w:name="_Toc3791_WPSOffice_Level1"/>
      <w:r>
        <w:rPr>
          <w:rFonts w:hint="eastAsia" w:ascii="宋体" w:hAnsi="宋体"/>
          <w:color w:val="auto"/>
          <w:sz w:val="36"/>
          <w:szCs w:val="36"/>
          <w:highlight w:val="none"/>
        </w:rPr>
        <w:t>时    间：</w:t>
      </w:r>
      <w:bookmarkEnd w:id="69"/>
      <w:bookmarkEnd w:id="70"/>
    </w:p>
    <w:p>
      <w:pPr>
        <w:spacing w:line="360" w:lineRule="auto"/>
        <w:ind w:right="-108"/>
        <w:jc w:val="center"/>
        <w:rPr>
          <w:rFonts w:ascii="仿宋_GB2312" w:hAnsi="宋体" w:eastAsia="仿宋_GB2312"/>
          <w:b/>
          <w:color w:val="auto"/>
          <w:sz w:val="36"/>
          <w:szCs w:val="36"/>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附件12</w:t>
      </w:r>
    </w:p>
    <w:p>
      <w:pPr>
        <w:spacing w:line="360" w:lineRule="auto"/>
        <w:ind w:left="-2" w:hanging="2"/>
        <w:jc w:val="center"/>
        <w:rPr>
          <w:rFonts w:ascii="宋体" w:hAnsi="宋体"/>
          <w:b/>
          <w:color w:val="auto"/>
          <w:sz w:val="32"/>
          <w:szCs w:val="32"/>
          <w:highlight w:val="none"/>
        </w:rPr>
      </w:pPr>
      <w:bookmarkStart w:id="71" w:name="_Toc16144_WPSOffice_Level1"/>
      <w:bookmarkStart w:id="72" w:name="_Toc30363_WPSOffice_Level1"/>
      <w:r>
        <w:rPr>
          <w:rFonts w:hint="eastAsia" w:ascii="宋体" w:hAnsi="宋体"/>
          <w:b/>
          <w:color w:val="auto"/>
          <w:sz w:val="32"/>
          <w:szCs w:val="32"/>
          <w:highlight w:val="none"/>
        </w:rPr>
        <w:t xml:space="preserve">开标一览表（标项  ） </w:t>
      </w:r>
      <w:bookmarkEnd w:id="71"/>
      <w:bookmarkEnd w:id="72"/>
    </w:p>
    <w:p>
      <w:pPr>
        <w:pStyle w:val="14"/>
        <w:spacing w:line="360" w:lineRule="auto"/>
        <w:ind w:firstLine="482" w:firstLineChars="200"/>
        <w:rPr>
          <w:rFonts w:hAnsi="宋体"/>
          <w:b/>
          <w:color w:val="auto"/>
          <w:sz w:val="24"/>
          <w:highlight w:val="none"/>
        </w:rPr>
      </w:pPr>
      <w:r>
        <w:rPr>
          <w:rFonts w:hAnsi="宋体"/>
          <w:b/>
          <w:color w:val="auto"/>
          <w:sz w:val="24"/>
          <w:highlight w:val="none"/>
        </w:rPr>
        <w:t>项目编号：</w:t>
      </w:r>
    </w:p>
    <w:p>
      <w:pPr>
        <w:pStyle w:val="46"/>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p>
      <w:pPr>
        <w:snapToGrid w:val="0"/>
        <w:spacing w:before="50" w:after="50"/>
        <w:jc w:val="left"/>
        <w:rPr>
          <w:rFonts w:hint="eastAsia" w:ascii="Arial" w:hAnsi="Arial" w:eastAsia="宋体" w:cs="Arial"/>
          <w:color w:val="auto"/>
          <w:sz w:val="22"/>
          <w:szCs w:val="22"/>
          <w:highlight w:val="none"/>
          <w:lang w:eastAsia="zh-CN"/>
        </w:rPr>
      </w:pPr>
      <w:r>
        <w:rPr>
          <w:rFonts w:hint="eastAsia" w:ascii="Arial" w:hAnsi="Arial" w:cs="宋体"/>
          <w:color w:val="auto"/>
          <w:sz w:val="22"/>
          <w:szCs w:val="22"/>
          <w:highlight w:val="none"/>
        </w:rPr>
        <w:t>致：</w:t>
      </w:r>
      <w:r>
        <w:rPr>
          <w:rFonts w:hint="eastAsia" w:ascii="Arial" w:hAnsi="Arial" w:cs="宋体"/>
          <w:color w:val="auto"/>
          <w:sz w:val="22"/>
          <w:szCs w:val="22"/>
          <w:highlight w:val="none"/>
          <w:lang w:eastAsia="zh-CN"/>
        </w:rPr>
        <w:t>台州市自然资源和规划局台州湾新区（高新区）分局</w:t>
      </w:r>
    </w:p>
    <w:p>
      <w:pPr>
        <w:snapToGrid w:val="0"/>
        <w:ind w:firstLine="440" w:firstLineChars="200"/>
        <w:jc w:val="left"/>
        <w:rPr>
          <w:rFonts w:ascii="新宋体" w:hAnsi="新宋体" w:eastAsia="新宋体"/>
          <w:color w:val="auto"/>
          <w:szCs w:val="21"/>
          <w:highlight w:val="none"/>
        </w:rPr>
      </w:pPr>
      <w:r>
        <w:rPr>
          <w:rFonts w:ascii="Arial" w:hAnsi="Arial" w:cs="Arial"/>
          <w:color w:val="auto"/>
          <w:sz w:val="22"/>
          <w:szCs w:val="22"/>
          <w:highlight w:val="none"/>
        </w:rPr>
        <w:t>经研究，我们决定参加</w:t>
      </w:r>
      <w:r>
        <w:rPr>
          <w:rFonts w:hint="eastAsia" w:ascii="Arial" w:hAnsi="Arial" w:cs="Arial"/>
          <w:color w:val="auto"/>
          <w:sz w:val="22"/>
          <w:szCs w:val="22"/>
          <w:highlight w:val="none"/>
        </w:rPr>
        <w:t>你单位的</w:t>
      </w:r>
      <w:r>
        <w:rPr>
          <w:rFonts w:hint="eastAsia" w:ascii="宋体" w:hAnsi="宋体"/>
          <w:color w:val="auto"/>
          <w:sz w:val="22"/>
          <w:szCs w:val="22"/>
          <w:highlight w:val="none"/>
          <w:u w:val="single"/>
          <w:lang w:eastAsia="zh-CN"/>
        </w:rPr>
        <w:t>台州湾新区重点防御区和承灾体海水越堤淹没调查评估和风险预警试点项目（重新招标）</w:t>
      </w:r>
      <w:r>
        <w:rPr>
          <w:rFonts w:ascii="Arial" w:hAnsi="Arial" w:cs="Arial"/>
          <w:color w:val="auto"/>
          <w:sz w:val="22"/>
          <w:szCs w:val="22"/>
          <w:highlight w:val="none"/>
        </w:rPr>
        <w:t>的</w:t>
      </w:r>
      <w:r>
        <w:rPr>
          <w:rFonts w:hint="eastAsia" w:ascii="Arial" w:hAnsi="Arial" w:cs="Arial"/>
          <w:color w:val="auto"/>
          <w:sz w:val="22"/>
          <w:highlight w:val="none"/>
        </w:rPr>
        <w:t>招标</w:t>
      </w:r>
      <w:r>
        <w:rPr>
          <w:rFonts w:ascii="Arial" w:hAnsi="Arial" w:cs="Arial"/>
          <w:color w:val="auto"/>
          <w:sz w:val="22"/>
          <w:highlight w:val="none"/>
        </w:rPr>
        <w:t>采购活动并提交</w:t>
      </w:r>
      <w:r>
        <w:rPr>
          <w:rFonts w:hint="eastAsia" w:ascii="Arial" w:hAnsi="Arial" w:cs="Arial"/>
          <w:color w:val="auto"/>
          <w:sz w:val="22"/>
          <w:highlight w:val="none"/>
        </w:rPr>
        <w:t>投标</w:t>
      </w:r>
      <w:r>
        <w:rPr>
          <w:rFonts w:ascii="Arial" w:hAnsi="Arial" w:cs="Arial"/>
          <w:color w:val="auto"/>
          <w:sz w:val="22"/>
          <w:highlight w:val="none"/>
        </w:rPr>
        <w:t>文件。为此，我方郑重声明以下诸点，并负法律责任。</w:t>
      </w:r>
    </w:p>
    <w:p>
      <w:pPr>
        <w:pStyle w:val="12"/>
        <w:adjustRightInd w:val="0"/>
        <w:snapToGrid w:val="0"/>
        <w:rPr>
          <w:rFonts w:ascii="Arial" w:hAnsi="Arial" w:cs="Arial"/>
          <w:color w:val="auto"/>
          <w:sz w:val="22"/>
          <w:szCs w:val="22"/>
          <w:highlight w:val="none"/>
        </w:rPr>
      </w:pPr>
      <w:r>
        <w:rPr>
          <w:rFonts w:ascii="Arial" w:hAnsi="Arial" w:cs="Arial"/>
          <w:color w:val="auto"/>
          <w:sz w:val="22"/>
          <w:szCs w:val="22"/>
          <w:highlight w:val="none"/>
        </w:rPr>
        <w:t>1、如果我们的招标文件被接受，我们将履行招标文件中规定的每一项要求，并按我们投标文件中的承诺按期、按质、按量提供服务。</w:t>
      </w:r>
    </w:p>
    <w:p>
      <w:pPr>
        <w:pStyle w:val="12"/>
        <w:adjustRightInd w:val="0"/>
        <w:snapToGrid w:val="0"/>
        <w:rPr>
          <w:rFonts w:ascii="Arial" w:hAnsi="Arial" w:cs="Arial"/>
          <w:color w:val="auto"/>
          <w:sz w:val="22"/>
          <w:szCs w:val="22"/>
          <w:highlight w:val="none"/>
        </w:rPr>
      </w:pPr>
      <w:r>
        <w:rPr>
          <w:rFonts w:ascii="Arial" w:hAnsi="Arial" w:cs="Arial"/>
          <w:color w:val="auto"/>
          <w:sz w:val="22"/>
          <w:szCs w:val="22"/>
          <w:highlight w:val="none"/>
        </w:rPr>
        <w:t>2、我们同意按采购文件规定遵守采购人有关采购的各项规定。</w:t>
      </w:r>
    </w:p>
    <w:p>
      <w:pPr>
        <w:pStyle w:val="12"/>
        <w:adjustRightInd w:val="0"/>
        <w:snapToGrid w:val="0"/>
        <w:rPr>
          <w:rFonts w:ascii="Arial" w:hAnsi="Arial" w:cs="Arial"/>
          <w:color w:val="auto"/>
          <w:sz w:val="22"/>
          <w:szCs w:val="22"/>
          <w:highlight w:val="none"/>
        </w:rPr>
      </w:pPr>
      <w:r>
        <w:rPr>
          <w:rFonts w:ascii="Arial" w:hAnsi="Arial" w:cs="Arial"/>
          <w:color w:val="auto"/>
          <w:sz w:val="22"/>
          <w:szCs w:val="22"/>
          <w:highlight w:val="none"/>
        </w:rPr>
        <w:t>3、我方同意提供按照贵方可能要求的与投标有关的一切数据或资料，我方若未成为成交投标人，采购人有权不做任何解释。</w:t>
      </w:r>
    </w:p>
    <w:p>
      <w:pPr>
        <w:ind w:firstLine="330" w:firstLineChars="150"/>
        <w:rPr>
          <w:rFonts w:ascii="宋体" w:hAnsi="宋体"/>
          <w:color w:val="auto"/>
          <w:sz w:val="22"/>
          <w:szCs w:val="22"/>
          <w:highlight w:val="none"/>
        </w:rPr>
      </w:pPr>
      <w:r>
        <w:rPr>
          <w:rFonts w:hint="eastAsia" w:ascii="Arial" w:hAnsi="Arial" w:cs="Arial"/>
          <w:color w:val="auto"/>
          <w:sz w:val="22"/>
          <w:szCs w:val="22"/>
          <w:highlight w:val="none"/>
        </w:rPr>
        <w:t>4、我方如果中标，将保证履行招标文件以及招标文件修改书（如有）中的全部责任和义务，按质、按量、按期完成《民法典》中的全部任务。</w:t>
      </w:r>
    </w:p>
    <w:tbl>
      <w:tblPr>
        <w:tblStyle w:val="25"/>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01"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9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Cs w:val="21"/>
                <w:highlight w:val="none"/>
              </w:rPr>
            </w:pPr>
          </w:p>
        </w:tc>
      </w:tr>
    </w:tbl>
    <w:p>
      <w:pPr>
        <w:spacing w:line="360" w:lineRule="auto"/>
        <w:rPr>
          <w:rFonts w:ascii="宋体" w:hAnsi="宋体"/>
          <w:color w:val="auto"/>
          <w:sz w:val="22"/>
          <w:szCs w:val="22"/>
          <w:highlight w:val="none"/>
        </w:rPr>
      </w:pPr>
      <w:r>
        <w:rPr>
          <w:rFonts w:hint="eastAsia" w:ascii="宋体" w:hAnsi="宋体"/>
          <w:b/>
          <w:color w:val="auto"/>
          <w:sz w:val="22"/>
          <w:szCs w:val="22"/>
          <w:highlight w:val="none"/>
        </w:rPr>
        <w:t>填报要求：</w:t>
      </w:r>
      <w:r>
        <w:rPr>
          <w:rFonts w:hint="eastAsia" w:ascii="宋体" w:hAnsi="宋体"/>
          <w:color w:val="auto"/>
          <w:sz w:val="22"/>
          <w:szCs w:val="22"/>
          <w:highlight w:val="none"/>
        </w:rPr>
        <w:t>投标报价是履行合同的最终价格，</w:t>
      </w:r>
      <w:r>
        <w:rPr>
          <w:rFonts w:hint="eastAsia" w:ascii="宋体" w:hAnsi="宋体"/>
          <w:color w:val="auto"/>
          <w:sz w:val="22"/>
          <w:szCs w:val="22"/>
          <w:highlight w:val="none"/>
          <w:lang w:val="en-US" w:eastAsia="zh-CN"/>
        </w:rPr>
        <w:t>包括现场踏勘、资料收集整理、数据调查分析、工作大纲编制、取样、试验、测试、检测、测量、模拟计算、组织评审费、会务费、餐费、住宿费、最终相关专题及报告的编制、印刷、报相关主管部门审批、咨询费、风险费、保险、利润、规费、税金、政策性文件规定及合同包含的所有风险、责任等所有费用</w:t>
      </w:r>
      <w:r>
        <w:rPr>
          <w:rFonts w:hint="eastAsia" w:ascii="宋体" w:hAnsi="宋体"/>
          <w:color w:val="auto"/>
          <w:sz w:val="22"/>
          <w:szCs w:val="22"/>
          <w:highlight w:val="none"/>
        </w:rPr>
        <w:t>。供应商须充分考虑实际服务内容和需求，针对自身实际情况，核算所需的成本及合理 的利润，自行报价，结算时由供应商开具正式发票。各投标人应根据招标人提供的技术资料、工程量清单，以及本工程实际情况和自身的综合实力，竞报投标报价。总报价以人民币元计。知识产权等由投标人在投标报价时综合考虑，以后不作任何调整。</w:t>
      </w:r>
    </w:p>
    <w:p>
      <w:pPr>
        <w:spacing w:line="360" w:lineRule="auto"/>
        <w:ind w:left="420"/>
        <w:rPr>
          <w:rFonts w:ascii="宋体" w:hAnsi="宋体"/>
          <w:color w:val="auto"/>
          <w:sz w:val="22"/>
          <w:szCs w:val="22"/>
          <w:highlight w:val="none"/>
        </w:rPr>
      </w:pPr>
      <w:r>
        <w:rPr>
          <w:rFonts w:hint="eastAsia" w:ascii="宋体" w:hAnsi="宋体"/>
          <w:color w:val="auto"/>
          <w:sz w:val="22"/>
          <w:szCs w:val="22"/>
          <w:highlight w:val="none"/>
        </w:rPr>
        <w:t>投标人名称（公章）：</w:t>
      </w:r>
    </w:p>
    <w:p>
      <w:pPr>
        <w:spacing w:line="360" w:lineRule="auto"/>
        <w:ind w:firstLine="435"/>
        <w:rPr>
          <w:rFonts w:ascii="宋体" w:hAnsi="宋体"/>
          <w:color w:val="auto"/>
          <w:sz w:val="22"/>
          <w:szCs w:val="22"/>
          <w:highlight w:val="none"/>
        </w:rPr>
      </w:pPr>
      <w:r>
        <w:rPr>
          <w:rFonts w:hint="eastAsia" w:ascii="宋体" w:hAnsi="宋体"/>
          <w:color w:val="auto"/>
          <w:sz w:val="22"/>
          <w:szCs w:val="22"/>
          <w:highlight w:val="none"/>
        </w:rPr>
        <w:t>投标人代表签字：</w:t>
      </w:r>
    </w:p>
    <w:p>
      <w:pPr>
        <w:spacing w:line="360" w:lineRule="auto"/>
        <w:ind w:firstLine="435"/>
        <w:rPr>
          <w:rFonts w:ascii="宋体" w:hAnsi="宋体"/>
          <w:color w:val="auto"/>
          <w:sz w:val="22"/>
          <w:szCs w:val="22"/>
          <w:highlight w:val="none"/>
        </w:rPr>
      </w:pPr>
      <w:r>
        <w:rPr>
          <w:rFonts w:hint="eastAsia" w:ascii="宋体" w:hAnsi="宋体"/>
          <w:color w:val="auto"/>
          <w:sz w:val="22"/>
          <w:szCs w:val="22"/>
          <w:highlight w:val="none"/>
        </w:rPr>
        <w:t>职        务：</w:t>
      </w:r>
    </w:p>
    <w:p>
      <w:pPr>
        <w:spacing w:line="360" w:lineRule="auto"/>
        <w:ind w:firstLine="435"/>
        <w:rPr>
          <w:color w:val="auto"/>
          <w:highlight w:val="none"/>
        </w:rPr>
      </w:pPr>
      <w:r>
        <w:rPr>
          <w:rFonts w:hint="eastAsia" w:ascii="宋体" w:hAnsi="宋体"/>
          <w:color w:val="auto"/>
          <w:sz w:val="22"/>
          <w:szCs w:val="22"/>
          <w:highlight w:val="none"/>
        </w:rPr>
        <w:t>日        期：</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tabs>
        <w:tab w:val="left" w:pos="454"/>
        <w:tab w:val="left" w:pos="720"/>
        <w:tab w:val="left" w:pos="1200"/>
        <w:tab w:val="clear" w:pos="360"/>
      </w:tabs>
      <w:spacing w:after="120"/>
      <w:ind w:left="480" w:leftChars="0" w:right="360" w:right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tabs>
        <w:tab w:val="left" w:pos="454"/>
        <w:tab w:val="left" w:pos="720"/>
        <w:tab w:val="left" w:pos="1200"/>
      </w:tabs>
      <w:spacing w:after="120"/>
      <w:rPr>
        <w:rStyle w:val="28"/>
      </w:rPr>
    </w:pPr>
    <w:r>
      <w:fldChar w:fldCharType="begin"/>
    </w:r>
    <w:r>
      <w:rPr>
        <w:rStyle w:val="28"/>
      </w:rPr>
      <w:instrText xml:space="preserve">PAGE  </w:instrText>
    </w:r>
    <w:r>
      <w:fldChar w:fldCharType="separate"/>
    </w:r>
    <w:r>
      <w:rPr>
        <w:rStyle w:val="28"/>
      </w:rPr>
      <w:t>10</w:t>
    </w:r>
    <w:r>
      <w:fldChar w:fldCharType="end"/>
    </w:r>
  </w:p>
  <w:p>
    <w:pPr>
      <w:pStyle w:val="9"/>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CBFC0"/>
    <w:multiLevelType w:val="singleLevel"/>
    <w:tmpl w:val="963CBFC0"/>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E7171C12"/>
    <w:multiLevelType w:val="singleLevel"/>
    <w:tmpl w:val="E7171C12"/>
    <w:lvl w:ilvl="0" w:tentative="0">
      <w:start w:val="1"/>
      <w:numFmt w:val="bullet"/>
      <w:pStyle w:val="10"/>
      <w:lvlText w:val=""/>
      <w:lvlJc w:val="left"/>
      <w:pPr>
        <w:tabs>
          <w:tab w:val="left" w:pos="360"/>
        </w:tabs>
        <w:ind w:left="360" w:hanging="360"/>
      </w:pPr>
      <w:rPr>
        <w:rFonts w:hint="default" w:ascii="Wingdings" w:hAnsi="Wingdings"/>
      </w:rPr>
    </w:lvl>
  </w:abstractNum>
  <w:abstractNum w:abstractNumId="3">
    <w:nsid w:val="0ED2C79B"/>
    <w:multiLevelType w:val="singleLevel"/>
    <w:tmpl w:val="0ED2C79B"/>
    <w:lvl w:ilvl="0" w:tentative="0">
      <w:start w:val="1"/>
      <w:numFmt w:val="decimal"/>
      <w:pStyle w:val="9"/>
      <w:lvlText w:val="%1."/>
      <w:lvlJc w:val="left"/>
      <w:pPr>
        <w:tabs>
          <w:tab w:val="left" w:pos="360"/>
        </w:tabs>
        <w:ind w:left="360" w:hanging="360"/>
      </w:pPr>
    </w:lvl>
  </w:abstractNum>
  <w:abstractNum w:abstractNumId="4">
    <w:nsid w:val="2473CE7F"/>
    <w:multiLevelType w:val="singleLevel"/>
    <w:tmpl w:val="2473CE7F"/>
    <w:lvl w:ilvl="0" w:tentative="0">
      <w:start w:val="3"/>
      <w:numFmt w:val="decimal"/>
      <w:suff w:val="space"/>
      <w:lvlText w:val="%1."/>
      <w:lvlJc w:val="left"/>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4A267EE4"/>
    <w:multiLevelType w:val="singleLevel"/>
    <w:tmpl w:val="4A267EE4"/>
    <w:lvl w:ilvl="0" w:tentative="0">
      <w:start w:val="2"/>
      <w:numFmt w:val="chineseCounting"/>
      <w:suff w:val="nothing"/>
      <w:lvlText w:val="%1、"/>
      <w:lvlJc w:val="left"/>
      <w:rPr>
        <w:rFonts w:hint="eastAsia"/>
      </w:rPr>
    </w:lvl>
  </w:abstractNum>
  <w:abstractNum w:abstractNumId="7">
    <w:nsid w:val="5BE338C7"/>
    <w:multiLevelType w:val="singleLevel"/>
    <w:tmpl w:val="5BE338C7"/>
    <w:lvl w:ilvl="0" w:tentative="0">
      <w:start w:val="1"/>
      <w:numFmt w:val="decimal"/>
      <w:lvlText w:val="%1."/>
      <w:lvlJc w:val="left"/>
      <w:pPr>
        <w:ind w:left="425" w:hanging="425"/>
      </w:pPr>
      <w:rPr>
        <w:rFonts w:hint="default"/>
      </w:rPr>
    </w:lvl>
  </w:abstractNum>
  <w:abstractNum w:abstractNumId="8">
    <w:nsid w:val="636567A2"/>
    <w:multiLevelType w:val="multilevel"/>
    <w:tmpl w:val="636567A2"/>
    <w:lvl w:ilvl="0" w:tentative="0">
      <w:start w:val="1"/>
      <w:numFmt w:val="decimal"/>
      <w:pStyle w:val="5"/>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9">
    <w:nsid w:val="66DDD653"/>
    <w:multiLevelType w:val="singleLevel"/>
    <w:tmpl w:val="66DDD653"/>
    <w:lvl w:ilvl="0" w:tentative="0">
      <w:start w:val="1"/>
      <w:numFmt w:val="chineseCounting"/>
      <w:suff w:val="space"/>
      <w:lvlText w:val="第%1章"/>
      <w:lvlJc w:val="left"/>
      <w:rPr>
        <w:rFonts w:hint="eastAsia"/>
      </w:rPr>
    </w:lvl>
  </w:abstractNum>
  <w:abstractNum w:abstractNumId="10">
    <w:nsid w:val="678CFB24"/>
    <w:multiLevelType w:val="singleLevel"/>
    <w:tmpl w:val="678CFB24"/>
    <w:lvl w:ilvl="0" w:tentative="0">
      <w:start w:val="1"/>
      <w:numFmt w:val="chineseCounting"/>
      <w:suff w:val="nothing"/>
      <w:lvlText w:val="%1、"/>
      <w:lvlJc w:val="left"/>
      <w:rPr>
        <w:rFonts w:hint="eastAsia"/>
      </w:rPr>
    </w:lvl>
  </w:abstractNum>
  <w:num w:numId="1">
    <w:abstractNumId w:val="8"/>
  </w:num>
  <w:num w:numId="2">
    <w:abstractNumId w:val="3"/>
  </w:num>
  <w:num w:numId="3">
    <w:abstractNumId w:val="2"/>
  </w:num>
  <w:num w:numId="4">
    <w:abstractNumId w:val="0"/>
  </w:num>
  <w:num w:numId="5">
    <w:abstractNumId w:val="9"/>
  </w:num>
  <w:num w:numId="6">
    <w:abstractNumId w:val="5"/>
  </w:num>
  <w:num w:numId="7">
    <w:abstractNumId w:val="10"/>
  </w:num>
  <w:num w:numId="8">
    <w:abstractNumId w:val="1"/>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1YjI5NjI4ODRjMjczZTJlYTk2NTYyNTg3ZjMwZTYifQ=="/>
  </w:docVars>
  <w:rsids>
    <w:rsidRoot w:val="685F2B0C"/>
    <w:rsid w:val="00001822"/>
    <w:rsid w:val="000154B2"/>
    <w:rsid w:val="000220D4"/>
    <w:rsid w:val="000221EE"/>
    <w:rsid w:val="00030D77"/>
    <w:rsid w:val="00047C71"/>
    <w:rsid w:val="00063432"/>
    <w:rsid w:val="00067EBE"/>
    <w:rsid w:val="00071BA1"/>
    <w:rsid w:val="00077950"/>
    <w:rsid w:val="0008211B"/>
    <w:rsid w:val="000839F2"/>
    <w:rsid w:val="00085621"/>
    <w:rsid w:val="00096A85"/>
    <w:rsid w:val="000A2B60"/>
    <w:rsid w:val="000B40AC"/>
    <w:rsid w:val="000B5655"/>
    <w:rsid w:val="000E4514"/>
    <w:rsid w:val="000F3BA6"/>
    <w:rsid w:val="001018F6"/>
    <w:rsid w:val="00102B98"/>
    <w:rsid w:val="001146EF"/>
    <w:rsid w:val="0011667D"/>
    <w:rsid w:val="00117F4A"/>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242E17"/>
    <w:rsid w:val="00255983"/>
    <w:rsid w:val="00291503"/>
    <w:rsid w:val="002A3D6E"/>
    <w:rsid w:val="002B1FBA"/>
    <w:rsid w:val="002F332C"/>
    <w:rsid w:val="00313AA9"/>
    <w:rsid w:val="00315916"/>
    <w:rsid w:val="0033653F"/>
    <w:rsid w:val="00345785"/>
    <w:rsid w:val="00346D34"/>
    <w:rsid w:val="00394AF1"/>
    <w:rsid w:val="00397B4C"/>
    <w:rsid w:val="00397CA4"/>
    <w:rsid w:val="003E7E4B"/>
    <w:rsid w:val="003F7037"/>
    <w:rsid w:val="003F7B6C"/>
    <w:rsid w:val="00401BB4"/>
    <w:rsid w:val="0040416F"/>
    <w:rsid w:val="00414893"/>
    <w:rsid w:val="00492D29"/>
    <w:rsid w:val="0049548B"/>
    <w:rsid w:val="004C1DEC"/>
    <w:rsid w:val="004C66BE"/>
    <w:rsid w:val="004D0F07"/>
    <w:rsid w:val="004D1BD8"/>
    <w:rsid w:val="004D436F"/>
    <w:rsid w:val="004F3491"/>
    <w:rsid w:val="00520055"/>
    <w:rsid w:val="005617DF"/>
    <w:rsid w:val="0059431D"/>
    <w:rsid w:val="005B07E9"/>
    <w:rsid w:val="005C58B3"/>
    <w:rsid w:val="005D0DD1"/>
    <w:rsid w:val="005E7F5A"/>
    <w:rsid w:val="005F2A0C"/>
    <w:rsid w:val="00605C1B"/>
    <w:rsid w:val="00635DA5"/>
    <w:rsid w:val="006620A8"/>
    <w:rsid w:val="00667357"/>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5DB8"/>
    <w:rsid w:val="007D2F69"/>
    <w:rsid w:val="007E144D"/>
    <w:rsid w:val="007E2BA8"/>
    <w:rsid w:val="007E4849"/>
    <w:rsid w:val="007F6447"/>
    <w:rsid w:val="00801D0B"/>
    <w:rsid w:val="00817A3B"/>
    <w:rsid w:val="008248FA"/>
    <w:rsid w:val="0084648D"/>
    <w:rsid w:val="00850346"/>
    <w:rsid w:val="00855F76"/>
    <w:rsid w:val="00873EC4"/>
    <w:rsid w:val="008856B6"/>
    <w:rsid w:val="0089019B"/>
    <w:rsid w:val="008A3A13"/>
    <w:rsid w:val="008C4C8B"/>
    <w:rsid w:val="008C57E4"/>
    <w:rsid w:val="008F059D"/>
    <w:rsid w:val="008F6EB2"/>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4D72"/>
    <w:rsid w:val="00A40A0F"/>
    <w:rsid w:val="00A51E78"/>
    <w:rsid w:val="00A5256C"/>
    <w:rsid w:val="00A52936"/>
    <w:rsid w:val="00A77741"/>
    <w:rsid w:val="00A85AC9"/>
    <w:rsid w:val="00A921FD"/>
    <w:rsid w:val="00A95853"/>
    <w:rsid w:val="00AA503A"/>
    <w:rsid w:val="00AB072A"/>
    <w:rsid w:val="00AB1596"/>
    <w:rsid w:val="00AB49B7"/>
    <w:rsid w:val="00AC6C12"/>
    <w:rsid w:val="00AD5F42"/>
    <w:rsid w:val="00AE66EB"/>
    <w:rsid w:val="00B020CF"/>
    <w:rsid w:val="00B03224"/>
    <w:rsid w:val="00B10199"/>
    <w:rsid w:val="00B12DF7"/>
    <w:rsid w:val="00B16FA7"/>
    <w:rsid w:val="00B2639F"/>
    <w:rsid w:val="00B3161E"/>
    <w:rsid w:val="00B34B47"/>
    <w:rsid w:val="00B47E53"/>
    <w:rsid w:val="00B72890"/>
    <w:rsid w:val="00BE26CA"/>
    <w:rsid w:val="00C010CD"/>
    <w:rsid w:val="00C061A0"/>
    <w:rsid w:val="00C124A2"/>
    <w:rsid w:val="00C21118"/>
    <w:rsid w:val="00C25A79"/>
    <w:rsid w:val="00C3129E"/>
    <w:rsid w:val="00C40128"/>
    <w:rsid w:val="00C50B60"/>
    <w:rsid w:val="00C51716"/>
    <w:rsid w:val="00C52A0D"/>
    <w:rsid w:val="00C55713"/>
    <w:rsid w:val="00C81C9D"/>
    <w:rsid w:val="00CA0697"/>
    <w:rsid w:val="00CA12F3"/>
    <w:rsid w:val="00CA2C6C"/>
    <w:rsid w:val="00CA728C"/>
    <w:rsid w:val="00CD0A72"/>
    <w:rsid w:val="00D0009A"/>
    <w:rsid w:val="00D14AD5"/>
    <w:rsid w:val="00D246D4"/>
    <w:rsid w:val="00D325EC"/>
    <w:rsid w:val="00D40771"/>
    <w:rsid w:val="00D64FC1"/>
    <w:rsid w:val="00D655A0"/>
    <w:rsid w:val="00D81728"/>
    <w:rsid w:val="00DB1553"/>
    <w:rsid w:val="00DB4DE5"/>
    <w:rsid w:val="00DF0325"/>
    <w:rsid w:val="00E10F08"/>
    <w:rsid w:val="00E42018"/>
    <w:rsid w:val="00E45207"/>
    <w:rsid w:val="00E51C18"/>
    <w:rsid w:val="00EA3C27"/>
    <w:rsid w:val="00EB0323"/>
    <w:rsid w:val="00EC7618"/>
    <w:rsid w:val="00EE16CE"/>
    <w:rsid w:val="00EE453C"/>
    <w:rsid w:val="00F1568D"/>
    <w:rsid w:val="00F21898"/>
    <w:rsid w:val="00F33C9E"/>
    <w:rsid w:val="00F447A7"/>
    <w:rsid w:val="00F543F9"/>
    <w:rsid w:val="00F548C4"/>
    <w:rsid w:val="00F7155E"/>
    <w:rsid w:val="00F8124B"/>
    <w:rsid w:val="00F86AB9"/>
    <w:rsid w:val="00F92A7E"/>
    <w:rsid w:val="00FA6B35"/>
    <w:rsid w:val="00FB14A1"/>
    <w:rsid w:val="00FC1E7F"/>
    <w:rsid w:val="00FC5C25"/>
    <w:rsid w:val="00FE5F42"/>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A46519"/>
    <w:rsid w:val="02C62BA9"/>
    <w:rsid w:val="030A7540"/>
    <w:rsid w:val="034C79A8"/>
    <w:rsid w:val="035E327D"/>
    <w:rsid w:val="036247EA"/>
    <w:rsid w:val="03624C71"/>
    <w:rsid w:val="037171B2"/>
    <w:rsid w:val="03723D7D"/>
    <w:rsid w:val="03795BF7"/>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7E335E"/>
    <w:rsid w:val="05903056"/>
    <w:rsid w:val="05B01B1D"/>
    <w:rsid w:val="05E17C80"/>
    <w:rsid w:val="05E55725"/>
    <w:rsid w:val="05E5760D"/>
    <w:rsid w:val="05F15F19"/>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18590C"/>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976943"/>
    <w:rsid w:val="09CE19BC"/>
    <w:rsid w:val="09E70A54"/>
    <w:rsid w:val="09E84CCD"/>
    <w:rsid w:val="0A051115"/>
    <w:rsid w:val="0A3A5C5D"/>
    <w:rsid w:val="0A8528D5"/>
    <w:rsid w:val="0A8A0A3A"/>
    <w:rsid w:val="0AB52BD8"/>
    <w:rsid w:val="0AD56F1F"/>
    <w:rsid w:val="0AEA3C8C"/>
    <w:rsid w:val="0AF50C72"/>
    <w:rsid w:val="0AF85654"/>
    <w:rsid w:val="0B1E0CF0"/>
    <w:rsid w:val="0B1E2894"/>
    <w:rsid w:val="0B3A637F"/>
    <w:rsid w:val="0B420671"/>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6C5294"/>
    <w:rsid w:val="0E7007ED"/>
    <w:rsid w:val="0E8A515C"/>
    <w:rsid w:val="0E932086"/>
    <w:rsid w:val="0F0D0D2C"/>
    <w:rsid w:val="0F385060"/>
    <w:rsid w:val="0F4D0444"/>
    <w:rsid w:val="0F58781F"/>
    <w:rsid w:val="0F5D7625"/>
    <w:rsid w:val="0F6147A2"/>
    <w:rsid w:val="0F86061B"/>
    <w:rsid w:val="0FC27645"/>
    <w:rsid w:val="0FD4645C"/>
    <w:rsid w:val="1007199F"/>
    <w:rsid w:val="101A3630"/>
    <w:rsid w:val="102C199B"/>
    <w:rsid w:val="103927E7"/>
    <w:rsid w:val="104542C5"/>
    <w:rsid w:val="105576A8"/>
    <w:rsid w:val="107E65FB"/>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DB53B1"/>
    <w:rsid w:val="12E81B94"/>
    <w:rsid w:val="130E354D"/>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37771"/>
    <w:rsid w:val="15287486"/>
    <w:rsid w:val="15552317"/>
    <w:rsid w:val="15840A84"/>
    <w:rsid w:val="15AF033B"/>
    <w:rsid w:val="15C012BB"/>
    <w:rsid w:val="15EA61EF"/>
    <w:rsid w:val="16031113"/>
    <w:rsid w:val="160C1329"/>
    <w:rsid w:val="162D6F7D"/>
    <w:rsid w:val="16332D75"/>
    <w:rsid w:val="16502A53"/>
    <w:rsid w:val="16725D01"/>
    <w:rsid w:val="16777B9F"/>
    <w:rsid w:val="168F227C"/>
    <w:rsid w:val="169A575C"/>
    <w:rsid w:val="16AD5C51"/>
    <w:rsid w:val="16C11894"/>
    <w:rsid w:val="16C377D3"/>
    <w:rsid w:val="16E6609C"/>
    <w:rsid w:val="1711641B"/>
    <w:rsid w:val="171F0861"/>
    <w:rsid w:val="1731374B"/>
    <w:rsid w:val="173B1F0E"/>
    <w:rsid w:val="173D243C"/>
    <w:rsid w:val="17534ECF"/>
    <w:rsid w:val="17DC7BF0"/>
    <w:rsid w:val="180053F0"/>
    <w:rsid w:val="18011D29"/>
    <w:rsid w:val="181011F1"/>
    <w:rsid w:val="185F5F75"/>
    <w:rsid w:val="186F483E"/>
    <w:rsid w:val="1870253F"/>
    <w:rsid w:val="188227EF"/>
    <w:rsid w:val="189220EE"/>
    <w:rsid w:val="189E4B47"/>
    <w:rsid w:val="18D86AC4"/>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356F1"/>
    <w:rsid w:val="1A647FAE"/>
    <w:rsid w:val="1A777345"/>
    <w:rsid w:val="1A813E1F"/>
    <w:rsid w:val="1A8357FC"/>
    <w:rsid w:val="1A9F2503"/>
    <w:rsid w:val="1AA3486A"/>
    <w:rsid w:val="1ACE692C"/>
    <w:rsid w:val="1AE33064"/>
    <w:rsid w:val="1AF357C2"/>
    <w:rsid w:val="1AF7659E"/>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1C1676"/>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6E3177"/>
    <w:rsid w:val="1F6F04BA"/>
    <w:rsid w:val="1F8129BD"/>
    <w:rsid w:val="1FC84808"/>
    <w:rsid w:val="20027E74"/>
    <w:rsid w:val="2024650C"/>
    <w:rsid w:val="20450EE3"/>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1E5472C"/>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3314C7"/>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841C6E"/>
    <w:rsid w:val="26934343"/>
    <w:rsid w:val="26B424FB"/>
    <w:rsid w:val="26B73D93"/>
    <w:rsid w:val="26E62133"/>
    <w:rsid w:val="277F68D2"/>
    <w:rsid w:val="27870FB2"/>
    <w:rsid w:val="278F0AAA"/>
    <w:rsid w:val="27B84345"/>
    <w:rsid w:val="27CB7A47"/>
    <w:rsid w:val="27CF31D6"/>
    <w:rsid w:val="27E53B63"/>
    <w:rsid w:val="27EC7E96"/>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620B9B"/>
    <w:rsid w:val="2B7F5D7B"/>
    <w:rsid w:val="2B830867"/>
    <w:rsid w:val="2B9073EB"/>
    <w:rsid w:val="2BAD682D"/>
    <w:rsid w:val="2BC41873"/>
    <w:rsid w:val="2BEE5A9C"/>
    <w:rsid w:val="2C275720"/>
    <w:rsid w:val="2C3A7128"/>
    <w:rsid w:val="2C64232C"/>
    <w:rsid w:val="2C6B41B7"/>
    <w:rsid w:val="2CAF7AE9"/>
    <w:rsid w:val="2CB550EC"/>
    <w:rsid w:val="2CB90C8F"/>
    <w:rsid w:val="2CBB7012"/>
    <w:rsid w:val="2CDD6C94"/>
    <w:rsid w:val="2CF947D9"/>
    <w:rsid w:val="2CFA06CC"/>
    <w:rsid w:val="2D3F090C"/>
    <w:rsid w:val="2D473273"/>
    <w:rsid w:val="2D79041E"/>
    <w:rsid w:val="2D814A75"/>
    <w:rsid w:val="2D8167C0"/>
    <w:rsid w:val="2D9C1D44"/>
    <w:rsid w:val="2DAB174B"/>
    <w:rsid w:val="2DAC3053"/>
    <w:rsid w:val="2DB40F04"/>
    <w:rsid w:val="2DB55317"/>
    <w:rsid w:val="2DD04A2C"/>
    <w:rsid w:val="2E073EDF"/>
    <w:rsid w:val="2E1A2D69"/>
    <w:rsid w:val="2E1C2312"/>
    <w:rsid w:val="2E450C2F"/>
    <w:rsid w:val="2E617376"/>
    <w:rsid w:val="2E925B8D"/>
    <w:rsid w:val="2ED13170"/>
    <w:rsid w:val="2F011E82"/>
    <w:rsid w:val="2F415E64"/>
    <w:rsid w:val="2F60404A"/>
    <w:rsid w:val="2F6858EF"/>
    <w:rsid w:val="2F715851"/>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AD19D2"/>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53CA7"/>
    <w:rsid w:val="32B63AAA"/>
    <w:rsid w:val="32DC6B74"/>
    <w:rsid w:val="33091096"/>
    <w:rsid w:val="33232830"/>
    <w:rsid w:val="334023F0"/>
    <w:rsid w:val="3341533E"/>
    <w:rsid w:val="335D5C6D"/>
    <w:rsid w:val="33843CA1"/>
    <w:rsid w:val="33881ABE"/>
    <w:rsid w:val="33AF30E1"/>
    <w:rsid w:val="3443530F"/>
    <w:rsid w:val="344D764F"/>
    <w:rsid w:val="34690455"/>
    <w:rsid w:val="34886784"/>
    <w:rsid w:val="34A90E05"/>
    <w:rsid w:val="34AA1765"/>
    <w:rsid w:val="34AA6BD7"/>
    <w:rsid w:val="34D7618A"/>
    <w:rsid w:val="34FE589B"/>
    <w:rsid w:val="35246EC1"/>
    <w:rsid w:val="3529493E"/>
    <w:rsid w:val="35330B48"/>
    <w:rsid w:val="353B29E7"/>
    <w:rsid w:val="354E7EDA"/>
    <w:rsid w:val="355D4407"/>
    <w:rsid w:val="3562042D"/>
    <w:rsid w:val="35776DE5"/>
    <w:rsid w:val="35831E3A"/>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9E0EF6"/>
    <w:rsid w:val="36D16DB7"/>
    <w:rsid w:val="36F35ECC"/>
    <w:rsid w:val="36FC06E4"/>
    <w:rsid w:val="37092813"/>
    <w:rsid w:val="370B0055"/>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B947F9"/>
    <w:rsid w:val="40D16C5D"/>
    <w:rsid w:val="41016309"/>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A73161"/>
    <w:rsid w:val="42B25AAB"/>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9E711B"/>
    <w:rsid w:val="45A45439"/>
    <w:rsid w:val="45B4675B"/>
    <w:rsid w:val="45CA7348"/>
    <w:rsid w:val="45CB72CE"/>
    <w:rsid w:val="461F4864"/>
    <w:rsid w:val="462B6DAB"/>
    <w:rsid w:val="468C0D6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0D6AD1"/>
    <w:rsid w:val="48131737"/>
    <w:rsid w:val="481C1F20"/>
    <w:rsid w:val="482932B2"/>
    <w:rsid w:val="48353471"/>
    <w:rsid w:val="48452D6C"/>
    <w:rsid w:val="48490177"/>
    <w:rsid w:val="48547396"/>
    <w:rsid w:val="48734131"/>
    <w:rsid w:val="487B1A21"/>
    <w:rsid w:val="48801F0A"/>
    <w:rsid w:val="489C4879"/>
    <w:rsid w:val="489C7EA5"/>
    <w:rsid w:val="49276E58"/>
    <w:rsid w:val="494B4338"/>
    <w:rsid w:val="497C5511"/>
    <w:rsid w:val="49A779DD"/>
    <w:rsid w:val="49B20AE8"/>
    <w:rsid w:val="49B65DC9"/>
    <w:rsid w:val="49FF4E06"/>
    <w:rsid w:val="4A131AB1"/>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491FB6"/>
    <w:rsid w:val="4C60411D"/>
    <w:rsid w:val="4C673E0C"/>
    <w:rsid w:val="4C8E383F"/>
    <w:rsid w:val="4C9743B6"/>
    <w:rsid w:val="4CA56DBD"/>
    <w:rsid w:val="4CCD70EB"/>
    <w:rsid w:val="4CD15334"/>
    <w:rsid w:val="4CDC2AC2"/>
    <w:rsid w:val="4CEF194A"/>
    <w:rsid w:val="4D123D13"/>
    <w:rsid w:val="4D4473CA"/>
    <w:rsid w:val="4D45412E"/>
    <w:rsid w:val="4D594184"/>
    <w:rsid w:val="4D670A85"/>
    <w:rsid w:val="4D80617B"/>
    <w:rsid w:val="4D806473"/>
    <w:rsid w:val="4DB87F6B"/>
    <w:rsid w:val="4DC608A6"/>
    <w:rsid w:val="4DEC516B"/>
    <w:rsid w:val="4DF85FC0"/>
    <w:rsid w:val="4E1074C8"/>
    <w:rsid w:val="4E2B1D2E"/>
    <w:rsid w:val="4E527CB0"/>
    <w:rsid w:val="4E6F1EF6"/>
    <w:rsid w:val="4E7B029B"/>
    <w:rsid w:val="4E9C2A45"/>
    <w:rsid w:val="4EA03605"/>
    <w:rsid w:val="4ECB07EA"/>
    <w:rsid w:val="4EDA18B9"/>
    <w:rsid w:val="4F0403DF"/>
    <w:rsid w:val="4F216F20"/>
    <w:rsid w:val="4F486B2E"/>
    <w:rsid w:val="4F573543"/>
    <w:rsid w:val="4F6366D6"/>
    <w:rsid w:val="4F6D467A"/>
    <w:rsid w:val="4F6F04ED"/>
    <w:rsid w:val="4FA710E2"/>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229273F"/>
    <w:rsid w:val="52547228"/>
    <w:rsid w:val="529432E6"/>
    <w:rsid w:val="52A8026E"/>
    <w:rsid w:val="52C56B9D"/>
    <w:rsid w:val="52E37F64"/>
    <w:rsid w:val="52EC7710"/>
    <w:rsid w:val="52F24D5C"/>
    <w:rsid w:val="532C197B"/>
    <w:rsid w:val="534C6115"/>
    <w:rsid w:val="53526154"/>
    <w:rsid w:val="53561F88"/>
    <w:rsid w:val="536B5C40"/>
    <w:rsid w:val="53A41C0C"/>
    <w:rsid w:val="53BC34C4"/>
    <w:rsid w:val="53CE29B7"/>
    <w:rsid w:val="53E93F16"/>
    <w:rsid w:val="53EE096F"/>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521689"/>
    <w:rsid w:val="568A68D9"/>
    <w:rsid w:val="56A438D4"/>
    <w:rsid w:val="56BA5C7F"/>
    <w:rsid w:val="56BD3534"/>
    <w:rsid w:val="56D50ABF"/>
    <w:rsid w:val="56EA1F97"/>
    <w:rsid w:val="570F0FFB"/>
    <w:rsid w:val="574E065D"/>
    <w:rsid w:val="575B7C13"/>
    <w:rsid w:val="576A0BB6"/>
    <w:rsid w:val="576E7E03"/>
    <w:rsid w:val="576F3950"/>
    <w:rsid w:val="578A5B09"/>
    <w:rsid w:val="579B0E0D"/>
    <w:rsid w:val="57AA49F3"/>
    <w:rsid w:val="57AA5D1A"/>
    <w:rsid w:val="57AD0DA8"/>
    <w:rsid w:val="57BE32DB"/>
    <w:rsid w:val="57D631F8"/>
    <w:rsid w:val="58082218"/>
    <w:rsid w:val="581028EA"/>
    <w:rsid w:val="58344161"/>
    <w:rsid w:val="585D0DF7"/>
    <w:rsid w:val="587316C8"/>
    <w:rsid w:val="589870FB"/>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0F4E22"/>
    <w:rsid w:val="5B3C6463"/>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4F1710"/>
    <w:rsid w:val="5D5F28DD"/>
    <w:rsid w:val="5D704C15"/>
    <w:rsid w:val="5D71045F"/>
    <w:rsid w:val="5D740167"/>
    <w:rsid w:val="5D7B7702"/>
    <w:rsid w:val="5DA55EAC"/>
    <w:rsid w:val="5DAC626B"/>
    <w:rsid w:val="5DB778E4"/>
    <w:rsid w:val="5DC133FE"/>
    <w:rsid w:val="5E146811"/>
    <w:rsid w:val="5E257683"/>
    <w:rsid w:val="5E3F1622"/>
    <w:rsid w:val="5E3F1ED0"/>
    <w:rsid w:val="5E4A015A"/>
    <w:rsid w:val="5E4E1E2F"/>
    <w:rsid w:val="5E7E280E"/>
    <w:rsid w:val="5EA343F9"/>
    <w:rsid w:val="5EE34D8A"/>
    <w:rsid w:val="5F164D5E"/>
    <w:rsid w:val="5F2D2E3D"/>
    <w:rsid w:val="5F417EF1"/>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7701F5"/>
    <w:rsid w:val="61A25580"/>
    <w:rsid w:val="61AE7556"/>
    <w:rsid w:val="61BA2A2C"/>
    <w:rsid w:val="61C55F7F"/>
    <w:rsid w:val="61CA3612"/>
    <w:rsid w:val="61D41854"/>
    <w:rsid w:val="61F46458"/>
    <w:rsid w:val="62282B27"/>
    <w:rsid w:val="623E360E"/>
    <w:rsid w:val="625A6442"/>
    <w:rsid w:val="62C31135"/>
    <w:rsid w:val="62C76106"/>
    <w:rsid w:val="62CC474C"/>
    <w:rsid w:val="62FF72FE"/>
    <w:rsid w:val="63491372"/>
    <w:rsid w:val="637B0B27"/>
    <w:rsid w:val="63874046"/>
    <w:rsid w:val="638B4892"/>
    <w:rsid w:val="639A766B"/>
    <w:rsid w:val="63A61BF3"/>
    <w:rsid w:val="63BB45AD"/>
    <w:rsid w:val="63C73E6D"/>
    <w:rsid w:val="63DD4529"/>
    <w:rsid w:val="63FC0611"/>
    <w:rsid w:val="64010633"/>
    <w:rsid w:val="641222ED"/>
    <w:rsid w:val="6425209E"/>
    <w:rsid w:val="642B5582"/>
    <w:rsid w:val="64326656"/>
    <w:rsid w:val="644878A5"/>
    <w:rsid w:val="64516BFF"/>
    <w:rsid w:val="64643953"/>
    <w:rsid w:val="64963CFA"/>
    <w:rsid w:val="649A62D1"/>
    <w:rsid w:val="64B31A3E"/>
    <w:rsid w:val="64BB7086"/>
    <w:rsid w:val="64C036C0"/>
    <w:rsid w:val="64DF720B"/>
    <w:rsid w:val="64FB2F8F"/>
    <w:rsid w:val="6502750F"/>
    <w:rsid w:val="655769D7"/>
    <w:rsid w:val="658C66C4"/>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2160EE"/>
    <w:rsid w:val="6A317FEC"/>
    <w:rsid w:val="6A395739"/>
    <w:rsid w:val="6A5D1615"/>
    <w:rsid w:val="6A6652AB"/>
    <w:rsid w:val="6A667351"/>
    <w:rsid w:val="6A690452"/>
    <w:rsid w:val="6AC86B5F"/>
    <w:rsid w:val="6AD5470C"/>
    <w:rsid w:val="6AF1512E"/>
    <w:rsid w:val="6B047BC0"/>
    <w:rsid w:val="6B372870"/>
    <w:rsid w:val="6B401962"/>
    <w:rsid w:val="6B4C78DC"/>
    <w:rsid w:val="6B623CC4"/>
    <w:rsid w:val="6B6D4BD4"/>
    <w:rsid w:val="6B736C65"/>
    <w:rsid w:val="6B884223"/>
    <w:rsid w:val="6BAB5034"/>
    <w:rsid w:val="6BCC6A33"/>
    <w:rsid w:val="6BE94680"/>
    <w:rsid w:val="6C1648A2"/>
    <w:rsid w:val="6C2B5B56"/>
    <w:rsid w:val="6C405A24"/>
    <w:rsid w:val="6C4C1DDE"/>
    <w:rsid w:val="6C733663"/>
    <w:rsid w:val="6C7360A2"/>
    <w:rsid w:val="6C98271E"/>
    <w:rsid w:val="6CB357D4"/>
    <w:rsid w:val="6CB73B9C"/>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D668E5"/>
    <w:rsid w:val="6F436F8F"/>
    <w:rsid w:val="6F4D5562"/>
    <w:rsid w:val="6F663712"/>
    <w:rsid w:val="6F69285A"/>
    <w:rsid w:val="6F6D69E8"/>
    <w:rsid w:val="6F7874E2"/>
    <w:rsid w:val="6F8B29B5"/>
    <w:rsid w:val="6F9B0752"/>
    <w:rsid w:val="6FD156E3"/>
    <w:rsid w:val="6FED75FB"/>
    <w:rsid w:val="6FF11ABB"/>
    <w:rsid w:val="6FFA27F6"/>
    <w:rsid w:val="70041560"/>
    <w:rsid w:val="702552C0"/>
    <w:rsid w:val="703467FC"/>
    <w:rsid w:val="7040732E"/>
    <w:rsid w:val="707123D3"/>
    <w:rsid w:val="7086364B"/>
    <w:rsid w:val="70A42103"/>
    <w:rsid w:val="70C96594"/>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77C10"/>
    <w:rsid w:val="71895CF5"/>
    <w:rsid w:val="718F5890"/>
    <w:rsid w:val="719323BF"/>
    <w:rsid w:val="71BF5087"/>
    <w:rsid w:val="71C23C59"/>
    <w:rsid w:val="71C57971"/>
    <w:rsid w:val="71EC11CD"/>
    <w:rsid w:val="71EF3DD8"/>
    <w:rsid w:val="720506A4"/>
    <w:rsid w:val="721101F2"/>
    <w:rsid w:val="72111FA0"/>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61EA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E66F49"/>
    <w:rsid w:val="74EB245C"/>
    <w:rsid w:val="753C15BB"/>
    <w:rsid w:val="75585493"/>
    <w:rsid w:val="755E6626"/>
    <w:rsid w:val="75841DF5"/>
    <w:rsid w:val="758A071C"/>
    <w:rsid w:val="758C4CA2"/>
    <w:rsid w:val="75C45800"/>
    <w:rsid w:val="75D40046"/>
    <w:rsid w:val="75D96E3B"/>
    <w:rsid w:val="762F29E5"/>
    <w:rsid w:val="764374F1"/>
    <w:rsid w:val="76944E76"/>
    <w:rsid w:val="769A26CA"/>
    <w:rsid w:val="76AB3C70"/>
    <w:rsid w:val="76C34928"/>
    <w:rsid w:val="76D17FE1"/>
    <w:rsid w:val="76DF15B8"/>
    <w:rsid w:val="76FB601C"/>
    <w:rsid w:val="7708778F"/>
    <w:rsid w:val="770B7BD2"/>
    <w:rsid w:val="778364BE"/>
    <w:rsid w:val="7799548D"/>
    <w:rsid w:val="779E65C5"/>
    <w:rsid w:val="77B77D93"/>
    <w:rsid w:val="77ED1FBE"/>
    <w:rsid w:val="78023A5D"/>
    <w:rsid w:val="787764A6"/>
    <w:rsid w:val="78867CFB"/>
    <w:rsid w:val="78AE1EE3"/>
    <w:rsid w:val="78CE32F1"/>
    <w:rsid w:val="78CE3C30"/>
    <w:rsid w:val="78D06FA5"/>
    <w:rsid w:val="78F044C0"/>
    <w:rsid w:val="793D3D59"/>
    <w:rsid w:val="795F47C4"/>
    <w:rsid w:val="795F4B87"/>
    <w:rsid w:val="7964594B"/>
    <w:rsid w:val="797F5A41"/>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2A08CC"/>
    <w:rsid w:val="7B4909FD"/>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33070"/>
    <w:rsid w:val="7D1948FD"/>
    <w:rsid w:val="7D2C6F9F"/>
    <w:rsid w:val="7D543264"/>
    <w:rsid w:val="7D5B2CA1"/>
    <w:rsid w:val="7D6D7156"/>
    <w:rsid w:val="7D7115AD"/>
    <w:rsid w:val="7DA168CE"/>
    <w:rsid w:val="7DAE4568"/>
    <w:rsid w:val="7DC85A4E"/>
    <w:rsid w:val="7DF033B2"/>
    <w:rsid w:val="7DF11E99"/>
    <w:rsid w:val="7DF550BA"/>
    <w:rsid w:val="7E531FFF"/>
    <w:rsid w:val="7E5E764B"/>
    <w:rsid w:val="7E617E0B"/>
    <w:rsid w:val="7EA44BEF"/>
    <w:rsid w:val="7ECB55B8"/>
    <w:rsid w:val="7EE626A2"/>
    <w:rsid w:val="7EEC63E7"/>
    <w:rsid w:val="7EF54C4F"/>
    <w:rsid w:val="7EFB3937"/>
    <w:rsid w:val="7F020EC4"/>
    <w:rsid w:val="7F1E0F62"/>
    <w:rsid w:val="7F1F3426"/>
    <w:rsid w:val="7F381A2F"/>
    <w:rsid w:val="7F5957B0"/>
    <w:rsid w:val="7F6F2116"/>
    <w:rsid w:val="7F9846AE"/>
    <w:rsid w:val="7F9962DF"/>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6">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8"/>
    <w:semiHidden/>
    <w:unhideWhenUsed/>
    <w:qFormat/>
    <w:uiPriority w:val="0"/>
    <w:pPr>
      <w:keepNext/>
      <w:keepLines/>
      <w:tabs>
        <w:tab w:val="left" w:pos="8280"/>
      </w:tabs>
      <w:spacing w:before="260" w:after="260" w:line="416" w:lineRule="auto"/>
      <w:outlineLvl w:val="2"/>
    </w:pPr>
    <w:rPr>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4"/>
    <w:link w:val="76"/>
    <w:qFormat/>
    <w:uiPriority w:val="0"/>
    <w:pPr>
      <w:ind w:firstLine="200" w:firstLineChars="200"/>
    </w:pPr>
  </w:style>
  <w:style w:type="paragraph" w:styleId="4">
    <w:name w:val="toc 6"/>
    <w:basedOn w:val="1"/>
    <w:next w:val="1"/>
    <w:unhideWhenUsed/>
    <w:qFormat/>
    <w:uiPriority w:val="39"/>
    <w:pPr>
      <w:ind w:left="2100" w:leftChars="1000"/>
    </w:pPr>
    <w:rPr>
      <w:rFonts w:ascii="Calibri" w:hAnsi="Calibri"/>
    </w:rPr>
  </w:style>
  <w:style w:type="paragraph" w:styleId="8">
    <w:name w:val="Normal Indent"/>
    <w:basedOn w:val="1"/>
    <w:qFormat/>
    <w:uiPriority w:val="0"/>
    <w:pPr>
      <w:ind w:firstLine="420"/>
    </w:pPr>
    <w:rPr>
      <w:szCs w:val="20"/>
    </w:rPr>
  </w:style>
  <w:style w:type="paragraph" w:styleId="9">
    <w:name w:val="List Number"/>
    <w:basedOn w:val="1"/>
    <w:qFormat/>
    <w:uiPriority w:val="0"/>
    <w:pPr>
      <w:numPr>
        <w:ilvl w:val="0"/>
        <w:numId w:val="2"/>
      </w:numPr>
    </w:pPr>
  </w:style>
  <w:style w:type="paragraph" w:styleId="10">
    <w:name w:val="List Bullet"/>
    <w:basedOn w:val="1"/>
    <w:next w:val="1"/>
    <w:qFormat/>
    <w:uiPriority w:val="0"/>
    <w:pPr>
      <w:numPr>
        <w:ilvl w:val="0"/>
        <w:numId w:val="3"/>
      </w:numPr>
    </w:pPr>
  </w:style>
  <w:style w:type="paragraph" w:styleId="11">
    <w:name w:val="annotation text"/>
    <w:basedOn w:val="1"/>
    <w:link w:val="74"/>
    <w:qFormat/>
    <w:uiPriority w:val="0"/>
    <w:pPr>
      <w:jc w:val="left"/>
    </w:pPr>
  </w:style>
  <w:style w:type="paragraph" w:styleId="12">
    <w:name w:val="Body Text Indent"/>
    <w:basedOn w:val="1"/>
    <w:next w:val="1"/>
    <w:qFormat/>
    <w:uiPriority w:val="0"/>
    <w:pPr>
      <w:spacing w:after="120"/>
      <w:ind w:left="420" w:leftChars="200"/>
    </w:pPr>
  </w:style>
  <w:style w:type="paragraph" w:styleId="13">
    <w:name w:val="List Bullet 2"/>
    <w:basedOn w:val="1"/>
    <w:next w:val="10"/>
    <w:qFormat/>
    <w:uiPriority w:val="0"/>
    <w:pPr>
      <w:numPr>
        <w:ilvl w:val="0"/>
        <w:numId w:val="4"/>
      </w:numPr>
    </w:pPr>
  </w:style>
  <w:style w:type="paragraph" w:styleId="14">
    <w:name w:val="Plain Text"/>
    <w:basedOn w:val="1"/>
    <w:next w:val="8"/>
    <w:link w:val="66"/>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6"/>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0">
    <w:name w:val="toc 2"/>
    <w:basedOn w:val="1"/>
    <w:next w:val="1"/>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next w:val="1"/>
    <w:qFormat/>
    <w:uiPriority w:val="0"/>
    <w:pPr>
      <w:spacing w:before="240" w:after="60"/>
      <w:jc w:val="center"/>
      <w:outlineLvl w:val="0"/>
    </w:pPr>
    <w:rPr>
      <w:rFonts w:ascii="Cambria" w:hAnsi="Cambria"/>
      <w:b/>
      <w:bCs/>
      <w:kern w:val="0"/>
      <w:sz w:val="32"/>
      <w:szCs w:val="32"/>
    </w:rPr>
  </w:style>
  <w:style w:type="paragraph" w:styleId="23">
    <w:name w:val="annotation subject"/>
    <w:basedOn w:val="11"/>
    <w:next w:val="11"/>
    <w:link w:val="75"/>
    <w:qFormat/>
    <w:uiPriority w:val="0"/>
    <w:rPr>
      <w:b/>
      <w:bCs/>
    </w:rPr>
  </w:style>
  <w:style w:type="paragraph" w:styleId="24">
    <w:name w:val="Body Text First Indent 2"/>
    <w:basedOn w:val="12"/>
    <w:next w:val="1"/>
    <w:qFormat/>
    <w:uiPriority w:val="0"/>
    <w:pPr>
      <w:ind w:firstLine="420"/>
    </w:pPr>
  </w:style>
  <w:style w:type="table" w:styleId="26">
    <w:name w:val="Table Grid"/>
    <w:basedOn w:val="25"/>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8">
    <w:name w:val="Hyperlink"/>
    <w:qFormat/>
    <w:uiPriority w:val="0"/>
    <w:rPr>
      <w:color w:val="0000FF"/>
      <w:u w:val="single"/>
    </w:rPr>
  </w:style>
  <w:style w:type="character" w:styleId="29">
    <w:name w:val="annotation reference"/>
    <w:basedOn w:val="27"/>
    <w:qFormat/>
    <w:uiPriority w:val="0"/>
    <w:rPr>
      <w:sz w:val="21"/>
      <w:szCs w:val="21"/>
    </w:rPr>
  </w:style>
  <w:style w:type="paragraph" w:customStyle="1" w:styleId="30">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4、正文"/>
    <w:basedOn w:val="1"/>
    <w:qFormat/>
    <w:uiPriority w:val="0"/>
    <w:pPr>
      <w:ind w:firstLine="200" w:firstLineChars="200"/>
    </w:pPr>
    <w:rPr>
      <w:rFonts w:ascii="宋体"/>
      <w:sz w:val="24"/>
      <w:szCs w:val="28"/>
    </w:rPr>
  </w:style>
  <w:style w:type="paragraph" w:customStyle="1" w:styleId="32">
    <w:name w:val="表格文字"/>
    <w:basedOn w:val="1"/>
    <w:next w:val="2"/>
    <w:qFormat/>
    <w:uiPriority w:val="0"/>
    <w:pPr>
      <w:jc w:val="left"/>
      <w:textAlignment w:val="top"/>
    </w:pPr>
    <w:rPr>
      <w:sz w:val="18"/>
    </w:rPr>
  </w:style>
  <w:style w:type="paragraph" w:customStyle="1" w:styleId="33">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4">
    <w:name w:val="List Paragraph"/>
    <w:basedOn w:val="1"/>
    <w:qFormat/>
    <w:uiPriority w:val="0"/>
    <w:pPr>
      <w:ind w:firstLine="420" w:firstLineChars="200"/>
    </w:pPr>
    <w:rPr>
      <w:rFonts w:ascii="Calibri" w:hAnsi="Calibri"/>
      <w:szCs w:val="22"/>
    </w:rPr>
  </w:style>
  <w:style w:type="paragraph" w:customStyle="1" w:styleId="35">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qFormat/>
    <w:uiPriority w:val="0"/>
    <w:rPr>
      <w:rFonts w:ascii="Times New Roman" w:hAnsi="Times New Roman" w:eastAsia="宋体" w:cs="Times New Roman"/>
      <w:sz w:val="21"/>
      <w:szCs w:val="22"/>
      <w:lang w:val="en-US" w:eastAsia="zh-CN" w:bidi="ar-SA"/>
    </w:rPr>
  </w:style>
  <w:style w:type="paragraph" w:customStyle="1" w:styleId="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0"/>
    <w:pPr>
      <w:widowControl/>
      <w:jc w:val="left"/>
    </w:pPr>
    <w:rPr>
      <w:rFonts w:ascii="宋体" w:hAnsi="Courier New" w:eastAsiaTheme="minorEastAsia" w:cstheme="minorBidi"/>
      <w:szCs w:val="21"/>
    </w:rPr>
  </w:style>
  <w:style w:type="paragraph" w:customStyle="1" w:styleId="44">
    <w:name w:val="纯文本_0_1"/>
    <w:basedOn w:val="1"/>
    <w:qFormat/>
    <w:uiPriority w:val="0"/>
    <w:pPr>
      <w:widowControl/>
      <w:jc w:val="left"/>
    </w:pPr>
    <w:rPr>
      <w:rFonts w:ascii="宋体" w:hAnsi="Courier New" w:eastAsiaTheme="minorEastAsia" w:cstheme="minorBidi"/>
      <w:szCs w:val="21"/>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font21"/>
    <w:basedOn w:val="27"/>
    <w:qFormat/>
    <w:uiPriority w:val="0"/>
    <w:rPr>
      <w:rFonts w:hint="default" w:ascii="Arial" w:hAnsi="Arial" w:cs="Arial"/>
      <w:color w:val="000000"/>
      <w:sz w:val="20"/>
      <w:szCs w:val="20"/>
      <w:u w:val="none"/>
    </w:rPr>
  </w:style>
  <w:style w:type="character" w:customStyle="1" w:styleId="50">
    <w:name w:val="font01"/>
    <w:basedOn w:val="27"/>
    <w:qFormat/>
    <w:uiPriority w:val="0"/>
    <w:rPr>
      <w:rFonts w:hint="eastAsia" w:ascii="宋体" w:hAnsi="宋体" w:eastAsia="宋体" w:cs="宋体"/>
      <w:color w:val="000000"/>
      <w:sz w:val="20"/>
      <w:szCs w:val="20"/>
      <w:u w:val="none"/>
    </w:rPr>
  </w:style>
  <w:style w:type="paragraph" w:customStyle="1" w:styleId="51">
    <w:name w:val="纯文本1"/>
    <w:basedOn w:val="52"/>
    <w:qFormat/>
    <w:uiPriority w:val="0"/>
    <w:pPr>
      <w:widowControl/>
      <w:jc w:val="left"/>
    </w:pPr>
    <w:rPr>
      <w:rFonts w:ascii="宋体" w:hAnsi="Courier New"/>
    </w:rPr>
  </w:style>
  <w:style w:type="paragraph" w:customStyle="1" w:styleId="5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3">
    <w:name w:val="Table Paragraph"/>
    <w:basedOn w:val="1"/>
    <w:qFormat/>
    <w:uiPriority w:val="1"/>
    <w:rPr>
      <w:rFonts w:ascii="宋体" w:hAnsi="宋体" w:cs="宋体"/>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character" w:customStyle="1" w:styleId="56">
    <w:name w:val="批注框文本 字符"/>
    <w:basedOn w:val="27"/>
    <w:link w:val="16"/>
    <w:qFormat/>
    <w:uiPriority w:val="0"/>
    <w:rPr>
      <w:kern w:val="2"/>
      <w:sz w:val="18"/>
      <w:szCs w:val="18"/>
    </w:rPr>
  </w:style>
  <w:style w:type="paragraph" w:customStyle="1" w:styleId="57">
    <w:name w:val="英文"/>
    <w:basedOn w:val="1"/>
    <w:link w:val="59"/>
    <w:qFormat/>
    <w:uiPriority w:val="0"/>
    <w:pPr>
      <w:adjustRightInd w:val="0"/>
      <w:snapToGrid w:val="0"/>
      <w:spacing w:line="360" w:lineRule="auto"/>
      <w:ind w:firstLine="480" w:firstLineChars="200"/>
    </w:pPr>
    <w:rPr>
      <w:rFonts w:ascii="Arial" w:hAnsi="Arial" w:cs="Arial"/>
      <w:sz w:val="24"/>
    </w:rPr>
  </w:style>
  <w:style w:type="paragraph" w:customStyle="1" w:styleId="58">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9">
    <w:name w:val="英文 Char"/>
    <w:link w:val="57"/>
    <w:qFormat/>
    <w:uiPriority w:val="0"/>
    <w:rPr>
      <w:rFonts w:ascii="Arial" w:hAnsi="Arial" w:cs="Arial"/>
      <w:sz w:val="24"/>
    </w:rPr>
  </w:style>
  <w:style w:type="paragraph" w:customStyle="1" w:styleId="60">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1">
    <w:name w:val="正文段落"/>
    <w:basedOn w:val="1"/>
    <w:qFormat/>
    <w:uiPriority w:val="0"/>
    <w:pPr>
      <w:spacing w:line="360" w:lineRule="auto"/>
      <w:ind w:firstLine="200" w:firstLineChars="200"/>
    </w:pPr>
    <w:rPr>
      <w:rFonts w:eastAsia="仿宋"/>
      <w:sz w:val="28"/>
    </w:rPr>
  </w:style>
  <w:style w:type="paragraph" w:customStyle="1" w:styleId="62">
    <w:name w:val="Normal Indent1"/>
    <w:basedOn w:val="1"/>
    <w:qFormat/>
    <w:uiPriority w:val="0"/>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列表段落1"/>
    <w:basedOn w:val="1"/>
    <w:qFormat/>
    <w:uiPriority w:val="0"/>
    <w:pPr>
      <w:ind w:firstLine="420" w:firstLineChars="200"/>
    </w:pPr>
  </w:style>
  <w:style w:type="character" w:customStyle="1" w:styleId="66">
    <w:name w:val="纯文本 字符"/>
    <w:link w:val="14"/>
    <w:qFormat/>
    <w:uiPriority w:val="0"/>
    <w:rPr>
      <w:rFonts w:ascii="宋体" w:hAnsi="Courier New" w:cstheme="minorBidi"/>
      <w:kern w:val="2"/>
      <w:sz w:val="21"/>
      <w:szCs w:val="24"/>
    </w:rPr>
  </w:style>
  <w:style w:type="character" w:customStyle="1" w:styleId="67">
    <w:name w:val="NormalCharacter"/>
    <w:qFormat/>
    <w:uiPriority w:val="0"/>
  </w:style>
  <w:style w:type="paragraph" w:customStyle="1" w:styleId="68">
    <w:name w:val="UserStyle_4"/>
    <w:basedOn w:val="1"/>
    <w:qFormat/>
    <w:uiPriority w:val="0"/>
    <w:pPr>
      <w:ind w:firstLine="420" w:firstLineChars="200"/>
    </w:pPr>
    <w:rPr>
      <w:sz w:val="24"/>
    </w:rPr>
  </w:style>
  <w:style w:type="paragraph" w:customStyle="1" w:styleId="69">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0">
    <w:name w:val="UserStyle_48"/>
    <w:basedOn w:val="1"/>
    <w:qFormat/>
    <w:uiPriority w:val="0"/>
    <w:pPr>
      <w:ind w:firstLine="420" w:firstLineChars="200"/>
    </w:pPr>
    <w:rPr>
      <w:szCs w:val="21"/>
    </w:rPr>
  </w:style>
  <w:style w:type="paragraph" w:customStyle="1" w:styleId="71">
    <w:name w:val="PlainText"/>
    <w:basedOn w:val="1"/>
    <w:qFormat/>
    <w:uiPriority w:val="0"/>
    <w:pPr>
      <w:spacing w:before="156" w:after="156" w:line="400" w:lineRule="atLeast"/>
    </w:pPr>
    <w:rPr>
      <w:rFonts w:ascii="宋体" w:hAnsi="Courier New"/>
      <w:sz w:val="24"/>
    </w:rPr>
  </w:style>
  <w:style w:type="paragraph" w:customStyle="1" w:styleId="72">
    <w:name w:val="UserStyle_29"/>
    <w:basedOn w:val="1"/>
    <w:qFormat/>
    <w:uiPriority w:val="0"/>
    <w:pPr>
      <w:ind w:firstLine="420" w:firstLineChars="200"/>
    </w:pPr>
    <w:rPr>
      <w:szCs w:val="22"/>
    </w:rPr>
  </w:style>
  <w:style w:type="table" w:customStyle="1" w:styleId="73">
    <w:name w:val="Table Normal"/>
    <w:unhideWhenUsed/>
    <w:qFormat/>
    <w:uiPriority w:val="0"/>
    <w:tblPr>
      <w:tblCellMar>
        <w:top w:w="0" w:type="dxa"/>
        <w:left w:w="0" w:type="dxa"/>
        <w:bottom w:w="0" w:type="dxa"/>
        <w:right w:w="0" w:type="dxa"/>
      </w:tblCellMar>
    </w:tblPr>
  </w:style>
  <w:style w:type="character" w:customStyle="1" w:styleId="74">
    <w:name w:val="批注文字 字符"/>
    <w:basedOn w:val="27"/>
    <w:link w:val="11"/>
    <w:qFormat/>
    <w:uiPriority w:val="0"/>
    <w:rPr>
      <w:kern w:val="2"/>
      <w:sz w:val="21"/>
      <w:szCs w:val="24"/>
    </w:rPr>
  </w:style>
  <w:style w:type="character" w:customStyle="1" w:styleId="75">
    <w:name w:val="批注主题 字符"/>
    <w:basedOn w:val="74"/>
    <w:link w:val="23"/>
    <w:qFormat/>
    <w:uiPriority w:val="0"/>
    <w:rPr>
      <w:b/>
      <w:bCs/>
      <w:kern w:val="2"/>
      <w:sz w:val="21"/>
      <w:szCs w:val="24"/>
    </w:rPr>
  </w:style>
  <w:style w:type="character" w:customStyle="1" w:styleId="76">
    <w:name w:val="正文首行缩进 字符"/>
    <w:basedOn w:val="27"/>
    <w:link w:val="3"/>
    <w:qFormat/>
    <w:uiPriority w:val="0"/>
    <w:rPr>
      <w:kern w:val="2"/>
      <w:sz w:val="24"/>
      <w:szCs w:val="24"/>
    </w:rPr>
  </w:style>
  <w:style w:type="paragraph" w:customStyle="1" w:styleId="77">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20867</Words>
  <Characters>21652</Characters>
  <Lines>197</Lines>
  <Paragraphs>55</Paragraphs>
  <TotalTime>32</TotalTime>
  <ScaleCrop>false</ScaleCrop>
  <LinksUpToDate>false</LinksUpToDate>
  <CharactersWithSpaces>22742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葛俊</cp:lastModifiedBy>
  <cp:lastPrinted>2023-09-06T06:59:00Z</cp:lastPrinted>
  <dcterms:modified xsi:type="dcterms:W3CDTF">2023-09-27T06:55:14Z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