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399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auto"/>
          <w:kern w:val="0"/>
          <w:sz w:val="52"/>
          <w:szCs w:val="52"/>
          <w:highlight w:val="none"/>
        </w:rPr>
      </w:pPr>
    </w:p>
    <w:p>
      <w:pPr>
        <w:pStyle w:val="78"/>
        <w:jc w:val="center"/>
        <w:rPr>
          <w:b/>
          <w:bCs/>
          <w:strike/>
          <w:color w:val="auto"/>
          <w:sz w:val="36"/>
          <w:szCs w:val="40"/>
          <w:highlight w:val="none"/>
        </w:rPr>
      </w:pPr>
      <w:r>
        <w:rPr>
          <w:rFonts w:hint="eastAsia"/>
          <w:b/>
          <w:bCs/>
          <w:color w:val="auto"/>
          <w:sz w:val="36"/>
          <w:szCs w:val="40"/>
          <w:highlight w:val="none"/>
        </w:rPr>
        <w:t>台州循环经济发展有限公司及其下属子公司</w:t>
      </w:r>
    </w:p>
    <w:p>
      <w:pPr>
        <w:pStyle w:val="78"/>
        <w:jc w:val="center"/>
        <w:rPr>
          <w:b/>
          <w:bCs/>
          <w:color w:val="auto"/>
          <w:sz w:val="36"/>
          <w:szCs w:val="40"/>
          <w:highlight w:val="none"/>
        </w:rPr>
      </w:pPr>
      <w:r>
        <w:rPr>
          <w:rFonts w:hint="eastAsia"/>
          <w:b/>
          <w:bCs/>
          <w:color w:val="auto"/>
          <w:sz w:val="36"/>
          <w:szCs w:val="40"/>
          <w:highlight w:val="none"/>
        </w:rPr>
        <w:t>补充医疗保险服务采购项目</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r>
        <w:rPr>
          <w:rFonts w:hint="eastAsia" w:ascii="宋体"/>
          <w:b/>
          <w:color w:val="auto"/>
          <w:kern w:val="0"/>
          <w:sz w:val="52"/>
          <w:szCs w:val="52"/>
          <w:highlight w:val="none"/>
        </w:rPr>
        <w:t>采 购 文 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color w:val="auto"/>
          <w:kern w:val="0"/>
          <w:sz w:val="32"/>
          <w:highlight w:val="none"/>
        </w:rPr>
      </w:pPr>
      <w:r>
        <w:rPr>
          <w:rFonts w:hint="eastAsia" w:ascii="宋体" w:hAnsi="宋体" w:cs="Calibri Light"/>
          <w:color w:val="auto"/>
          <w:kern w:val="0"/>
          <w:szCs w:val="28"/>
          <w:highlight w:val="none"/>
        </w:rPr>
        <w:t>采购编号：</w:t>
      </w:r>
      <w:r>
        <w:rPr>
          <w:rFonts w:hint="eastAsia" w:ascii="宋体" w:hAnsi="宋体" w:cs="Calibri Light"/>
          <w:color w:val="auto"/>
          <w:kern w:val="0"/>
          <w:szCs w:val="28"/>
          <w:highlight w:val="none"/>
        </w:rPr>
        <w:fldChar w:fldCharType="begin"/>
      </w:r>
      <w:r>
        <w:rPr>
          <w:rFonts w:hint="eastAsia" w:ascii="宋体" w:hAnsi="宋体" w:cs="Calibri Light"/>
          <w:color w:val="auto"/>
          <w:kern w:val="0"/>
          <w:szCs w:val="28"/>
          <w:highlight w:val="none"/>
        </w:rPr>
        <w:instrText xml:space="preserve"> HYPERLINK "http://www.tzwztb.com/ztb/Framework/Main/Default.aspx?p=01001&amp;PrjId=I3310005276000328001" </w:instrText>
      </w:r>
      <w:r>
        <w:rPr>
          <w:rFonts w:hint="eastAsia" w:ascii="宋体" w:hAnsi="宋体" w:cs="Calibri Light"/>
          <w:color w:val="auto"/>
          <w:kern w:val="0"/>
          <w:szCs w:val="28"/>
          <w:highlight w:val="none"/>
        </w:rPr>
        <w:fldChar w:fldCharType="separate"/>
      </w:r>
      <w:r>
        <w:rPr>
          <w:rFonts w:hint="eastAsia" w:ascii="宋体" w:hAnsi="宋体" w:cs="Calibri Light"/>
          <w:color w:val="auto"/>
          <w:kern w:val="0"/>
          <w:szCs w:val="28"/>
          <w:highlight w:val="none"/>
          <w:lang w:eastAsia="zh-CN"/>
        </w:rPr>
        <w:t>QBJ2023199</w:t>
      </w:r>
      <w:r>
        <w:rPr>
          <w:rFonts w:hint="eastAsia" w:ascii="宋体" w:hAnsi="宋体" w:cs="Calibri Light"/>
          <w:color w:val="auto"/>
          <w:kern w:val="0"/>
          <w:szCs w:val="28"/>
          <w:highlight w:val="none"/>
        </w:rPr>
        <w:fldChar w:fldCharType="end"/>
      </w:r>
      <w:r>
        <w:rPr>
          <w:rFonts w:hint="eastAsia" w:ascii="宋体" w:hAnsi="宋体" w:cs="Calibri Light"/>
          <w:color w:val="auto"/>
          <w:kern w:val="0"/>
          <w:szCs w:val="28"/>
          <w:highlight w:val="none"/>
        </w:rPr>
        <w:t xml:space="preserve">   </w:t>
      </w:r>
      <w:r>
        <w:rPr>
          <w:rFonts w:ascii="宋体" w:hAnsi="宋体" w:cs="Calibri Light"/>
          <w:color w:val="auto"/>
          <w:kern w:val="0"/>
          <w:szCs w:val="28"/>
          <w:highlight w:val="none"/>
        </w:rPr>
        <w:t xml:space="preserve">    </w:t>
      </w:r>
    </w:p>
    <w:p>
      <w:pPr>
        <w:tabs>
          <w:tab w:val="left" w:pos="1260"/>
        </w:tabs>
        <w:spacing w:line="640" w:lineRule="exact"/>
        <w:outlineLvl w:val="0"/>
        <w:rPr>
          <w:rFonts w:ascii="宋体" w:hAnsi="宋体"/>
          <w:color w:val="auto"/>
          <w:spacing w:val="20"/>
          <w:kern w:val="21"/>
          <w:sz w:val="30"/>
          <w:szCs w:val="30"/>
          <w:highlight w:val="none"/>
        </w:rPr>
      </w:pPr>
    </w:p>
    <w:p>
      <w:pPr>
        <w:tabs>
          <w:tab w:val="left" w:pos="1260"/>
        </w:tabs>
        <w:spacing w:line="640" w:lineRule="exact"/>
        <w:ind w:firstLine="1020" w:firstLineChars="300"/>
        <w:outlineLvl w:val="0"/>
        <w:rPr>
          <w:rFonts w:ascii="宋体" w:hAnsi="宋体"/>
          <w:color w:val="auto"/>
          <w:spacing w:val="20"/>
          <w:kern w:val="21"/>
          <w:sz w:val="30"/>
          <w:szCs w:val="30"/>
          <w:highlight w:val="none"/>
        </w:rPr>
      </w:pPr>
      <w:r>
        <w:rPr>
          <w:rFonts w:hint="eastAsia" w:ascii="宋体" w:hAnsi="宋体"/>
          <w:color w:val="auto"/>
          <w:spacing w:val="20"/>
          <w:kern w:val="21"/>
          <w:sz w:val="30"/>
          <w:szCs w:val="30"/>
          <w:highlight w:val="none"/>
        </w:rPr>
        <w:t>采 购 人：</w:t>
      </w:r>
      <w:r>
        <w:rPr>
          <w:rFonts w:hint="eastAsia" w:ascii="宋体" w:hAnsi="宋体"/>
          <w:color w:val="auto"/>
          <w:sz w:val="28"/>
          <w:highlight w:val="none"/>
          <w:u w:val="single"/>
        </w:rPr>
        <w:t>台州循环经济发展有限公司</w:t>
      </w:r>
      <w:r>
        <w:rPr>
          <w:rFonts w:hint="eastAsia" w:ascii="宋体" w:hAnsi="宋体"/>
          <w:color w:val="auto"/>
          <w:spacing w:val="20"/>
          <w:kern w:val="21"/>
          <w:sz w:val="30"/>
          <w:szCs w:val="30"/>
          <w:highlight w:val="none"/>
        </w:rPr>
        <w:t>（盖章）</w:t>
      </w:r>
    </w:p>
    <w:p>
      <w:pPr>
        <w:spacing w:line="640" w:lineRule="exact"/>
        <w:ind w:firstLine="1020" w:firstLineChars="300"/>
        <w:outlineLvl w:val="0"/>
        <w:rPr>
          <w:rFonts w:ascii="宋体" w:hAnsi="宋体"/>
          <w:color w:val="auto"/>
          <w:spacing w:val="20"/>
          <w:kern w:val="21"/>
          <w:sz w:val="30"/>
          <w:szCs w:val="30"/>
          <w:highlight w:val="none"/>
        </w:rPr>
      </w:pPr>
      <w:r>
        <w:rPr>
          <w:rFonts w:hint="eastAsia" w:ascii="宋体" w:hAnsi="宋体"/>
          <w:color w:val="auto"/>
          <w:spacing w:val="20"/>
          <w:kern w:val="21"/>
          <w:sz w:val="30"/>
          <w:szCs w:val="30"/>
          <w:highlight w:val="none"/>
        </w:rPr>
        <w:t>联 系 人：</w:t>
      </w:r>
      <w:r>
        <w:rPr>
          <w:rFonts w:hint="eastAsia" w:hAnsi="宋体"/>
          <w:color w:val="auto"/>
          <w:sz w:val="28"/>
          <w:highlight w:val="none"/>
          <w:u w:val="single"/>
        </w:rPr>
        <w:t>冯女士</w:t>
      </w:r>
    </w:p>
    <w:p>
      <w:pPr>
        <w:spacing w:line="640" w:lineRule="exact"/>
        <w:ind w:firstLine="1020" w:firstLineChars="300"/>
        <w:outlineLvl w:val="0"/>
        <w:rPr>
          <w:rFonts w:ascii="宋体" w:hAnsi="宋体"/>
          <w:color w:val="auto"/>
          <w:spacing w:val="20"/>
          <w:kern w:val="21"/>
          <w:sz w:val="30"/>
          <w:szCs w:val="30"/>
          <w:highlight w:val="none"/>
        </w:rPr>
      </w:pPr>
      <w:r>
        <w:rPr>
          <w:rFonts w:hint="eastAsia" w:ascii="宋体" w:hAnsi="宋体"/>
          <w:color w:val="auto"/>
          <w:spacing w:val="20"/>
          <w:kern w:val="21"/>
          <w:sz w:val="30"/>
          <w:szCs w:val="30"/>
          <w:highlight w:val="none"/>
        </w:rPr>
        <w:t>联系电话：</w:t>
      </w:r>
      <w:r>
        <w:rPr>
          <w:rFonts w:hint="eastAsia" w:hAnsi="宋体"/>
          <w:color w:val="auto"/>
          <w:sz w:val="28"/>
          <w:highlight w:val="none"/>
          <w:u w:val="single"/>
        </w:rPr>
        <w:t>0576-88909175</w:t>
      </w:r>
      <w:r>
        <w:rPr>
          <w:rFonts w:hint="eastAsia" w:ascii="宋体" w:hAnsi="宋体"/>
          <w:color w:val="auto"/>
          <w:spacing w:val="20"/>
          <w:kern w:val="21"/>
          <w:sz w:val="30"/>
          <w:szCs w:val="30"/>
          <w:highlight w:val="none"/>
        </w:rPr>
        <w:t xml:space="preserve"> </w:t>
      </w:r>
    </w:p>
    <w:p>
      <w:pPr>
        <w:spacing w:line="640" w:lineRule="exact"/>
        <w:ind w:firstLine="1020" w:firstLineChars="300"/>
        <w:outlineLvl w:val="0"/>
        <w:rPr>
          <w:rFonts w:ascii="宋体" w:hAnsi="宋体"/>
          <w:color w:val="auto"/>
          <w:spacing w:val="20"/>
          <w:kern w:val="21"/>
          <w:sz w:val="30"/>
          <w:szCs w:val="30"/>
          <w:highlight w:val="none"/>
        </w:rPr>
      </w:pPr>
      <w:r>
        <w:rPr>
          <w:rFonts w:hint="eastAsia" w:ascii="宋体" w:hAnsi="宋体"/>
          <w:color w:val="auto"/>
          <w:spacing w:val="20"/>
          <w:kern w:val="21"/>
          <w:sz w:val="30"/>
          <w:szCs w:val="30"/>
          <w:highlight w:val="none"/>
        </w:rPr>
        <w:t>招标代理：</w:t>
      </w:r>
      <w:r>
        <w:rPr>
          <w:rFonts w:hint="eastAsia" w:ascii="宋体" w:hAnsi="宋体"/>
          <w:color w:val="auto"/>
          <w:sz w:val="28"/>
          <w:highlight w:val="none"/>
          <w:u w:val="single"/>
        </w:rPr>
        <w:t>台州市建设咨询有限公司</w:t>
      </w:r>
      <w:r>
        <w:rPr>
          <w:rFonts w:hint="eastAsia" w:ascii="宋体" w:hAnsi="宋体"/>
          <w:color w:val="auto"/>
          <w:spacing w:val="20"/>
          <w:kern w:val="21"/>
          <w:sz w:val="30"/>
          <w:szCs w:val="30"/>
          <w:highlight w:val="none"/>
        </w:rPr>
        <w:t>（盖章）</w:t>
      </w:r>
    </w:p>
    <w:p>
      <w:pPr>
        <w:spacing w:line="640" w:lineRule="exact"/>
        <w:ind w:firstLine="1020" w:firstLineChars="300"/>
        <w:outlineLvl w:val="0"/>
        <w:rPr>
          <w:rFonts w:ascii="宋体" w:hAnsi="宋体"/>
          <w:color w:val="auto"/>
          <w:spacing w:val="20"/>
          <w:kern w:val="21"/>
          <w:sz w:val="30"/>
          <w:szCs w:val="30"/>
          <w:highlight w:val="none"/>
        </w:rPr>
      </w:pPr>
      <w:r>
        <w:rPr>
          <w:rFonts w:hint="eastAsia" w:ascii="宋体" w:hAnsi="宋体"/>
          <w:color w:val="auto"/>
          <w:spacing w:val="20"/>
          <w:kern w:val="21"/>
          <w:sz w:val="30"/>
          <w:szCs w:val="30"/>
          <w:highlight w:val="none"/>
        </w:rPr>
        <w:t>联 系 人：</w:t>
      </w:r>
      <w:r>
        <w:rPr>
          <w:rFonts w:hint="eastAsia" w:ascii="宋体" w:hAnsi="宋体"/>
          <w:color w:val="auto"/>
          <w:sz w:val="28"/>
          <w:highlight w:val="none"/>
          <w:u w:val="single"/>
        </w:rPr>
        <w:t>葛俊</w:t>
      </w:r>
      <w:r>
        <w:rPr>
          <w:color w:val="auto"/>
          <w:sz w:val="28"/>
          <w:highlight w:val="none"/>
        </w:rPr>
        <w:t xml:space="preserve"> </w:t>
      </w:r>
    </w:p>
    <w:p>
      <w:pPr>
        <w:spacing w:line="480" w:lineRule="auto"/>
        <w:ind w:firstLine="1020" w:firstLineChars="300"/>
        <w:rPr>
          <w:rFonts w:ascii="宋体" w:hAnsi="宋体"/>
          <w:color w:val="auto"/>
          <w:spacing w:val="20"/>
          <w:kern w:val="21"/>
          <w:sz w:val="30"/>
          <w:szCs w:val="30"/>
          <w:highlight w:val="none"/>
        </w:rPr>
      </w:pPr>
      <w:r>
        <w:rPr>
          <w:rFonts w:hint="eastAsia" w:ascii="宋体" w:hAnsi="宋体"/>
          <w:color w:val="auto"/>
          <w:spacing w:val="20"/>
          <w:kern w:val="21"/>
          <w:sz w:val="30"/>
          <w:szCs w:val="30"/>
          <w:highlight w:val="none"/>
        </w:rPr>
        <w:t>联系电话：</w:t>
      </w:r>
      <w:r>
        <w:rPr>
          <w:rFonts w:hint="eastAsia" w:ascii="宋体" w:hAnsi="宋体"/>
          <w:color w:val="auto"/>
          <w:sz w:val="28"/>
          <w:highlight w:val="none"/>
          <w:u w:val="single"/>
        </w:rPr>
        <w:t>0576-88517782</w:t>
      </w:r>
    </w:p>
    <w:p>
      <w:pPr>
        <w:spacing w:line="640" w:lineRule="exact"/>
        <w:ind w:firstLine="1020" w:firstLineChars="300"/>
        <w:outlineLvl w:val="0"/>
        <w:rPr>
          <w:rFonts w:ascii="宋体" w:hAnsi="宋体"/>
          <w:b/>
          <w:color w:val="auto"/>
          <w:sz w:val="36"/>
          <w:highlight w:val="none"/>
        </w:rPr>
        <w:sectPr>
          <w:footerReference r:id="rId6" w:type="first"/>
          <w:headerReference r:id="rId3" w:type="default"/>
          <w:footerReference r:id="rId4" w:type="default"/>
          <w:footerReference r:id="rId5" w:type="even"/>
          <w:pgSz w:w="11906" w:h="16838"/>
          <w:pgMar w:top="1588" w:right="1797" w:bottom="1304" w:left="1797" w:header="851" w:footer="992" w:gutter="0"/>
          <w:pgNumType w:start="1"/>
          <w:cols w:space="720" w:num="1"/>
          <w:titlePg/>
          <w:docGrid w:type="lines" w:linePitch="312" w:charSpace="0"/>
        </w:sectPr>
      </w:pPr>
      <w:r>
        <w:rPr>
          <w:rFonts w:hint="eastAsia" w:ascii="宋体" w:hAnsi="宋体"/>
          <w:color w:val="auto"/>
          <w:spacing w:val="20"/>
          <w:kern w:val="21"/>
          <w:sz w:val="30"/>
          <w:szCs w:val="30"/>
          <w:highlight w:val="none"/>
        </w:rPr>
        <w:t>日    期：2023年10月</w:t>
      </w:r>
    </w:p>
    <w:p>
      <w:pPr>
        <w:spacing w:line="360" w:lineRule="auto"/>
        <w:rPr>
          <w:color w:val="auto"/>
          <w:highlight w:val="none"/>
        </w:rPr>
      </w:pPr>
    </w:p>
    <w:p>
      <w:pPr>
        <w:pStyle w:val="34"/>
        <w:rPr>
          <w:color w:val="auto"/>
          <w:highlight w:val="none"/>
        </w:rPr>
      </w:pPr>
    </w:p>
    <w:p>
      <w:pPr>
        <w:pStyle w:val="34"/>
        <w:rPr>
          <w:color w:val="auto"/>
          <w:highlight w:val="none"/>
        </w:rPr>
      </w:pPr>
    </w:p>
    <w:sdt>
      <w:sdtPr>
        <w:rPr>
          <w:rFonts w:ascii="宋体" w:hAnsi="宋体"/>
          <w:color w:val="auto"/>
          <w:kern w:val="0"/>
          <w:sz w:val="28"/>
          <w:szCs w:val="28"/>
          <w:highlight w:val="none"/>
        </w:rPr>
        <w:id w:val="147471336"/>
        <w:docPartObj>
          <w:docPartGallery w:val="Table of Contents"/>
          <w:docPartUnique/>
        </w:docPartObj>
      </w:sdtPr>
      <w:sdtEndPr>
        <w:rPr>
          <w:rFonts w:ascii="宋体" w:hAnsi="宋体"/>
          <w:color w:val="auto"/>
          <w:kern w:val="0"/>
          <w:sz w:val="28"/>
          <w:szCs w:val="28"/>
          <w:highlight w:val="none"/>
        </w:rPr>
      </w:sdtEndPr>
      <w:sdtContent>
        <w:p>
          <w:pPr>
            <w:spacing w:line="480" w:lineRule="auto"/>
            <w:jc w:val="center"/>
            <w:rPr>
              <w:rFonts w:ascii="宋体" w:hAnsi="宋体"/>
              <w:color w:val="auto"/>
              <w:kern w:val="0"/>
              <w:sz w:val="28"/>
              <w:szCs w:val="28"/>
              <w:highlight w:val="none"/>
            </w:rPr>
          </w:pPr>
          <w:bookmarkStart w:id="0" w:name="_Toc25017_WPSOffice_Type1"/>
        </w:p>
        <w:p>
          <w:pPr>
            <w:spacing w:line="480" w:lineRule="auto"/>
            <w:jc w:val="center"/>
            <w:rPr>
              <w:color w:val="auto"/>
              <w:sz w:val="28"/>
              <w:szCs w:val="28"/>
              <w:highlight w:val="none"/>
            </w:rPr>
          </w:pPr>
          <w:r>
            <w:rPr>
              <w:rFonts w:ascii="宋体" w:hAnsi="宋体"/>
              <w:b/>
              <w:bCs/>
              <w:color w:val="auto"/>
              <w:sz w:val="36"/>
              <w:szCs w:val="36"/>
              <w:highlight w:val="none"/>
            </w:rPr>
            <w:t>目</w:t>
          </w:r>
          <w:r>
            <w:rPr>
              <w:rFonts w:hint="eastAsia" w:ascii="宋体" w:hAnsi="宋体"/>
              <w:b/>
              <w:bCs/>
              <w:color w:val="auto"/>
              <w:sz w:val="36"/>
              <w:szCs w:val="36"/>
              <w:highlight w:val="none"/>
            </w:rPr>
            <w:t xml:space="preserve">  </w:t>
          </w:r>
          <w:r>
            <w:rPr>
              <w:rFonts w:ascii="宋体" w:hAnsi="宋体"/>
              <w:b/>
              <w:bCs/>
              <w:color w:val="auto"/>
              <w:sz w:val="36"/>
              <w:szCs w:val="36"/>
              <w:highlight w:val="none"/>
            </w:rPr>
            <w:t>录</w:t>
          </w:r>
        </w:p>
        <w:p>
          <w:pPr>
            <w:pStyle w:val="18"/>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"_Toc4350_WPSOffice_Level1" </w:instrText>
          </w:r>
          <w:r>
            <w:rPr>
              <w:color w:val="auto"/>
              <w:highlight w:val="none"/>
            </w:rPr>
            <w:fldChar w:fldCharType="separate"/>
          </w:r>
          <w:r>
            <w:rPr>
              <w:rFonts w:hint="eastAsia" w:eastAsiaTheme="minorEastAsia" w:cstheme="minorBidi"/>
              <w:color w:val="auto"/>
              <w:sz w:val="28"/>
              <w:szCs w:val="28"/>
              <w:highlight w:val="none"/>
            </w:rPr>
            <w:t>第一章 投标邀请</w:t>
          </w:r>
          <w:r>
            <w:rPr>
              <w:rFonts w:eastAsiaTheme="minorEastAsia" w:cstheme="minorBidi"/>
              <w:color w:val="auto"/>
              <w:sz w:val="28"/>
              <w:szCs w:val="28"/>
              <w:highlight w:val="none"/>
            </w:rPr>
            <w:tab/>
          </w:r>
          <w:bookmarkStart w:id="1" w:name="_Toc4350_WPSOffice_Level1Page"/>
          <w:r>
            <w:rPr>
              <w:rFonts w:eastAsiaTheme="minorEastAsia" w:cstheme="minorBidi"/>
              <w:color w:val="auto"/>
              <w:sz w:val="28"/>
              <w:szCs w:val="28"/>
              <w:highlight w:val="none"/>
            </w:rPr>
            <w:t>3</w:t>
          </w:r>
          <w:bookmarkEnd w:id="1"/>
          <w:r>
            <w:rPr>
              <w:rFonts w:eastAsiaTheme="minorEastAsia" w:cstheme="minorBidi"/>
              <w:color w:val="auto"/>
              <w:sz w:val="28"/>
              <w:szCs w:val="28"/>
              <w:highlight w:val="none"/>
            </w:rPr>
            <w:fldChar w:fldCharType="end"/>
          </w:r>
        </w:p>
        <w:p>
          <w:pPr>
            <w:pStyle w:val="18"/>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"_Toc25017_WPSOffice_Level1" </w:instrText>
          </w:r>
          <w:r>
            <w:rPr>
              <w:color w:val="auto"/>
              <w:highlight w:val="none"/>
            </w:rPr>
            <w:fldChar w:fldCharType="separate"/>
          </w:r>
          <w:r>
            <w:rPr>
              <w:rFonts w:hint="eastAsia" w:eastAsiaTheme="minorEastAsia" w:cstheme="minorBidi"/>
              <w:color w:val="auto"/>
              <w:sz w:val="28"/>
              <w:szCs w:val="28"/>
              <w:highlight w:val="none"/>
            </w:rPr>
            <w:t>第二章 投标人须知</w:t>
          </w:r>
          <w:r>
            <w:rPr>
              <w:rFonts w:eastAsiaTheme="minorEastAsia" w:cstheme="minorBidi"/>
              <w:color w:val="auto"/>
              <w:sz w:val="28"/>
              <w:szCs w:val="28"/>
              <w:highlight w:val="none"/>
            </w:rPr>
            <w:tab/>
          </w:r>
          <w:r>
            <w:rPr>
              <w:rFonts w:hint="eastAsia" w:eastAsiaTheme="minorEastAsia" w:cstheme="minorBidi"/>
              <w:color w:val="auto"/>
              <w:sz w:val="28"/>
              <w:szCs w:val="28"/>
              <w:highlight w:val="none"/>
            </w:rPr>
            <w:t>5</w:t>
          </w:r>
          <w:r>
            <w:rPr>
              <w:rFonts w:hint="eastAsia" w:eastAsiaTheme="minorEastAsia" w:cstheme="minorBidi"/>
              <w:color w:val="auto"/>
              <w:sz w:val="28"/>
              <w:szCs w:val="28"/>
              <w:highlight w:val="none"/>
            </w:rPr>
            <w:fldChar w:fldCharType="end"/>
          </w:r>
        </w:p>
        <w:p>
          <w:pPr>
            <w:pStyle w:val="18"/>
            <w:tabs>
              <w:tab w:val="right" w:leader="dot" w:pos="8620"/>
            </w:tabs>
            <w:ind w:right="638" w:rightChars="304"/>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"_Toc13072_WPSOffice_Level1" </w:instrText>
          </w:r>
          <w:r>
            <w:rPr>
              <w:color w:val="auto"/>
              <w:highlight w:val="none"/>
            </w:rPr>
            <w:fldChar w:fldCharType="separate"/>
          </w:r>
          <w:r>
            <w:rPr>
              <w:rFonts w:hint="eastAsia" w:eastAsiaTheme="minorEastAsia" w:cstheme="minorBidi"/>
              <w:color w:val="auto"/>
              <w:sz w:val="28"/>
              <w:szCs w:val="28"/>
              <w:highlight w:val="none"/>
            </w:rPr>
            <w:t>第三章 招标需求</w:t>
          </w:r>
          <w:r>
            <w:rPr>
              <w:rFonts w:eastAsiaTheme="minorEastAsia" w:cstheme="minorBidi"/>
              <w:color w:val="auto"/>
              <w:sz w:val="28"/>
              <w:szCs w:val="28"/>
              <w:highlight w:val="none"/>
            </w:rPr>
            <w:tab/>
          </w:r>
          <w:r>
            <w:rPr>
              <w:rFonts w:hint="eastAsia" w:eastAsiaTheme="minorEastAsia" w:cstheme="minorBidi"/>
              <w:color w:val="auto"/>
              <w:sz w:val="28"/>
              <w:szCs w:val="28"/>
              <w:highlight w:val="none"/>
            </w:rPr>
            <w:t>1</w:t>
          </w:r>
          <w:r>
            <w:rPr>
              <w:rFonts w:hint="eastAsia" w:eastAsiaTheme="minorEastAsia" w:cstheme="minorBidi"/>
              <w:color w:val="auto"/>
              <w:sz w:val="28"/>
              <w:szCs w:val="28"/>
              <w:highlight w:val="none"/>
            </w:rPr>
            <w:fldChar w:fldCharType="end"/>
          </w:r>
          <w:r>
            <w:rPr>
              <w:rFonts w:hint="eastAsia" w:eastAsiaTheme="minorEastAsia" w:cstheme="minorBidi"/>
              <w:color w:val="auto"/>
              <w:sz w:val="28"/>
              <w:szCs w:val="28"/>
              <w:highlight w:val="none"/>
            </w:rPr>
            <w:t>4</w:t>
          </w:r>
        </w:p>
        <w:p>
          <w:pPr>
            <w:pStyle w:val="18"/>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"_Toc31173_WPSOffice_Level1" </w:instrText>
          </w:r>
          <w:r>
            <w:rPr>
              <w:color w:val="auto"/>
              <w:highlight w:val="none"/>
            </w:rPr>
            <w:fldChar w:fldCharType="separate"/>
          </w:r>
          <w:r>
            <w:rPr>
              <w:rFonts w:hint="eastAsia" w:eastAsiaTheme="minorEastAsia" w:cstheme="minorBidi"/>
              <w:color w:val="auto"/>
              <w:sz w:val="28"/>
              <w:szCs w:val="28"/>
              <w:highlight w:val="none"/>
            </w:rPr>
            <w:t>第四章 评标</w:t>
          </w:r>
          <w:r>
            <w:rPr>
              <w:rFonts w:eastAsiaTheme="minorEastAsia" w:cstheme="minorBidi"/>
              <w:color w:val="auto"/>
              <w:sz w:val="28"/>
              <w:szCs w:val="28"/>
              <w:highlight w:val="none"/>
            </w:rPr>
            <w:tab/>
          </w:r>
          <w:bookmarkStart w:id="2" w:name="_Toc31173_WPSOffice_Level1Page"/>
          <w:r>
            <w:rPr>
              <w:rFonts w:eastAsiaTheme="minorEastAsia" w:cstheme="minorBidi"/>
              <w:color w:val="auto"/>
              <w:sz w:val="28"/>
              <w:szCs w:val="28"/>
              <w:highlight w:val="none"/>
            </w:rPr>
            <w:t>22</w:t>
          </w:r>
          <w:bookmarkEnd w:id="2"/>
          <w:r>
            <w:rPr>
              <w:rFonts w:eastAsiaTheme="minorEastAsia" w:cstheme="minorBidi"/>
              <w:color w:val="auto"/>
              <w:sz w:val="28"/>
              <w:szCs w:val="28"/>
              <w:highlight w:val="none"/>
            </w:rPr>
            <w:fldChar w:fldCharType="end"/>
          </w:r>
        </w:p>
        <w:p>
          <w:pPr>
            <w:pStyle w:val="18"/>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"_Toc27944_WPSOffice_Level1" </w:instrText>
          </w:r>
          <w:r>
            <w:rPr>
              <w:color w:val="auto"/>
              <w:highlight w:val="none"/>
            </w:rPr>
            <w:fldChar w:fldCharType="separate"/>
          </w:r>
          <w:r>
            <w:rPr>
              <w:rFonts w:hint="eastAsia" w:eastAsiaTheme="minorEastAsia" w:cstheme="minorBidi"/>
              <w:color w:val="auto"/>
              <w:sz w:val="28"/>
              <w:szCs w:val="28"/>
              <w:highlight w:val="none"/>
            </w:rPr>
            <w:t>第五章 拟签订的合同文本</w:t>
          </w:r>
          <w:r>
            <w:rPr>
              <w:rFonts w:eastAsiaTheme="minorEastAsia" w:cstheme="minorBidi"/>
              <w:color w:val="auto"/>
              <w:sz w:val="28"/>
              <w:szCs w:val="28"/>
              <w:highlight w:val="none"/>
            </w:rPr>
            <w:tab/>
          </w:r>
          <w:bookmarkStart w:id="3" w:name="_Toc27944_WPSOffice_Level1Page"/>
          <w:r>
            <w:rPr>
              <w:rFonts w:eastAsiaTheme="minorEastAsia" w:cstheme="minorBidi"/>
              <w:color w:val="auto"/>
              <w:sz w:val="28"/>
              <w:szCs w:val="28"/>
              <w:highlight w:val="none"/>
            </w:rPr>
            <w:t>35</w:t>
          </w:r>
          <w:bookmarkEnd w:id="3"/>
          <w:r>
            <w:rPr>
              <w:rFonts w:eastAsiaTheme="minorEastAsia" w:cstheme="minorBidi"/>
              <w:color w:val="auto"/>
              <w:sz w:val="28"/>
              <w:szCs w:val="28"/>
              <w:highlight w:val="none"/>
            </w:rPr>
            <w:fldChar w:fldCharType="end"/>
          </w:r>
        </w:p>
        <w:p>
          <w:pPr>
            <w:pStyle w:val="18"/>
            <w:tabs>
              <w:tab w:val="right" w:leader="dot" w:pos="8620"/>
            </w:tabs>
            <w:rPr>
              <w:color w:val="auto"/>
              <w:highlight w:val="none"/>
            </w:rPr>
          </w:pPr>
          <w:r>
            <w:rPr>
              <w:color w:val="auto"/>
              <w:highlight w:val="none"/>
            </w:rPr>
            <w:fldChar w:fldCharType="begin"/>
          </w:r>
          <w:r>
            <w:rPr>
              <w:color w:val="auto"/>
              <w:highlight w:val="none"/>
            </w:rPr>
            <w:instrText xml:space="preserve"> HYPERLINK \l "_Toc5481_WPSOffice_Level1" </w:instrText>
          </w:r>
          <w:r>
            <w:rPr>
              <w:color w:val="auto"/>
              <w:highlight w:val="none"/>
            </w:rPr>
            <w:fldChar w:fldCharType="separate"/>
          </w:r>
          <w:r>
            <w:rPr>
              <w:rFonts w:hint="eastAsia" w:eastAsiaTheme="minorEastAsia" w:cstheme="minorBidi"/>
              <w:color w:val="auto"/>
              <w:sz w:val="28"/>
              <w:szCs w:val="28"/>
              <w:highlight w:val="none"/>
            </w:rPr>
            <w:t>第六章 投标文件格式</w:t>
          </w:r>
          <w:r>
            <w:rPr>
              <w:rFonts w:eastAsiaTheme="minorEastAsia" w:cstheme="minorBidi"/>
              <w:color w:val="auto"/>
              <w:sz w:val="28"/>
              <w:szCs w:val="28"/>
              <w:highlight w:val="none"/>
            </w:rPr>
            <w:tab/>
          </w:r>
          <w:bookmarkStart w:id="4" w:name="_Toc5481_WPSOffice_Level1Page"/>
          <w:r>
            <w:rPr>
              <w:rFonts w:eastAsiaTheme="minorEastAsia" w:cstheme="minorBidi"/>
              <w:color w:val="auto"/>
              <w:sz w:val="28"/>
              <w:szCs w:val="28"/>
              <w:highlight w:val="none"/>
            </w:rPr>
            <w:t>41</w:t>
          </w:r>
          <w:bookmarkEnd w:id="4"/>
          <w:r>
            <w:rPr>
              <w:rFonts w:eastAsiaTheme="minorEastAsia" w:cstheme="minorBidi"/>
              <w:color w:val="auto"/>
              <w:sz w:val="28"/>
              <w:szCs w:val="28"/>
              <w:highlight w:val="none"/>
            </w:rPr>
            <w:fldChar w:fldCharType="end"/>
          </w:r>
        </w:p>
      </w:sdtContent>
    </w:sdt>
    <w:bookmarkEnd w:id="0"/>
    <w:p>
      <w:pPr>
        <w:spacing w:line="480" w:lineRule="auto"/>
        <w:rPr>
          <w:color w:val="auto"/>
          <w:sz w:val="28"/>
          <w:szCs w:val="28"/>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rPr>
          <w:rFonts w:asciiTheme="majorEastAsia" w:hAnsiTheme="majorEastAsia" w:eastAsiaTheme="majorEastAsia"/>
          <w:b/>
          <w:color w:val="auto"/>
          <w:sz w:val="36"/>
          <w:szCs w:val="36"/>
          <w:highlight w:val="none"/>
        </w:rPr>
      </w:pPr>
      <w:r>
        <w:rPr>
          <w:rFonts w:hint="eastAsia" w:asciiTheme="majorEastAsia" w:hAnsiTheme="majorEastAsia" w:eastAsiaTheme="majorEastAsia"/>
          <w:b/>
          <w:color w:val="auto"/>
          <w:kern w:val="0"/>
          <w:sz w:val="36"/>
          <w:szCs w:val="36"/>
          <w:highlight w:val="none"/>
        </w:rPr>
        <w:br w:type="page"/>
      </w:r>
    </w:p>
    <w:p>
      <w:pPr>
        <w:numPr>
          <w:ilvl w:val="0"/>
          <w:numId w:val="5"/>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sz w:val="36"/>
          <w:szCs w:val="36"/>
          <w:highlight w:val="none"/>
        </w:rPr>
      </w:pPr>
      <w:bookmarkStart w:id="5" w:name="_Toc4350_WPSOffice_Level1"/>
      <w:r>
        <w:rPr>
          <w:rFonts w:hint="eastAsia" w:ascii="宋体" w:hAnsi="宋体" w:cs="宋体"/>
          <w:b/>
          <w:color w:val="auto"/>
          <w:kern w:val="0"/>
          <w:sz w:val="36"/>
          <w:szCs w:val="36"/>
          <w:highlight w:val="none"/>
        </w:rPr>
        <w:t>投标邀请</w:t>
      </w:r>
      <w:bookmarkEnd w:id="5"/>
    </w:p>
    <w:p>
      <w:pPr>
        <w:pStyle w:val="5"/>
        <w:ind w:firstLine="480" w:firstLineChars="200"/>
        <w:rPr>
          <w:rFonts w:cs="宋体"/>
          <w:b w:val="0"/>
          <w:color w:val="auto"/>
          <w:sz w:val="24"/>
          <w:szCs w:val="24"/>
          <w:highlight w:val="none"/>
        </w:rPr>
      </w:pPr>
      <w:bookmarkStart w:id="6" w:name="_Toc35393790"/>
      <w:bookmarkStart w:id="7" w:name="_Toc35393621"/>
      <w:bookmarkStart w:id="8" w:name="_Toc28359002"/>
      <w:bookmarkStart w:id="9" w:name="_Toc28359079"/>
      <w:bookmarkStart w:id="10" w:name="_Hlk24379207"/>
      <w:r>
        <w:rPr>
          <w:rFonts w:hint="eastAsia" w:cs="宋体"/>
          <w:b w:val="0"/>
          <w:color w:val="auto"/>
          <w:sz w:val="24"/>
          <w:szCs w:val="24"/>
          <w:highlight w:val="none"/>
          <w:u w:val="single"/>
        </w:rPr>
        <w:t>台州市建设咨询有限公司</w:t>
      </w:r>
      <w:r>
        <w:rPr>
          <w:rFonts w:hint="eastAsia" w:cs="宋体"/>
          <w:b w:val="0"/>
          <w:color w:val="auto"/>
          <w:sz w:val="24"/>
          <w:szCs w:val="24"/>
          <w:highlight w:val="none"/>
        </w:rPr>
        <w:t>受</w:t>
      </w:r>
      <w:r>
        <w:rPr>
          <w:rFonts w:hint="eastAsia" w:cs="宋体"/>
          <w:b w:val="0"/>
          <w:color w:val="auto"/>
          <w:sz w:val="24"/>
          <w:szCs w:val="24"/>
          <w:highlight w:val="none"/>
          <w:u w:val="single"/>
        </w:rPr>
        <w:t>台州循环经济发展有限公司</w:t>
      </w:r>
      <w:r>
        <w:rPr>
          <w:rFonts w:hint="eastAsia" w:cs="宋体"/>
          <w:b w:val="0"/>
          <w:color w:val="auto"/>
          <w:sz w:val="24"/>
          <w:szCs w:val="24"/>
          <w:highlight w:val="none"/>
        </w:rPr>
        <w:t>委托，就</w:t>
      </w:r>
      <w:r>
        <w:rPr>
          <w:rFonts w:hint="eastAsia" w:cs="宋体"/>
          <w:b w:val="0"/>
          <w:color w:val="auto"/>
          <w:sz w:val="24"/>
          <w:szCs w:val="24"/>
          <w:highlight w:val="none"/>
          <w:u w:val="single"/>
        </w:rPr>
        <w:t>台州循环经济发展有限公司及其下属子公司补充医疗保险服务采购项目</w:t>
      </w:r>
      <w:r>
        <w:rPr>
          <w:rFonts w:hint="eastAsia" w:cs="宋体"/>
          <w:b w:val="0"/>
          <w:color w:val="auto"/>
          <w:sz w:val="24"/>
          <w:szCs w:val="24"/>
          <w:highlight w:val="none"/>
        </w:rPr>
        <w:t>进行公开招标，欢迎符合资格条件的国内投标人参加投标。</w:t>
      </w:r>
    </w:p>
    <w:p>
      <w:pPr>
        <w:pStyle w:val="5"/>
        <w:ind w:firstLine="482" w:firstLineChars="200"/>
        <w:rPr>
          <w:rFonts w:cs="宋体"/>
          <w:bCs/>
          <w:color w:val="auto"/>
          <w:sz w:val="24"/>
          <w:szCs w:val="24"/>
          <w:highlight w:val="none"/>
        </w:rPr>
      </w:pPr>
      <w:r>
        <w:rPr>
          <w:rFonts w:hint="eastAsia" w:cs="宋体"/>
          <w:bCs/>
          <w:color w:val="auto"/>
          <w:sz w:val="24"/>
          <w:szCs w:val="24"/>
          <w:highlight w:val="none"/>
        </w:rPr>
        <w:t>一、项目基本情况</w:t>
      </w:r>
      <w:bookmarkEnd w:id="6"/>
      <w:bookmarkEnd w:id="7"/>
      <w:bookmarkEnd w:id="8"/>
      <w:bookmarkEnd w:id="9"/>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"http://www.tzwztb.com/ztb/Framework/Main/Default.aspx?p=01001&amp;PrjId=I3310005276000328001"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eastAsia="zh-CN"/>
        </w:rPr>
        <w:t>QBJ2023199</w:t>
      </w:r>
      <w:r>
        <w:rPr>
          <w:rFonts w:hint="eastAsia" w:ascii="宋体" w:hAnsi="宋体" w:cs="宋体"/>
          <w:color w:val="auto"/>
          <w:sz w:val="24"/>
          <w:highlight w:val="none"/>
        </w:rPr>
        <w:fldChar w:fldCharType="end"/>
      </w:r>
      <w:r>
        <w:rPr>
          <w:rFonts w:hint="eastAsia" w:ascii="宋体" w:hAnsi="宋体" w:cs="宋体"/>
          <w:color w:val="auto"/>
          <w:sz w:val="24"/>
          <w:highlight w:val="none"/>
        </w:rPr>
        <w:t xml:space="preserve">   </w:t>
      </w:r>
    </w:p>
    <w:bookmarkEnd w:id="10"/>
    <w:p>
      <w:pPr>
        <w:spacing w:line="360" w:lineRule="auto"/>
        <w:ind w:firstLine="480" w:firstLineChars="200"/>
        <w:rPr>
          <w:color w:val="auto"/>
          <w:highlight w:val="none"/>
        </w:rPr>
      </w:pPr>
      <w:r>
        <w:rPr>
          <w:rFonts w:hint="eastAsia" w:ascii="宋体" w:hAnsi="宋体" w:cs="宋体"/>
          <w:color w:val="auto"/>
          <w:sz w:val="24"/>
          <w:highlight w:val="none"/>
        </w:rPr>
        <w:t>项目名称：台州循环经济发展有限公司及其下属子公司补充医疗保险服务采购项目</w:t>
      </w:r>
    </w:p>
    <w:tbl>
      <w:tblPr>
        <w:tblStyle w:val="26"/>
        <w:tblpPr w:leftFromText="181" w:rightFromText="181" w:bottomFromText="170" w:vertAnchor="text" w:tblpXSpec="center" w:tblpY="1"/>
        <w:tblOverlap w:val="never"/>
        <w:tblW w:w="49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909"/>
        <w:gridCol w:w="2723"/>
        <w:gridCol w:w="458"/>
        <w:gridCol w:w="475"/>
        <w:gridCol w:w="996"/>
        <w:gridCol w:w="1121"/>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373" w:type="pct"/>
            <w:vAlign w:val="center"/>
          </w:tcPr>
          <w:p>
            <w:pPr>
              <w:tabs>
                <w:tab w:val="left" w:pos="8280"/>
              </w:tabs>
              <w:autoSpaceDE w:val="0"/>
              <w:autoSpaceDN w:val="0"/>
              <w:adjustRightInd w:val="0"/>
              <w:jc w:val="center"/>
              <w:rPr>
                <w:rFonts w:ascii="宋体" w:hAnsi="宋体" w:cs="宋体"/>
                <w:b/>
                <w:color w:val="auto"/>
                <w:szCs w:val="21"/>
                <w:highlight w:val="none"/>
              </w:rPr>
            </w:pPr>
            <w:r>
              <w:rPr>
                <w:rFonts w:hint="eastAsia" w:ascii="宋体" w:hAnsi="宋体" w:cs="宋体"/>
                <w:b/>
                <w:color w:val="auto"/>
                <w:szCs w:val="21"/>
                <w:highlight w:val="none"/>
              </w:rPr>
              <w:t>标项号</w:t>
            </w:r>
          </w:p>
        </w:tc>
        <w:tc>
          <w:tcPr>
            <w:tcW w:w="1029" w:type="pct"/>
            <w:vAlign w:val="center"/>
          </w:tcPr>
          <w:p>
            <w:pPr>
              <w:tabs>
                <w:tab w:val="left" w:pos="8280"/>
              </w:tabs>
              <w:autoSpaceDE w:val="0"/>
              <w:autoSpaceDN w:val="0"/>
              <w:adjustRightInd w:val="0"/>
              <w:ind w:firstLine="105" w:firstLineChars="50"/>
              <w:jc w:val="center"/>
              <w:rPr>
                <w:rFonts w:ascii="宋体" w:hAnsi="宋体" w:cs="宋体"/>
                <w:b/>
                <w:color w:val="auto"/>
                <w:szCs w:val="21"/>
                <w:highlight w:val="none"/>
              </w:rPr>
            </w:pPr>
            <w:r>
              <w:rPr>
                <w:rFonts w:hint="eastAsia" w:ascii="宋体" w:hAnsi="宋体" w:cs="宋体"/>
                <w:b/>
                <w:color w:val="auto"/>
                <w:szCs w:val="21"/>
                <w:highlight w:val="none"/>
              </w:rPr>
              <w:t>标项名称</w:t>
            </w:r>
          </w:p>
        </w:tc>
        <w:tc>
          <w:tcPr>
            <w:tcW w:w="1468" w:type="pct"/>
            <w:vAlign w:val="center"/>
          </w:tcPr>
          <w:p>
            <w:pPr>
              <w:tabs>
                <w:tab w:val="left" w:pos="8280"/>
              </w:tabs>
              <w:autoSpaceDE w:val="0"/>
              <w:autoSpaceDN w:val="0"/>
              <w:adjustRightInd w:val="0"/>
              <w:jc w:val="center"/>
              <w:rPr>
                <w:rFonts w:ascii="宋体" w:hAnsi="宋体" w:cs="宋体"/>
                <w:b/>
                <w:color w:val="auto"/>
                <w:kern w:val="0"/>
                <w:szCs w:val="21"/>
                <w:highlight w:val="none"/>
              </w:rPr>
            </w:pPr>
            <w:r>
              <w:rPr>
                <w:rFonts w:hint="eastAsia" w:ascii="宋体" w:hAnsi="宋体" w:cs="宋体"/>
                <w:b/>
                <w:color w:val="auto"/>
                <w:kern w:val="0"/>
                <w:szCs w:val="21"/>
                <w:highlight w:val="none"/>
              </w:rPr>
              <w:t>简要技术要求、用途</w:t>
            </w:r>
          </w:p>
        </w:tc>
        <w:tc>
          <w:tcPr>
            <w:tcW w:w="247" w:type="pct"/>
            <w:vAlign w:val="center"/>
          </w:tcPr>
          <w:p>
            <w:pPr>
              <w:tabs>
                <w:tab w:val="left" w:pos="8280"/>
              </w:tabs>
              <w:autoSpaceDE w:val="0"/>
              <w:autoSpaceDN w:val="0"/>
              <w:adjustRightInd w:val="0"/>
              <w:jc w:val="center"/>
              <w:rPr>
                <w:rFonts w:ascii="宋体" w:hAnsi="宋体" w:cs="宋体"/>
                <w:b/>
                <w:color w:val="auto"/>
                <w:szCs w:val="21"/>
                <w:highlight w:val="none"/>
              </w:rPr>
            </w:pPr>
            <w:r>
              <w:rPr>
                <w:rFonts w:hint="eastAsia" w:ascii="宋体" w:hAnsi="宋体" w:cs="宋体"/>
                <w:b/>
                <w:color w:val="auto"/>
                <w:kern w:val="0"/>
                <w:szCs w:val="21"/>
                <w:highlight w:val="none"/>
              </w:rPr>
              <w:t>数量</w:t>
            </w:r>
          </w:p>
        </w:tc>
        <w:tc>
          <w:tcPr>
            <w:tcW w:w="256" w:type="pct"/>
            <w:vAlign w:val="center"/>
          </w:tcPr>
          <w:p>
            <w:pPr>
              <w:tabs>
                <w:tab w:val="left" w:pos="8280"/>
              </w:tabs>
              <w:autoSpaceDE w:val="0"/>
              <w:autoSpaceDN w:val="0"/>
              <w:adjustRightInd w:val="0"/>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537" w:type="pct"/>
            <w:vAlign w:val="center"/>
          </w:tcPr>
          <w:p>
            <w:pPr>
              <w:tabs>
                <w:tab w:val="left" w:pos="8280"/>
              </w:tabs>
              <w:autoSpaceDE w:val="0"/>
              <w:autoSpaceDN w:val="0"/>
              <w:adjustRightInd w:val="0"/>
              <w:jc w:val="center"/>
              <w:rPr>
                <w:rFonts w:ascii="宋体" w:hAnsi="宋体" w:cs="宋体"/>
                <w:b/>
                <w:color w:val="auto"/>
                <w:szCs w:val="21"/>
                <w:highlight w:val="none"/>
              </w:rPr>
            </w:pPr>
            <w:r>
              <w:rPr>
                <w:rFonts w:hint="eastAsia" w:ascii="宋体" w:hAnsi="宋体" w:cs="宋体"/>
                <w:b/>
                <w:color w:val="auto"/>
                <w:szCs w:val="21"/>
                <w:highlight w:val="none"/>
              </w:rPr>
              <w:t>预算</w:t>
            </w:r>
          </w:p>
          <w:p>
            <w:pPr>
              <w:tabs>
                <w:tab w:val="left" w:pos="8280"/>
              </w:tabs>
              <w:autoSpaceDE w:val="0"/>
              <w:autoSpaceDN w:val="0"/>
              <w:adjustRightInd w:val="0"/>
              <w:jc w:val="center"/>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szCs w:val="21"/>
                <w:highlight w:val="none"/>
              </w:rPr>
              <w:t>（万元）</w:t>
            </w:r>
          </w:p>
        </w:tc>
        <w:tc>
          <w:tcPr>
            <w:tcW w:w="604" w:type="pct"/>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最高限价</w:t>
            </w:r>
          </w:p>
          <w:p>
            <w:pPr>
              <w:jc w:val="center"/>
              <w:rPr>
                <w:rFonts w:ascii="宋体" w:hAnsi="宋体" w:cs="宋体"/>
                <w:b/>
                <w:color w:val="auto"/>
                <w:szCs w:val="21"/>
                <w:highlight w:val="none"/>
              </w:rPr>
            </w:pPr>
            <w:r>
              <w:rPr>
                <w:rFonts w:hint="eastAsia" w:ascii="宋体" w:hAnsi="宋体" w:cs="宋体"/>
                <w:b/>
                <w:color w:val="auto"/>
                <w:szCs w:val="21"/>
                <w:highlight w:val="none"/>
              </w:rPr>
              <w:t>（万元）</w:t>
            </w:r>
          </w:p>
        </w:tc>
        <w:tc>
          <w:tcPr>
            <w:tcW w:w="481" w:type="pct"/>
            <w:vAlign w:val="center"/>
          </w:tcPr>
          <w:p>
            <w:pPr>
              <w:adjustRightInd w:val="0"/>
              <w:snapToGrid w:val="0"/>
              <w:jc w:val="center"/>
              <w:rPr>
                <w:rFonts w:ascii="宋体" w:hAnsi="宋体" w:cs="Arial"/>
                <w:bCs/>
                <w:color w:val="auto"/>
                <w:sz w:val="24"/>
                <w:highlight w:val="none"/>
              </w:rPr>
            </w:pPr>
            <w:r>
              <w:rPr>
                <w:rFonts w:hint="eastAsia" w:ascii="宋体" w:hAnsi="宋体"/>
                <w:b/>
                <w:bCs/>
                <w:color w:val="auto"/>
                <w:sz w:val="24"/>
                <w:highlight w:val="none"/>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373" w:type="pct"/>
            <w:vAlign w:val="center"/>
          </w:tcPr>
          <w:p>
            <w:pPr>
              <w:tabs>
                <w:tab w:val="left" w:pos="8280"/>
              </w:tabs>
              <w:autoSpaceDE w:val="0"/>
              <w:autoSpaceDN w:val="0"/>
              <w:adjustRightInd w:val="0"/>
              <w:jc w:val="center"/>
              <w:rPr>
                <w:rFonts w:ascii="宋体" w:hAnsi="宋体" w:cs="宋体"/>
                <w:b/>
                <w:color w:val="auto"/>
                <w:szCs w:val="21"/>
                <w:highlight w:val="none"/>
              </w:rPr>
            </w:pPr>
            <w:r>
              <w:rPr>
                <w:rFonts w:hint="eastAsia" w:ascii="宋体" w:hAnsi="宋体" w:cs="宋体"/>
                <w:b/>
                <w:color w:val="auto"/>
                <w:szCs w:val="21"/>
                <w:highlight w:val="none"/>
              </w:rPr>
              <w:t>1</w:t>
            </w:r>
          </w:p>
        </w:tc>
        <w:tc>
          <w:tcPr>
            <w:tcW w:w="1029" w:type="pct"/>
            <w:vAlign w:val="center"/>
          </w:tcPr>
          <w:p>
            <w:pPr>
              <w:tabs>
                <w:tab w:val="left" w:pos="8280"/>
              </w:tabs>
              <w:autoSpaceDE w:val="0"/>
              <w:autoSpaceDN w:val="0"/>
              <w:adjustRightInd w:val="0"/>
              <w:jc w:val="center"/>
              <w:rPr>
                <w:rFonts w:ascii="宋体" w:hAnsi="宋体" w:cs="宋体"/>
                <w:b/>
                <w:color w:val="auto"/>
                <w:szCs w:val="21"/>
                <w:highlight w:val="none"/>
              </w:rPr>
            </w:pPr>
            <w:r>
              <w:rPr>
                <w:rFonts w:hint="eastAsia" w:ascii="宋体" w:hAnsi="宋体" w:cs="宋体"/>
                <w:b/>
                <w:color w:val="auto"/>
                <w:szCs w:val="21"/>
                <w:highlight w:val="none"/>
              </w:rPr>
              <w:t>台州循环经济发展有限公司及其下属子公司补充医疗保险服务采购项目</w:t>
            </w:r>
          </w:p>
        </w:tc>
        <w:tc>
          <w:tcPr>
            <w:tcW w:w="1468" w:type="pct"/>
            <w:vAlign w:val="center"/>
          </w:tcPr>
          <w:p>
            <w:pPr>
              <w:tabs>
                <w:tab w:val="left" w:pos="8280"/>
              </w:tabs>
              <w:autoSpaceDE w:val="0"/>
              <w:autoSpaceDN w:val="0"/>
              <w:adjustRightInd w:val="0"/>
              <w:jc w:val="center"/>
              <w:rPr>
                <w:rFonts w:ascii="宋体" w:hAnsi="宋体" w:cs="宋体"/>
                <w:bCs/>
                <w:color w:val="auto"/>
                <w:szCs w:val="21"/>
                <w:highlight w:val="none"/>
              </w:rPr>
            </w:pPr>
            <w:r>
              <w:rPr>
                <w:rFonts w:hint="eastAsia" w:ascii="宋体" w:hAnsi="宋体" w:cs="宋体"/>
                <w:bCs/>
                <w:color w:val="auto"/>
                <w:szCs w:val="21"/>
                <w:highlight w:val="none"/>
              </w:rPr>
              <w:t>全体公司员工（含退休员工）一年期消费型补充医疗保险、企业委托管理型医疗保险基金。详情见招标文件。</w:t>
            </w:r>
          </w:p>
        </w:tc>
        <w:tc>
          <w:tcPr>
            <w:tcW w:w="247" w:type="pct"/>
            <w:vAlign w:val="center"/>
          </w:tcPr>
          <w:p>
            <w:pPr>
              <w:tabs>
                <w:tab w:val="left" w:pos="8280"/>
              </w:tabs>
              <w:autoSpaceDE w:val="0"/>
              <w:autoSpaceDN w:val="0"/>
              <w:adjustRightInd w:val="0"/>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256" w:type="pct"/>
            <w:vAlign w:val="center"/>
          </w:tcPr>
          <w:p>
            <w:pPr>
              <w:tabs>
                <w:tab w:val="left" w:pos="8280"/>
              </w:tabs>
              <w:autoSpaceDE w:val="0"/>
              <w:autoSpaceDN w:val="0"/>
              <w:adjustRightInd w:val="0"/>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年</w:t>
            </w:r>
          </w:p>
        </w:tc>
        <w:tc>
          <w:tcPr>
            <w:tcW w:w="537" w:type="pct"/>
            <w:vAlign w:val="center"/>
          </w:tcPr>
          <w:p>
            <w:pPr>
              <w:tabs>
                <w:tab w:val="left" w:pos="8280"/>
              </w:tabs>
              <w:autoSpaceDE w:val="0"/>
              <w:autoSpaceDN w:val="0"/>
              <w:adjustRightInd w:val="0"/>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补充医疗总费用预算160万/年</w:t>
            </w:r>
          </w:p>
        </w:tc>
        <w:tc>
          <w:tcPr>
            <w:tcW w:w="604" w:type="pct"/>
            <w:vAlign w:val="center"/>
          </w:tcPr>
          <w:p>
            <w:pPr>
              <w:tabs>
                <w:tab w:val="left" w:pos="8280"/>
              </w:tabs>
              <w:autoSpaceDE w:val="0"/>
              <w:autoSpaceDN w:val="0"/>
              <w:adjustRightInd w:val="0"/>
              <w:jc w:val="center"/>
              <w:rPr>
                <w:rStyle w:val="68"/>
                <w:rFonts w:ascii="宋体" w:hAnsi="宋体"/>
                <w:color w:val="auto"/>
                <w:szCs w:val="21"/>
                <w:highlight w:val="none"/>
              </w:rPr>
            </w:pPr>
            <w:r>
              <w:rPr>
                <w:rStyle w:val="68"/>
                <w:rFonts w:hint="eastAsia" w:ascii="宋体" w:hAnsi="宋体"/>
                <w:color w:val="auto"/>
                <w:szCs w:val="21"/>
                <w:highlight w:val="none"/>
              </w:rPr>
              <w:t>一年期消费型补充医疗保险最高限价100万/年</w:t>
            </w:r>
          </w:p>
        </w:tc>
        <w:tc>
          <w:tcPr>
            <w:tcW w:w="481" w:type="pct"/>
            <w:vAlign w:val="center"/>
          </w:tcPr>
          <w:p>
            <w:pPr>
              <w:adjustRightInd w:val="0"/>
              <w:snapToGrid w:val="0"/>
              <w:jc w:val="center"/>
              <w:rPr>
                <w:rFonts w:ascii="宋体" w:hAnsi="宋体" w:cs="Arial"/>
                <w:bCs/>
                <w:color w:val="auto"/>
                <w:sz w:val="24"/>
                <w:highlight w:val="none"/>
              </w:rPr>
            </w:pPr>
            <w:r>
              <w:rPr>
                <w:rFonts w:hint="eastAsia" w:ascii="宋体" w:hAnsi="宋体"/>
                <w:color w:val="auto"/>
                <w:sz w:val="24"/>
                <w:highlight w:val="none"/>
                <w:lang w:val="en-US" w:eastAsia="zh-CN"/>
              </w:rPr>
              <w:t>三</w:t>
            </w:r>
            <w:r>
              <w:rPr>
                <w:rFonts w:ascii="宋体" w:hAnsi="宋体"/>
                <w:color w:val="auto"/>
                <w:sz w:val="24"/>
                <w:highlight w:val="none"/>
              </w:rPr>
              <w:t>年</w:t>
            </w:r>
          </w:p>
        </w:tc>
      </w:tr>
    </w:tbl>
    <w:p>
      <w:pPr>
        <w:pStyle w:val="5"/>
        <w:tabs>
          <w:tab w:val="left" w:pos="9660"/>
          <w:tab w:val="clear" w:pos="8280"/>
        </w:tabs>
        <w:ind w:right="23" w:firstLine="482" w:firstLineChars="200"/>
        <w:jc w:val="left"/>
        <w:rPr>
          <w:rFonts w:cs="宋体"/>
          <w:bCs/>
          <w:color w:val="auto"/>
          <w:sz w:val="24"/>
          <w:szCs w:val="24"/>
          <w:highlight w:val="none"/>
        </w:rPr>
      </w:pPr>
      <w:bookmarkStart w:id="11" w:name="_Toc35393622"/>
      <w:bookmarkStart w:id="12" w:name="_Toc28359003"/>
      <w:bookmarkStart w:id="13" w:name="_Toc28359080"/>
      <w:bookmarkStart w:id="14" w:name="_Toc35393791"/>
      <w:r>
        <w:rPr>
          <w:rFonts w:hint="eastAsia" w:cs="宋体"/>
          <w:bCs/>
          <w:color w:val="auto"/>
          <w:sz w:val="24"/>
          <w:szCs w:val="24"/>
          <w:highlight w:val="none"/>
        </w:rPr>
        <w:t>二、投标人的资格要求</w:t>
      </w:r>
      <w:bookmarkEnd w:id="11"/>
      <w:bookmarkEnd w:id="12"/>
      <w:bookmarkEnd w:id="13"/>
      <w:bookmarkEnd w:id="14"/>
    </w:p>
    <w:p>
      <w:pPr>
        <w:spacing w:line="360" w:lineRule="auto"/>
        <w:ind w:left="12" w:firstLine="480" w:firstLineChars="200"/>
        <w:jc w:val="left"/>
        <w:rPr>
          <w:rFonts w:ascii="宋体" w:hAnsi="宋体" w:cs="宋体"/>
          <w:color w:val="auto"/>
          <w:sz w:val="24"/>
          <w:highlight w:val="none"/>
        </w:rPr>
      </w:pPr>
      <w:r>
        <w:rPr>
          <w:rFonts w:hint="eastAsia" w:ascii="宋体" w:hAnsi="宋体" w:cs="宋体"/>
          <w:color w:val="auto"/>
          <w:sz w:val="24"/>
          <w:highlight w:val="none"/>
        </w:rPr>
        <w:t>（一）满足《中华人民共和国政府采购法》第二十二条规定。</w:t>
      </w:r>
    </w:p>
    <w:p>
      <w:pPr>
        <w:snapToGrid w:val="0"/>
        <w:spacing w:before="96" w:after="96" w:line="400" w:lineRule="exact"/>
        <w:ind w:firstLine="480" w:firstLineChars="200"/>
        <w:rPr>
          <w:rFonts w:ascii="宋体" w:hAnsi="宋体" w:cs="宋体"/>
          <w:color w:val="auto"/>
          <w:sz w:val="24"/>
          <w:highlight w:val="none"/>
        </w:rPr>
      </w:pPr>
      <w:bookmarkStart w:id="15" w:name="_Toc28359004"/>
      <w:bookmarkStart w:id="16" w:name="_Toc28359081"/>
      <w:bookmarkStart w:id="17" w:name="_Toc35393623"/>
      <w:bookmarkStart w:id="18" w:name="_Toc35393792"/>
      <w:r>
        <w:rPr>
          <w:rFonts w:hint="eastAsia" w:ascii="宋体" w:hAnsi="宋体" w:cs="宋体"/>
          <w:color w:val="auto"/>
          <w:sz w:val="24"/>
          <w:highlight w:val="none"/>
        </w:rPr>
        <w:t>（二）本项目的特定资格要求：</w:t>
      </w:r>
    </w:p>
    <w:p>
      <w:pPr>
        <w:snapToGrid w:val="0"/>
        <w:spacing w:before="96" w:after="96" w:line="4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（1）投标人应是在中华人民共和国境内注册的、经中国银行保险监督管理委员会（原中国保险监督管理委员会）批准设立的企业法人或下属公司</w:t>
      </w:r>
      <w:r>
        <w:rPr>
          <w:rFonts w:ascii="Arial" w:hAnsi="Arial" w:cs="Arial"/>
          <w:color w:val="auto"/>
          <w:sz w:val="24"/>
          <w:highlight w:val="none"/>
        </w:rPr>
        <w:t>（总公司或下属公司中仅允许一家参与本项目投标）</w:t>
      </w:r>
      <w:r>
        <w:rPr>
          <w:rFonts w:hint="eastAsia" w:ascii="宋体" w:hAnsi="宋体"/>
          <w:color w:val="auto"/>
          <w:kern w:val="0"/>
          <w:sz w:val="24"/>
          <w:highlight w:val="none"/>
        </w:rPr>
        <w:t>。</w:t>
      </w:r>
    </w:p>
    <w:p>
      <w:pPr>
        <w:snapToGrid w:val="0"/>
        <w:spacing w:before="96" w:after="96" w:line="400" w:lineRule="exact"/>
        <w:ind w:firstLine="480" w:firstLineChars="200"/>
        <w:rPr>
          <w:rFonts w:ascii="宋体" w:hAnsi="宋体" w:cs="宋体"/>
          <w:color w:val="auto"/>
          <w:sz w:val="24"/>
          <w:highlight w:val="none"/>
        </w:rPr>
      </w:pPr>
      <w:r>
        <w:rPr>
          <w:rFonts w:hint="eastAsia" w:ascii="宋体" w:hAnsi="宋体"/>
          <w:color w:val="auto"/>
          <w:kern w:val="0"/>
          <w:sz w:val="24"/>
          <w:highlight w:val="none"/>
        </w:rPr>
        <w:t>（2）投标人或投标人省公司须是具有中国银行保险监督管理委员会（原中国保险监督管理委员会）颁发的《中华人民共和国经营保险业务许可证》并具备经营意外险和健康险范围的人身保险公司。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（三）本项目不接受联合体投标。</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（四）信用记录：未被列入“信用中国”失信被执行人或重大税收违法案件当事人名单；未处于“中国政府采购网”</w:t>
      </w:r>
      <w:r>
        <w:rPr>
          <w:color w:val="auto"/>
          <w:highlight w:val="none"/>
        </w:rPr>
        <w:fldChar w:fldCharType="begin"/>
      </w:r>
      <w:r>
        <w:rPr>
          <w:color w:val="auto"/>
          <w:highlight w:val="none"/>
        </w:rPr>
        <w:instrText xml:space="preserve"> HYPERLINK "http://www.ccgp.gov.cn）政府采购严重违法失信行为信息记录中的禁止参加政府采购活动期间。/" </w:instrText>
      </w:r>
      <w:r>
        <w:rPr>
          <w:color w:val="auto"/>
          <w:highlight w:val="none"/>
        </w:rPr>
        <w:fldChar w:fldCharType="separate"/>
      </w:r>
      <w:r>
        <w:rPr>
          <w:rFonts w:hint="eastAsia" w:ascii="宋体" w:hAnsi="宋体" w:cs="宋体"/>
          <w:color w:val="auto"/>
          <w:sz w:val="24"/>
          <w:highlight w:val="none"/>
        </w:rPr>
        <w:t>政府采购严重违法失信行为信息记录中的禁止参加政府采购活动期间。</w:t>
      </w:r>
      <w:r>
        <w:rPr>
          <w:rFonts w:hint="eastAsia" w:ascii="宋体" w:hAnsi="宋体" w:cs="宋体"/>
          <w:color w:val="auto"/>
          <w:sz w:val="24"/>
          <w:highlight w:val="none"/>
        </w:rPr>
        <w:fldChar w:fldCharType="end"/>
      </w:r>
    </w:p>
    <w:p>
      <w:pPr>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（五）</w:t>
      </w:r>
      <w:r>
        <w:rPr>
          <w:rFonts w:hint="eastAsia" w:ascii="宋体" w:hAnsi="宋体"/>
          <w:color w:val="auto"/>
          <w:sz w:val="24"/>
          <w:highlight w:val="none"/>
        </w:rPr>
        <w:t>公益一类事业单位，既不属于政府购买服务的购买主体，也不属于承接主体，不得参与承接政府购买服务。</w:t>
      </w:r>
    </w:p>
    <w:p>
      <w:pP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（六）</w:t>
      </w:r>
      <w:r>
        <w:rPr>
          <w:rFonts w:hint="eastAsia" w:ascii="宋体" w:hAnsi="宋体" w:cs="宋体"/>
          <w:color w:val="auto"/>
          <w:sz w:val="24"/>
          <w:highlight w:val="none"/>
        </w:rPr>
        <w:t>法律、行政法规规定的其他条件：单位负责人为同一人或者存在直接控股、管理关系的不同供应商，不得同时参加同一项目投标，不得再参与本项目投标。</w:t>
      </w:r>
    </w:p>
    <w:p>
      <w:pPr>
        <w:pStyle w:val="5"/>
        <w:tabs>
          <w:tab w:val="left" w:pos="9660"/>
          <w:tab w:val="clear" w:pos="8280"/>
        </w:tabs>
        <w:ind w:right="23" w:firstLine="482" w:firstLineChars="200"/>
        <w:jc w:val="left"/>
        <w:rPr>
          <w:rFonts w:cs="宋体"/>
          <w:bCs/>
          <w:color w:val="auto"/>
          <w:sz w:val="24"/>
          <w:szCs w:val="24"/>
          <w:highlight w:val="none"/>
        </w:rPr>
      </w:pPr>
      <w:r>
        <w:rPr>
          <w:rFonts w:hint="eastAsia" w:cs="宋体"/>
          <w:bCs/>
          <w:color w:val="auto"/>
          <w:sz w:val="24"/>
          <w:szCs w:val="24"/>
          <w:highlight w:val="none"/>
        </w:rPr>
        <w:t>三、获取招标文件</w:t>
      </w:r>
      <w:bookmarkEnd w:id="15"/>
      <w:bookmarkEnd w:id="16"/>
      <w:bookmarkEnd w:id="17"/>
      <w:bookmarkEnd w:id="18"/>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（一）时间：项目发布之日起至</w:t>
      </w:r>
      <w:r>
        <w:rPr>
          <w:rFonts w:hint="eastAsia" w:ascii="宋体" w:hAnsi="宋体" w:cs="宋体"/>
          <w:color w:val="auto"/>
          <w:sz w:val="24"/>
          <w:highlight w:val="none"/>
          <w:u w:val="single"/>
        </w:rPr>
        <w:t>开标截止时间</w:t>
      </w:r>
    </w:p>
    <w:p>
      <w:pPr>
        <w:tabs>
          <w:tab w:val="left" w:pos="180"/>
          <w:tab w:val="left" w:pos="360"/>
          <w:tab w:val="left" w:pos="540"/>
          <w:tab w:val="left" w:pos="8280"/>
        </w:tabs>
        <w:autoSpaceDE w:val="0"/>
        <w:autoSpaceDN w:val="0"/>
        <w:adjustRightInd w:val="0"/>
        <w:spacing w:line="360" w:lineRule="auto"/>
        <w:ind w:left="479" w:leftChars="228"/>
        <w:jc w:val="left"/>
        <w:rPr>
          <w:rFonts w:ascii="宋体" w:hAnsi="宋体" w:cs="宋体"/>
          <w:b/>
          <w:color w:val="auto"/>
          <w:kern w:val="0"/>
          <w:sz w:val="24"/>
          <w:highlight w:val="none"/>
        </w:rPr>
      </w:pPr>
      <w:r>
        <w:rPr>
          <w:rFonts w:hint="eastAsia" w:ascii="宋体" w:hAnsi="宋体" w:cs="宋体"/>
          <w:color w:val="auto"/>
          <w:sz w:val="24"/>
          <w:highlight w:val="none"/>
        </w:rPr>
        <w:t>（二）方式：</w:t>
      </w:r>
      <w:r>
        <w:rPr>
          <w:rFonts w:hint="eastAsia" w:ascii="宋体" w:hAnsi="宋体" w:cs="宋体"/>
          <w:b/>
          <w:color w:val="auto"/>
          <w:kern w:val="0"/>
          <w:sz w:val="24"/>
          <w:highlight w:val="none"/>
        </w:rPr>
        <w:t>网上下载-台州湾新区小额工程电子交易平台（</w:t>
      </w:r>
      <w:r>
        <w:rPr>
          <w:rFonts w:ascii="宋体" w:hAnsi="宋体" w:cs="宋体"/>
          <w:b/>
          <w:color w:val="auto"/>
          <w:kern w:val="0"/>
          <w:sz w:val="24"/>
          <w:highlight w:val="none"/>
        </w:rPr>
        <w:t>http://www.tzwztb.com/</w:t>
      </w:r>
      <w:r>
        <w:rPr>
          <w:rFonts w:hint="eastAsia" w:ascii="宋体" w:hAnsi="宋体" w:cs="宋体"/>
          <w:b/>
          <w:color w:val="auto"/>
          <w:kern w:val="0"/>
          <w:sz w:val="24"/>
          <w:highlight w:val="none"/>
        </w:rPr>
        <w:t>)</w:t>
      </w:r>
    </w:p>
    <w:p>
      <w:pPr>
        <w:pStyle w:val="5"/>
        <w:ind w:right="0" w:firstLine="482" w:firstLineChars="200"/>
        <w:rPr>
          <w:rFonts w:cs="宋体"/>
          <w:bCs/>
          <w:color w:val="auto"/>
          <w:sz w:val="24"/>
          <w:szCs w:val="24"/>
          <w:highlight w:val="none"/>
        </w:rPr>
      </w:pPr>
      <w:bookmarkStart w:id="19" w:name="_Toc35393793"/>
      <w:bookmarkStart w:id="20" w:name="_Toc28359005"/>
      <w:bookmarkStart w:id="21" w:name="_Toc35393624"/>
      <w:bookmarkStart w:id="22" w:name="_Toc28359082"/>
      <w:r>
        <w:rPr>
          <w:rFonts w:hint="eastAsia" w:cs="宋体"/>
          <w:bCs/>
          <w:color w:val="auto"/>
          <w:sz w:val="24"/>
          <w:szCs w:val="24"/>
          <w:highlight w:val="none"/>
        </w:rPr>
        <w:t>四、提交投标文件</w:t>
      </w:r>
      <w:bookmarkEnd w:id="19"/>
      <w:bookmarkEnd w:id="20"/>
      <w:bookmarkEnd w:id="21"/>
      <w:bookmarkEnd w:id="22"/>
    </w:p>
    <w:p>
      <w:pPr>
        <w:spacing w:line="360" w:lineRule="auto"/>
        <w:ind w:firstLine="480" w:firstLineChars="200"/>
        <w:jc w:val="left"/>
        <w:rPr>
          <w:rFonts w:ascii="宋体" w:hAnsi="宋体" w:cs="宋体"/>
          <w:color w:val="auto"/>
          <w:sz w:val="24"/>
          <w:highlight w:val="none"/>
        </w:rPr>
      </w:pPr>
      <w:bookmarkStart w:id="23" w:name="_Toc35393794"/>
      <w:bookmarkStart w:id="24" w:name="_Toc28359084"/>
      <w:bookmarkStart w:id="25" w:name="_Toc35393625"/>
      <w:bookmarkStart w:id="26" w:name="_Toc28359007"/>
      <w:r>
        <w:rPr>
          <w:rFonts w:hint="eastAsia" w:ascii="宋体" w:hAnsi="宋体" w:cs="宋体"/>
          <w:color w:val="auto"/>
          <w:sz w:val="24"/>
          <w:highlight w:val="none"/>
        </w:rPr>
        <w:t>（一）截止时间（开标时间）：</w:t>
      </w:r>
      <w:r>
        <w:rPr>
          <w:rFonts w:hint="eastAsia" w:ascii="宋体" w:hAnsi="宋体" w:cs="宋体"/>
          <w:bCs/>
          <w:color w:val="auto"/>
          <w:sz w:val="24"/>
          <w:highlight w:val="none"/>
          <w:u w:val="single"/>
        </w:rPr>
        <w:t>2023年</w:t>
      </w:r>
      <w:r>
        <w:rPr>
          <w:rFonts w:hint="eastAsia" w:ascii="宋体" w:hAnsi="宋体" w:cs="宋体"/>
          <w:color w:val="auto"/>
          <w:sz w:val="24"/>
          <w:highlight w:val="none"/>
          <w:u w:val="single"/>
        </w:rPr>
        <w:t>11</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24</w:t>
      </w:r>
      <w:r>
        <w:rPr>
          <w:rFonts w:hint="eastAsia" w:ascii="宋体" w:hAnsi="宋体" w:cs="宋体"/>
          <w:bCs/>
          <w:color w:val="auto"/>
          <w:sz w:val="24"/>
          <w:highlight w:val="none"/>
          <w:u w:val="single"/>
        </w:rPr>
        <w:t>日09点30分</w:t>
      </w:r>
      <w:r>
        <w:rPr>
          <w:rFonts w:hint="eastAsia" w:ascii="宋体" w:hAnsi="宋体" w:cs="宋体"/>
          <w:color w:val="auto"/>
          <w:sz w:val="24"/>
          <w:highlight w:val="none"/>
        </w:rPr>
        <w:t>（北京时间）</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（二）投标网址：台州湾新区小额工程电子交易平台（网址：</w:t>
      </w:r>
      <w:r>
        <w:rPr>
          <w:color w:val="auto"/>
          <w:sz w:val="24"/>
          <w:highlight w:val="none"/>
        </w:rPr>
        <w:t>http://www.tzwztb.com/</w:t>
      </w:r>
      <w:r>
        <w:rPr>
          <w:rFonts w:hint="eastAsia" w:ascii="宋体" w:hAnsi="宋体" w:cs="宋体"/>
          <w:color w:val="auto"/>
          <w:sz w:val="24"/>
          <w:highlight w:val="none"/>
        </w:rPr>
        <w:t>）</w:t>
      </w:r>
    </w:p>
    <w:bookmarkEnd w:id="23"/>
    <w:bookmarkEnd w:id="24"/>
    <w:bookmarkEnd w:id="25"/>
    <w:bookmarkEnd w:id="26"/>
    <w:p>
      <w:pPr>
        <w:pStyle w:val="25"/>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五、发布公告</w:t>
      </w:r>
    </w:p>
    <w:p>
      <w:pPr>
        <w:pStyle w:val="25"/>
        <w:spacing w:after="0" w:line="360" w:lineRule="auto"/>
        <w:ind w:left="0" w:leftChars="0" w:firstLine="480" w:firstLineChars="200"/>
        <w:rPr>
          <w:rFonts w:ascii="宋体" w:hAnsi="宋体" w:cs="宋体"/>
          <w:color w:val="auto"/>
          <w:kern w:val="0"/>
          <w:sz w:val="24"/>
          <w:highlight w:val="none"/>
        </w:rPr>
      </w:pPr>
      <w:r>
        <w:rPr>
          <w:rFonts w:hint="eastAsia" w:ascii="宋体" w:hAnsi="宋体" w:cs="宋体"/>
          <w:color w:val="auto"/>
          <w:sz w:val="24"/>
          <w:highlight w:val="none"/>
        </w:rPr>
        <w:t>（一）公告网址：台州湾新区小额工程电子交易平台</w:t>
      </w:r>
      <w:r>
        <w:rPr>
          <w:rFonts w:ascii="宋体" w:hAnsi="宋体" w:cs="宋体"/>
          <w:color w:val="auto"/>
          <w:sz w:val="24"/>
          <w:highlight w:val="none"/>
        </w:rPr>
        <w:t>”</w:t>
      </w:r>
      <w:r>
        <w:rPr>
          <w:rFonts w:hint="eastAsia" w:ascii="宋体" w:hAnsi="宋体" w:cs="宋体"/>
          <w:color w:val="auto"/>
          <w:sz w:val="24"/>
          <w:highlight w:val="none"/>
        </w:rPr>
        <w:t>（http://www.tzwztb.com）、</w:t>
      </w:r>
      <w:r>
        <w:rPr>
          <w:rFonts w:hint="eastAsia" w:ascii="宋体" w:hAnsi="宋体" w:cs="宋体"/>
          <w:color w:val="auto"/>
          <w:kern w:val="0"/>
          <w:sz w:val="24"/>
          <w:highlight w:val="none"/>
        </w:rPr>
        <w:t>浙江政府采购网（</w:t>
      </w:r>
      <w:r>
        <w:rPr>
          <w:rFonts w:hint="eastAsia" w:ascii="宋体" w:hAnsi="宋体" w:cs="宋体"/>
          <w:color w:val="auto"/>
          <w:sz w:val="24"/>
          <w:highlight w:val="none"/>
        </w:rPr>
        <w:t>https://zfcg.czt.zj.gov.cn</w:t>
      </w:r>
      <w:r>
        <w:rPr>
          <w:rFonts w:hint="eastAsia" w:ascii="宋体" w:hAnsi="宋体" w:cs="宋体"/>
          <w:color w:val="auto"/>
          <w:kern w:val="0"/>
          <w:sz w:val="24"/>
          <w:highlight w:val="none"/>
        </w:rPr>
        <w:t>）</w:t>
      </w:r>
    </w:p>
    <w:p>
      <w:pPr>
        <w:pStyle w:val="25"/>
        <w:spacing w:after="0" w:line="360" w:lineRule="auto"/>
        <w:ind w:left="0" w:leftChars="0" w:firstLine="480" w:firstLineChars="200"/>
        <w:rPr>
          <w:rFonts w:ascii="宋体" w:hAnsi="宋体" w:cs="宋体"/>
          <w:color w:val="auto"/>
          <w:kern w:val="0"/>
          <w:sz w:val="24"/>
          <w:highlight w:val="none"/>
        </w:rPr>
      </w:pPr>
      <w:r>
        <w:rPr>
          <w:rFonts w:hint="eastAsia" w:ascii="宋体" w:hAnsi="宋体" w:cs="宋体"/>
          <w:color w:val="auto"/>
          <w:sz w:val="24"/>
          <w:highlight w:val="none"/>
        </w:rPr>
        <w:t>（二）公告期限：</w:t>
      </w:r>
      <w:r>
        <w:rPr>
          <w:rFonts w:hint="eastAsia" w:ascii="宋体" w:hAnsi="宋体" w:cs="宋体"/>
          <w:color w:val="auto"/>
          <w:kern w:val="0"/>
          <w:sz w:val="24"/>
          <w:highlight w:val="none"/>
        </w:rPr>
        <w:t>本公告期限自发布之日起五个工作日</w:t>
      </w:r>
    </w:p>
    <w:p>
      <w:pPr>
        <w:pStyle w:val="5"/>
        <w:ind w:right="0" w:firstLine="482" w:firstLineChars="200"/>
        <w:rPr>
          <w:rFonts w:cs="宋体"/>
          <w:bCs/>
          <w:color w:val="auto"/>
          <w:sz w:val="24"/>
          <w:szCs w:val="24"/>
          <w:highlight w:val="none"/>
        </w:rPr>
      </w:pPr>
      <w:bookmarkStart w:id="27" w:name="_Toc35393795"/>
      <w:bookmarkStart w:id="28" w:name="_Toc35393626"/>
      <w:r>
        <w:rPr>
          <w:rFonts w:hint="eastAsia" w:cs="宋体"/>
          <w:bCs/>
          <w:color w:val="auto"/>
          <w:sz w:val="24"/>
          <w:szCs w:val="24"/>
          <w:highlight w:val="none"/>
        </w:rPr>
        <w:t>六、</w:t>
      </w:r>
      <w:bookmarkEnd w:id="27"/>
      <w:bookmarkEnd w:id="28"/>
      <w:r>
        <w:rPr>
          <w:rFonts w:hint="eastAsia" w:cs="宋体"/>
          <w:bCs/>
          <w:color w:val="auto"/>
          <w:sz w:val="24"/>
          <w:szCs w:val="24"/>
          <w:highlight w:val="none"/>
        </w:rPr>
        <w:t>注册报名</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投标人需登录</w:t>
      </w:r>
      <w:r>
        <w:rPr>
          <w:rFonts w:hint="eastAsia" w:ascii="宋体" w:hAnsi="宋体" w:cs="宋体"/>
          <w:b/>
          <w:color w:val="auto"/>
          <w:kern w:val="0"/>
          <w:sz w:val="24"/>
          <w:highlight w:val="none"/>
        </w:rPr>
        <w:t>台州湾新区小额工程电子交易平台（</w:t>
      </w:r>
      <w:r>
        <w:rPr>
          <w:rFonts w:ascii="宋体" w:hAnsi="宋体" w:cs="宋体"/>
          <w:b/>
          <w:color w:val="auto"/>
          <w:kern w:val="0"/>
          <w:sz w:val="24"/>
          <w:highlight w:val="none"/>
        </w:rPr>
        <w:t>http://www.tzwztb.com/</w:t>
      </w:r>
      <w:r>
        <w:rPr>
          <w:rFonts w:hint="eastAsia" w:ascii="宋体" w:hAnsi="宋体" w:cs="宋体"/>
          <w:b/>
          <w:color w:val="auto"/>
          <w:kern w:val="0"/>
          <w:sz w:val="24"/>
          <w:highlight w:val="none"/>
        </w:rPr>
        <w:t>)</w:t>
      </w:r>
      <w:r>
        <w:rPr>
          <w:rFonts w:hint="eastAsia" w:ascii="宋体" w:hAnsi="宋体" w:cs="宋体"/>
          <w:color w:val="auto"/>
          <w:sz w:val="24"/>
          <w:highlight w:val="none"/>
        </w:rPr>
        <w:t>进行注册后报名。</w:t>
      </w:r>
    </w:p>
    <w:p>
      <w:pPr>
        <w:snapToGrid w:val="0"/>
        <w:spacing w:line="360" w:lineRule="auto"/>
        <w:ind w:firstLine="482" w:firstLineChars="200"/>
        <w:rPr>
          <w:rFonts w:ascii="宋体" w:hAnsi="宋体" w:cs="宋体"/>
          <w:color w:val="auto"/>
          <w:sz w:val="24"/>
          <w:szCs w:val="20"/>
          <w:highlight w:val="none"/>
        </w:rPr>
      </w:pPr>
      <w:r>
        <w:rPr>
          <w:rFonts w:hint="eastAsia" w:ascii="宋体" w:hAnsi="宋体" w:cs="宋体"/>
          <w:b/>
          <w:bCs/>
          <w:color w:val="auto"/>
          <w:sz w:val="24"/>
          <w:highlight w:val="none"/>
        </w:rPr>
        <w:t>七、投标保证金</w:t>
      </w:r>
      <w:r>
        <w:rPr>
          <w:rFonts w:hint="eastAsia" w:ascii="宋体" w:hAnsi="宋体" w:cs="宋体"/>
          <w:color w:val="auto"/>
          <w:sz w:val="24"/>
          <w:highlight w:val="none"/>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1.投标保证金金额</w:t>
      </w:r>
      <w:r>
        <w:rPr>
          <w:rFonts w:hint="eastAsia" w:ascii="宋体" w:hAnsi="宋体" w:cs="宋体"/>
          <w:bCs/>
          <w:color w:val="auto"/>
          <w:kern w:val="0"/>
          <w:sz w:val="24"/>
          <w:highlight w:val="none"/>
          <w:u w:val="single"/>
        </w:rPr>
        <w:t>：</w:t>
      </w:r>
      <w:r>
        <w:rPr>
          <w:rFonts w:hint="eastAsia" w:ascii="宋体" w:hAnsi="宋体" w:cs="宋体"/>
          <w:bCs/>
          <w:color w:val="auto"/>
          <w:kern w:val="0"/>
          <w:sz w:val="24"/>
          <w:highlight w:val="none"/>
          <w:u w:val="single"/>
          <w:lang w:val="en-US" w:eastAsia="zh-CN"/>
        </w:rPr>
        <w:t>96000</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元人民币。</w:t>
      </w:r>
    </w:p>
    <w:p>
      <w:pPr>
        <w:pStyle w:val="25"/>
        <w:ind w:left="0" w:leftChars="0" w:firstLine="480"/>
        <w:jc w:val="left"/>
        <w:rPr>
          <w:rFonts w:ascii="宋体" w:hAnsi="宋体" w:cs="宋体"/>
          <w:bCs/>
          <w:color w:val="auto"/>
          <w:kern w:val="0"/>
          <w:sz w:val="24"/>
          <w:highlight w:val="none"/>
        </w:rPr>
      </w:pPr>
      <w:r>
        <w:rPr>
          <w:rFonts w:hint="eastAsia" w:ascii="宋体" w:hAnsi="宋体" w:cs="宋体"/>
          <w:bCs/>
          <w:color w:val="auto"/>
          <w:kern w:val="0"/>
          <w:sz w:val="24"/>
          <w:highlight w:val="none"/>
        </w:rPr>
        <w:t>2.投标保证金缴纳方式（任选一种）：现金转账、银行保函、保险机构保证保险保单、融资担保公司保函。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（1）现金转账</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② 投标人缴纳的投标保证金必须在投标截止时间前到达上述指定账户，否则导致投标无效等后果由投标人自行承担。另外须注意双休日银行柜台休息对公对公转账的影响。开标结束后，未中标投标单位无息返还；中标人的投标保证金由招标人暂时保管，待履约担保办理完毕并签订施工合同后，招标人返还中标人 (不计息)。</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（2）银行保函、保险机构保证保险保单、融资担保公司保函（以下合称“投标保函”）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u w:val="single"/>
        </w:rPr>
      </w:pPr>
      <w:r>
        <w:rPr>
          <w:rFonts w:hint="eastAsia" w:ascii="宋体" w:hAnsi="宋体" w:cs="宋体"/>
          <w:bCs/>
          <w:color w:val="auto"/>
          <w:kern w:val="0"/>
          <w:sz w:val="24"/>
          <w:highlight w:val="none"/>
        </w:rPr>
        <w:t>①投标保函的受益人：</w:t>
      </w:r>
      <w:r>
        <w:rPr>
          <w:rFonts w:hint="eastAsia" w:ascii="宋体" w:hAnsi="宋体" w:cs="宋体"/>
          <w:bCs/>
          <w:color w:val="auto"/>
          <w:kern w:val="0"/>
          <w:sz w:val="24"/>
          <w:highlight w:val="none"/>
          <w:u w:val="single"/>
        </w:rPr>
        <w:t>台州循环经济发展有限公司</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（招标人名称）；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②投标保函的有效期为1年（工程保函有效期起始时间最早为招标公告发布之日，最迟为投标截止日）；</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③递交方式：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递交方式一（电子保函系统）：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递交方式二（非电子保函系统）：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 xml:space="preserve">投标人须在投标截止时间前将投标保函纸质原件、基本账户证明材料复印件（加盖公章）、保费支付的银行回单一并按要求递交。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递交方式：现场递交；</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（1）若是投标人的法定代表人递交投标保函的，应持法定代表人身份证明原件（格式见附件）及身份证原件，否则投标保函不予签收。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（2）若是投标人委托代理人递交投标保函的，应持针对本项目的法定代表人授权委托书原件（格式见附件）及身份证原件，否则投标保函不予签收。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（3）递交投标保函时所要求提供的法定代表人授权委托书或法定代表人身份证明中的人员须与投标文件组成中提供的人员一致，若提供的不一致则以无效标处理。</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递交时间及地点：</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递交地点：台州湾新区海虹街道一楼大厅。</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递交时间：2023年11月</w:t>
      </w:r>
      <w:r>
        <w:rPr>
          <w:rFonts w:hint="eastAsia" w:ascii="宋体" w:hAnsi="宋体" w:cs="宋体"/>
          <w:bCs/>
          <w:color w:val="auto"/>
          <w:kern w:val="0"/>
          <w:sz w:val="24"/>
          <w:highlight w:val="none"/>
          <w:lang w:val="en-US" w:eastAsia="zh-CN"/>
        </w:rPr>
        <w:t>24</w:t>
      </w:r>
      <w:r>
        <w:rPr>
          <w:rFonts w:hint="eastAsia" w:ascii="宋体" w:hAnsi="宋体" w:cs="宋体"/>
          <w:bCs/>
          <w:color w:val="auto"/>
          <w:kern w:val="0"/>
          <w:sz w:val="24"/>
          <w:highlight w:val="none"/>
        </w:rPr>
        <w:t>日09:00-09:30。</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 xml:space="preserve">接收人：台州市建设咨询有限公司（代理机构）；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 xml:space="preserve">接收人联系方式：13625760924（代理机构联系方式）；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
          <w:color w:val="auto"/>
          <w:kern w:val="0"/>
          <w:sz w:val="24"/>
          <w:highlight w:val="none"/>
        </w:rPr>
      </w:pPr>
      <w:r>
        <w:rPr>
          <w:rFonts w:hint="eastAsia" w:ascii="宋体" w:hAnsi="宋体" w:cs="宋体"/>
          <w:bCs/>
          <w:color w:val="auto"/>
          <w:kern w:val="0"/>
          <w:sz w:val="24"/>
          <w:highlight w:val="none"/>
        </w:rPr>
        <w:t>注：投标保函文件中必须包含投标企业的信息，包含但不限于投标企业名称、保证方式、保证金额、保函获得时间、保证项目名称、保函有效期限、保费标准、费用支付账户（基本账户）等。保费应一函一付，通过企业基本账户支付。工程保函的保险（保证）责任必须包括本招标文件“投标人须知 前附表 13 ”所列条款。</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3、注意事项</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①本项目不接受以联合体形式递交保证金；</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②现金转账账号根据不同项目（标段）由系统随机生成，此账号只在本项目（标段）中使用有效，请注意核对。账号漏填、混填或错填均视为未按时缴纳保证金；</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③以现金转账形式提交的投标保证金应当从</w:t>
      </w:r>
      <w:bookmarkStart w:id="72" w:name="_GoBack"/>
      <w:bookmarkEnd w:id="72"/>
      <w:r>
        <w:rPr>
          <w:rFonts w:hint="eastAsia" w:ascii="宋体" w:hAnsi="宋体" w:cs="宋体"/>
          <w:b/>
          <w:color w:val="auto"/>
          <w:kern w:val="0"/>
          <w:sz w:val="24"/>
          <w:highlight w:val="none"/>
        </w:rPr>
        <w:t>投标人基本账户转出，购买项目保函的费用应当从投标人基本账户支付；</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④若有疑问，请咨询技术服务热线：0576-88865501</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⑤以上未按要求提供或提供不清晰的，评标委员会可能做出不利于投标人的评审结果，由此造成的风险由投标人自行承担。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auto"/>
          <w:sz w:val="24"/>
          <w:highlight w:val="none"/>
        </w:rPr>
      </w:pPr>
      <w:r>
        <w:rPr>
          <w:rFonts w:hint="eastAsia" w:ascii="宋体" w:hAnsi="宋体" w:cs="宋体"/>
          <w:b/>
          <w:color w:val="auto"/>
          <w:kern w:val="0"/>
          <w:sz w:val="24"/>
          <w:highlight w:val="none"/>
        </w:rPr>
        <w:t>4、</w:t>
      </w:r>
      <w:r>
        <w:rPr>
          <w:rFonts w:hint="eastAsia" w:ascii="宋体" w:hAnsi="宋体" w:cs="宋体"/>
          <w:bCs/>
          <w:color w:val="auto"/>
          <w:kern w:val="0"/>
          <w:sz w:val="24"/>
          <w:highlight w:val="none"/>
        </w:rPr>
        <w:t>购买工程电子保函截止时间：</w:t>
      </w:r>
      <w:r>
        <w:rPr>
          <w:rFonts w:hint="eastAsia" w:ascii="宋体" w:hAnsi="宋体" w:cs="宋体"/>
          <w:b/>
          <w:bCs/>
          <w:color w:val="auto"/>
          <w:kern w:val="0"/>
          <w:sz w:val="24"/>
          <w:highlight w:val="none"/>
          <w:u w:val="single"/>
        </w:rPr>
        <w:t xml:space="preserve"> 2023 </w:t>
      </w:r>
      <w:r>
        <w:rPr>
          <w:rFonts w:hint="eastAsia" w:ascii="宋体" w:hAnsi="宋体" w:cs="宋体"/>
          <w:b/>
          <w:bCs/>
          <w:color w:val="auto"/>
          <w:kern w:val="0"/>
          <w:sz w:val="24"/>
          <w:highlight w:val="none"/>
        </w:rPr>
        <w:t>年</w:t>
      </w:r>
      <w:r>
        <w:rPr>
          <w:rFonts w:hint="eastAsia" w:ascii="宋体" w:hAnsi="宋体" w:cs="宋体"/>
          <w:b/>
          <w:bCs/>
          <w:color w:val="auto"/>
          <w:kern w:val="0"/>
          <w:sz w:val="24"/>
          <w:highlight w:val="none"/>
          <w:u w:val="single"/>
        </w:rPr>
        <w:t xml:space="preserve"> 11 </w:t>
      </w:r>
      <w:r>
        <w:rPr>
          <w:rFonts w:hint="eastAsia" w:ascii="宋体" w:hAnsi="宋体" w:cs="宋体"/>
          <w:b/>
          <w:bCs/>
          <w:color w:val="auto"/>
          <w:kern w:val="0"/>
          <w:sz w:val="24"/>
          <w:highlight w:val="none"/>
        </w:rPr>
        <w:t>月</w:t>
      </w:r>
      <w:r>
        <w:rPr>
          <w:rFonts w:hint="eastAsia" w:ascii="宋体" w:hAnsi="宋体" w:cs="宋体"/>
          <w:b/>
          <w:bCs/>
          <w:color w:val="auto"/>
          <w:kern w:val="0"/>
          <w:sz w:val="24"/>
          <w:highlight w:val="none"/>
          <w:u w:val="single"/>
          <w:lang w:val="en-US" w:eastAsia="zh-CN"/>
        </w:rPr>
        <w:t>23</w:t>
      </w:r>
      <w:r>
        <w:rPr>
          <w:rFonts w:hint="eastAsia" w:ascii="宋体" w:hAnsi="宋体" w:cs="宋体"/>
          <w:b/>
          <w:bCs/>
          <w:color w:val="auto"/>
          <w:kern w:val="0"/>
          <w:sz w:val="24"/>
          <w:highlight w:val="none"/>
        </w:rPr>
        <w:t>日下午16点前</w:t>
      </w:r>
    </w:p>
    <w:p>
      <w:pPr>
        <w:pStyle w:val="5"/>
        <w:ind w:right="0" w:firstLine="482" w:firstLineChars="200"/>
        <w:rPr>
          <w:rFonts w:cs="宋体"/>
          <w:bCs/>
          <w:color w:val="auto"/>
          <w:sz w:val="24"/>
          <w:szCs w:val="24"/>
          <w:highlight w:val="none"/>
        </w:rPr>
      </w:pPr>
      <w:bookmarkStart w:id="29" w:name="_Toc28359085"/>
      <w:bookmarkStart w:id="30" w:name="_Toc35393627"/>
      <w:bookmarkStart w:id="31" w:name="_Toc35393796"/>
      <w:bookmarkStart w:id="32" w:name="_Toc28359008"/>
      <w:r>
        <w:rPr>
          <w:rFonts w:hint="eastAsia" w:cs="宋体"/>
          <w:bCs/>
          <w:color w:val="auto"/>
          <w:sz w:val="24"/>
          <w:szCs w:val="24"/>
          <w:highlight w:val="none"/>
        </w:rPr>
        <w:t>八、</w:t>
      </w:r>
      <w:bookmarkEnd w:id="29"/>
      <w:bookmarkEnd w:id="30"/>
      <w:bookmarkEnd w:id="31"/>
      <w:bookmarkEnd w:id="32"/>
      <w:r>
        <w:rPr>
          <w:rFonts w:hint="eastAsia" w:cs="宋体"/>
          <w:bCs/>
          <w:color w:val="auto"/>
          <w:sz w:val="24"/>
          <w:szCs w:val="24"/>
          <w:highlight w:val="none"/>
        </w:rPr>
        <w:t>联系方式</w:t>
      </w:r>
    </w:p>
    <w:p>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（一）采购人（受理招标文件相关质疑及答复）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cs="宋体"/>
          <w:color w:val="auto"/>
          <w:sz w:val="24"/>
          <w:highlight w:val="none"/>
          <w:u w:val="single"/>
        </w:rPr>
        <w:t>台州循环经济发展有限公司</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台州市甲南大道东段9号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 系 人：冯女士</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联系电话：0576-88909175</w:t>
      </w:r>
    </w:p>
    <w:p>
      <w:pPr>
        <w:spacing w:line="360" w:lineRule="auto"/>
        <w:ind w:firstLine="482" w:firstLineChars="200"/>
        <w:rPr>
          <w:rFonts w:ascii="宋体" w:hAnsi="宋体" w:cs="宋体"/>
          <w:b/>
          <w:color w:val="auto"/>
          <w:sz w:val="24"/>
          <w:highlight w:val="none"/>
        </w:rPr>
      </w:pPr>
      <w:r>
        <w:rPr>
          <w:rFonts w:hint="eastAsia" w:ascii="宋体" w:hAnsi="宋体" w:cs="宋体"/>
          <w:b/>
          <w:bCs/>
          <w:color w:val="auto"/>
          <w:sz w:val="24"/>
          <w:highlight w:val="none"/>
        </w:rPr>
        <w:t>（二）采购组织机构</w:t>
      </w:r>
    </w:p>
    <w:p>
      <w:pPr>
        <w:spacing w:line="360" w:lineRule="auto"/>
        <w:ind w:firstLine="480" w:firstLineChars="200"/>
        <w:rPr>
          <w:rFonts w:ascii="宋体" w:hAnsi="宋体" w:cs="宋体"/>
          <w:color w:val="auto"/>
          <w:sz w:val="24"/>
          <w:highlight w:val="none"/>
          <w:u w:val="single"/>
        </w:rPr>
      </w:pPr>
      <w:bookmarkStart w:id="33" w:name="_Toc28359010"/>
      <w:bookmarkStart w:id="34" w:name="_Toc28359087"/>
      <w:r>
        <w:rPr>
          <w:rFonts w:hint="eastAsia" w:ascii="宋体" w:hAnsi="宋体" w:cs="宋体"/>
          <w:color w:val="auto"/>
          <w:sz w:val="24"/>
          <w:highlight w:val="none"/>
        </w:rPr>
        <w:t>名 称：</w:t>
      </w:r>
      <w:r>
        <w:rPr>
          <w:rFonts w:hint="eastAsia" w:ascii="宋体" w:hAnsi="宋体" w:cs="宋体"/>
          <w:color w:val="auto"/>
          <w:sz w:val="24"/>
          <w:highlight w:val="none"/>
          <w:u w:val="single"/>
        </w:rPr>
        <w:t>台州市建设咨询有限公司</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浙江省台州市市府大道507号台州国际商务广场1幢（北门）十一楼</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项目联系人：</w:t>
      </w:r>
      <w:r>
        <w:rPr>
          <w:rFonts w:hint="eastAsia" w:ascii="宋体" w:hAnsi="宋体" w:cs="宋体"/>
          <w:color w:val="auto"/>
          <w:sz w:val="24"/>
          <w:highlight w:val="none"/>
          <w:u w:val="single"/>
        </w:rPr>
        <w:t>葛俊</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0576-88517782</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受理联系人：</w:t>
      </w:r>
      <w:r>
        <w:rPr>
          <w:rFonts w:hint="eastAsia" w:ascii="宋体" w:hAnsi="宋体" w:cs="宋体"/>
          <w:color w:val="auto"/>
          <w:sz w:val="24"/>
          <w:highlight w:val="none"/>
          <w:u w:val="single"/>
        </w:rPr>
        <w:t>徐瑜（受理注册、中标结果相关质疑及答复）</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0576-88517786</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（三）同级政府采购监管机构</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名 称：</w:t>
      </w:r>
      <w:r>
        <w:rPr>
          <w:rFonts w:hint="eastAsia" w:asciiTheme="minorEastAsia" w:hAnsiTheme="minorEastAsia" w:eastAsiaTheme="minorEastAsia" w:cstheme="minorEastAsia"/>
          <w:color w:val="auto"/>
          <w:sz w:val="24"/>
          <w:highlight w:val="none"/>
          <w:u w:val="single"/>
        </w:rPr>
        <w:t>台州湾新区司法审计局</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台州市甲南大道东段9号</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徐先生</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0576-88538849</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（四）台州湾新区小额工程电子交易平台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蔡永正、王明月</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13454667697、13757680207</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color w:val="auto"/>
          <w:sz w:val="24"/>
          <w:highlight w:val="none"/>
        </w:rPr>
      </w:pPr>
      <w:r>
        <w:rPr>
          <w:rFonts w:hint="eastAsia" w:ascii="宋体" w:hAnsi="宋体" w:cs="宋体"/>
          <w:color w:val="auto"/>
          <w:sz w:val="24"/>
          <w:highlight w:val="none"/>
          <w:shd w:val="clear" w:color="auto" w:fill="FFFFFF"/>
        </w:rPr>
        <w:t>台州市建设咨询有限公司</w:t>
      </w:r>
      <w:r>
        <w:rPr>
          <w:rFonts w:hint="eastAsia" w:ascii="宋体" w:hAnsi="宋体" w:cs="宋体"/>
          <w:color w:val="auto"/>
          <w:kern w:val="0"/>
          <w:sz w:val="24"/>
          <w:highlight w:val="none"/>
        </w:rPr>
        <w:t xml:space="preserve">  </w:t>
      </w:r>
    </w:p>
    <w:p>
      <w:pPr>
        <w:widowControl/>
        <w:spacing w:line="360" w:lineRule="auto"/>
        <w:ind w:firstLine="200"/>
        <w:jc w:val="right"/>
        <w:rPr>
          <w:rFonts w:asciiTheme="minorEastAsia" w:hAnsiTheme="minorEastAsia" w:eastAsiaTheme="minorEastAsia" w:cstheme="minorEastAsia"/>
          <w:color w:val="auto"/>
          <w:kern w:val="0"/>
          <w:sz w:val="24"/>
          <w:highlight w:val="none"/>
        </w:rPr>
      </w:pPr>
      <w:r>
        <w:rPr>
          <w:rFonts w:hint="eastAsia" w:ascii="宋体" w:hAnsi="宋体" w:cs="宋体"/>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rPr>
        <w:t>2023年</w:t>
      </w:r>
      <w:r>
        <w:rPr>
          <w:rFonts w:hint="eastAsia" w:asciiTheme="minorEastAsia" w:hAnsiTheme="minorEastAsia" w:eastAsiaTheme="minorEastAsia" w:cstheme="minorEastAsia"/>
          <w:color w:val="auto"/>
          <w:sz w:val="24"/>
          <w:highlight w:val="none"/>
          <w:lang w:val="en-US" w:eastAsia="zh-CN"/>
        </w:rPr>
        <w:t>10</w:t>
      </w:r>
      <w:r>
        <w:rPr>
          <w:rFonts w:hint="eastAsia" w:asciiTheme="minorEastAsia" w:hAnsiTheme="minorEastAsia" w:eastAsiaTheme="minorEastAsia" w:cstheme="minorEastAsia"/>
          <w:color w:val="auto"/>
          <w:kern w:val="0"/>
          <w:sz w:val="24"/>
          <w:highlight w:val="none"/>
        </w:rPr>
        <w:t>月</w:t>
      </w:r>
    </w:p>
    <w:p>
      <w:pPr>
        <w:pStyle w:val="32"/>
        <w:ind w:firstLine="480"/>
        <w:rPr>
          <w:rFonts w:asciiTheme="minorEastAsia" w:hAnsiTheme="minorEastAsia" w:eastAsiaTheme="minorEastAsia" w:cstheme="minorEastAsia"/>
          <w:color w:val="auto"/>
          <w:kern w:val="0"/>
          <w:highlight w:val="none"/>
        </w:rPr>
      </w:pPr>
    </w:p>
    <w:p>
      <w:pPr>
        <w:pStyle w:val="32"/>
        <w:ind w:firstLine="480"/>
        <w:rPr>
          <w:rFonts w:asciiTheme="minorEastAsia" w:hAnsiTheme="minorEastAsia" w:eastAsiaTheme="minorEastAsia" w:cstheme="minorEastAsia"/>
          <w:color w:val="auto"/>
          <w:kern w:val="0"/>
          <w:highlight w:val="none"/>
        </w:rPr>
      </w:pPr>
    </w:p>
    <w:bookmarkEnd w:id="33"/>
    <w:bookmarkEnd w:id="34"/>
    <w:p>
      <w:pPr>
        <w:numPr>
          <w:ilvl w:val="0"/>
          <w:numId w:val="6"/>
        </w:numPr>
        <w:spacing w:line="360" w:lineRule="auto"/>
        <w:jc w:val="center"/>
        <w:rPr>
          <w:rFonts w:asciiTheme="minorEastAsia" w:hAnsiTheme="minorEastAsia" w:eastAsiaTheme="minorEastAsia"/>
          <w:b/>
          <w:color w:val="auto"/>
          <w:sz w:val="36"/>
          <w:szCs w:val="36"/>
          <w:highlight w:val="none"/>
        </w:rPr>
      </w:pPr>
      <w:bookmarkStart w:id="35" w:name="_Toc25017_WPSOffice_Level1"/>
      <w:r>
        <w:rPr>
          <w:rFonts w:hint="eastAsia" w:asciiTheme="minorEastAsia" w:hAnsiTheme="minorEastAsia" w:eastAsiaTheme="minorEastAsia"/>
          <w:b/>
          <w:color w:val="auto"/>
          <w:sz w:val="36"/>
          <w:szCs w:val="36"/>
          <w:highlight w:val="none"/>
        </w:rPr>
        <w:t>投标人须知</w:t>
      </w:r>
      <w:bookmarkEnd w:id="35"/>
    </w:p>
    <w:p>
      <w:pPr>
        <w:numPr>
          <w:ilvl w:val="0"/>
          <w:numId w:val="7"/>
        </w:numPr>
        <w:ind w:firstLine="482" w:firstLineChars="200"/>
        <w:rPr>
          <w:color w:val="auto"/>
          <w:highlight w:val="none"/>
        </w:rPr>
      </w:pPr>
      <w:r>
        <w:rPr>
          <w:rFonts w:hint="eastAsia" w:asciiTheme="minorEastAsia" w:hAnsiTheme="minorEastAsia" w:eastAsiaTheme="minorEastAsia"/>
          <w:b/>
          <w:color w:val="auto"/>
          <w:sz w:val="24"/>
          <w:highlight w:val="none"/>
        </w:rPr>
        <w:t>前附表</w:t>
      </w:r>
    </w:p>
    <w:tbl>
      <w:tblPr>
        <w:tblStyle w:val="26"/>
        <w:tblpPr w:leftFromText="181" w:rightFromText="181" w:bottomFromText="170" w:vertAnchor="text" w:horzAnchor="page" w:tblpXSpec="center" w:tblpY="449"/>
        <w:tblOverlap w:val="never"/>
        <w:tblW w:w="8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color w:val="auto"/>
                <w:highlight w:val="none"/>
              </w:rPr>
            </w:pPr>
            <w:r>
              <w:rPr>
                <w:rFonts w:hint="eastAsia" w:ascii="宋体" w:hAnsi="宋体" w:cs="宋体"/>
                <w:b/>
                <w:bCs/>
                <w:color w:val="auto"/>
                <w:highlight w:val="none"/>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color w:val="auto"/>
                <w:highlight w:val="none"/>
              </w:rPr>
            </w:pPr>
            <w:r>
              <w:rPr>
                <w:rFonts w:hint="eastAsia" w:ascii="宋体" w:hAnsi="宋体" w:cs="宋体"/>
                <w:b/>
                <w:bCs/>
                <w:color w:val="auto"/>
                <w:highlight w:val="none"/>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color w:val="auto"/>
                <w:highlight w:val="none"/>
              </w:rPr>
            </w:pPr>
            <w:r>
              <w:rPr>
                <w:rFonts w:hint="eastAsia" w:ascii="宋体" w:hAnsi="宋体" w:cs="宋体"/>
                <w:b/>
                <w:bCs/>
                <w:color w:val="auto"/>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是否允许</w:t>
            </w:r>
          </w:p>
          <w:p>
            <w:pPr>
              <w:spacing w:line="300" w:lineRule="auto"/>
              <w:jc w:val="center"/>
              <w:rPr>
                <w:rFonts w:ascii="宋体" w:hAnsi="宋体" w:cs="宋体"/>
                <w:color w:val="auto"/>
                <w:highlight w:val="none"/>
              </w:rPr>
            </w:pPr>
            <w:r>
              <w:rPr>
                <w:rFonts w:hint="eastAsia" w:ascii="宋体" w:hAnsi="宋体" w:cs="宋体"/>
                <w:color w:val="auto"/>
                <w:highlight w:val="none"/>
              </w:rPr>
              <w:t>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答疑会或</w:t>
            </w:r>
          </w:p>
          <w:p>
            <w:pPr>
              <w:spacing w:line="300" w:lineRule="auto"/>
              <w:jc w:val="center"/>
              <w:rPr>
                <w:rFonts w:ascii="宋体" w:hAnsi="宋体" w:cs="宋体"/>
                <w:color w:val="auto"/>
                <w:highlight w:val="none"/>
              </w:rPr>
            </w:pPr>
            <w:r>
              <w:rPr>
                <w:rFonts w:hint="eastAsia" w:ascii="宋体" w:hAnsi="宋体" w:cs="宋体"/>
                <w:color w:val="auto"/>
                <w:highlight w:val="none"/>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1、投标人无需到开标现场，电子投标文件上传至台州湾新区小额工程电子交易平台。如遇有问题的请联系蔡先生，13454667697；王女士，13757680207。</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2、电子投标文件上传步骤：</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1) 台州湾新区小额工程电子交易平台（网址：http://www.tzwztb.com/）；</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2) 投标人应提前办好ca锁（办理网址：http://www.tseal.cn/tcloud/common.xhtml?projId=295），绑定平台账户。</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3)缴纳保证金（或购买、上传电子保函）后，点击“电子投标文件制作工具”，进入制作页面，签章并加密上传电子投标文件。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投标与开标</w:t>
            </w:r>
          </w:p>
          <w:p>
            <w:pPr>
              <w:spacing w:line="300" w:lineRule="auto"/>
              <w:jc w:val="center"/>
              <w:rPr>
                <w:rFonts w:ascii="宋体" w:hAnsi="宋体" w:cs="宋体"/>
                <w:color w:val="auto"/>
                <w:highlight w:val="none"/>
              </w:rPr>
            </w:pPr>
            <w:r>
              <w:rPr>
                <w:rFonts w:hint="eastAsia" w:ascii="宋体" w:hAnsi="宋体" w:cs="宋体"/>
                <w:color w:val="auto"/>
                <w:highlight w:val="none"/>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1.本项目实行电子投标，投标人自行承担投标一切费用。</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信用信息</w:t>
            </w:r>
          </w:p>
          <w:p>
            <w:pPr>
              <w:spacing w:line="300" w:lineRule="auto"/>
              <w:jc w:val="center"/>
              <w:rPr>
                <w:rFonts w:ascii="宋体" w:hAnsi="宋体" w:cs="宋体"/>
                <w:color w:val="auto"/>
                <w:highlight w:val="none"/>
              </w:rPr>
            </w:pPr>
            <w:r>
              <w:rPr>
                <w:rFonts w:hint="eastAsia" w:ascii="宋体" w:hAnsi="宋体" w:cs="宋体"/>
                <w:color w:val="auto"/>
                <w:highlight w:val="none"/>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信用中国（网址：</w:t>
            </w:r>
            <w:r>
              <w:rPr>
                <w:rFonts w:hint="eastAsia"/>
                <w:color w:val="auto"/>
                <w:highlight w:val="none"/>
              </w:rPr>
              <w:fldChar w:fldCharType="begin"/>
            </w:r>
            <w:r>
              <w:rPr>
                <w:color w:val="auto"/>
                <w:highlight w:val="none"/>
              </w:rPr>
              <w:instrText xml:space="preserve"> HYPERLINK "http://www.creditchina.gov.cn" </w:instrText>
            </w:r>
            <w:r>
              <w:rPr>
                <w:rFonts w:hint="eastAsia"/>
                <w:color w:val="auto"/>
                <w:highlight w:val="none"/>
              </w:rPr>
              <w:fldChar w:fldCharType="separate"/>
            </w:r>
            <w:r>
              <w:rPr>
                <w:rFonts w:hint="eastAsia" w:ascii="宋体" w:hAnsi="宋体" w:cs="宋体"/>
                <w:color w:val="auto"/>
                <w:highlight w:val="none"/>
              </w:rPr>
              <w:t>http://www.creditchina.gov.cn</w:t>
            </w:r>
            <w:r>
              <w:rPr>
                <w:rFonts w:hint="eastAsia" w:ascii="宋体" w:hAnsi="宋体" w:cs="宋体"/>
                <w:color w:val="auto"/>
                <w:highlight w:val="none"/>
              </w:rPr>
              <w:fldChar w:fldCharType="end"/>
            </w:r>
            <w:r>
              <w:rPr>
                <w:rFonts w:hint="eastAsia" w:ascii="宋体" w:hAnsi="宋体" w:cs="宋体"/>
                <w:color w:val="auto"/>
                <w:highlight w:val="none"/>
              </w:rPr>
              <w:t>）</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 xml:space="preserve"> 以书面形式向采购人、采购代理机构递交质疑函。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lang w:val="zh-CN"/>
              </w:rPr>
              <w:t>带“</w:t>
            </w:r>
            <w:r>
              <w:rPr>
                <w:rFonts w:hint="eastAsia" w:ascii="宋体" w:hAnsi="宋体" w:cs="宋体"/>
                <w:color w:val="auto"/>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本招标文件解释权属于采购人和采购组织机构。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投标报价及费用</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color w:val="auto"/>
                <w:highlight w:val="none"/>
              </w:rPr>
            </w:pPr>
            <w:r>
              <w:rPr>
                <w:rFonts w:hint="eastAsia" w:ascii="宋体" w:hAnsi="宋体" w:cs="宋体"/>
                <w:color w:val="auto"/>
                <w:highlight w:val="none"/>
              </w:rPr>
              <w:t>本项目投标应以人民币报价；</w:t>
            </w:r>
          </w:p>
          <w:p>
            <w:pPr>
              <w:spacing w:line="300" w:lineRule="auto"/>
              <w:rPr>
                <w:rFonts w:ascii="宋体" w:hAnsi="宋体" w:cs="宋体"/>
                <w:color w:val="auto"/>
                <w:highlight w:val="none"/>
              </w:rPr>
            </w:pPr>
            <w:r>
              <w:rPr>
                <w:rFonts w:hint="eastAsia" w:ascii="宋体" w:hAnsi="宋体" w:cs="宋体"/>
                <w:color w:val="auto"/>
                <w:highlight w:val="none"/>
              </w:rPr>
              <w:t>不论投标结果如何，投标人均应自行承担所有与投标有关的全部费用。</w:t>
            </w:r>
            <w:r>
              <w:rPr>
                <w:rFonts w:hint="eastAsia" w:ascii="宋体" w:hAnsi="宋体" w:cs="宋体"/>
                <w:b/>
                <w:bCs/>
                <w:color w:val="auto"/>
                <w:szCs w:val="21"/>
                <w:highlight w:val="none"/>
              </w:rPr>
              <w:t>本项目招标代理服务费</w:t>
            </w:r>
            <w:r>
              <w:rPr>
                <w:rFonts w:hint="eastAsia" w:ascii="宋体" w:hAnsi="宋体" w:cs="宋体"/>
                <w:b/>
                <w:bCs/>
                <w:color w:val="auto"/>
                <w:szCs w:val="21"/>
                <w:highlight w:val="none"/>
                <w:lang w:val="en-US" w:eastAsia="zh-CN"/>
              </w:rPr>
              <w:t>23792</w:t>
            </w:r>
            <w:r>
              <w:rPr>
                <w:rFonts w:hint="eastAsia" w:ascii="宋体" w:hAnsi="宋体" w:cs="宋体"/>
                <w:b/>
                <w:bCs/>
                <w:color w:val="auto"/>
                <w:szCs w:val="21"/>
                <w:highlight w:val="none"/>
              </w:rPr>
              <w:t>元，由中标单位支付，请各投标人报价时综合考虑。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13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其他</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2"/>
              <w:spacing w:line="400" w:lineRule="exact"/>
              <w:ind w:firstLine="420" w:firstLineChars="200"/>
              <w:rPr>
                <w:rFonts w:ascii="宋体" w:hAnsi="宋体" w:cs="宋体"/>
                <w:color w:val="auto"/>
                <w:sz w:val="21"/>
                <w:highlight w:val="none"/>
              </w:rPr>
            </w:pPr>
            <w:r>
              <w:rPr>
                <w:rFonts w:hint="eastAsia" w:ascii="宋体" w:hAnsi="宋体" w:cs="宋体"/>
                <w:color w:val="auto"/>
                <w:sz w:val="21"/>
                <w:highlight w:val="none"/>
              </w:rPr>
              <w:t>投标人有下列情形的，招标人对投标人的投标担保按下列相应规定进行处理：</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 （1）投标人放弃中标候选人或中标资格的（包括中标人无正当理由不与招标人订立合同；在签订合同时向招标人提出附加条件；不按照招标文件要求提交履约担保），对其投标担保全部不予退还；对招标人造成的经济损失（包括报价的差额损失）超过投标担保总金额的，应对超过部分予以赔偿；</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（2）投标人在投标有效期内撤销其投标文件的，对其投标担保全部不予退还；</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（3）投标人因同一行为涉及上述多种情形的，招标人按投标担保不予退还金额高的进行处理。</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（4）投标人违反《投标声明书》承诺内容的；</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（5）两家或两家以上投标单位上传投标文件的ip地址（或工程清单锁地址）相同，视为串标行为，取消评标资格，并没收投标保证金。</w:t>
            </w:r>
          </w:p>
        </w:tc>
      </w:tr>
    </w:tbl>
    <w:p>
      <w:pPr>
        <w:pStyle w:val="13"/>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二、说 明</w:t>
      </w:r>
    </w:p>
    <w:p>
      <w:pPr>
        <w:pStyle w:val="14"/>
        <w:numPr>
          <w:ilvl w:val="0"/>
          <w:numId w:val="8"/>
        </w:numPr>
        <w:spacing w:line="360" w:lineRule="auto"/>
        <w:ind w:left="0" w:leftChars="0"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总则</w:t>
      </w:r>
    </w:p>
    <w:p>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color w:val="auto"/>
          <w:sz w:val="24"/>
          <w:highlight w:val="none"/>
        </w:rPr>
        <w:t>浙江省</w:t>
      </w:r>
      <w:r>
        <w:rPr>
          <w:rFonts w:asciiTheme="minorEastAsia" w:hAnsiTheme="minorEastAsia" w:eastAsiaTheme="minorEastAsia"/>
          <w:color w:val="auto"/>
          <w:sz w:val="24"/>
          <w:highlight w:val="none"/>
        </w:rPr>
        <w:t>有关法律、法规、规章编制。</w:t>
      </w:r>
    </w:p>
    <w:p>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应仔细阅读本项目招标公告及招标文件的所有内容（包括变更、补充、澄清以及修改等，且均为招标文件的组成部分），按照招标文件要求以及格式编制投标文件，并保证其真实性，否则</w:t>
      </w:r>
      <w:r>
        <w:rPr>
          <w:rFonts w:hint="eastAsia"/>
          <w:color w:val="auto"/>
          <w:sz w:val="24"/>
          <w:highlight w:val="none"/>
        </w:rPr>
        <w:t>由此引起的一切后果应由</w:t>
      </w: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hint="eastAsia"/>
          <w:color w:val="auto"/>
          <w:sz w:val="24"/>
          <w:highlight w:val="none"/>
        </w:rPr>
        <w:t>承担。</w:t>
      </w:r>
    </w:p>
    <w:p>
      <w:pPr>
        <w:numPr>
          <w:ilvl w:val="0"/>
          <w:numId w:val="8"/>
        </w:numPr>
        <w:snapToGri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适用范围</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pPr>
        <w:pStyle w:val="2"/>
        <w:spacing w:line="360" w:lineRule="auto"/>
        <w:ind w:firstLine="480" w:firstLineChars="200"/>
        <w:rPr>
          <w:color w:val="auto"/>
          <w:highlight w:val="none"/>
        </w:rPr>
      </w:pPr>
      <w:r>
        <w:rPr>
          <w:color w:val="auto"/>
          <w:highlight w:val="none"/>
        </w:rPr>
        <w:t>本招标文件仅适用于本次招标公告中所涉及的项目和内容。</w:t>
      </w:r>
    </w:p>
    <w:p>
      <w:pPr>
        <w:snapToGrid w:val="0"/>
        <w:spacing w:before="156" w:beforeLines="50"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（三）当事人</w:t>
      </w:r>
    </w:p>
    <w:p>
      <w:pPr>
        <w:pStyle w:val="6"/>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color w:val="auto"/>
          <w:sz w:val="24"/>
          <w:szCs w:val="24"/>
          <w:highlight w:val="none"/>
        </w:rPr>
      </w:pPr>
      <w:r>
        <w:rPr>
          <w:rFonts w:hint="eastAsia" w:asciiTheme="minorEastAsia" w:hAnsiTheme="minorEastAsia" w:eastAsiaTheme="minorEastAsia"/>
          <w:color w:val="auto"/>
          <w:sz w:val="24"/>
          <w:szCs w:val="24"/>
          <w:highlight w:val="none"/>
        </w:rPr>
        <w:t>1.</w:t>
      </w:r>
      <w:r>
        <w:rPr>
          <w:rFonts w:hint="eastAsia"/>
          <w:bCs w:val="0"/>
          <w:color w:val="auto"/>
          <w:sz w:val="24"/>
          <w:szCs w:val="24"/>
          <w:highlight w:val="none"/>
          <w:lang w:val="zh-CN"/>
        </w:rPr>
        <w:t>采购组织机构：</w:t>
      </w:r>
      <w:r>
        <w:rPr>
          <w:rFonts w:hint="eastAsia" w:asciiTheme="minorEastAsia" w:hAnsiTheme="minorEastAsia" w:eastAsiaTheme="minorEastAsia"/>
          <w:color w:val="auto"/>
          <w:sz w:val="24"/>
          <w:szCs w:val="24"/>
          <w:highlight w:val="none"/>
        </w:rPr>
        <w:t>是</w:t>
      </w:r>
      <w:r>
        <w:rPr>
          <w:rFonts w:hint="eastAsia"/>
          <w:bCs w:val="0"/>
          <w:color w:val="auto"/>
          <w:sz w:val="24"/>
          <w:szCs w:val="24"/>
          <w:highlight w:val="none"/>
          <w:lang w:val="zh-CN"/>
        </w:rPr>
        <w:t>指采购人委托组织招标的集中采购机构</w:t>
      </w:r>
      <w:r>
        <w:rPr>
          <w:rFonts w:hint="eastAsia" w:cs="Arial"/>
          <w:bCs w:val="0"/>
          <w:color w:val="auto"/>
          <w:sz w:val="24"/>
          <w:szCs w:val="24"/>
          <w:highlight w:val="none"/>
        </w:rPr>
        <w:t>或</w:t>
      </w:r>
      <w:r>
        <w:rPr>
          <w:rFonts w:hint="eastAsia"/>
          <w:bCs w:val="0"/>
          <w:color w:val="auto"/>
          <w:sz w:val="24"/>
          <w:szCs w:val="24"/>
          <w:highlight w:val="none"/>
          <w:lang w:val="zh-CN"/>
        </w:rPr>
        <w:t>采购代理机构；</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2.采购人：是指依法进行政府采购的国家机关、事业单位和团体组织；</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：是</w:t>
      </w:r>
      <w:r>
        <w:rPr>
          <w:rFonts w:asciiTheme="minorEastAsia" w:hAnsiTheme="minorEastAsia" w:eastAsiaTheme="minorEastAsia"/>
          <w:color w:val="auto"/>
          <w:sz w:val="24"/>
          <w:highlight w:val="none"/>
        </w:rPr>
        <w:t>指</w:t>
      </w:r>
      <w:r>
        <w:rPr>
          <w:rFonts w:hint="eastAsia" w:asciiTheme="minorEastAsia" w:hAnsiTheme="minorEastAsia" w:eastAsiaTheme="minorEastAsia"/>
          <w:color w:val="auto"/>
          <w:sz w:val="24"/>
          <w:highlight w:val="none"/>
        </w:rPr>
        <w:t>响应招标、参加投标竞争的法人、其他组织或者自然人；</w:t>
      </w:r>
    </w:p>
    <w:p>
      <w:pPr>
        <w:snapToGri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rPr>
        <w:t>4.</w:t>
      </w:r>
      <w:r>
        <w:rPr>
          <w:rFonts w:hint="eastAsia" w:ascii="宋体" w:hAnsi="宋体"/>
          <w:color w:val="auto"/>
          <w:sz w:val="24"/>
          <w:highlight w:val="none"/>
          <w:lang w:val="zh-CN"/>
        </w:rPr>
        <w:t>中标</w:t>
      </w:r>
      <w:r>
        <w:rPr>
          <w:rFonts w:hint="eastAsia" w:ascii="宋体" w:hAnsi="宋体"/>
          <w:color w:val="auto"/>
          <w:sz w:val="24"/>
          <w:highlight w:val="none"/>
        </w:rPr>
        <w:t>人</w:t>
      </w:r>
      <w:r>
        <w:rPr>
          <w:rFonts w:hint="eastAsia" w:ascii="宋体" w:hAnsi="宋体"/>
          <w:color w:val="auto"/>
          <w:sz w:val="24"/>
          <w:highlight w:val="none"/>
          <w:lang w:val="zh-CN"/>
        </w:rPr>
        <w:t>：是指经评</w:t>
      </w:r>
      <w:r>
        <w:rPr>
          <w:rFonts w:hint="eastAsia" w:ascii="宋体" w:hAnsi="宋体"/>
          <w:color w:val="auto"/>
          <w:sz w:val="24"/>
          <w:highlight w:val="none"/>
        </w:rPr>
        <w:t>标</w:t>
      </w:r>
      <w:r>
        <w:rPr>
          <w:rFonts w:hint="eastAsia" w:ascii="宋体" w:hAnsi="宋体"/>
          <w:color w:val="auto"/>
          <w:sz w:val="24"/>
          <w:highlight w:val="none"/>
          <w:lang w:val="zh-CN"/>
        </w:rPr>
        <w:t>委员会评审确定的对招标文件</w:t>
      </w:r>
      <w:r>
        <w:rPr>
          <w:rFonts w:hint="eastAsia" w:ascii="宋体" w:hAnsi="宋体"/>
          <w:color w:val="auto"/>
          <w:sz w:val="24"/>
          <w:highlight w:val="none"/>
        </w:rPr>
        <w:t>作</w:t>
      </w:r>
      <w:r>
        <w:rPr>
          <w:rFonts w:hint="eastAsia" w:ascii="宋体" w:hAnsi="宋体"/>
          <w:color w:val="auto"/>
          <w:sz w:val="24"/>
          <w:highlight w:val="none"/>
          <w:lang w:val="zh-CN"/>
        </w:rPr>
        <w:t>出实质性响应，经采购人按照规定在评</w:t>
      </w:r>
      <w:r>
        <w:rPr>
          <w:rFonts w:hint="eastAsia" w:ascii="宋体" w:hAnsi="宋体"/>
          <w:color w:val="auto"/>
          <w:sz w:val="24"/>
          <w:highlight w:val="none"/>
        </w:rPr>
        <w:t>标</w:t>
      </w:r>
      <w:r>
        <w:rPr>
          <w:rFonts w:hint="eastAsia" w:ascii="宋体" w:hAnsi="宋体"/>
          <w:color w:val="auto"/>
          <w:sz w:val="24"/>
          <w:highlight w:val="none"/>
          <w:lang w:val="zh-CN"/>
        </w:rPr>
        <w:t>委员会推荐的中标候选人中确定的或受采购人委托直接确认的，与采购人签订合同资格的投标</w:t>
      </w:r>
      <w:r>
        <w:rPr>
          <w:rFonts w:hint="eastAsia" w:ascii="宋体" w:hAnsi="宋体"/>
          <w:color w:val="auto"/>
          <w:sz w:val="24"/>
          <w:highlight w:val="none"/>
        </w:rPr>
        <w:t>人；</w:t>
      </w:r>
    </w:p>
    <w:p>
      <w:pPr>
        <w:snapToGrid w:val="0"/>
        <w:spacing w:line="360" w:lineRule="auto"/>
        <w:ind w:firstLine="480" w:firstLineChars="200"/>
        <w:rPr>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zh-CN"/>
        </w:rPr>
        <w:t>.</w:t>
      </w:r>
      <w:r>
        <w:rPr>
          <w:rFonts w:hint="eastAsia" w:ascii="宋体" w:hAnsi="宋体"/>
          <w:color w:val="auto"/>
          <w:sz w:val="24"/>
          <w:highlight w:val="none"/>
        </w:rPr>
        <w:t>联合体：</w:t>
      </w:r>
      <w:r>
        <w:rPr>
          <w:rFonts w:hint="eastAsia"/>
          <w:color w:val="auto"/>
          <w:sz w:val="24"/>
          <w:highlight w:val="none"/>
        </w:rPr>
        <w:t>两个或两个以上法人或者其他组织可以组成一个联合体，以一个投标人的身份共同投标。</w:t>
      </w:r>
    </w:p>
    <w:p>
      <w:pPr>
        <w:snapToGrid w:val="0"/>
        <w:spacing w:line="360" w:lineRule="auto"/>
        <w:ind w:firstLine="482" w:firstLineChars="200"/>
        <w:rPr>
          <w:b/>
          <w:bCs/>
          <w:color w:val="auto"/>
          <w:sz w:val="24"/>
          <w:highlight w:val="none"/>
        </w:rPr>
      </w:pPr>
      <w:r>
        <w:rPr>
          <w:rFonts w:hint="eastAsia"/>
          <w:b/>
          <w:bCs/>
          <w:color w:val="auto"/>
          <w:sz w:val="24"/>
          <w:highlight w:val="none"/>
        </w:rPr>
        <w:t>（四）</w:t>
      </w:r>
      <w:r>
        <w:rPr>
          <w:b/>
          <w:bCs/>
          <w:color w:val="auto"/>
          <w:sz w:val="24"/>
          <w:highlight w:val="none"/>
        </w:rPr>
        <w:t>以联合体形式投标的，应符合以下规定</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本项目不接受联合体投标。</w:t>
      </w:r>
    </w:p>
    <w:p>
      <w:pPr>
        <w:snapToGrid w:val="0"/>
        <w:spacing w:line="360" w:lineRule="auto"/>
        <w:ind w:firstLine="482" w:firstLineChars="200"/>
        <w:rPr>
          <w:b/>
          <w:bCs/>
          <w:color w:val="auto"/>
          <w:sz w:val="24"/>
          <w:highlight w:val="none"/>
        </w:rPr>
      </w:pPr>
      <w:r>
        <w:rPr>
          <w:rFonts w:hint="eastAsia"/>
          <w:b/>
          <w:bCs/>
          <w:color w:val="auto"/>
          <w:sz w:val="24"/>
          <w:highlight w:val="none"/>
        </w:rPr>
        <w:t>（五）</w:t>
      </w:r>
      <w:r>
        <w:rPr>
          <w:b/>
          <w:bCs/>
          <w:color w:val="auto"/>
          <w:sz w:val="24"/>
          <w:highlight w:val="none"/>
        </w:rPr>
        <w:t>语言文字以及度量衡单位</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1.投标文件以及投标人与</w:t>
      </w:r>
      <w:r>
        <w:rPr>
          <w:rFonts w:hint="eastAsia" w:ascii="宋体" w:hAnsi="宋体" w:cs="宋体" w:eastAsiaTheme="minorEastAsia"/>
          <w:color w:val="auto"/>
          <w:kern w:val="0"/>
          <w:sz w:val="24"/>
          <w:highlight w:val="none"/>
        </w:rPr>
        <w:t>台州市建设咨询有限公司</w:t>
      </w:r>
      <w:r>
        <w:rPr>
          <w:rFonts w:hint="eastAsia" w:asciiTheme="minorEastAsia" w:hAnsiTheme="minorEastAsia" w:eastAsiaTheme="minorEastAsia"/>
          <w:color w:val="auto"/>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2.所有计量均采用中国法定的计量单位。</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3.所有</w:t>
      </w:r>
      <w:r>
        <w:rPr>
          <w:color w:val="auto"/>
          <w:sz w:val="24"/>
          <w:highlight w:val="none"/>
        </w:rPr>
        <w:t>报价一律使用人民币，货币单位：元。</w:t>
      </w:r>
    </w:p>
    <w:p>
      <w:pPr>
        <w:snapToGrid w:val="0"/>
        <w:spacing w:line="360" w:lineRule="auto"/>
        <w:ind w:firstLine="482" w:firstLineChars="200"/>
        <w:rPr>
          <w:b/>
          <w:bCs/>
          <w:color w:val="auto"/>
          <w:sz w:val="24"/>
          <w:highlight w:val="none"/>
        </w:rPr>
      </w:pPr>
      <w:r>
        <w:rPr>
          <w:rFonts w:hint="eastAsia"/>
          <w:b/>
          <w:bCs/>
          <w:color w:val="auto"/>
          <w:sz w:val="24"/>
          <w:highlight w:val="none"/>
        </w:rPr>
        <w:t>（六）</w:t>
      </w:r>
      <w:r>
        <w:rPr>
          <w:b/>
          <w:bCs/>
          <w:color w:val="auto"/>
          <w:sz w:val="24"/>
          <w:highlight w:val="none"/>
        </w:rPr>
        <w:t>现场踏勘</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1.本项目不组织现场踏勘。</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2.投标人自行承担踏勘现场发生的责任、风险和自身费用。</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3.采购人</w:t>
      </w:r>
      <w:r>
        <w:rPr>
          <w:color w:val="auto"/>
          <w:sz w:val="24"/>
          <w:highlight w:val="none"/>
        </w:rPr>
        <w:t>在踏勘现场中介绍的资料和数据等，不构成对招标文件的修改或不作为投标人编制投标文件的依据。</w:t>
      </w:r>
    </w:p>
    <w:p>
      <w:pPr>
        <w:pStyle w:val="13"/>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（七）特别说明</w:t>
      </w:r>
    </w:p>
    <w:p>
      <w:pPr>
        <w:pStyle w:val="13"/>
        <w:snapToGrid w:val="0"/>
        <w:spacing w:line="360" w:lineRule="auto"/>
        <w:ind w:left="2" w:leftChars="1"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投标人投标所使用的资格、信誉、荣誉、业绩与企业认证必须为本法人所拥有</w:t>
      </w:r>
      <w:r>
        <w:rPr>
          <w:rFonts w:hint="eastAsia" w:asciiTheme="minorEastAsia" w:hAnsiTheme="minorEastAsia" w:eastAsiaTheme="minorEastAsia"/>
          <w:color w:val="auto"/>
          <w:sz w:val="24"/>
          <w:highlight w:val="none"/>
        </w:rPr>
        <w:t>且所提供的资料都是真实有效的</w:t>
      </w:r>
      <w:r>
        <w:rPr>
          <w:rFonts w:asciiTheme="minorEastAsia" w:hAnsiTheme="minorEastAsia" w:eastAsiaTheme="minorEastAsia"/>
          <w:color w:val="auto"/>
          <w:sz w:val="24"/>
          <w:highlight w:val="none"/>
        </w:rPr>
        <w:t>。投标人投标所使用的采购项目实施人员必须为本法人员工。</w:t>
      </w:r>
    </w:p>
    <w:p>
      <w:pPr>
        <w:pStyle w:val="35"/>
        <w:snapToGrid w:val="0"/>
        <w:spacing w:line="360" w:lineRule="auto"/>
        <w:ind w:firstLine="480"/>
        <w:rPr>
          <w:rFonts w:ascii="宋体" w:hAnsi="宋体" w:cs="宋体"/>
          <w:color w:val="auto"/>
          <w:sz w:val="24"/>
          <w:szCs w:val="24"/>
          <w:highlight w:val="none"/>
        </w:rPr>
      </w:pPr>
      <w:r>
        <w:rPr>
          <w:rFonts w:hint="eastAsia" w:asciiTheme="minorEastAsia" w:hAnsiTheme="minorEastAsia" w:eastAsiaTheme="minorEastAsia" w:cstheme="minorBidi"/>
          <w:color w:val="auto"/>
          <w:sz w:val="24"/>
          <w:szCs w:val="24"/>
          <w:highlight w:val="none"/>
        </w:rPr>
        <w:t>2.</w:t>
      </w:r>
      <w:r>
        <w:rPr>
          <w:rFonts w:hint="eastAsia" w:ascii="宋体" w:hAnsi="宋体" w:cs="宋体"/>
          <w:color w:val="auto"/>
          <w:sz w:val="24"/>
          <w:szCs w:val="24"/>
          <w:highlight w:val="none"/>
        </w:rPr>
        <w:t>本招标文件中关于电子招投标的内容、流程，如与台州湾新区小额工程电子交易平台系统中最新的内容、操作不一致的，以台州湾新区小额工程电子交易平台系统中的要求为准。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三、招标文件</w:t>
      </w:r>
    </w:p>
    <w:p>
      <w:pPr>
        <w:pStyle w:val="35"/>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（一）招标文件由招标文件目录所列内容组成。</w:t>
      </w:r>
    </w:p>
    <w:p>
      <w:pPr>
        <w:pStyle w:val="35"/>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（二）投标人在规定的时间内未对招标文件提出疑问、质疑或要求澄清的，将视其为无异议。</w:t>
      </w:r>
    </w:p>
    <w:p>
      <w:pPr>
        <w:pStyle w:val="35"/>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（三）对招标文件中描述有歧义或前后不一致的地方，评标委员会有权进行评判，但对同一条款的评判应适用于每个投标人。</w:t>
      </w:r>
    </w:p>
    <w:p>
      <w:pPr>
        <w:pStyle w:val="35"/>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四）采购组织机构对招标文件进行必要的澄清更正的，澄清或者修改的内容可能影响投标文件编制的，于投标截止时间的3日前在浙江省政府采购网上以更正公告的形式通知各潜在的投标人；不足3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w:t>
      </w:r>
    </w:p>
    <w:p>
      <w:pPr>
        <w:pStyle w:val="7"/>
        <w:spacing w:line="360" w:lineRule="auto"/>
        <w:ind w:firstLine="482" w:firstLineChars="200"/>
        <w:rPr>
          <w:rFonts w:asciiTheme="minorEastAsia" w:hAnsiTheme="minorEastAsia"/>
          <w:b/>
          <w:color w:val="auto"/>
          <w:kern w:val="0"/>
          <w:sz w:val="24"/>
          <w:highlight w:val="none"/>
        </w:rPr>
      </w:pPr>
      <w:r>
        <w:rPr>
          <w:rFonts w:hint="eastAsia" w:asciiTheme="minorEastAsia" w:hAnsiTheme="minorEastAsia" w:eastAsiaTheme="minorEastAsia"/>
          <w:b/>
          <w:color w:val="auto"/>
          <w:kern w:val="0"/>
          <w:sz w:val="24"/>
          <w:highlight w:val="none"/>
        </w:rPr>
        <w:t>（一）投标文件的编制</w:t>
      </w:r>
    </w:p>
    <w:p>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投标人获取招标文件后，按照采购组织机构的要求提供：资格标、技术标和商务标</w:t>
      </w:r>
      <w:r>
        <w:rPr>
          <w:rFonts w:hint="eastAsia" w:asciiTheme="minorEastAsia" w:hAnsiTheme="minorEastAsia" w:eastAsiaTheme="minorEastAsia"/>
          <w:color w:val="auto"/>
          <w:kern w:val="0"/>
          <w:sz w:val="24"/>
          <w:highlight w:val="none"/>
          <w:lang w:val="zh-CN"/>
        </w:rPr>
        <w:t>。【特别提示：如在投标时有要求提供资料原件的，将原件扫描放入投标文件】若参与多标项投标的，则按每个标项分别独立编制投标文件。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asciiTheme="minorEastAsia" w:hAnsiTheme="minorEastAsia" w:eastAsiaTheme="minorEastAsia"/>
          <w:color w:val="auto"/>
          <w:kern w:val="0"/>
          <w:sz w:val="24"/>
          <w:highlight w:val="none"/>
        </w:rPr>
      </w:pPr>
      <w:r>
        <w:rPr>
          <w:rFonts w:hint="eastAsia" w:ascii="宋体" w:hAnsi="宋体" w:cs="宋体"/>
          <w:b/>
          <w:color w:val="auto"/>
          <w:sz w:val="24"/>
          <w:highlight w:val="none"/>
        </w:rPr>
        <w:t>▲</w:t>
      </w:r>
      <w:r>
        <w:rPr>
          <w:rFonts w:hint="eastAsia" w:asciiTheme="minorEastAsia" w:hAnsiTheme="minorEastAsia" w:eastAsiaTheme="minorEastAsia"/>
          <w:b/>
          <w:color w:val="auto"/>
          <w:sz w:val="24"/>
          <w:highlight w:val="none"/>
        </w:rPr>
        <w:t>1.资格标</w:t>
      </w:r>
      <w:r>
        <w:rPr>
          <w:rFonts w:hint="eastAsia" w:ascii="宋体" w:hAnsi="宋体"/>
          <w:b/>
          <w:color w:val="auto"/>
          <w:sz w:val="24"/>
          <w:highlight w:val="none"/>
        </w:rPr>
        <w:t>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（1）投标声明书（附件1）；</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（2）授权委托书（法定代表人亲自办理投标事宜的，则无需提交；附件2）；</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（3）法人或者其他组织的营业执照等证明文件，自然人的身份证明；</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（4）具有依法缴纳税收和社会保障资金证明的承诺函（附件3）；</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（5）具有良好的商业信誉和健全的财务会计制度的承诺函（附件4）；</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（6）具有履行合同所必须的设备和专业技术能力的承诺函（附件5）；</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（7）《中华人民共和国经营保险业务许可证》；</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（8）需要说明的其他资料。</w:t>
      </w:r>
    </w:p>
    <w:p>
      <w:pPr>
        <w:snapToGrid w:val="0"/>
        <w:spacing w:line="360" w:lineRule="auto"/>
        <w:ind w:firstLine="482" w:firstLineChars="200"/>
        <w:rPr>
          <w:rFonts w:ascii="宋体" w:hAnsi="宋体"/>
          <w:b/>
          <w:color w:val="auto"/>
          <w:sz w:val="24"/>
          <w:highlight w:val="none"/>
        </w:rPr>
      </w:pPr>
      <w:r>
        <w:rPr>
          <w:rFonts w:hint="eastAsia" w:asciiTheme="minorEastAsia" w:hAnsiTheme="minorEastAsia" w:eastAsiaTheme="minorEastAsia"/>
          <w:b/>
          <w:color w:val="auto"/>
          <w:sz w:val="24"/>
          <w:highlight w:val="none"/>
        </w:rPr>
        <w:t>2.</w:t>
      </w:r>
      <w:r>
        <w:rPr>
          <w:rFonts w:hint="eastAsia" w:ascii="宋体" w:hAnsi="宋体" w:eastAsiaTheme="minorEastAsia"/>
          <w:b/>
          <w:color w:val="auto"/>
          <w:sz w:val="24"/>
          <w:highlight w:val="none"/>
        </w:rPr>
        <w:t>技术标</w:t>
      </w:r>
      <w:r>
        <w:rPr>
          <w:rFonts w:hint="eastAsia" w:ascii="宋体" w:hAnsi="宋体"/>
          <w:b/>
          <w:color w:val="auto"/>
          <w:sz w:val="24"/>
          <w:highlight w:val="none"/>
        </w:rPr>
        <w:t>组成</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（4）项目实施人员一览表（附件6）；</w:t>
      </w:r>
    </w:p>
    <w:p>
      <w:pPr>
        <w:snapToGrid w:val="0"/>
        <w:spacing w:line="360" w:lineRule="auto"/>
        <w:ind w:firstLine="480" w:firstLineChars="200"/>
        <w:rPr>
          <w:rFonts w:ascii="Calibri" w:hAnsi="Calibri" w:cs="Calibri"/>
          <w:color w:val="auto"/>
          <w:sz w:val="24"/>
          <w:highlight w:val="none"/>
        </w:rPr>
      </w:pPr>
      <w:r>
        <w:rPr>
          <w:rFonts w:hint="eastAsia" w:ascii="宋体" w:hAnsi="宋体"/>
          <w:bCs/>
          <w:color w:val="auto"/>
          <w:sz w:val="24"/>
          <w:highlight w:val="none"/>
        </w:rPr>
        <w:t>（5）</w:t>
      </w:r>
      <w:r>
        <w:rPr>
          <w:rFonts w:hint="eastAsia" w:ascii="Calibri" w:hAnsi="Calibri" w:cs="Calibri"/>
          <w:color w:val="auto"/>
          <w:sz w:val="24"/>
          <w:highlight w:val="none"/>
        </w:rPr>
        <w:t>服务条款响应表（附件7）；</w:t>
      </w:r>
    </w:p>
    <w:p>
      <w:pPr>
        <w:pStyle w:val="7"/>
        <w:widowControl/>
        <w:numPr>
          <w:ilvl w:val="255"/>
          <w:numId w:val="0"/>
        </w:num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（7）同类业绩证明（如有，需提供合同复印件；附件8）；</w:t>
      </w:r>
    </w:p>
    <w:p>
      <w:pPr>
        <w:pStyle w:val="7"/>
        <w:widowControl/>
        <w:numPr>
          <w:ilvl w:val="255"/>
          <w:numId w:val="0"/>
        </w:num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（8）符合招标文件规定的其他证明文件及评分标准中涉及的其他材料。</w:t>
      </w:r>
    </w:p>
    <w:p>
      <w:pPr>
        <w:autoSpaceDE w:val="0"/>
        <w:autoSpaceDN w:val="0"/>
        <w:adjustRightInd w:val="0"/>
        <w:spacing w:line="360" w:lineRule="auto"/>
        <w:ind w:left="426" w:firstLine="65" w:firstLineChars="27"/>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3、商务标组成</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（1）开标一览表（附件9）；</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（2）投标报价清单（附件10）</w:t>
      </w:r>
    </w:p>
    <w:p>
      <w:pPr>
        <w:autoSpaceDE w:val="0"/>
        <w:autoSpaceDN w:val="0"/>
        <w:adjustRightInd w:val="0"/>
        <w:spacing w:line="360" w:lineRule="auto"/>
        <w:ind w:firstLine="482" w:firstLineChars="200"/>
        <w:rPr>
          <w:rFonts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b/>
          <w:color w:val="auto"/>
          <w:kern w:val="0"/>
          <w:sz w:val="24"/>
          <w:highlight w:val="none"/>
        </w:rPr>
        <w:t>（二）投标报价</w:t>
      </w:r>
    </w:p>
    <w:p>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1.投标人应按照招标需求内容、责任范围以及合同条款进行报价。并按“开标一览表”规定的格式报出总价。投标总价中不得包含招标文件要求以外的内容，否则，在评标时不予核减。</w:t>
      </w:r>
    </w:p>
    <w:p>
      <w:pPr>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2.投标报价是履行合同的最终价格，</w:t>
      </w:r>
      <w:r>
        <w:rPr>
          <w:rFonts w:hint="eastAsia" w:ascii="宋体" w:hAnsi="宋体"/>
          <w:bCs/>
          <w:color w:val="auto"/>
          <w:spacing w:val="-4"/>
          <w:sz w:val="24"/>
          <w:highlight w:val="none"/>
          <w:lang w:bidi="ar"/>
        </w:rPr>
        <w:t>包括现场踏勘、资料收集整理、数据调查分析、工作大纲编制、取样、试验、测试、检测、测量、模拟计算、组织评审费、会务费、餐费、住宿费、最终相关专题及报告的编制、印刷、报相关主管部门审批、咨询费、风险费、保险、利润、规费、税金、政策性文件规定及合同包含的所有风险、责任等所有费用</w:t>
      </w:r>
      <w:r>
        <w:rPr>
          <w:rFonts w:hint="eastAsia" w:asciiTheme="minorEastAsia" w:hAnsiTheme="minorEastAsia" w:eastAsiaTheme="minorEastAsia"/>
          <w:bCs/>
          <w:color w:val="auto"/>
          <w:kern w:val="0"/>
          <w:sz w:val="24"/>
          <w:highlight w:val="none"/>
        </w:rPr>
        <w:t>。供应商须充分考虑实际服务内容和需求，针对自身实际情况，核算所需的成本及合理 的利润，自行报价，结算时由供应商开具正式发票。各投标人应根据招标人提供的技术资料、工程量清单，以及本工程实际情况和自身的综合实力，竞报投标报价。总报价以人民币元计。知识产权等由投标人在投标报价时综合考虑，以后不作任何调整。</w:t>
      </w:r>
    </w:p>
    <w:p>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3.投标报价不得为选择性报价和附有条件的报价。</w:t>
      </w:r>
    </w:p>
    <w:p>
      <w:pPr>
        <w:pStyle w:val="7"/>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（三）投标文件的有效期</w:t>
      </w:r>
    </w:p>
    <w:p>
      <w:pPr>
        <w:pStyle w:val="7"/>
        <w:spacing w:line="360" w:lineRule="auto"/>
        <w:ind w:firstLine="480" w:firstLineChars="200"/>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1.投标文件有效期为</w:t>
      </w:r>
      <w:r>
        <w:rPr>
          <w:rFonts w:hint="eastAsia" w:asciiTheme="minorEastAsia" w:hAnsiTheme="minorEastAsia" w:eastAsiaTheme="minorEastAsia" w:cstheme="minorEastAsia"/>
          <w:color w:val="auto"/>
          <w:sz w:val="24"/>
          <w:highlight w:val="none"/>
          <w:lang w:val="en-GB"/>
        </w:rPr>
        <w:t>投标截止日起90天。</w:t>
      </w:r>
    </w:p>
    <w:p>
      <w:pPr>
        <w:pStyle w:val="7"/>
        <w:spacing w:line="360" w:lineRule="auto"/>
        <w:ind w:firstLine="480" w:firstLineChars="200"/>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en-GB"/>
        </w:rPr>
        <w:t>在特殊情况下，采购人可与投标人协商延长投标文件的有效期。</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3.中标人的投标文件自开标之日起至合同履行完毕均应保持有效。</w:t>
      </w:r>
    </w:p>
    <w:p>
      <w:p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（四）投标文件的签署</w:t>
      </w:r>
    </w:p>
    <w:p>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1.投标文件需由法定代表人或经其正式授权的代表签字或盖章。授权代表须出具书面授权证明，其《法定代表人授权书》应附在投标文件中。</w:t>
      </w:r>
    </w:p>
    <w:p>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2.投标文件中所有的插字、涂改和增删，必须由法定代表人或经其正式授权的代表在旁边签字或盖章才有效。</w:t>
      </w:r>
    </w:p>
    <w:p>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color w:val="auto"/>
          <w:sz w:val="24"/>
          <w:highlight w:val="none"/>
        </w:rPr>
      </w:pPr>
      <w:r>
        <w:rPr>
          <w:rFonts w:hint="eastAsia" w:asciiTheme="minorEastAsia" w:hAnsiTheme="minorEastAsia"/>
          <w:b/>
          <w:bCs/>
          <w:color w:val="auto"/>
          <w:sz w:val="24"/>
          <w:highlight w:val="none"/>
        </w:rPr>
        <w:t>（五）</w:t>
      </w:r>
      <w:r>
        <w:rPr>
          <w:rFonts w:hint="eastAsia" w:asciiTheme="minorEastAsia" w:hAnsiTheme="minorEastAsia" w:eastAsiaTheme="minorEastAsia"/>
          <w:b/>
          <w:bCs/>
          <w:color w:val="auto"/>
          <w:sz w:val="24"/>
          <w:highlight w:val="none"/>
        </w:rPr>
        <w:t>投标文件</w:t>
      </w:r>
      <w:r>
        <w:rPr>
          <w:rFonts w:hint="eastAsia" w:asciiTheme="minorEastAsia" w:hAnsiTheme="minorEastAsia"/>
          <w:b/>
          <w:bCs/>
          <w:color w:val="auto"/>
          <w:sz w:val="24"/>
          <w:highlight w:val="none"/>
        </w:rPr>
        <w:t>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ajorEastAsia" w:hAnsiTheme="majorEastAsia" w:eastAsiaTheme="majorEastAsia" w:cstheme="majorEastAsia"/>
          <w:color w:val="auto"/>
          <w:sz w:val="24"/>
          <w:highlight w:val="none"/>
        </w:rPr>
        <w:t>按照前附表要求提交，</w:t>
      </w:r>
      <w:r>
        <w:rPr>
          <w:rFonts w:hint="eastAsia" w:asciiTheme="minorEastAsia" w:hAnsiTheme="minorEastAsia" w:eastAsiaTheme="minorEastAsia"/>
          <w:color w:val="auto"/>
          <w:kern w:val="0"/>
          <w:sz w:val="24"/>
          <w:highlight w:val="none"/>
        </w:rPr>
        <w:t>如采购组织机构延长截止时间和开标时间，采购组织机构和投标人的权利和义务将受到新的截止时间和开标时间的约束。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五、开标</w:t>
      </w:r>
    </w:p>
    <w:p>
      <w:pPr>
        <w:pStyle w:val="13"/>
        <w:snapToGrid w:val="0"/>
        <w:spacing w:before="120" w:after="120" w:line="360" w:lineRule="auto"/>
        <w:ind w:firstLine="482" w:firstLineChars="200"/>
        <w:rPr>
          <w:rFonts w:hAnsi="宋体" w:cs="宋体"/>
          <w:b/>
          <w:bCs/>
          <w:color w:val="auto"/>
          <w:sz w:val="24"/>
          <w:highlight w:val="none"/>
        </w:rPr>
      </w:pPr>
      <w:r>
        <w:rPr>
          <w:rFonts w:hAnsi="宋体" w:cs="宋体"/>
          <w:b/>
          <w:bCs/>
          <w:color w:val="auto"/>
          <w:sz w:val="24"/>
          <w:highlight w:val="none"/>
        </w:rPr>
        <w:t>（一）开标</w:t>
      </w:r>
    </w:p>
    <w:p>
      <w:pPr>
        <w:pStyle w:val="21"/>
        <w:widowControl w:val="0"/>
        <w:snapToGrid w:val="0"/>
        <w:spacing w:before="156" w:beforeLines="50" w:beforeAutospacing="0" w:after="0" w:afterAutospacing="0" w:line="360" w:lineRule="auto"/>
        <w:ind w:firstLine="480" w:firstLineChars="200"/>
        <w:jc w:val="both"/>
        <w:rPr>
          <w:rFonts w:hint="default"/>
          <w:bCs/>
          <w:color w:val="auto"/>
          <w:highlight w:val="none"/>
        </w:rPr>
      </w:pPr>
      <w:r>
        <w:rPr>
          <w:color w:val="auto"/>
          <w:szCs w:val="21"/>
          <w:highlight w:val="none"/>
        </w:rPr>
        <w:t>投标人代表一律不参加现场开标，通过在线直播参与监督开标过程。直播网络地址：</w:t>
      </w:r>
      <w:r>
        <w:rPr>
          <w:color w:val="auto"/>
          <w:highlight w:val="none"/>
        </w:rPr>
        <w:fldChar w:fldCharType="begin"/>
      </w:r>
      <w:r>
        <w:rPr>
          <w:color w:val="auto"/>
          <w:highlight w:val="none"/>
        </w:rPr>
        <w:instrText xml:space="preserve"> HYPERLINK "http://www.tzwztb.com/live/" </w:instrText>
      </w:r>
      <w:r>
        <w:rPr>
          <w:color w:val="auto"/>
          <w:highlight w:val="none"/>
        </w:rPr>
        <w:fldChar w:fldCharType="separate"/>
      </w:r>
      <w:r>
        <w:rPr>
          <w:rStyle w:val="29"/>
          <w:color w:val="auto"/>
          <w:highlight w:val="none"/>
        </w:rPr>
        <w:t>http://www.tzwztb.com/live/</w:t>
      </w:r>
      <w:r>
        <w:rPr>
          <w:rStyle w:val="29"/>
          <w:color w:val="auto"/>
          <w:highlight w:val="none"/>
        </w:rPr>
        <w:fldChar w:fldCharType="end"/>
      </w:r>
      <w:r>
        <w:rPr>
          <w:rFonts w:hint="default"/>
          <w:color w:val="auto"/>
          <w:highlight w:val="none"/>
        </w:rPr>
        <w:t xml:space="preserve"> </w:t>
      </w:r>
      <w:r>
        <w:rPr>
          <w:color w:val="auto"/>
          <w:highlight w:val="none"/>
        </w:rPr>
        <w:t>。</w:t>
      </w:r>
    </w:p>
    <w:p>
      <w:pPr>
        <w:pStyle w:val="13"/>
        <w:snapToGrid w:val="0"/>
        <w:spacing w:before="120" w:after="120" w:line="360" w:lineRule="auto"/>
        <w:ind w:firstLine="482" w:firstLineChars="200"/>
        <w:rPr>
          <w:rFonts w:hAnsi="宋体" w:cs="宋体"/>
          <w:b/>
          <w:bCs/>
          <w:color w:val="auto"/>
          <w:sz w:val="24"/>
          <w:highlight w:val="none"/>
        </w:rPr>
      </w:pPr>
      <w:r>
        <w:rPr>
          <w:rFonts w:hAnsi="宋体" w:cs="宋体"/>
          <w:b/>
          <w:bCs/>
          <w:color w:val="auto"/>
          <w:sz w:val="24"/>
          <w:highlight w:val="none"/>
        </w:rPr>
        <w:t>（二） 开标程序：</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1、开标由采购代理机构工作人员主持</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2、投标人</w:t>
      </w:r>
      <w:r>
        <w:rPr>
          <w:rFonts w:hint="eastAsia" w:ascii="宋体" w:hAnsi="宋体" w:cs="宋体"/>
          <w:color w:val="auto"/>
          <w:sz w:val="24"/>
          <w:highlight w:val="none"/>
        </w:rPr>
        <w:t>可</w:t>
      </w:r>
      <w:r>
        <w:rPr>
          <w:rFonts w:ascii="宋体" w:hAnsi="宋体" w:cs="宋体"/>
          <w:color w:val="auto"/>
          <w:sz w:val="24"/>
          <w:highlight w:val="none"/>
        </w:rPr>
        <w:t>进行在线</w:t>
      </w:r>
      <w:r>
        <w:rPr>
          <w:rFonts w:hint="eastAsia" w:ascii="宋体" w:hAnsi="宋体" w:cs="宋体"/>
          <w:color w:val="auto"/>
          <w:sz w:val="24"/>
          <w:highlight w:val="none"/>
        </w:rPr>
        <w:t>沟通</w:t>
      </w:r>
      <w:r>
        <w:rPr>
          <w:rFonts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3、采购人依法对资格文件进行审查，评标委员会对技术文件进行评审。</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4、技术文件评审完成后，主持人宣告技术文件评审无效投标人名称及理由，公布经技术文件评审符合采购需求的投标人名单以及技术文件得分情况。</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5、开启各投标人</w:t>
      </w:r>
      <w:r>
        <w:rPr>
          <w:rFonts w:hint="eastAsia" w:ascii="宋体" w:hAnsi="宋体" w:cs="宋体"/>
          <w:color w:val="auto"/>
          <w:sz w:val="24"/>
          <w:highlight w:val="none"/>
        </w:rPr>
        <w:t>商务</w:t>
      </w:r>
      <w:r>
        <w:rPr>
          <w:rFonts w:ascii="宋体" w:hAnsi="宋体" w:cs="宋体"/>
          <w:color w:val="auto"/>
          <w:sz w:val="24"/>
          <w:highlight w:val="none"/>
        </w:rPr>
        <w:t>文件。</w:t>
      </w:r>
    </w:p>
    <w:p>
      <w:pPr>
        <w:snapToGri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rPr>
        <w:t>6、当场制作并打印开标记录表，由记录人、监督人当场签字确认。唱标结束后，由评标委员会对报价的合理性、准确性等进行审查核实。</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7、评标结束后，主持人公布投标</w:t>
      </w:r>
      <w:r>
        <w:rPr>
          <w:rFonts w:hint="eastAsia" w:ascii="宋体" w:hAnsi="宋体" w:cs="宋体"/>
          <w:color w:val="auto"/>
          <w:sz w:val="24"/>
          <w:highlight w:val="none"/>
        </w:rPr>
        <w:t>商务</w:t>
      </w:r>
      <w:r>
        <w:rPr>
          <w:rFonts w:ascii="宋体" w:hAnsi="宋体" w:cs="宋体"/>
          <w:color w:val="auto"/>
          <w:sz w:val="24"/>
          <w:highlight w:val="none"/>
        </w:rPr>
        <w:t>得分、综合得分以及推荐中标候选人排序名单。</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8、开标会议结束。</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9、其他注意事项：</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pacing w:line="360" w:lineRule="auto"/>
        <w:ind w:right="-14"/>
        <w:jc w:val="left"/>
        <w:rPr>
          <w:rFonts w:ascii="宋体" w:hAnsi="宋体"/>
          <w:b/>
          <w:color w:val="auto"/>
          <w:sz w:val="24"/>
          <w:highlight w:val="none"/>
        </w:rPr>
      </w:pPr>
      <w:r>
        <w:rPr>
          <w:rFonts w:hint="eastAsia" w:ascii="宋体" w:hAnsi="宋体"/>
          <w:b/>
          <w:color w:val="auto"/>
          <w:sz w:val="24"/>
          <w:highlight w:val="none"/>
        </w:rPr>
        <w:t>重要事项说明：</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（1）开标项目的时间均以国家授时中心发布的时间为准。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（2）若投标人已申请多把CA锁，请注意使用差别。因ca锁使用错误引发的问题，由投标人自己负责。</w:t>
      </w:r>
    </w:p>
    <w:p>
      <w:pPr>
        <w:snapToGrid w:val="0"/>
        <w:spacing w:line="360" w:lineRule="auto"/>
        <w:ind w:firstLine="480" w:firstLineChars="200"/>
        <w:rPr>
          <w:rFonts w:hAnsi="宋体"/>
          <w:bCs/>
          <w:color w:val="auto"/>
          <w:highlight w:val="none"/>
        </w:rPr>
      </w:pPr>
      <w:r>
        <w:rPr>
          <w:rFonts w:hint="eastAsia" w:ascii="宋体" w:hAnsi="宋体" w:cs="宋体"/>
          <w:color w:val="auto"/>
          <w:sz w:val="24"/>
          <w:highlight w:val="none"/>
        </w:rPr>
        <w:t>（3）如有疑问，请咨询平台技术服务电话：蔡先生，13454667697；王女士，13757680207。QQ “台州湾新区小额工程交易平台交流”（群号：435057190），进行业务咨询。此群也作为不见面开标的备用远程交互群。</w:t>
      </w:r>
    </w:p>
    <w:p>
      <w:pPr>
        <w:snapToGrid w:val="0"/>
        <w:spacing w:line="360" w:lineRule="auto"/>
        <w:ind w:firstLine="723" w:firstLineChars="300"/>
        <w:jc w:val="left"/>
        <w:rPr>
          <w:rFonts w:ascii="宋体" w:hAnsi="宋体"/>
          <w:b/>
          <w:color w:val="auto"/>
          <w:kern w:val="0"/>
          <w:sz w:val="24"/>
          <w:highlight w:val="none"/>
        </w:rPr>
      </w:pPr>
      <w:r>
        <w:rPr>
          <w:rFonts w:hint="eastAsia" w:ascii="宋体" w:hAnsi="宋体"/>
          <w:b/>
          <w:color w:val="auto"/>
          <w:kern w:val="0"/>
          <w:sz w:val="24"/>
          <w:highlight w:val="none"/>
        </w:rPr>
        <w:t>（三） 异常情况处理：</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采购过程中出现以下情形，导致电子交易平台无法正常运行，或者无法保证电子交易的公平、公正和安全时，采购组织机构可中止电子交易活动：</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1、电子交易平台发生故障而无法登录访问的；</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2、电子交易平台应用或数据库出现错误，不能进行正常操作的；</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3、电子交易平台发现严重安全漏洞，有潜在泄密危险的；</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4、病毒发作导致不能进行正常操作的；</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5、其他无法保证电子交易的公平、公正和安全的情况。</w:t>
      </w:r>
    </w:p>
    <w:p>
      <w:pPr>
        <w:pStyle w:val="7"/>
        <w:spacing w:line="360" w:lineRule="auto"/>
        <w:ind w:firstLine="480" w:firstLineChars="200"/>
        <w:rPr>
          <w:rFonts w:ascii="宋体" w:hAnsi="宋体"/>
          <w:color w:val="auto"/>
          <w:sz w:val="24"/>
          <w:highlight w:val="none"/>
        </w:rPr>
      </w:pPr>
      <w:r>
        <w:rPr>
          <w:rFonts w:hint="eastAsia" w:ascii="宋体" w:hAnsi="宋体"/>
          <w:color w:val="auto"/>
          <w:sz w:val="24"/>
          <w:highlight w:val="none"/>
        </w:rPr>
        <w:t>出现前款规定情形，不影响采购公平、公正性的，采购组织机构可以待上述情形消除后继续组织电子交易活动。</w:t>
      </w:r>
    </w:p>
    <w:p>
      <w:pPr>
        <w:pStyle w:val="7"/>
        <w:spacing w:line="360" w:lineRule="auto"/>
        <w:ind w:firstLine="723" w:firstLineChars="300"/>
        <w:rPr>
          <w:b/>
          <w:bCs/>
          <w:color w:val="auto"/>
          <w:sz w:val="24"/>
          <w:szCs w:val="22"/>
          <w:highlight w:val="none"/>
        </w:rPr>
      </w:pPr>
      <w:r>
        <w:rPr>
          <w:rFonts w:hint="eastAsia"/>
          <w:b/>
          <w:bCs/>
          <w:color w:val="auto"/>
          <w:sz w:val="24"/>
          <w:szCs w:val="22"/>
          <w:highlight w:val="none"/>
        </w:rPr>
        <w:t>（四）开标异议</w:t>
      </w:r>
    </w:p>
    <w:p>
      <w:pPr>
        <w:pStyle w:val="7"/>
        <w:spacing w:line="360" w:lineRule="auto"/>
        <w:ind w:firstLine="480" w:firstLineChars="200"/>
        <w:rPr>
          <w:color w:val="auto"/>
          <w:sz w:val="24"/>
          <w:szCs w:val="22"/>
          <w:highlight w:val="none"/>
        </w:rPr>
      </w:pPr>
      <w:r>
        <w:rPr>
          <w:rFonts w:hint="eastAsia"/>
          <w:color w:val="auto"/>
          <w:sz w:val="24"/>
          <w:szCs w:val="22"/>
          <w:highlight w:val="none"/>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7"/>
        <w:spacing w:line="360" w:lineRule="auto"/>
        <w:ind w:firstLine="723" w:firstLineChars="300"/>
        <w:rPr>
          <w:color w:val="auto"/>
          <w:sz w:val="24"/>
          <w:szCs w:val="22"/>
          <w:highlight w:val="none"/>
        </w:rPr>
      </w:pPr>
      <w:r>
        <w:rPr>
          <w:rFonts w:hint="eastAsia"/>
          <w:b/>
          <w:bCs/>
          <w:color w:val="auto"/>
          <w:sz w:val="24"/>
          <w:szCs w:val="22"/>
          <w:highlight w:val="none"/>
        </w:rPr>
        <w:t>（五）</w:t>
      </w:r>
      <w:r>
        <w:rPr>
          <w:rFonts w:hint="eastAsia"/>
          <w:color w:val="auto"/>
          <w:sz w:val="24"/>
          <w:szCs w:val="22"/>
          <w:highlight w:val="none"/>
        </w:rPr>
        <w:t>投标人不足三家，不得开标。</w:t>
      </w:r>
    </w:p>
    <w:p>
      <w:pPr>
        <w:pStyle w:val="13"/>
        <w:snapToGrid w:val="0"/>
        <w:spacing w:line="360" w:lineRule="auto"/>
        <w:ind w:firstLine="482" w:firstLineChars="200"/>
        <w:rPr>
          <w:rFonts w:asciiTheme="minorEastAsia" w:hAnsiTheme="minorEastAsia"/>
          <w:b/>
          <w:color w:val="auto"/>
          <w:sz w:val="24"/>
          <w:highlight w:val="none"/>
        </w:rPr>
      </w:pPr>
      <w:r>
        <w:rPr>
          <w:rFonts w:hint="eastAsia" w:asciiTheme="minorEastAsia" w:hAnsiTheme="minorEastAsia" w:eastAsiaTheme="minorEastAsia"/>
          <w:b/>
          <w:color w:val="auto"/>
          <w:sz w:val="24"/>
          <w:highlight w:val="none"/>
        </w:rPr>
        <w:t>五、评标（详见第四章）</w:t>
      </w:r>
    </w:p>
    <w:p>
      <w:pPr>
        <w:pStyle w:val="21"/>
        <w:spacing w:before="0" w:beforeAutospacing="0" w:after="0" w:afterAutospacing="0" w:line="360" w:lineRule="auto"/>
        <w:ind w:firstLine="482" w:firstLineChars="20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六、定标</w:t>
      </w:r>
    </w:p>
    <w:p>
      <w:pPr>
        <w:spacing w:line="360" w:lineRule="auto"/>
        <w:ind w:firstLine="482" w:firstLineChars="200"/>
        <w:rPr>
          <w:rFonts w:ascii="宋体" w:hAnsi="宋体"/>
          <w:b/>
          <w:bCs/>
          <w:color w:val="auto"/>
          <w:kern w:val="0"/>
          <w:sz w:val="24"/>
          <w:highlight w:val="none"/>
        </w:rPr>
      </w:pPr>
      <w:r>
        <w:rPr>
          <w:rFonts w:hint="eastAsia" w:asciiTheme="minorEastAsia" w:hAnsiTheme="minorEastAsia" w:eastAsiaTheme="minorEastAsia"/>
          <w:b/>
          <w:bCs/>
          <w:color w:val="auto"/>
          <w:sz w:val="24"/>
          <w:highlight w:val="none"/>
        </w:rPr>
        <w:t>（一）</w:t>
      </w:r>
      <w:r>
        <w:rPr>
          <w:rFonts w:hint="eastAsia" w:ascii="宋体" w:hAnsi="宋体"/>
          <w:b/>
          <w:bCs/>
          <w:color w:val="auto"/>
          <w:kern w:val="0"/>
          <w:sz w:val="24"/>
          <w:highlight w:val="none"/>
        </w:rPr>
        <w:t>发布</w:t>
      </w:r>
      <w:r>
        <w:rPr>
          <w:b/>
          <w:bCs/>
          <w:color w:val="auto"/>
          <w:sz w:val="24"/>
          <w:highlight w:val="none"/>
        </w:rPr>
        <w:t>中标</w:t>
      </w:r>
      <w:r>
        <w:rPr>
          <w:rFonts w:hint="eastAsia" w:ascii="宋体" w:hAnsi="宋体"/>
          <w:b/>
          <w:bCs/>
          <w:color w:val="auto"/>
          <w:kern w:val="0"/>
          <w:sz w:val="24"/>
          <w:highlight w:val="none"/>
        </w:rPr>
        <w:t>结果公示</w:t>
      </w:r>
    </w:p>
    <w:p>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评标委员会推荐综合得分从高到低排名第一的为第一中标候选人，综合得分从高到低排名第二的为第二中标候选人，如综合得分相同的，则现场抽签确定名次。如有效标不足三家使得投标明显缺乏竞争时，评标委员会可以否决全部报价，经评审后有效标不足三家但并非均高于上限价，评标委员会认为有效报价仍具有竞争性的，开标继续有效。</w:t>
      </w:r>
    </w:p>
    <w:p>
      <w:pPr>
        <w:pStyle w:val="21"/>
        <w:spacing w:before="0" w:beforeAutospacing="0" w:after="0" w:afterAutospacing="0" w:line="360" w:lineRule="auto"/>
        <w:jc w:val="both"/>
        <w:rPr>
          <w:rFonts w:hint="default"/>
          <w:color w:val="auto"/>
          <w:highlight w:val="none"/>
        </w:rPr>
      </w:pPr>
      <w:r>
        <w:rPr>
          <w:color w:val="auto"/>
          <w:highlight w:val="none"/>
        </w:rPr>
        <w:t>采购组织机构自中标候选人确定之日起3个工作日内，在浙江省政府采购网和</w:t>
      </w:r>
      <w:r>
        <w:rPr>
          <w:rFonts w:cs="宋体"/>
          <w:color w:val="auto"/>
          <w:highlight w:val="none"/>
        </w:rPr>
        <w:t>台州湾新区小额工程电子交易平台</w:t>
      </w:r>
      <w:r>
        <w:rPr>
          <w:color w:val="auto"/>
          <w:highlight w:val="none"/>
        </w:rPr>
        <w:t>公告中标结果，中标结果公示期为3日。</w:t>
      </w:r>
    </w:p>
    <w:p>
      <w:pPr>
        <w:pStyle w:val="21"/>
        <w:spacing w:before="0" w:beforeAutospacing="0" w:after="0" w:afterAutospacing="0" w:line="360" w:lineRule="auto"/>
        <w:ind w:firstLine="482" w:firstLineChars="200"/>
        <w:jc w:val="both"/>
        <w:rPr>
          <w:rFonts w:hint="default"/>
          <w:b/>
          <w:bCs/>
          <w:color w:val="auto"/>
          <w:highlight w:val="none"/>
        </w:rPr>
      </w:pPr>
      <w:r>
        <w:rPr>
          <w:rFonts w:asciiTheme="minorEastAsia" w:hAnsiTheme="minorEastAsia" w:eastAsiaTheme="minorEastAsia"/>
          <w:b/>
          <w:bCs/>
          <w:color w:val="auto"/>
          <w:highlight w:val="none"/>
        </w:rPr>
        <w:t>（二）</w:t>
      </w:r>
      <w:r>
        <w:rPr>
          <w:b/>
          <w:bCs/>
          <w:color w:val="auto"/>
          <w:highlight w:val="none"/>
        </w:rPr>
        <w:t>确定中标人</w:t>
      </w:r>
    </w:p>
    <w:p>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本项目确定一名中标人，公示期满后，采购人应确定本项目第一中标候选人为本项目中标人。</w:t>
      </w:r>
    </w:p>
    <w:p>
      <w:pPr>
        <w:pStyle w:val="10"/>
        <w:numPr>
          <w:ilvl w:val="0"/>
          <w:numId w:val="8"/>
        </w:numPr>
        <w:spacing w:line="360" w:lineRule="auto"/>
        <w:ind w:firstLine="482" w:firstLineChars="200"/>
        <w:jc w:val="both"/>
        <w:rPr>
          <w:b/>
          <w:bCs/>
          <w:color w:val="auto"/>
          <w:sz w:val="24"/>
          <w:highlight w:val="none"/>
        </w:rPr>
      </w:pPr>
      <w:r>
        <w:rPr>
          <w:rFonts w:hint="eastAsia"/>
          <w:b/>
          <w:bCs/>
          <w:color w:val="auto"/>
          <w:sz w:val="24"/>
          <w:highlight w:val="none"/>
        </w:rPr>
        <w:t>发放中标通知书</w:t>
      </w:r>
    </w:p>
    <w:p>
      <w:pPr>
        <w:pStyle w:val="2"/>
        <w:tabs>
          <w:tab w:val="left" w:pos="574"/>
        </w:tabs>
        <w:spacing w:line="400" w:lineRule="exact"/>
        <w:ind w:firstLine="480" w:firstLineChars="200"/>
        <w:rPr>
          <w:color w:val="auto"/>
          <w:highlight w:val="none"/>
        </w:rPr>
      </w:pPr>
      <w:r>
        <w:rPr>
          <w:rFonts w:hint="eastAsia"/>
          <w:color w:val="auto"/>
          <w:szCs w:val="32"/>
          <w:highlight w:val="none"/>
        </w:rPr>
        <w:t>采购人应当确定第一中标候选人为中标人。如涉及第二中标候选人和其他投标人资格无效的，评标结果不作调整。</w:t>
      </w:r>
    </w:p>
    <w:p>
      <w:pPr>
        <w:pStyle w:val="2"/>
        <w:tabs>
          <w:tab w:val="left" w:pos="574"/>
        </w:tabs>
        <w:spacing w:line="400" w:lineRule="exact"/>
        <w:ind w:firstLine="480" w:firstLineChars="200"/>
        <w:rPr>
          <w:color w:val="auto"/>
          <w:highlight w:val="none"/>
        </w:rPr>
      </w:pPr>
      <w:r>
        <w:rPr>
          <w:rFonts w:hint="eastAsia"/>
          <w:color w:val="auto"/>
          <w:szCs w:val="32"/>
          <w:highlight w:val="none"/>
        </w:rPr>
        <w:t>第一中标候选人放弃中标，或者因不可抗力提出不能履行合同，或者因违反规定造成其资格无效的，招标人可以确定第二中标候选人为中标人。如涉及其他投标人资格无效的，评标结果不作调整。如第二中标候选人存在上述同样情形的，本次招标失败，重新组织招标。</w:t>
      </w:r>
    </w:p>
    <w:p>
      <w:pPr>
        <w:pStyle w:val="2"/>
        <w:tabs>
          <w:tab w:val="left" w:pos="574"/>
        </w:tabs>
        <w:spacing w:line="400" w:lineRule="exact"/>
        <w:ind w:firstLine="480" w:firstLineChars="200"/>
        <w:rPr>
          <w:color w:val="auto"/>
          <w:highlight w:val="none"/>
        </w:rPr>
      </w:pPr>
      <w:r>
        <w:rPr>
          <w:rFonts w:hint="eastAsia"/>
          <w:color w:val="auto"/>
          <w:szCs w:val="32"/>
          <w:highlight w:val="none"/>
        </w:rPr>
        <w:t>中标人确定后，采购人应当向中标人发出《中标通知书》。</w:t>
      </w:r>
    </w:p>
    <w:p>
      <w:pPr>
        <w:pStyle w:val="2"/>
        <w:tabs>
          <w:tab w:val="left" w:pos="574"/>
        </w:tabs>
        <w:spacing w:line="400" w:lineRule="exact"/>
        <w:ind w:firstLine="480" w:firstLineChars="200"/>
        <w:rPr>
          <w:color w:val="auto"/>
          <w:szCs w:val="32"/>
          <w:highlight w:val="none"/>
        </w:rPr>
      </w:pPr>
      <w:r>
        <w:rPr>
          <w:rFonts w:hint="eastAsia"/>
          <w:color w:val="auto"/>
          <w:szCs w:val="32"/>
          <w:highlight w:val="none"/>
        </w:rPr>
        <w:t>采购人在发出《中标通知书》的同时，应当将中标结果在交易场所（发布招标公告的媒体上）通知所有未中标的投标人。</w:t>
      </w:r>
    </w:p>
    <w:p>
      <w:pPr>
        <w:pStyle w:val="2"/>
        <w:tabs>
          <w:tab w:val="left" w:pos="574"/>
        </w:tabs>
        <w:spacing w:line="400" w:lineRule="exact"/>
        <w:ind w:firstLine="480" w:firstLineChars="200"/>
        <w:rPr>
          <w:color w:val="auto"/>
          <w:szCs w:val="32"/>
          <w:highlight w:val="none"/>
        </w:rPr>
      </w:pPr>
      <w:r>
        <w:rPr>
          <w:rFonts w:hint="eastAsia"/>
          <w:color w:val="auto"/>
          <w:szCs w:val="32"/>
          <w:highlight w:val="none"/>
        </w:rPr>
        <w:t>《中标通知书》对采购人和中标人具有法律约束力。《中标通知书》发出后，如中标人因违反法律法规规定而中标无效的，应承担相应的法律责任，本次招标失败，应重新组织招标。</w:t>
      </w:r>
    </w:p>
    <w:p>
      <w:pPr>
        <w:spacing w:line="360" w:lineRule="auto"/>
        <w:ind w:firstLine="482" w:firstLineChars="200"/>
        <w:rPr>
          <w:rFonts w:ascii="宋体" w:hAnsi="宋体"/>
          <w:color w:val="auto"/>
          <w:kern w:val="0"/>
          <w:sz w:val="24"/>
          <w:highlight w:val="none"/>
        </w:rPr>
      </w:pP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w:t>
      </w:r>
      <w:r>
        <w:rPr>
          <w:rFonts w:hint="eastAsia" w:ascii="宋体" w:hAnsi="宋体"/>
          <w:b/>
          <w:color w:val="auto"/>
          <w:kern w:val="0"/>
          <w:sz w:val="24"/>
          <w:highlight w:val="none"/>
        </w:rPr>
        <w:t>合同签订</w:t>
      </w:r>
    </w:p>
    <w:p>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1.采购人应当自中标通知书发出之日起30日内，按照招标文件和中标人投标文件内容要求，与中标人签订合同。所签订的合同不得对招标文件确定的事项和中标人投标文件作实质性修改。</w:t>
      </w:r>
    </w:p>
    <w:p>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2.采购人不得向中标人提出任何不合理的要求作为签订合同的条件。</w:t>
      </w:r>
    </w:p>
    <w:p>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3.中标人无故拖延、拒签合同的，将取消中标资格。</w:t>
      </w:r>
    </w:p>
    <w:p>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5.询问或者质疑事项可能影响中标结果的，采购人应当暂停签订合同，已经签订合同的，应当中止履行合同。</w:t>
      </w:r>
    </w:p>
    <w:p>
      <w:pPr>
        <w:pStyle w:val="10"/>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八、询问、质疑与投诉</w:t>
      </w:r>
    </w:p>
    <w:p>
      <w:pPr>
        <w:pStyle w:val="10"/>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（一）询问</w:t>
      </w:r>
    </w:p>
    <w:p>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10"/>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（二）质疑</w:t>
      </w:r>
    </w:p>
    <w:p>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1.报名本项目的投标人认为招标文件、采购过程和中标结果使自己的权益受到损害的，通过书面形式一次性向采购人或采购组织机构提出质疑：</w:t>
      </w:r>
    </w:p>
    <w:p>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（1）投标人认为招标文件的内容损害其权益的，应当自获取之日起（获取截止日之后收到招标文件的，以获取截止日为准）7个工作日内提出质疑；</w:t>
      </w:r>
    </w:p>
    <w:p>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（2）投标人对采购过程提出质疑的，应当在各采购程序环节结束之日起7个工作日内提出质疑；</w:t>
      </w:r>
    </w:p>
    <w:p>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（3）投标人对中标结果提出质疑的，应当在中标结果公告期限届满之日起7个工作日内提出质疑。</w:t>
      </w:r>
    </w:p>
    <w:p>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2.采购人或采购组织机构在收到投标人的书面质疑后7个工作日内作出答复，并以书面形式回复质疑投标人和其他有关投标人，但答复内容不涉及商业秘密。</w:t>
      </w:r>
    </w:p>
    <w:p>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0"/>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（三）投诉</w:t>
      </w:r>
    </w:p>
    <w:p>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投标人对采购人或采购组织机构的质疑答复不满意或在规定时间内未得到答复的，可以在答复期满后15个工作日内，向同级政府采购监督管理机构投诉。</w:t>
      </w:r>
    </w:p>
    <w:p>
      <w:pPr>
        <w:pStyle w:val="10"/>
        <w:spacing w:line="360" w:lineRule="auto"/>
        <w:ind w:firstLine="480" w:firstLineChars="200"/>
        <w:jc w:val="both"/>
        <w:rPr>
          <w:rFonts w:asciiTheme="minorEastAsia" w:hAnsiTheme="minorEastAsia" w:eastAsiaTheme="minorEastAsia"/>
          <w:b/>
          <w:color w:val="auto"/>
          <w:sz w:val="36"/>
          <w:szCs w:val="36"/>
          <w:highlight w:val="none"/>
        </w:rPr>
      </w:pPr>
      <w:r>
        <w:rPr>
          <w:rFonts w:hint="eastAsia" w:ascii="宋体" w:hAnsi="宋体"/>
          <w:color w:val="auto"/>
          <w:sz w:val="24"/>
          <w:highlight w:val="none"/>
        </w:rPr>
        <w:br w:type="page"/>
      </w:r>
    </w:p>
    <w:p>
      <w:pPr>
        <w:numPr>
          <w:ilvl w:val="0"/>
          <w:numId w:val="6"/>
        </w:numPr>
        <w:spacing w:line="360" w:lineRule="auto"/>
        <w:jc w:val="center"/>
        <w:rPr>
          <w:rFonts w:asciiTheme="minorEastAsia" w:hAnsiTheme="minorEastAsia" w:eastAsiaTheme="minorEastAsia"/>
          <w:b/>
          <w:color w:val="auto"/>
          <w:sz w:val="36"/>
          <w:szCs w:val="36"/>
          <w:highlight w:val="none"/>
        </w:rPr>
      </w:pPr>
      <w:bookmarkStart w:id="36" w:name="_Toc13072_WPSOffice_Level1"/>
      <w:r>
        <w:rPr>
          <w:rFonts w:hint="eastAsia" w:asciiTheme="minorEastAsia" w:hAnsiTheme="minorEastAsia" w:eastAsiaTheme="minorEastAsia"/>
          <w:b/>
          <w:color w:val="auto"/>
          <w:sz w:val="36"/>
          <w:szCs w:val="36"/>
          <w:highlight w:val="none"/>
        </w:rPr>
        <w:t>招标需求</w:t>
      </w:r>
      <w:bookmarkEnd w:id="36"/>
    </w:p>
    <w:p>
      <w:pPr>
        <w:pStyle w:val="5"/>
        <w:snapToGrid w:val="0"/>
        <w:spacing w:line="500" w:lineRule="exact"/>
        <w:rPr>
          <w:color w:val="auto"/>
          <w:kern w:val="0"/>
          <w:sz w:val="24"/>
          <w:szCs w:val="24"/>
          <w:highlight w:val="none"/>
        </w:rPr>
      </w:pPr>
      <w:bookmarkStart w:id="37" w:name="_Toc26877625"/>
      <w:r>
        <w:rPr>
          <w:rFonts w:hint="eastAsia"/>
          <w:color w:val="auto"/>
          <w:kern w:val="0"/>
          <w:sz w:val="24"/>
          <w:szCs w:val="24"/>
          <w:highlight w:val="none"/>
        </w:rPr>
        <w:t>一、项目名称</w:t>
      </w:r>
      <w:bookmarkEnd w:id="37"/>
    </w:p>
    <w:p>
      <w:pPr>
        <w:spacing w:line="5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台州循环经济发展有限公司及其下属子公司补充医疗保险服务采购项目</w:t>
      </w:r>
    </w:p>
    <w:p>
      <w:pPr>
        <w:pStyle w:val="5"/>
        <w:snapToGrid w:val="0"/>
        <w:spacing w:line="500" w:lineRule="exact"/>
        <w:rPr>
          <w:color w:val="auto"/>
          <w:kern w:val="0"/>
          <w:sz w:val="24"/>
          <w:szCs w:val="24"/>
          <w:highlight w:val="none"/>
        </w:rPr>
      </w:pPr>
      <w:bookmarkStart w:id="38" w:name="_Toc26877626"/>
      <w:r>
        <w:rPr>
          <w:rFonts w:hint="eastAsia"/>
          <w:color w:val="auto"/>
          <w:kern w:val="0"/>
          <w:sz w:val="24"/>
          <w:szCs w:val="24"/>
          <w:highlight w:val="none"/>
        </w:rPr>
        <w:t>二、项目基本情况</w:t>
      </w:r>
      <w:bookmarkEnd w:id="38"/>
    </w:p>
    <w:p>
      <w:pPr>
        <w:pStyle w:val="2"/>
        <w:spacing w:line="500" w:lineRule="exact"/>
        <w:ind w:firstLine="480" w:firstLineChars="200"/>
        <w:rPr>
          <w:rFonts w:ascii="宋体" w:hAnsi="宋体"/>
          <w:color w:val="auto"/>
          <w:kern w:val="0"/>
          <w:highlight w:val="none"/>
        </w:rPr>
      </w:pPr>
      <w:r>
        <w:rPr>
          <w:rFonts w:hint="eastAsia" w:ascii="宋体" w:hAnsi="宋体"/>
          <w:color w:val="auto"/>
          <w:kern w:val="0"/>
          <w:highlight w:val="none"/>
        </w:rPr>
        <w:t>（一）项目内容</w:t>
      </w:r>
    </w:p>
    <w:p>
      <w:pPr>
        <w:pStyle w:val="2"/>
        <w:spacing w:line="500" w:lineRule="exact"/>
        <w:ind w:firstLine="480" w:firstLineChars="200"/>
        <w:rPr>
          <w:rFonts w:ascii="宋体" w:hAnsi="宋体"/>
          <w:color w:val="auto"/>
          <w:kern w:val="0"/>
          <w:highlight w:val="none"/>
        </w:rPr>
      </w:pPr>
      <w:r>
        <w:rPr>
          <w:rFonts w:hint="eastAsia" w:ascii="宋体" w:hAnsi="宋体"/>
          <w:color w:val="auto"/>
          <w:kern w:val="0"/>
          <w:highlight w:val="none"/>
        </w:rPr>
        <w:t>台州循环经济发展有限公司及其下属子公司补充医疗保险服务采购项目，含一年期消费型补充医疗保险、企业委托管理型医疗保险基金。</w:t>
      </w:r>
    </w:p>
    <w:p>
      <w:pPr>
        <w:pStyle w:val="2"/>
        <w:spacing w:line="500" w:lineRule="exact"/>
        <w:ind w:firstLine="480" w:firstLineChars="200"/>
        <w:rPr>
          <w:rFonts w:ascii="宋体" w:hAnsi="宋体"/>
          <w:color w:val="auto"/>
          <w:kern w:val="0"/>
          <w:highlight w:val="none"/>
        </w:rPr>
      </w:pPr>
      <w:r>
        <w:rPr>
          <w:rFonts w:hint="eastAsia" w:ascii="宋体" w:hAnsi="宋体"/>
          <w:color w:val="auto"/>
          <w:kern w:val="0"/>
          <w:highlight w:val="none"/>
        </w:rPr>
        <w:t>（二）保障对象</w:t>
      </w:r>
    </w:p>
    <w:p>
      <w:pPr>
        <w:pStyle w:val="2"/>
        <w:spacing w:line="500" w:lineRule="exact"/>
        <w:ind w:firstLine="480" w:firstLineChars="200"/>
        <w:rPr>
          <w:rFonts w:ascii="宋体" w:hAnsi="宋体"/>
          <w:color w:val="auto"/>
          <w:kern w:val="0"/>
          <w:highlight w:val="none"/>
        </w:rPr>
      </w:pPr>
      <w:r>
        <w:rPr>
          <w:rFonts w:hint="eastAsia" w:ascii="宋体" w:hAnsi="宋体"/>
          <w:color w:val="auto"/>
          <w:kern w:val="0"/>
          <w:highlight w:val="none"/>
        </w:rPr>
        <w:t>保障对象为公司正式在岗人员及退休人员（退休人员参保根据国有企业退休人员社会化管理有关政策执行）。</w:t>
      </w:r>
    </w:p>
    <w:p>
      <w:pPr>
        <w:pStyle w:val="2"/>
        <w:spacing w:line="500" w:lineRule="exact"/>
        <w:ind w:firstLine="480" w:firstLineChars="200"/>
        <w:rPr>
          <w:rFonts w:ascii="宋体" w:hAnsi="宋体"/>
          <w:color w:val="auto"/>
          <w:kern w:val="0"/>
          <w:highlight w:val="none"/>
        </w:rPr>
      </w:pPr>
      <w:r>
        <w:rPr>
          <w:rFonts w:hint="eastAsia" w:ascii="宋体" w:hAnsi="宋体"/>
          <w:color w:val="auto"/>
          <w:kern w:val="0"/>
          <w:highlight w:val="none"/>
        </w:rPr>
        <w:t>（三）保险责任根据2023年公司职代会通过的补充医疗保障方案（见四、项目要求第2</w:t>
      </w:r>
      <w:r>
        <w:rPr>
          <w:rFonts w:ascii="宋体" w:hAnsi="宋体"/>
          <w:color w:val="auto"/>
          <w:kern w:val="0"/>
          <w:highlight w:val="none"/>
        </w:rPr>
        <w:t>.1</w:t>
      </w:r>
      <w:r>
        <w:rPr>
          <w:rFonts w:hint="eastAsia" w:ascii="宋体" w:hAnsi="宋体"/>
          <w:color w:val="auto"/>
          <w:kern w:val="0"/>
          <w:highlight w:val="none"/>
        </w:rPr>
        <w:t>）。</w:t>
      </w:r>
    </w:p>
    <w:p>
      <w:pPr>
        <w:pStyle w:val="2"/>
        <w:spacing w:line="500" w:lineRule="exact"/>
        <w:ind w:firstLine="480" w:firstLineChars="200"/>
        <w:rPr>
          <w:rFonts w:ascii="宋体" w:hAnsi="宋体"/>
          <w:color w:val="auto"/>
          <w:kern w:val="0"/>
          <w:highlight w:val="none"/>
        </w:rPr>
      </w:pPr>
      <w:r>
        <w:rPr>
          <w:rFonts w:hint="eastAsia" w:ascii="宋体" w:hAnsi="宋体"/>
          <w:color w:val="auto"/>
          <w:kern w:val="0"/>
          <w:highlight w:val="none"/>
        </w:rPr>
        <w:t>（四）人数：纳入保障对象的人员147人（暂定）（参保人数以项目实施当期的实际数据为准）。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4012"/>
        <w:gridCol w:w="1852"/>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600" w:type="dxa"/>
            <w:gridSpan w:val="2"/>
            <w:vAlign w:val="center"/>
          </w:tcPr>
          <w:p>
            <w:pPr>
              <w:jc w:val="center"/>
              <w:rPr>
                <w:rFonts w:ascii="宋体" w:hAnsi="宋体"/>
                <w:color w:val="auto"/>
                <w:kern w:val="0"/>
                <w:sz w:val="24"/>
                <w:highlight w:val="none"/>
              </w:rPr>
            </w:pPr>
            <w:bookmarkStart w:id="39" w:name="_Toc26877627"/>
            <w:r>
              <w:rPr>
                <w:rFonts w:hint="eastAsia" w:ascii="宋体" w:hAnsi="宋体"/>
                <w:color w:val="auto"/>
                <w:kern w:val="0"/>
                <w:sz w:val="24"/>
                <w:highlight w:val="none"/>
              </w:rPr>
              <w:t>方案类型（对应“四、项目要求”第2</w:t>
            </w:r>
            <w:r>
              <w:rPr>
                <w:rFonts w:ascii="宋体" w:hAnsi="宋体"/>
                <w:color w:val="auto"/>
                <w:kern w:val="0"/>
                <w:sz w:val="24"/>
                <w:highlight w:val="none"/>
              </w:rPr>
              <w:t>.1保障方案</w:t>
            </w:r>
            <w:r>
              <w:rPr>
                <w:rFonts w:hint="eastAsia" w:ascii="宋体" w:hAnsi="宋体"/>
                <w:color w:val="auto"/>
                <w:kern w:val="0"/>
                <w:sz w:val="24"/>
                <w:highlight w:val="none"/>
              </w:rPr>
              <w:t>）</w:t>
            </w:r>
          </w:p>
        </w:tc>
        <w:tc>
          <w:tcPr>
            <w:tcW w:w="1852" w:type="dxa"/>
          </w:tcPr>
          <w:p>
            <w:pPr>
              <w:jc w:val="center"/>
              <w:rPr>
                <w:rFonts w:ascii="宋体" w:hAnsi="宋体"/>
                <w:color w:val="auto"/>
                <w:kern w:val="0"/>
                <w:sz w:val="24"/>
                <w:highlight w:val="none"/>
              </w:rPr>
            </w:pPr>
            <w:r>
              <w:rPr>
                <w:rFonts w:hint="eastAsia" w:ascii="宋体" w:hAnsi="宋体"/>
                <w:color w:val="auto"/>
                <w:kern w:val="0"/>
                <w:sz w:val="24"/>
                <w:highlight w:val="none"/>
              </w:rPr>
              <w:t>平均年龄</w:t>
            </w:r>
          </w:p>
        </w:tc>
        <w:tc>
          <w:tcPr>
            <w:tcW w:w="1948" w:type="dxa"/>
            <w:vAlign w:val="center"/>
          </w:tcPr>
          <w:p>
            <w:pPr>
              <w:jc w:val="center"/>
              <w:rPr>
                <w:rFonts w:ascii="宋体" w:hAnsi="宋体"/>
                <w:color w:val="auto"/>
                <w:kern w:val="0"/>
                <w:sz w:val="24"/>
                <w:highlight w:val="none"/>
              </w:rPr>
            </w:pPr>
            <w:r>
              <w:rPr>
                <w:rFonts w:hint="eastAsia" w:ascii="宋体" w:hAnsi="宋体"/>
                <w:color w:val="auto"/>
                <w:kern w:val="0"/>
                <w:sz w:val="24"/>
                <w:highlight w:val="none"/>
              </w:rPr>
              <w:t>当前人数（暂定）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588" w:type="dxa"/>
            <w:vMerge w:val="restart"/>
            <w:vAlign w:val="center"/>
          </w:tcPr>
          <w:p>
            <w:pPr>
              <w:jc w:val="center"/>
              <w:rPr>
                <w:rFonts w:ascii="宋体" w:hAnsi="宋体"/>
                <w:color w:val="auto"/>
                <w:kern w:val="0"/>
                <w:sz w:val="24"/>
                <w:highlight w:val="none"/>
              </w:rPr>
            </w:pPr>
            <w:r>
              <w:rPr>
                <w:rFonts w:hint="eastAsia" w:ascii="宋体" w:hAnsi="宋体"/>
                <w:color w:val="auto"/>
                <w:kern w:val="0"/>
                <w:sz w:val="24"/>
                <w:highlight w:val="none"/>
              </w:rPr>
              <w:t>在职员工</w:t>
            </w:r>
          </w:p>
        </w:tc>
        <w:tc>
          <w:tcPr>
            <w:tcW w:w="4012" w:type="dxa"/>
            <w:vAlign w:val="center"/>
          </w:tcPr>
          <w:p>
            <w:pPr>
              <w:jc w:val="center"/>
              <w:rPr>
                <w:rFonts w:ascii="宋体" w:hAnsi="宋体"/>
                <w:color w:val="auto"/>
                <w:kern w:val="0"/>
                <w:sz w:val="24"/>
                <w:highlight w:val="none"/>
              </w:rPr>
            </w:pPr>
            <w:r>
              <w:rPr>
                <w:rFonts w:hint="eastAsia" w:ascii="宋体" w:hAnsi="宋体"/>
                <w:color w:val="auto"/>
                <w:kern w:val="0"/>
                <w:sz w:val="24"/>
                <w:highlight w:val="none"/>
              </w:rPr>
              <w:t>层级一</w:t>
            </w:r>
          </w:p>
        </w:tc>
        <w:tc>
          <w:tcPr>
            <w:tcW w:w="1852" w:type="dxa"/>
          </w:tcPr>
          <w:p>
            <w:pPr>
              <w:snapToGrid w:val="0"/>
              <w:spacing w:before="50" w:after="50"/>
              <w:jc w:val="center"/>
              <w:rPr>
                <w:rFonts w:ascii="宋体" w:hAnsi="宋体"/>
                <w:color w:val="auto"/>
                <w:kern w:val="0"/>
                <w:sz w:val="24"/>
                <w:highlight w:val="none"/>
              </w:rPr>
            </w:pPr>
            <w:r>
              <w:rPr>
                <w:rFonts w:hint="eastAsia" w:ascii="宋体" w:hAnsi="宋体"/>
                <w:color w:val="auto"/>
                <w:kern w:val="0"/>
                <w:sz w:val="24"/>
                <w:highlight w:val="none"/>
              </w:rPr>
              <w:t>51</w:t>
            </w:r>
          </w:p>
        </w:tc>
        <w:tc>
          <w:tcPr>
            <w:tcW w:w="1948" w:type="dxa"/>
            <w:vAlign w:val="center"/>
          </w:tcPr>
          <w:p>
            <w:pPr>
              <w:snapToGrid w:val="0"/>
              <w:spacing w:before="50" w:after="50"/>
              <w:jc w:val="center"/>
              <w:rPr>
                <w:rFonts w:ascii="宋体" w:hAnsi="宋体"/>
                <w:color w:val="auto"/>
                <w:kern w:val="0"/>
                <w:sz w:val="24"/>
                <w:highlight w:val="none"/>
              </w:rPr>
            </w:pPr>
            <w:r>
              <w:rPr>
                <w:rFonts w:hint="eastAsia" w:ascii="宋体" w:hAnsi="宋体"/>
                <w:color w:val="auto"/>
                <w:kern w:val="0"/>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588" w:type="dxa"/>
            <w:vMerge w:val="continue"/>
            <w:vAlign w:val="center"/>
          </w:tcPr>
          <w:p>
            <w:pPr>
              <w:jc w:val="center"/>
              <w:rPr>
                <w:rFonts w:ascii="宋体" w:hAnsi="宋体"/>
                <w:color w:val="auto"/>
                <w:kern w:val="0"/>
                <w:sz w:val="24"/>
                <w:highlight w:val="none"/>
              </w:rPr>
            </w:pPr>
          </w:p>
        </w:tc>
        <w:tc>
          <w:tcPr>
            <w:tcW w:w="4012" w:type="dxa"/>
            <w:vAlign w:val="center"/>
          </w:tcPr>
          <w:p>
            <w:pPr>
              <w:jc w:val="center"/>
              <w:rPr>
                <w:rFonts w:ascii="宋体" w:hAnsi="宋体"/>
                <w:color w:val="auto"/>
                <w:kern w:val="0"/>
                <w:sz w:val="24"/>
                <w:highlight w:val="none"/>
              </w:rPr>
            </w:pPr>
            <w:r>
              <w:rPr>
                <w:rFonts w:hint="eastAsia" w:ascii="宋体" w:hAnsi="宋体"/>
                <w:color w:val="auto"/>
                <w:kern w:val="0"/>
                <w:sz w:val="24"/>
                <w:highlight w:val="none"/>
              </w:rPr>
              <w:t>层级二</w:t>
            </w:r>
          </w:p>
        </w:tc>
        <w:tc>
          <w:tcPr>
            <w:tcW w:w="1852" w:type="dxa"/>
          </w:tcPr>
          <w:p>
            <w:pPr>
              <w:snapToGrid w:val="0"/>
              <w:spacing w:before="50" w:after="50"/>
              <w:jc w:val="center"/>
              <w:rPr>
                <w:rFonts w:ascii="宋体" w:hAnsi="宋体"/>
                <w:color w:val="auto"/>
                <w:kern w:val="0"/>
                <w:sz w:val="24"/>
                <w:highlight w:val="none"/>
              </w:rPr>
            </w:pPr>
            <w:r>
              <w:rPr>
                <w:rFonts w:hint="eastAsia" w:ascii="宋体" w:hAnsi="宋体"/>
                <w:color w:val="auto"/>
                <w:kern w:val="0"/>
                <w:sz w:val="24"/>
                <w:highlight w:val="none"/>
              </w:rPr>
              <w:t>41</w:t>
            </w:r>
          </w:p>
        </w:tc>
        <w:tc>
          <w:tcPr>
            <w:tcW w:w="1948" w:type="dxa"/>
            <w:vAlign w:val="center"/>
          </w:tcPr>
          <w:p>
            <w:pPr>
              <w:snapToGrid w:val="0"/>
              <w:spacing w:before="50" w:after="50"/>
              <w:jc w:val="center"/>
              <w:rPr>
                <w:rFonts w:ascii="宋体" w:hAnsi="宋体"/>
                <w:color w:val="auto"/>
                <w:kern w:val="0"/>
                <w:sz w:val="24"/>
                <w:highlight w:val="none"/>
              </w:rPr>
            </w:pPr>
            <w:r>
              <w:rPr>
                <w:rFonts w:hint="eastAsia" w:ascii="宋体" w:hAnsi="宋体"/>
                <w:color w:val="auto"/>
                <w:kern w:val="0"/>
                <w:sz w:val="24"/>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588" w:type="dxa"/>
            <w:vMerge w:val="continue"/>
            <w:vAlign w:val="center"/>
          </w:tcPr>
          <w:p>
            <w:pPr>
              <w:jc w:val="center"/>
              <w:rPr>
                <w:rFonts w:ascii="宋体" w:hAnsi="宋体"/>
                <w:color w:val="auto"/>
                <w:kern w:val="0"/>
                <w:sz w:val="24"/>
                <w:highlight w:val="none"/>
              </w:rPr>
            </w:pPr>
          </w:p>
        </w:tc>
        <w:tc>
          <w:tcPr>
            <w:tcW w:w="4012" w:type="dxa"/>
            <w:vAlign w:val="center"/>
          </w:tcPr>
          <w:p>
            <w:pPr>
              <w:jc w:val="center"/>
              <w:rPr>
                <w:rFonts w:ascii="宋体" w:hAnsi="宋体"/>
                <w:color w:val="auto"/>
                <w:kern w:val="0"/>
                <w:sz w:val="24"/>
                <w:highlight w:val="none"/>
              </w:rPr>
            </w:pPr>
            <w:r>
              <w:rPr>
                <w:rFonts w:hint="eastAsia" w:ascii="宋体" w:hAnsi="宋体"/>
                <w:color w:val="auto"/>
                <w:kern w:val="0"/>
                <w:sz w:val="24"/>
                <w:highlight w:val="none"/>
              </w:rPr>
              <w:t>层级三</w:t>
            </w:r>
          </w:p>
        </w:tc>
        <w:tc>
          <w:tcPr>
            <w:tcW w:w="1852" w:type="dxa"/>
          </w:tcPr>
          <w:p>
            <w:pPr>
              <w:snapToGrid w:val="0"/>
              <w:spacing w:before="50" w:after="50"/>
              <w:jc w:val="center"/>
              <w:rPr>
                <w:rFonts w:ascii="宋体" w:hAnsi="宋体"/>
                <w:color w:val="auto"/>
                <w:kern w:val="0"/>
                <w:sz w:val="24"/>
                <w:highlight w:val="none"/>
              </w:rPr>
            </w:pPr>
            <w:r>
              <w:rPr>
                <w:rFonts w:hint="eastAsia" w:ascii="宋体" w:hAnsi="宋体"/>
                <w:color w:val="auto"/>
                <w:kern w:val="0"/>
                <w:sz w:val="24"/>
                <w:highlight w:val="none"/>
              </w:rPr>
              <w:t>25</w:t>
            </w:r>
          </w:p>
        </w:tc>
        <w:tc>
          <w:tcPr>
            <w:tcW w:w="1948" w:type="dxa"/>
            <w:vAlign w:val="center"/>
          </w:tcPr>
          <w:p>
            <w:pPr>
              <w:snapToGrid w:val="0"/>
              <w:spacing w:before="50" w:after="50"/>
              <w:jc w:val="center"/>
              <w:rPr>
                <w:rFonts w:ascii="宋体" w:hAnsi="宋体"/>
                <w:color w:val="auto"/>
                <w:kern w:val="0"/>
                <w:sz w:val="24"/>
                <w:highlight w:val="none"/>
              </w:rPr>
            </w:pPr>
            <w:r>
              <w:rPr>
                <w:rFonts w:hint="eastAsia" w:ascii="宋体" w:hAnsi="宋体"/>
                <w:color w:val="auto"/>
                <w:kern w:val="0"/>
                <w:sz w:val="24"/>
                <w:highlight w:val="none"/>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588" w:type="dxa"/>
            <w:vAlign w:val="center"/>
          </w:tcPr>
          <w:p>
            <w:pPr>
              <w:jc w:val="center"/>
              <w:rPr>
                <w:rFonts w:ascii="宋体" w:hAnsi="宋体"/>
                <w:color w:val="auto"/>
                <w:kern w:val="0"/>
                <w:sz w:val="24"/>
                <w:highlight w:val="none"/>
              </w:rPr>
            </w:pPr>
            <w:r>
              <w:rPr>
                <w:rFonts w:hint="eastAsia" w:ascii="宋体" w:hAnsi="宋体"/>
                <w:color w:val="auto"/>
                <w:kern w:val="0"/>
                <w:sz w:val="24"/>
                <w:highlight w:val="none"/>
              </w:rPr>
              <w:t>退休员工</w:t>
            </w:r>
          </w:p>
        </w:tc>
        <w:tc>
          <w:tcPr>
            <w:tcW w:w="4012" w:type="dxa"/>
            <w:vAlign w:val="center"/>
          </w:tcPr>
          <w:p>
            <w:pPr>
              <w:jc w:val="center"/>
              <w:rPr>
                <w:rFonts w:ascii="宋体" w:hAnsi="宋体"/>
                <w:color w:val="auto"/>
                <w:kern w:val="0"/>
                <w:sz w:val="24"/>
                <w:highlight w:val="none"/>
              </w:rPr>
            </w:pPr>
            <w:r>
              <w:rPr>
                <w:rFonts w:ascii="宋体" w:hAnsi="宋体"/>
                <w:color w:val="auto"/>
                <w:kern w:val="0"/>
                <w:sz w:val="24"/>
                <w:highlight w:val="none"/>
              </w:rPr>
              <w:t>层级四</w:t>
            </w:r>
          </w:p>
        </w:tc>
        <w:tc>
          <w:tcPr>
            <w:tcW w:w="1852" w:type="dxa"/>
          </w:tcPr>
          <w:p>
            <w:pPr>
              <w:snapToGrid w:val="0"/>
              <w:spacing w:before="50" w:after="50"/>
              <w:jc w:val="center"/>
              <w:rPr>
                <w:rFonts w:ascii="宋体" w:hAnsi="宋体"/>
                <w:color w:val="auto"/>
                <w:kern w:val="0"/>
                <w:sz w:val="24"/>
                <w:highlight w:val="none"/>
              </w:rPr>
            </w:pPr>
          </w:p>
        </w:tc>
        <w:tc>
          <w:tcPr>
            <w:tcW w:w="1948" w:type="dxa"/>
            <w:vAlign w:val="center"/>
          </w:tcPr>
          <w:p>
            <w:pPr>
              <w:snapToGrid w:val="0"/>
              <w:spacing w:before="50" w:after="50"/>
              <w:jc w:val="center"/>
              <w:rPr>
                <w:rFonts w:ascii="宋体" w:hAnsi="宋体"/>
                <w:color w:val="auto"/>
                <w:kern w:val="0"/>
                <w:sz w:val="24"/>
                <w:highlight w:val="none"/>
              </w:rPr>
            </w:pPr>
            <w:r>
              <w:rPr>
                <w:rFonts w:hint="eastAsia" w:ascii="宋体" w:hAnsi="宋体"/>
                <w:color w:val="auto"/>
                <w:kern w:val="0"/>
                <w:sz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600" w:type="dxa"/>
            <w:gridSpan w:val="2"/>
            <w:vAlign w:val="center"/>
          </w:tcPr>
          <w:p>
            <w:pPr>
              <w:jc w:val="center"/>
              <w:rPr>
                <w:rFonts w:ascii="宋体" w:hAnsi="宋体"/>
                <w:color w:val="auto"/>
                <w:kern w:val="0"/>
                <w:sz w:val="24"/>
                <w:highlight w:val="none"/>
              </w:rPr>
            </w:pPr>
            <w:r>
              <w:rPr>
                <w:rFonts w:hint="eastAsia" w:ascii="宋体" w:hAnsi="宋体"/>
                <w:color w:val="auto"/>
                <w:kern w:val="0"/>
                <w:sz w:val="24"/>
                <w:highlight w:val="none"/>
              </w:rPr>
              <w:t>合计</w:t>
            </w:r>
          </w:p>
        </w:tc>
        <w:tc>
          <w:tcPr>
            <w:tcW w:w="1852" w:type="dxa"/>
          </w:tcPr>
          <w:p>
            <w:pPr>
              <w:jc w:val="center"/>
              <w:rPr>
                <w:rFonts w:ascii="宋体" w:hAnsi="宋体"/>
                <w:color w:val="auto"/>
                <w:kern w:val="0"/>
                <w:sz w:val="24"/>
                <w:highlight w:val="none"/>
              </w:rPr>
            </w:pPr>
          </w:p>
        </w:tc>
        <w:tc>
          <w:tcPr>
            <w:tcW w:w="1948" w:type="dxa"/>
            <w:vAlign w:val="center"/>
          </w:tcPr>
          <w:p>
            <w:pPr>
              <w:jc w:val="center"/>
              <w:rPr>
                <w:rFonts w:ascii="宋体" w:hAnsi="宋体"/>
                <w:color w:val="auto"/>
                <w:kern w:val="0"/>
                <w:sz w:val="24"/>
                <w:highlight w:val="none"/>
              </w:rPr>
            </w:pPr>
            <w:r>
              <w:rPr>
                <w:rFonts w:hint="eastAsia" w:ascii="宋体" w:hAnsi="宋体"/>
                <w:color w:val="auto"/>
                <w:kern w:val="0"/>
                <w:sz w:val="24"/>
                <w:highlight w:val="none"/>
              </w:rPr>
              <w:t>147</w:t>
            </w:r>
          </w:p>
        </w:tc>
      </w:tr>
    </w:tbl>
    <w:p>
      <w:pPr>
        <w:pStyle w:val="5"/>
        <w:snapToGrid w:val="0"/>
        <w:spacing w:line="500" w:lineRule="exact"/>
        <w:rPr>
          <w:color w:val="auto"/>
          <w:kern w:val="0"/>
          <w:sz w:val="24"/>
          <w:szCs w:val="24"/>
          <w:highlight w:val="none"/>
        </w:rPr>
      </w:pPr>
      <w:r>
        <w:rPr>
          <w:rFonts w:hint="eastAsia"/>
          <w:color w:val="auto"/>
          <w:kern w:val="0"/>
          <w:sz w:val="24"/>
          <w:szCs w:val="24"/>
          <w:highlight w:val="none"/>
        </w:rPr>
        <w:t>三、项目合作时间</w:t>
      </w:r>
      <w:bookmarkEnd w:id="39"/>
    </w:p>
    <w:p>
      <w:pPr>
        <w:spacing w:line="500" w:lineRule="exact"/>
        <w:ind w:firstLine="482"/>
        <w:rPr>
          <w:rFonts w:ascii="宋体" w:hAnsi="宋体"/>
          <w:color w:val="auto"/>
          <w:kern w:val="0"/>
          <w:sz w:val="24"/>
          <w:highlight w:val="none"/>
        </w:rPr>
      </w:pPr>
      <w:bookmarkStart w:id="40" w:name="_Toc26877628"/>
      <w:r>
        <w:rPr>
          <w:rFonts w:hint="eastAsia" w:ascii="宋体" w:hAnsi="宋体"/>
          <w:color w:val="auto"/>
          <w:kern w:val="0"/>
          <w:sz w:val="24"/>
          <w:highlight w:val="none"/>
        </w:rPr>
        <w:t>自合同签定之日起3年。消费型补充医疗保险的保险期限为一年，合同一年一签。</w:t>
      </w:r>
    </w:p>
    <w:p>
      <w:pPr>
        <w:pStyle w:val="5"/>
        <w:snapToGrid w:val="0"/>
        <w:spacing w:line="500" w:lineRule="exact"/>
        <w:rPr>
          <w:color w:val="auto"/>
          <w:kern w:val="0"/>
          <w:sz w:val="24"/>
          <w:szCs w:val="24"/>
          <w:highlight w:val="none"/>
        </w:rPr>
      </w:pPr>
      <w:r>
        <w:rPr>
          <w:rFonts w:hint="eastAsia"/>
          <w:color w:val="auto"/>
          <w:kern w:val="0"/>
          <w:sz w:val="24"/>
          <w:szCs w:val="24"/>
          <w:highlight w:val="none"/>
        </w:rPr>
        <w:t>四、项目要求</w:t>
      </w:r>
      <w:bookmarkEnd w:id="40"/>
    </w:p>
    <w:p>
      <w:pPr>
        <w:spacing w:line="500" w:lineRule="exact"/>
        <w:ind w:firstLine="482"/>
        <w:rPr>
          <w:rFonts w:ascii="宋体" w:hAnsi="宋体"/>
          <w:color w:val="auto"/>
          <w:kern w:val="0"/>
          <w:sz w:val="24"/>
          <w:highlight w:val="none"/>
        </w:rPr>
      </w:pPr>
      <w:r>
        <w:rPr>
          <w:rFonts w:hint="eastAsia" w:ascii="宋体" w:hAnsi="宋体"/>
          <w:color w:val="auto"/>
          <w:kern w:val="0"/>
          <w:sz w:val="24"/>
          <w:highlight w:val="none"/>
        </w:rPr>
        <w:t>1.投保人员</w:t>
      </w:r>
    </w:p>
    <w:p>
      <w:pPr>
        <w:spacing w:line="500" w:lineRule="exact"/>
        <w:ind w:firstLine="482"/>
        <w:rPr>
          <w:rFonts w:ascii="宋体" w:hAnsi="宋体"/>
          <w:color w:val="auto"/>
          <w:kern w:val="0"/>
          <w:sz w:val="24"/>
          <w:highlight w:val="none"/>
        </w:rPr>
      </w:pPr>
      <w:r>
        <w:rPr>
          <w:rFonts w:hint="eastAsia" w:ascii="宋体" w:hAnsi="宋体"/>
          <w:color w:val="auto"/>
          <w:kern w:val="0"/>
          <w:sz w:val="24"/>
          <w:highlight w:val="none"/>
        </w:rPr>
        <w:t>本项目投保人员范围为公司在职员工、退休员工。</w:t>
      </w:r>
    </w:p>
    <w:p>
      <w:pPr>
        <w:spacing w:line="500" w:lineRule="exact"/>
        <w:ind w:firstLine="482"/>
        <w:rPr>
          <w:rFonts w:ascii="宋体" w:hAnsi="宋体"/>
          <w:color w:val="auto"/>
          <w:kern w:val="0"/>
          <w:sz w:val="24"/>
          <w:highlight w:val="none"/>
        </w:rPr>
      </w:pPr>
      <w:r>
        <w:rPr>
          <w:rFonts w:hint="eastAsia" w:ascii="宋体" w:hAnsi="宋体"/>
          <w:color w:val="auto"/>
          <w:kern w:val="0"/>
          <w:sz w:val="24"/>
          <w:highlight w:val="none"/>
        </w:rPr>
        <w:t>2.投保项目</w:t>
      </w:r>
    </w:p>
    <w:p>
      <w:pPr>
        <w:spacing w:line="500" w:lineRule="exact"/>
        <w:ind w:firstLine="482"/>
        <w:rPr>
          <w:rFonts w:ascii="宋体" w:hAnsi="宋体"/>
          <w:color w:val="auto"/>
          <w:kern w:val="0"/>
          <w:sz w:val="24"/>
          <w:highlight w:val="none"/>
        </w:rPr>
      </w:pPr>
      <w:bookmarkStart w:id="41" w:name="_Hlk23104415"/>
      <w:r>
        <w:rPr>
          <w:rFonts w:hint="eastAsia" w:ascii="宋体" w:hAnsi="宋体"/>
          <w:color w:val="auto"/>
          <w:kern w:val="0"/>
          <w:sz w:val="24"/>
          <w:highlight w:val="none"/>
        </w:rPr>
        <w:t>2.1一年期消费型补充医疗保险保障</w:t>
      </w:r>
    </w:p>
    <w:tbl>
      <w:tblPr>
        <w:tblStyle w:val="26"/>
        <w:tblW w:w="9228" w:type="dxa"/>
        <w:jc w:val="right"/>
        <w:tblLayout w:type="autofit"/>
        <w:tblCellMar>
          <w:top w:w="0" w:type="dxa"/>
          <w:left w:w="108" w:type="dxa"/>
          <w:bottom w:w="0" w:type="dxa"/>
          <w:right w:w="108" w:type="dxa"/>
        </w:tblCellMar>
      </w:tblPr>
      <w:tblGrid>
        <w:gridCol w:w="457"/>
        <w:gridCol w:w="497"/>
        <w:gridCol w:w="1199"/>
        <w:gridCol w:w="1692"/>
        <w:gridCol w:w="2772"/>
        <w:gridCol w:w="2611"/>
      </w:tblGrid>
      <w:tr>
        <w:tblPrEx>
          <w:tblCellMar>
            <w:top w:w="0" w:type="dxa"/>
            <w:left w:w="108" w:type="dxa"/>
            <w:bottom w:w="0" w:type="dxa"/>
            <w:right w:w="108" w:type="dxa"/>
          </w:tblCellMar>
        </w:tblPrEx>
        <w:trPr>
          <w:trHeight w:val="405" w:hRule="atLeast"/>
          <w:jc w:val="right"/>
        </w:trPr>
        <w:tc>
          <w:tcPr>
            <w:tcW w:w="45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在职</w:t>
            </w:r>
          </w:p>
        </w:tc>
        <w:tc>
          <w:tcPr>
            <w:tcW w:w="169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保险责任</w:t>
            </w:r>
          </w:p>
        </w:tc>
        <w:tc>
          <w:tcPr>
            <w:tcW w:w="7075"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保障方案</w:t>
            </w:r>
          </w:p>
        </w:tc>
      </w:tr>
      <w:tr>
        <w:tblPrEx>
          <w:tblCellMar>
            <w:top w:w="0" w:type="dxa"/>
            <w:left w:w="108" w:type="dxa"/>
            <w:bottom w:w="0" w:type="dxa"/>
            <w:right w:w="108" w:type="dxa"/>
          </w:tblCellMar>
        </w:tblPrEx>
        <w:trPr>
          <w:trHeight w:val="207" w:hRule="atLeast"/>
          <w:jc w:val="righ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highlight w:val="none"/>
              </w:rPr>
            </w:pPr>
          </w:p>
        </w:tc>
        <w:tc>
          <w:tcPr>
            <w:tcW w:w="169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highlight w:val="none"/>
              </w:rPr>
            </w:pPr>
          </w:p>
        </w:tc>
        <w:tc>
          <w:tcPr>
            <w:tcW w:w="1692" w:type="dxa"/>
            <w:tcBorders>
              <w:top w:val="nil"/>
              <w:left w:val="nil"/>
              <w:bottom w:val="single" w:color="auto" w:sz="4" w:space="0"/>
              <w:right w:val="single" w:color="auto" w:sz="4" w:space="0"/>
            </w:tcBorders>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层级一</w:t>
            </w:r>
          </w:p>
        </w:tc>
        <w:tc>
          <w:tcPr>
            <w:tcW w:w="2772" w:type="dxa"/>
            <w:tcBorders>
              <w:top w:val="nil"/>
              <w:left w:val="nil"/>
              <w:bottom w:val="single" w:color="auto" w:sz="4" w:space="0"/>
              <w:right w:val="single" w:color="auto" w:sz="4" w:space="0"/>
            </w:tcBorders>
          </w:tcPr>
          <w:p>
            <w:pPr>
              <w:widowControl/>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层级二</w:t>
            </w:r>
          </w:p>
        </w:tc>
        <w:tc>
          <w:tcPr>
            <w:tcW w:w="2611" w:type="dxa"/>
            <w:tcBorders>
              <w:top w:val="nil"/>
              <w:left w:val="nil"/>
              <w:bottom w:val="single" w:color="auto" w:sz="4" w:space="0"/>
              <w:right w:val="single" w:color="auto" w:sz="4" w:space="0"/>
            </w:tcBorders>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层级三</w:t>
            </w:r>
          </w:p>
        </w:tc>
      </w:tr>
      <w:tr>
        <w:tblPrEx>
          <w:tblCellMar>
            <w:top w:w="0" w:type="dxa"/>
            <w:left w:w="108" w:type="dxa"/>
            <w:bottom w:w="0" w:type="dxa"/>
            <w:right w:w="108" w:type="dxa"/>
          </w:tblCellMar>
        </w:tblPrEx>
        <w:trPr>
          <w:trHeight w:val="207" w:hRule="atLeast"/>
          <w:jc w:val="righ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highlight w:val="none"/>
              </w:rPr>
            </w:pPr>
          </w:p>
        </w:tc>
        <w:tc>
          <w:tcPr>
            <w:tcW w:w="4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1</w:t>
            </w:r>
          </w:p>
        </w:tc>
        <w:tc>
          <w:tcPr>
            <w:tcW w:w="119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补充门诊</w:t>
            </w:r>
          </w:p>
        </w:tc>
        <w:tc>
          <w:tcPr>
            <w:tcW w:w="7075" w:type="dxa"/>
            <w:gridSpan w:val="3"/>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3万元：所有符合</w:t>
            </w:r>
            <w:r>
              <w:rPr>
                <w:rFonts w:hint="eastAsia" w:ascii="仿宋" w:hAnsi="仿宋" w:eastAsia="仿宋"/>
                <w:color w:val="auto"/>
                <w:sz w:val="24"/>
                <w:highlight w:val="none"/>
              </w:rPr>
              <w:t>当地社会医疗保险管理规定的各项</w:t>
            </w:r>
            <w:r>
              <w:rPr>
                <w:rFonts w:hint="eastAsia" w:ascii="仿宋_GB2312" w:hAnsi="宋体" w:eastAsia="仿宋_GB2312" w:cs="宋体"/>
                <w:color w:val="auto"/>
                <w:kern w:val="0"/>
                <w:sz w:val="24"/>
                <w:highlight w:val="none"/>
              </w:rPr>
              <w:t>合理门诊医疗费用在扣除社保报销后，剩余部分100%报销。(含乙类自理和丙类自费费用)</w:t>
            </w:r>
          </w:p>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其中医保定点医疗机构医疗费用1000元/人/年(含乙类自理和丙类自费费用)</w:t>
            </w:r>
          </w:p>
        </w:tc>
      </w:tr>
      <w:tr>
        <w:tblPrEx>
          <w:tblCellMar>
            <w:top w:w="0" w:type="dxa"/>
            <w:left w:w="108" w:type="dxa"/>
            <w:bottom w:w="0" w:type="dxa"/>
            <w:right w:w="108" w:type="dxa"/>
          </w:tblCellMar>
        </w:tblPrEx>
        <w:trPr>
          <w:trHeight w:val="207" w:hRule="atLeast"/>
          <w:jc w:val="righ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highlight w:val="none"/>
              </w:rPr>
            </w:pPr>
          </w:p>
        </w:tc>
        <w:tc>
          <w:tcPr>
            <w:tcW w:w="4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2</w:t>
            </w:r>
          </w:p>
        </w:tc>
        <w:tc>
          <w:tcPr>
            <w:tcW w:w="119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补充住院医疗</w:t>
            </w:r>
          </w:p>
        </w:tc>
        <w:tc>
          <w:tcPr>
            <w:tcW w:w="7075" w:type="dxa"/>
            <w:gridSpan w:val="3"/>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100万元：所有</w:t>
            </w:r>
            <w:r>
              <w:rPr>
                <w:rFonts w:hint="eastAsia" w:ascii="仿宋" w:hAnsi="仿宋" w:eastAsia="仿宋"/>
                <w:color w:val="auto"/>
                <w:sz w:val="24"/>
                <w:highlight w:val="none"/>
              </w:rPr>
              <w:t>符合当地社会医疗保险管理规定的的各项合理住院医疗费用</w:t>
            </w:r>
            <w:r>
              <w:rPr>
                <w:rFonts w:hint="eastAsia" w:ascii="仿宋_GB2312" w:hAnsi="宋体" w:eastAsia="仿宋_GB2312" w:cs="宋体"/>
                <w:color w:val="auto"/>
                <w:kern w:val="0"/>
                <w:sz w:val="24"/>
                <w:highlight w:val="none"/>
              </w:rPr>
              <w:t>在扣除社保报销后，剩余部分100%报销。(含乙类自理和丙类自费费用)</w:t>
            </w:r>
          </w:p>
        </w:tc>
      </w:tr>
      <w:tr>
        <w:tblPrEx>
          <w:tblCellMar>
            <w:top w:w="0" w:type="dxa"/>
            <w:left w:w="108" w:type="dxa"/>
            <w:bottom w:w="0" w:type="dxa"/>
            <w:right w:w="108" w:type="dxa"/>
          </w:tblCellMar>
        </w:tblPrEx>
        <w:trPr>
          <w:trHeight w:val="648" w:hRule="atLeast"/>
          <w:jc w:val="righ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highlight w:val="none"/>
              </w:rPr>
            </w:pPr>
          </w:p>
        </w:tc>
        <w:tc>
          <w:tcPr>
            <w:tcW w:w="4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3</w:t>
            </w:r>
          </w:p>
        </w:tc>
        <w:tc>
          <w:tcPr>
            <w:tcW w:w="119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靶向药责任</w:t>
            </w:r>
          </w:p>
        </w:tc>
        <w:tc>
          <w:tcPr>
            <w:tcW w:w="7075" w:type="dxa"/>
            <w:gridSpan w:val="3"/>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100万元,70%赔付</w:t>
            </w:r>
          </w:p>
        </w:tc>
      </w:tr>
      <w:tr>
        <w:tblPrEx>
          <w:tblCellMar>
            <w:top w:w="0" w:type="dxa"/>
            <w:left w:w="108" w:type="dxa"/>
            <w:bottom w:w="0" w:type="dxa"/>
            <w:right w:w="108" w:type="dxa"/>
          </w:tblCellMar>
        </w:tblPrEx>
        <w:trPr>
          <w:trHeight w:val="445" w:hRule="atLeast"/>
          <w:jc w:val="righ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highlight w:val="none"/>
              </w:rPr>
            </w:pPr>
          </w:p>
        </w:tc>
        <w:tc>
          <w:tcPr>
            <w:tcW w:w="4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4</w:t>
            </w:r>
          </w:p>
        </w:tc>
        <w:tc>
          <w:tcPr>
            <w:tcW w:w="119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住院津贴</w:t>
            </w:r>
          </w:p>
        </w:tc>
        <w:tc>
          <w:tcPr>
            <w:tcW w:w="1692"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auto"/>
                <w:kern w:val="0"/>
                <w:szCs w:val="21"/>
                <w:highlight w:val="none"/>
              </w:rPr>
            </w:pPr>
            <w:r>
              <w:rPr>
                <w:rFonts w:hint="eastAsia" w:ascii="仿宋_GB2312" w:hAnsi="宋体" w:eastAsia="仿宋_GB2312" w:cs="仿宋_GB2312"/>
                <w:color w:val="auto"/>
                <w:kern w:val="0"/>
                <w:sz w:val="24"/>
                <w:highlight w:val="none"/>
                <w:lang w:bidi="ar"/>
              </w:rPr>
              <w:t>500元/天</w:t>
            </w:r>
          </w:p>
        </w:tc>
        <w:tc>
          <w:tcPr>
            <w:tcW w:w="2772"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auto"/>
                <w:kern w:val="0"/>
                <w:szCs w:val="21"/>
                <w:highlight w:val="none"/>
              </w:rPr>
            </w:pPr>
            <w:r>
              <w:rPr>
                <w:rFonts w:hint="eastAsia" w:ascii="仿宋_GB2312" w:hAnsi="宋体" w:eastAsia="仿宋_GB2312" w:cs="仿宋_GB2312"/>
                <w:color w:val="auto"/>
                <w:kern w:val="0"/>
                <w:sz w:val="24"/>
                <w:highlight w:val="none"/>
                <w:lang w:bidi="ar"/>
              </w:rPr>
              <w:t>400元/天</w:t>
            </w:r>
          </w:p>
        </w:tc>
        <w:tc>
          <w:tcPr>
            <w:tcW w:w="261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auto"/>
                <w:kern w:val="0"/>
                <w:szCs w:val="21"/>
                <w:highlight w:val="none"/>
              </w:rPr>
            </w:pPr>
            <w:r>
              <w:rPr>
                <w:rFonts w:hint="eastAsia" w:ascii="仿宋_GB2312" w:hAnsi="宋体" w:eastAsia="仿宋_GB2312" w:cs="仿宋_GB2312"/>
                <w:color w:val="auto"/>
                <w:kern w:val="0"/>
                <w:sz w:val="24"/>
                <w:highlight w:val="none"/>
                <w:lang w:bidi="ar"/>
              </w:rPr>
              <w:t>300元/天</w:t>
            </w:r>
          </w:p>
        </w:tc>
      </w:tr>
      <w:tr>
        <w:tblPrEx>
          <w:tblCellMar>
            <w:top w:w="0" w:type="dxa"/>
            <w:left w:w="108" w:type="dxa"/>
            <w:bottom w:w="0" w:type="dxa"/>
            <w:right w:w="108" w:type="dxa"/>
          </w:tblCellMar>
        </w:tblPrEx>
        <w:trPr>
          <w:trHeight w:val="207" w:hRule="atLeast"/>
          <w:jc w:val="righ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highlight w:val="none"/>
              </w:rPr>
            </w:pPr>
          </w:p>
        </w:tc>
        <w:tc>
          <w:tcPr>
            <w:tcW w:w="4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5</w:t>
            </w:r>
          </w:p>
        </w:tc>
        <w:tc>
          <w:tcPr>
            <w:tcW w:w="119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重大疾病住院津贴</w:t>
            </w:r>
          </w:p>
        </w:tc>
        <w:tc>
          <w:tcPr>
            <w:tcW w:w="7075" w:type="dxa"/>
            <w:gridSpan w:val="3"/>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auto"/>
                <w:kern w:val="0"/>
                <w:szCs w:val="21"/>
                <w:highlight w:val="none"/>
              </w:rPr>
            </w:pPr>
            <w:r>
              <w:rPr>
                <w:rFonts w:hint="eastAsia" w:ascii="仿宋_GB2312" w:hAnsi="宋体" w:eastAsia="仿宋_GB2312" w:cs="仿宋_GB2312"/>
                <w:color w:val="auto"/>
                <w:kern w:val="0"/>
                <w:sz w:val="24"/>
                <w:highlight w:val="none"/>
                <w:lang w:bidi="ar"/>
              </w:rPr>
              <w:t>300元/天</w:t>
            </w:r>
          </w:p>
        </w:tc>
      </w:tr>
      <w:tr>
        <w:tblPrEx>
          <w:tblCellMar>
            <w:top w:w="0" w:type="dxa"/>
            <w:left w:w="108" w:type="dxa"/>
            <w:bottom w:w="0" w:type="dxa"/>
            <w:right w:w="108" w:type="dxa"/>
          </w:tblCellMar>
        </w:tblPrEx>
        <w:trPr>
          <w:trHeight w:val="207" w:hRule="atLeast"/>
          <w:jc w:val="righ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highlight w:val="none"/>
              </w:rPr>
            </w:pPr>
          </w:p>
        </w:tc>
        <w:tc>
          <w:tcPr>
            <w:tcW w:w="4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6</w:t>
            </w:r>
          </w:p>
        </w:tc>
        <w:tc>
          <w:tcPr>
            <w:tcW w:w="119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轻症疾病</w:t>
            </w:r>
          </w:p>
        </w:tc>
        <w:tc>
          <w:tcPr>
            <w:tcW w:w="1692" w:type="dxa"/>
            <w:tcBorders>
              <w:top w:val="nil"/>
              <w:left w:val="nil"/>
              <w:bottom w:val="single" w:color="auto" w:sz="4" w:space="0"/>
              <w:right w:val="single" w:color="auto" w:sz="4" w:space="0"/>
            </w:tcBorders>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15万元</w:t>
            </w:r>
          </w:p>
        </w:tc>
        <w:tc>
          <w:tcPr>
            <w:tcW w:w="2772" w:type="dxa"/>
            <w:tcBorders>
              <w:top w:val="nil"/>
              <w:left w:val="nil"/>
              <w:bottom w:val="single" w:color="auto" w:sz="4" w:space="0"/>
              <w:right w:val="single" w:color="auto" w:sz="4" w:space="0"/>
            </w:tcBorders>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12万元</w:t>
            </w:r>
          </w:p>
        </w:tc>
        <w:tc>
          <w:tcPr>
            <w:tcW w:w="2611" w:type="dxa"/>
            <w:tcBorders>
              <w:top w:val="nil"/>
              <w:left w:val="nil"/>
              <w:bottom w:val="single" w:color="auto" w:sz="4" w:space="0"/>
              <w:right w:val="single" w:color="auto" w:sz="4" w:space="0"/>
            </w:tcBorders>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9万元</w:t>
            </w:r>
          </w:p>
        </w:tc>
      </w:tr>
      <w:tr>
        <w:tblPrEx>
          <w:tblCellMar>
            <w:top w:w="0" w:type="dxa"/>
            <w:left w:w="108" w:type="dxa"/>
            <w:bottom w:w="0" w:type="dxa"/>
            <w:right w:w="108" w:type="dxa"/>
          </w:tblCellMar>
        </w:tblPrEx>
        <w:trPr>
          <w:trHeight w:val="207" w:hRule="atLeast"/>
          <w:jc w:val="righ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highlight w:val="none"/>
              </w:rPr>
            </w:pPr>
          </w:p>
        </w:tc>
        <w:tc>
          <w:tcPr>
            <w:tcW w:w="4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7</w:t>
            </w:r>
          </w:p>
        </w:tc>
        <w:tc>
          <w:tcPr>
            <w:tcW w:w="119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重大疾病</w:t>
            </w:r>
          </w:p>
        </w:tc>
        <w:tc>
          <w:tcPr>
            <w:tcW w:w="1692" w:type="dxa"/>
            <w:tcBorders>
              <w:top w:val="nil"/>
              <w:left w:val="nil"/>
              <w:bottom w:val="single" w:color="auto" w:sz="4" w:space="0"/>
              <w:right w:val="single" w:color="auto" w:sz="4" w:space="0"/>
            </w:tcBorders>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50万元</w:t>
            </w:r>
          </w:p>
        </w:tc>
        <w:tc>
          <w:tcPr>
            <w:tcW w:w="2772" w:type="dxa"/>
            <w:tcBorders>
              <w:top w:val="nil"/>
              <w:left w:val="nil"/>
              <w:bottom w:val="single" w:color="auto" w:sz="4" w:space="0"/>
              <w:right w:val="single" w:color="auto" w:sz="4" w:space="0"/>
            </w:tcBorders>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40万元</w:t>
            </w:r>
          </w:p>
        </w:tc>
        <w:tc>
          <w:tcPr>
            <w:tcW w:w="2611" w:type="dxa"/>
            <w:tcBorders>
              <w:top w:val="nil"/>
              <w:left w:val="nil"/>
              <w:bottom w:val="single" w:color="auto" w:sz="4" w:space="0"/>
              <w:right w:val="single" w:color="auto" w:sz="4" w:space="0"/>
            </w:tcBorders>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30万元</w:t>
            </w:r>
          </w:p>
        </w:tc>
      </w:tr>
      <w:tr>
        <w:tblPrEx>
          <w:tblCellMar>
            <w:top w:w="0" w:type="dxa"/>
            <w:left w:w="108" w:type="dxa"/>
            <w:bottom w:w="0" w:type="dxa"/>
            <w:right w:w="108" w:type="dxa"/>
          </w:tblCellMar>
        </w:tblPrEx>
        <w:trPr>
          <w:trHeight w:val="207" w:hRule="atLeast"/>
          <w:jc w:val="righ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highlight w:val="none"/>
              </w:rPr>
            </w:pPr>
          </w:p>
        </w:tc>
        <w:tc>
          <w:tcPr>
            <w:tcW w:w="4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8</w:t>
            </w:r>
          </w:p>
        </w:tc>
        <w:tc>
          <w:tcPr>
            <w:tcW w:w="119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一年定寿</w:t>
            </w:r>
          </w:p>
        </w:tc>
        <w:tc>
          <w:tcPr>
            <w:tcW w:w="7075" w:type="dxa"/>
            <w:gridSpan w:val="3"/>
            <w:tcBorders>
              <w:top w:val="nil"/>
              <w:left w:val="nil"/>
              <w:bottom w:val="single" w:color="auto" w:sz="4" w:space="0"/>
              <w:right w:val="single" w:color="auto" w:sz="4" w:space="0"/>
            </w:tcBorders>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50万元</w:t>
            </w:r>
          </w:p>
        </w:tc>
      </w:tr>
      <w:tr>
        <w:tblPrEx>
          <w:tblCellMar>
            <w:top w:w="0" w:type="dxa"/>
            <w:left w:w="108" w:type="dxa"/>
            <w:bottom w:w="0" w:type="dxa"/>
            <w:right w:w="108" w:type="dxa"/>
          </w:tblCellMar>
        </w:tblPrEx>
        <w:trPr>
          <w:trHeight w:val="466" w:hRule="atLeast"/>
          <w:jc w:val="right"/>
        </w:trPr>
        <w:tc>
          <w:tcPr>
            <w:tcW w:w="457" w:type="dxa"/>
            <w:tcBorders>
              <w:top w:val="nil"/>
              <w:left w:val="single" w:color="auto" w:sz="4" w:space="0"/>
              <w:bottom w:val="nil"/>
              <w:right w:val="single" w:color="auto" w:sz="4" w:space="0"/>
            </w:tcBorders>
            <w:vAlign w:val="center"/>
          </w:tcPr>
          <w:p>
            <w:pPr>
              <w:widowControl/>
              <w:jc w:val="center"/>
              <w:rPr>
                <w:rFonts w:ascii="仿宋_GB2312" w:hAnsi="宋体" w:eastAsia="仿宋_GB2312" w:cs="宋体"/>
                <w:color w:val="auto"/>
                <w:kern w:val="0"/>
                <w:sz w:val="24"/>
                <w:highlight w:val="none"/>
              </w:rPr>
            </w:pPr>
          </w:p>
        </w:tc>
        <w:tc>
          <w:tcPr>
            <w:tcW w:w="1696" w:type="dxa"/>
            <w:gridSpan w:val="2"/>
            <w:vMerge w:val="restart"/>
            <w:tcBorders>
              <w:top w:val="single" w:color="auto" w:sz="4" w:space="0"/>
              <w:left w:val="nil"/>
              <w:right w:val="single" w:color="auto" w:sz="4" w:space="0"/>
            </w:tcBorders>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保险责任</w:t>
            </w:r>
          </w:p>
        </w:tc>
        <w:tc>
          <w:tcPr>
            <w:tcW w:w="7075" w:type="dxa"/>
            <w:gridSpan w:val="3"/>
            <w:vMerge w:val="restart"/>
            <w:tcBorders>
              <w:top w:val="single" w:color="auto" w:sz="4" w:space="0"/>
              <w:left w:val="nil"/>
              <w:right w:val="single" w:color="auto" w:sz="4" w:space="0"/>
            </w:tcBorders>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层级四</w:t>
            </w:r>
          </w:p>
        </w:tc>
      </w:tr>
      <w:tr>
        <w:tblPrEx>
          <w:tblCellMar>
            <w:top w:w="0" w:type="dxa"/>
            <w:left w:w="108" w:type="dxa"/>
            <w:bottom w:w="0" w:type="dxa"/>
            <w:right w:w="108" w:type="dxa"/>
          </w:tblCellMar>
        </w:tblPrEx>
        <w:trPr>
          <w:trHeight w:val="598" w:hRule="atLeast"/>
          <w:jc w:val="right"/>
        </w:trPr>
        <w:tc>
          <w:tcPr>
            <w:tcW w:w="457" w:type="dxa"/>
            <w:tcBorders>
              <w:top w:val="nil"/>
              <w:left w:val="single" w:color="auto" w:sz="4" w:space="0"/>
              <w:bottom w:val="nil"/>
              <w:right w:val="single" w:color="auto" w:sz="4" w:space="0"/>
            </w:tcBorders>
            <w:vAlign w:val="center"/>
          </w:tcPr>
          <w:p>
            <w:pPr>
              <w:widowControl/>
              <w:jc w:val="center"/>
              <w:rPr>
                <w:rFonts w:ascii="仿宋_GB2312" w:hAnsi="宋体" w:eastAsia="仿宋_GB2312" w:cs="宋体"/>
                <w:color w:val="auto"/>
                <w:kern w:val="0"/>
                <w:sz w:val="24"/>
                <w:highlight w:val="none"/>
              </w:rPr>
            </w:pPr>
          </w:p>
        </w:tc>
        <w:tc>
          <w:tcPr>
            <w:tcW w:w="1696" w:type="dxa"/>
            <w:gridSpan w:val="2"/>
            <w:vMerge w:val="continue"/>
            <w:tcBorders>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rPr>
            </w:pPr>
          </w:p>
        </w:tc>
        <w:tc>
          <w:tcPr>
            <w:tcW w:w="7075" w:type="dxa"/>
            <w:gridSpan w:val="3"/>
            <w:vMerge w:val="continue"/>
            <w:tcBorders>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rPr>
            </w:pPr>
          </w:p>
        </w:tc>
      </w:tr>
      <w:tr>
        <w:tblPrEx>
          <w:tblCellMar>
            <w:top w:w="0" w:type="dxa"/>
            <w:left w:w="108" w:type="dxa"/>
            <w:bottom w:w="0" w:type="dxa"/>
            <w:right w:w="108" w:type="dxa"/>
          </w:tblCellMar>
        </w:tblPrEx>
        <w:trPr>
          <w:trHeight w:val="1592" w:hRule="atLeast"/>
          <w:jc w:val="right"/>
        </w:trPr>
        <w:tc>
          <w:tcPr>
            <w:tcW w:w="457" w:type="dxa"/>
            <w:tcBorders>
              <w:top w:val="nil"/>
              <w:left w:val="single" w:color="auto" w:sz="4" w:space="0"/>
              <w:bottom w:val="nil"/>
              <w:right w:val="single" w:color="auto" w:sz="4" w:space="0"/>
            </w:tcBorders>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退休</w:t>
            </w:r>
          </w:p>
        </w:tc>
        <w:tc>
          <w:tcPr>
            <w:tcW w:w="4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1</w:t>
            </w:r>
          </w:p>
        </w:tc>
        <w:tc>
          <w:tcPr>
            <w:tcW w:w="119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补充门诊医疗</w:t>
            </w:r>
          </w:p>
        </w:tc>
        <w:tc>
          <w:tcPr>
            <w:tcW w:w="7075"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3万：所有符合</w:t>
            </w:r>
            <w:r>
              <w:rPr>
                <w:rFonts w:hint="eastAsia" w:ascii="仿宋" w:hAnsi="仿宋" w:eastAsia="仿宋"/>
                <w:color w:val="auto"/>
                <w:sz w:val="24"/>
                <w:highlight w:val="none"/>
              </w:rPr>
              <w:t>当地社会医疗保险管理规定的各项</w:t>
            </w:r>
            <w:r>
              <w:rPr>
                <w:rFonts w:hint="eastAsia" w:ascii="仿宋_GB2312" w:hAnsi="宋体" w:eastAsia="仿宋_GB2312" w:cs="宋体"/>
                <w:color w:val="auto"/>
                <w:kern w:val="0"/>
                <w:sz w:val="24"/>
                <w:highlight w:val="none"/>
              </w:rPr>
              <w:t>合理门诊医疗费用在扣除社保报销后，剩余部分100%报销。（含乙类自理及丙类自费医疗费用）。</w:t>
            </w:r>
          </w:p>
        </w:tc>
      </w:tr>
      <w:tr>
        <w:tblPrEx>
          <w:tblCellMar>
            <w:top w:w="0" w:type="dxa"/>
            <w:left w:w="108" w:type="dxa"/>
            <w:bottom w:w="0" w:type="dxa"/>
            <w:right w:w="108" w:type="dxa"/>
          </w:tblCellMar>
        </w:tblPrEx>
        <w:trPr>
          <w:trHeight w:val="1882" w:hRule="atLeast"/>
          <w:jc w:val="right"/>
        </w:trPr>
        <w:tc>
          <w:tcPr>
            <w:tcW w:w="457" w:type="dxa"/>
            <w:tcBorders>
              <w:top w:val="nil"/>
              <w:left w:val="single" w:color="auto" w:sz="4" w:space="0"/>
              <w:bottom w:val="nil"/>
              <w:right w:val="single" w:color="auto" w:sz="4" w:space="0"/>
            </w:tcBorders>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人员</w:t>
            </w:r>
          </w:p>
        </w:tc>
        <w:tc>
          <w:tcPr>
            <w:tcW w:w="4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2</w:t>
            </w:r>
          </w:p>
        </w:tc>
        <w:tc>
          <w:tcPr>
            <w:tcW w:w="119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补充住院医疗</w:t>
            </w:r>
          </w:p>
        </w:tc>
        <w:tc>
          <w:tcPr>
            <w:tcW w:w="7075"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100万:所有</w:t>
            </w:r>
            <w:r>
              <w:rPr>
                <w:rFonts w:hint="eastAsia" w:ascii="仿宋" w:hAnsi="仿宋" w:eastAsia="仿宋"/>
                <w:color w:val="auto"/>
                <w:sz w:val="24"/>
                <w:highlight w:val="none"/>
              </w:rPr>
              <w:t>符合当地社会医疗保险管理规定的的各项合理住院医疗费用</w:t>
            </w:r>
            <w:r>
              <w:rPr>
                <w:rFonts w:hint="eastAsia" w:ascii="仿宋_GB2312" w:hAnsi="宋体" w:eastAsia="仿宋_GB2312" w:cs="宋体"/>
                <w:color w:val="auto"/>
                <w:kern w:val="0"/>
                <w:sz w:val="24"/>
                <w:highlight w:val="none"/>
              </w:rPr>
              <w:t>在扣除社保报销后，剩余部分100%报销。（含乙类自理及丙类自费医疗费用）。</w:t>
            </w:r>
          </w:p>
        </w:tc>
      </w:tr>
      <w:tr>
        <w:tblPrEx>
          <w:tblCellMar>
            <w:top w:w="0" w:type="dxa"/>
            <w:left w:w="108" w:type="dxa"/>
            <w:bottom w:w="0" w:type="dxa"/>
            <w:right w:w="108" w:type="dxa"/>
          </w:tblCellMar>
        </w:tblPrEx>
        <w:trPr>
          <w:trHeight w:val="598" w:hRule="atLeast"/>
          <w:jc w:val="right"/>
        </w:trPr>
        <w:tc>
          <w:tcPr>
            <w:tcW w:w="4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rPr>
            </w:pPr>
          </w:p>
        </w:tc>
        <w:tc>
          <w:tcPr>
            <w:tcW w:w="4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3</w:t>
            </w:r>
          </w:p>
        </w:tc>
        <w:tc>
          <w:tcPr>
            <w:tcW w:w="1199"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靶向药</w:t>
            </w:r>
          </w:p>
        </w:tc>
        <w:tc>
          <w:tcPr>
            <w:tcW w:w="7075"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100万元,70%赔付</w:t>
            </w:r>
          </w:p>
        </w:tc>
      </w:tr>
    </w:tbl>
    <w:p>
      <w:pPr>
        <w:spacing w:line="5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注：</w:t>
      </w:r>
    </w:p>
    <w:p>
      <w:pPr>
        <w:spacing w:line="500" w:lineRule="exact"/>
        <w:ind w:firstLine="480" w:firstLineChars="200"/>
        <w:rPr>
          <w:rFonts w:ascii="宋体" w:hAnsi="宋体" w:cs="宋体"/>
          <w:color w:val="auto"/>
          <w:sz w:val="24"/>
          <w:highlight w:val="none"/>
        </w:rPr>
      </w:pPr>
      <w:r>
        <w:rPr>
          <w:rFonts w:hint="eastAsia" w:ascii="宋体" w:hAnsi="宋体"/>
          <w:color w:val="auto"/>
          <w:kern w:val="0"/>
          <w:sz w:val="24"/>
          <w:highlight w:val="none"/>
        </w:rPr>
        <w:t>1、重点条款说明</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（1）方案执行时间：自2023年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月1日起</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年；</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（2）补充门急诊和补充住院医疗承担所有既往症；</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（3）补充门急诊和补充住院医疗指定医院为当地社会基本医疗保险部门定点的医院，所有医疗费用均需先行医保结算，不符合当地医保规定的均不予补偿报销；</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（4）员工住院期间非本医院产生的医疗费用（比如外购药）不能按住院医疗标准报销；</w:t>
      </w:r>
    </w:p>
    <w:p>
      <w:pPr>
        <w:pStyle w:val="35"/>
        <w:spacing w:line="500" w:lineRule="exact"/>
        <w:ind w:firstLine="480"/>
        <w:rPr>
          <w:rFonts w:ascii="宋体" w:hAnsi="宋体" w:cs="宋体"/>
          <w:color w:val="auto"/>
          <w:sz w:val="24"/>
          <w:highlight w:val="none"/>
        </w:rPr>
      </w:pPr>
      <w:r>
        <w:rPr>
          <w:rFonts w:hint="eastAsia" w:ascii="宋体" w:hAnsi="宋体" w:cs="宋体"/>
          <w:color w:val="auto"/>
          <w:sz w:val="24"/>
          <w:highlight w:val="none"/>
        </w:rPr>
        <w:t>（5）方案中的重大疾病、疾病身故保障责任均无等待期；责任自该员工首次加入本公司和合作的保险公司合约生效之日起；</w:t>
      </w:r>
    </w:p>
    <w:p>
      <w:pPr>
        <w:pStyle w:val="35"/>
        <w:spacing w:line="500" w:lineRule="exact"/>
        <w:ind w:firstLine="480"/>
        <w:rPr>
          <w:rFonts w:ascii="宋体" w:hAnsi="宋体" w:cs="宋体"/>
          <w:color w:val="auto"/>
          <w:sz w:val="24"/>
          <w:highlight w:val="none"/>
        </w:rPr>
      </w:pPr>
      <w:r>
        <w:rPr>
          <w:rFonts w:hint="eastAsia" w:ascii="宋体" w:hAnsi="宋体" w:cs="宋体"/>
          <w:color w:val="auto"/>
          <w:sz w:val="24"/>
          <w:highlight w:val="none"/>
        </w:rPr>
        <w:t>（6）续保的被保险人如果上年度已患重大疾病（或投保前已确证过某一种重大疾病的）其中一种的，仅承担不同种类的重疾责任，但不再承担相同种类的重疾责任（如上年度已患恶性肿瘤获赔，本年度保单不再承担恶性肿瘤责任）；</w:t>
      </w:r>
    </w:p>
    <w:p>
      <w:pPr>
        <w:pStyle w:val="35"/>
        <w:spacing w:line="500" w:lineRule="exact"/>
        <w:ind w:firstLine="480"/>
        <w:rPr>
          <w:rFonts w:ascii="宋体" w:hAnsi="宋体" w:cs="宋体"/>
          <w:color w:val="auto"/>
          <w:sz w:val="24"/>
          <w:highlight w:val="none"/>
        </w:rPr>
      </w:pPr>
      <w:r>
        <w:rPr>
          <w:rFonts w:hint="eastAsia" w:ascii="宋体" w:hAnsi="宋体" w:cs="宋体"/>
          <w:color w:val="auto"/>
          <w:sz w:val="24"/>
          <w:highlight w:val="none"/>
        </w:rPr>
        <w:t>（7）承担既往保单年度内已赔付过的重大疾病及其并发症导致的疾病身故；</w:t>
      </w:r>
    </w:p>
    <w:p>
      <w:pPr>
        <w:pStyle w:val="35"/>
        <w:spacing w:line="500" w:lineRule="exact"/>
        <w:ind w:firstLine="480"/>
        <w:rPr>
          <w:rFonts w:ascii="宋体" w:hAnsi="宋体" w:cs="宋体"/>
          <w:color w:val="auto"/>
          <w:sz w:val="24"/>
          <w:highlight w:val="none"/>
        </w:rPr>
      </w:pPr>
      <w:r>
        <w:rPr>
          <w:rFonts w:hint="eastAsia" w:ascii="宋体" w:hAnsi="宋体" w:cs="宋体"/>
          <w:color w:val="auto"/>
          <w:sz w:val="24"/>
          <w:highlight w:val="none"/>
        </w:rPr>
        <w:t>（8）职工医保个人账户扣除金额及工会报销不作为第三方已取得报销部分抵扣；</w:t>
      </w:r>
    </w:p>
    <w:p>
      <w:pPr>
        <w:pStyle w:val="35"/>
        <w:spacing w:line="500" w:lineRule="exact"/>
        <w:ind w:firstLine="480"/>
        <w:rPr>
          <w:rFonts w:ascii="宋体" w:hAnsi="宋体" w:cs="宋体"/>
          <w:color w:val="auto"/>
          <w:sz w:val="24"/>
          <w:highlight w:val="none"/>
        </w:rPr>
      </w:pPr>
      <w:r>
        <w:rPr>
          <w:rFonts w:hint="eastAsia" w:ascii="宋体" w:hAnsi="宋体" w:cs="宋体"/>
          <w:color w:val="auto"/>
          <w:sz w:val="24"/>
          <w:highlight w:val="none"/>
        </w:rPr>
        <w:t>（9）靶向药责任扩展至外购药责任（指定医院或根据指定医院开具的处方购药），且承担所有既往症责任；</w:t>
      </w:r>
    </w:p>
    <w:p>
      <w:pPr>
        <w:spacing w:line="500" w:lineRule="exact"/>
        <w:ind w:firstLine="480" w:firstLineChars="200"/>
        <w:rPr>
          <w:rFonts w:ascii="宋体" w:hAnsi="宋体"/>
          <w:color w:val="auto"/>
          <w:kern w:val="0"/>
          <w:sz w:val="24"/>
          <w:highlight w:val="none"/>
        </w:rPr>
      </w:pPr>
      <w:r>
        <w:rPr>
          <w:rFonts w:hint="eastAsia" w:ascii="宋体" w:hAnsi="宋体" w:cs="宋体"/>
          <w:color w:val="auto"/>
          <w:sz w:val="24"/>
          <w:highlight w:val="none"/>
        </w:rPr>
        <w:t>（10）免除员工个人健康告知和体检报告等涉及员工个人健康隐私要求。</w:t>
      </w:r>
      <w:bookmarkEnd w:id="41"/>
    </w:p>
    <w:p>
      <w:pPr>
        <w:spacing w:line="500" w:lineRule="exact"/>
        <w:ind w:firstLine="480"/>
        <w:rPr>
          <w:rFonts w:ascii="宋体" w:hAnsi="宋体"/>
          <w:color w:val="auto"/>
          <w:kern w:val="0"/>
          <w:sz w:val="24"/>
          <w:highlight w:val="none"/>
        </w:rPr>
      </w:pPr>
      <w:r>
        <w:rPr>
          <w:rFonts w:hint="eastAsia" w:ascii="宋体" w:hAnsi="宋体"/>
          <w:color w:val="auto"/>
          <w:kern w:val="0"/>
          <w:sz w:val="24"/>
          <w:highlight w:val="none"/>
        </w:rPr>
        <w:t>2、企业委托管理型补充医疗保险基金</w:t>
      </w:r>
    </w:p>
    <w:p>
      <w:pPr>
        <w:pStyle w:val="11"/>
        <w:snapToGrid w:val="0"/>
        <w:spacing w:line="500" w:lineRule="exact"/>
        <w:ind w:firstLine="420"/>
        <w:rPr>
          <w:rFonts w:hAnsi="宋体"/>
          <w:color w:val="auto"/>
          <w:kern w:val="0"/>
          <w:sz w:val="24"/>
          <w:highlight w:val="none"/>
        </w:rPr>
      </w:pPr>
      <w:r>
        <w:rPr>
          <w:rFonts w:hAnsi="宋体"/>
          <w:color w:val="auto"/>
          <w:kern w:val="0"/>
          <w:sz w:val="24"/>
          <w:highlight w:val="none"/>
        </w:rPr>
        <w:t>员工在医保定点医疗机构就诊的各项医疗费用及医保定点药店购药费用，经投保人批准后予以报销。企业委托管理型医疗保险基金由补充医疗保险人管理运作，初始管理费不高于管理型补充医疗保险基金1%，投标单位需签署企业委托管理型医疗保险基金管理运作承诺函。</w:t>
      </w:r>
    </w:p>
    <w:p>
      <w:pPr>
        <w:spacing w:line="500" w:lineRule="exact"/>
        <w:ind w:firstLine="480"/>
        <w:rPr>
          <w:rFonts w:ascii="宋体" w:hAnsi="宋体"/>
          <w:color w:val="auto"/>
          <w:kern w:val="0"/>
          <w:sz w:val="24"/>
          <w:highlight w:val="none"/>
        </w:rPr>
      </w:pPr>
      <w:r>
        <w:rPr>
          <w:rFonts w:hint="eastAsia" w:ascii="宋体" w:hAnsi="宋体"/>
          <w:color w:val="auto"/>
          <w:kern w:val="0"/>
          <w:sz w:val="24"/>
          <w:highlight w:val="none"/>
        </w:rPr>
        <w:t xml:space="preserve">3、投保要求 </w:t>
      </w:r>
    </w:p>
    <w:p>
      <w:pPr>
        <w:spacing w:line="500" w:lineRule="exact"/>
        <w:ind w:firstLine="480"/>
        <w:rPr>
          <w:rFonts w:ascii="宋体" w:hAnsi="宋体"/>
          <w:b/>
          <w:bCs/>
          <w:color w:val="auto"/>
          <w:kern w:val="0"/>
          <w:sz w:val="24"/>
          <w:highlight w:val="none"/>
        </w:rPr>
      </w:pPr>
      <w:r>
        <w:rPr>
          <w:rFonts w:hint="eastAsia" w:ascii="宋体" w:hAnsi="宋体"/>
          <w:b/>
          <w:bCs/>
          <w:color w:val="auto"/>
          <w:kern w:val="0"/>
          <w:sz w:val="24"/>
          <w:highlight w:val="none"/>
        </w:rPr>
        <w:t>投标人需在标书中明确员工投保的要求和告知方式。</w:t>
      </w:r>
    </w:p>
    <w:p>
      <w:pPr>
        <w:spacing w:line="500" w:lineRule="exact"/>
        <w:ind w:firstLine="480"/>
        <w:rPr>
          <w:rFonts w:ascii="宋体" w:hAnsi="宋体"/>
          <w:color w:val="auto"/>
          <w:kern w:val="0"/>
          <w:sz w:val="24"/>
          <w:highlight w:val="none"/>
        </w:rPr>
      </w:pPr>
      <w:r>
        <w:rPr>
          <w:rFonts w:hint="eastAsia" w:ascii="宋体" w:hAnsi="宋体"/>
          <w:color w:val="auto"/>
          <w:kern w:val="0"/>
          <w:sz w:val="24"/>
          <w:highlight w:val="none"/>
        </w:rPr>
        <w:t>4、理赔要求</w:t>
      </w:r>
    </w:p>
    <w:p>
      <w:pPr>
        <w:spacing w:line="500" w:lineRule="exact"/>
        <w:ind w:firstLine="482"/>
        <w:rPr>
          <w:rFonts w:ascii="宋体" w:hAnsi="宋体"/>
          <w:b/>
          <w:bCs/>
          <w:color w:val="auto"/>
          <w:kern w:val="0"/>
          <w:sz w:val="24"/>
          <w:highlight w:val="none"/>
        </w:rPr>
      </w:pPr>
      <w:r>
        <w:rPr>
          <w:rFonts w:hint="eastAsia" w:ascii="宋体" w:hAnsi="宋体"/>
          <w:b/>
          <w:bCs/>
          <w:color w:val="auto"/>
          <w:kern w:val="0"/>
          <w:sz w:val="24"/>
          <w:highlight w:val="none"/>
        </w:rPr>
        <w:t>（1）符合理赔要求的医疗机构至少需包含医保定点的公立医院及医保定点的药店，投标人需在标书中写明理赔医院范围。</w:t>
      </w:r>
    </w:p>
    <w:p>
      <w:pPr>
        <w:spacing w:line="500" w:lineRule="exact"/>
        <w:ind w:firstLine="480"/>
        <w:rPr>
          <w:rFonts w:ascii="宋体" w:hAnsi="宋体"/>
          <w:b/>
          <w:bCs/>
          <w:color w:val="auto"/>
          <w:kern w:val="0"/>
          <w:sz w:val="24"/>
          <w:highlight w:val="none"/>
        </w:rPr>
      </w:pPr>
      <w:r>
        <w:rPr>
          <w:rFonts w:hint="eastAsia" w:ascii="宋体" w:hAnsi="宋体"/>
          <w:b/>
          <w:bCs/>
          <w:color w:val="auto"/>
          <w:kern w:val="0"/>
          <w:sz w:val="24"/>
          <w:highlight w:val="none"/>
        </w:rPr>
        <w:t>（2）投标人对各类投保项目理赔时提供的材料和理赔流程，需在标书中注明。</w:t>
      </w:r>
    </w:p>
    <w:p>
      <w:pPr>
        <w:spacing w:line="500" w:lineRule="exact"/>
        <w:ind w:firstLine="480"/>
        <w:rPr>
          <w:rFonts w:ascii="宋体" w:hAnsi="宋体"/>
          <w:color w:val="auto"/>
          <w:kern w:val="0"/>
          <w:sz w:val="24"/>
          <w:highlight w:val="none"/>
        </w:rPr>
      </w:pPr>
      <w:r>
        <w:rPr>
          <w:rFonts w:hint="eastAsia" w:ascii="宋体" w:hAnsi="宋体"/>
          <w:color w:val="auto"/>
          <w:kern w:val="0"/>
          <w:sz w:val="24"/>
          <w:highlight w:val="none"/>
        </w:rPr>
        <w:t>5、服务要求</w:t>
      </w:r>
    </w:p>
    <w:p>
      <w:pPr>
        <w:spacing w:line="500" w:lineRule="exact"/>
        <w:ind w:firstLine="480"/>
        <w:rPr>
          <w:rFonts w:ascii="宋体" w:hAnsi="宋体"/>
          <w:color w:val="auto"/>
          <w:kern w:val="0"/>
          <w:sz w:val="24"/>
          <w:highlight w:val="none"/>
        </w:rPr>
      </w:pPr>
      <w:r>
        <w:rPr>
          <w:rFonts w:hint="eastAsia" w:ascii="宋体" w:hAnsi="宋体"/>
          <w:color w:val="auto"/>
          <w:kern w:val="0"/>
          <w:sz w:val="24"/>
          <w:highlight w:val="none"/>
        </w:rPr>
        <w:t>（1）投标人需指派专人负责保障对象范围内的员工日常理赔及相关政策的答疑工作。投标人需在标书中写明相应的团队及人员配置方案。</w:t>
      </w:r>
    </w:p>
    <w:p>
      <w:pPr>
        <w:spacing w:line="500" w:lineRule="exact"/>
        <w:ind w:firstLine="480"/>
        <w:rPr>
          <w:rFonts w:ascii="宋体" w:hAnsi="宋体"/>
          <w:color w:val="auto"/>
          <w:kern w:val="0"/>
          <w:sz w:val="24"/>
          <w:highlight w:val="none"/>
        </w:rPr>
      </w:pPr>
      <w:r>
        <w:rPr>
          <w:rFonts w:hint="eastAsia" w:ascii="宋体" w:hAnsi="宋体"/>
          <w:color w:val="auto"/>
          <w:kern w:val="0"/>
          <w:sz w:val="24"/>
          <w:highlight w:val="none"/>
        </w:rPr>
        <w:t>（2）投标人每季度提供一次上门集中收单服务。投标人需在标书中写明上门收单安排方案。</w:t>
      </w:r>
    </w:p>
    <w:p>
      <w:pPr>
        <w:spacing w:line="500" w:lineRule="exact"/>
        <w:ind w:firstLine="480"/>
        <w:rPr>
          <w:rFonts w:ascii="宋体" w:hAnsi="宋体"/>
          <w:color w:val="auto"/>
          <w:kern w:val="0"/>
          <w:sz w:val="24"/>
          <w:highlight w:val="none"/>
        </w:rPr>
      </w:pPr>
      <w:r>
        <w:rPr>
          <w:rFonts w:hint="eastAsia" w:ascii="宋体" w:hAnsi="宋体"/>
          <w:color w:val="auto"/>
          <w:kern w:val="0"/>
          <w:sz w:val="24"/>
          <w:highlight w:val="none"/>
        </w:rPr>
        <w:t>（3）投标人需为员工提供快速便捷的理赔查询渠道，如理赔单据审核无误，原则上需在受理后10个工作日内完成赔付。投标人需在标书中写明提供各类便捷服务的具体方案和措施。</w:t>
      </w:r>
    </w:p>
    <w:p>
      <w:pPr>
        <w:pStyle w:val="5"/>
        <w:snapToGrid w:val="0"/>
        <w:spacing w:line="500" w:lineRule="exact"/>
        <w:rPr>
          <w:color w:val="auto"/>
          <w:kern w:val="0"/>
          <w:sz w:val="24"/>
          <w:szCs w:val="24"/>
          <w:highlight w:val="none"/>
        </w:rPr>
      </w:pPr>
      <w:bookmarkStart w:id="42" w:name="_Toc26877629"/>
      <w:r>
        <w:rPr>
          <w:rFonts w:hint="eastAsia"/>
          <w:color w:val="auto"/>
          <w:kern w:val="0"/>
          <w:sz w:val="24"/>
          <w:szCs w:val="24"/>
          <w:highlight w:val="none"/>
        </w:rPr>
        <w:t>五、其他要求</w:t>
      </w:r>
      <w:bookmarkEnd w:id="42"/>
    </w:p>
    <w:p>
      <w:pPr>
        <w:spacing w:line="500" w:lineRule="exact"/>
        <w:rPr>
          <w:rFonts w:ascii="宋体" w:hAnsi="宋体"/>
          <w:color w:val="auto"/>
          <w:kern w:val="0"/>
          <w:sz w:val="24"/>
          <w:highlight w:val="none"/>
        </w:rPr>
      </w:pPr>
      <w:r>
        <w:rPr>
          <w:rFonts w:hint="eastAsia" w:ascii="宋体" w:hAnsi="宋体"/>
          <w:color w:val="auto"/>
          <w:kern w:val="0"/>
          <w:sz w:val="24"/>
          <w:highlight w:val="none"/>
        </w:rPr>
        <w:t xml:space="preserve">    1.投标人需负责实施本项目工作人员的人身安全，向他们支付工资；负责按照法律法规、规章及政府主管部门的要求办理工伤保险、医疗保险等各项社保手续并交纳相应的费用。</w:t>
      </w:r>
    </w:p>
    <w:p>
      <w:pPr>
        <w:spacing w:line="500" w:lineRule="exact"/>
        <w:rPr>
          <w:rFonts w:ascii="宋体" w:hAnsi="宋体"/>
          <w:color w:val="auto"/>
          <w:kern w:val="0"/>
          <w:sz w:val="24"/>
          <w:highlight w:val="none"/>
        </w:rPr>
      </w:pPr>
      <w:r>
        <w:rPr>
          <w:rFonts w:hint="eastAsia" w:ascii="宋体" w:hAnsi="宋体"/>
          <w:color w:val="auto"/>
          <w:kern w:val="0"/>
          <w:sz w:val="24"/>
          <w:highlight w:val="none"/>
        </w:rPr>
        <w:t xml:space="preserve">    2.投标人实施本项目工作的人员造成招标人或第三方的财务损失、意外伤亡、人员伤亡（包括但不限于驾车、打架、失误等），由投标人承担赔偿责任。</w:t>
      </w:r>
    </w:p>
    <w:p>
      <w:pPr>
        <w:spacing w:line="500" w:lineRule="exact"/>
        <w:rPr>
          <w:rFonts w:ascii="宋体" w:hAnsi="宋体"/>
          <w:color w:val="auto"/>
          <w:kern w:val="0"/>
          <w:sz w:val="24"/>
          <w:highlight w:val="none"/>
        </w:rPr>
      </w:pPr>
      <w:r>
        <w:rPr>
          <w:rFonts w:hint="eastAsia" w:ascii="宋体" w:hAnsi="宋体"/>
          <w:color w:val="auto"/>
          <w:kern w:val="0"/>
          <w:sz w:val="24"/>
          <w:highlight w:val="none"/>
        </w:rPr>
        <w:t xml:space="preserve">    3.投标人实施本项目工作的人员触犯法律，发生犯罪事件等各项问题由投标人负责。</w:t>
      </w:r>
    </w:p>
    <w:p>
      <w:pPr>
        <w:spacing w:line="5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4.投标人实施本项目工作的人员在社会上发生纠纷等各类赔偿事件由投标人负责。</w:t>
      </w:r>
    </w:p>
    <w:p>
      <w:pPr>
        <w:pStyle w:val="5"/>
        <w:snapToGrid w:val="0"/>
        <w:spacing w:line="500" w:lineRule="exact"/>
        <w:rPr>
          <w:color w:val="auto"/>
          <w:kern w:val="0"/>
          <w:sz w:val="24"/>
          <w:szCs w:val="24"/>
          <w:highlight w:val="none"/>
        </w:rPr>
      </w:pPr>
      <w:r>
        <w:rPr>
          <w:rFonts w:hint="eastAsia"/>
          <w:color w:val="auto"/>
          <w:kern w:val="0"/>
          <w:sz w:val="24"/>
          <w:szCs w:val="24"/>
          <w:highlight w:val="none"/>
        </w:rPr>
        <w:t>六、商务需求表</w:t>
      </w:r>
    </w:p>
    <w:tbl>
      <w:tblPr>
        <w:tblStyle w:val="26"/>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8"/>
        <w:gridCol w:w="72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kern w:val="0"/>
                <w:sz w:val="24"/>
                <w:highlight w:val="none"/>
              </w:rPr>
            </w:pPr>
            <w:r>
              <w:rPr>
                <w:rFonts w:hint="eastAsia" w:ascii="宋体" w:hAnsi="宋体"/>
                <w:color w:val="auto"/>
                <w:kern w:val="0"/>
                <w:sz w:val="24"/>
                <w:highlight w:val="none"/>
              </w:rPr>
              <w:t>总体要求</w:t>
            </w:r>
          </w:p>
        </w:tc>
        <w:tc>
          <w:tcPr>
            <w:tcW w:w="726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kern w:val="0"/>
                <w:sz w:val="24"/>
                <w:highlight w:val="none"/>
              </w:rPr>
            </w:pPr>
            <w:r>
              <w:rPr>
                <w:rFonts w:hint="eastAsia" w:ascii="宋体" w:hAnsi="宋体"/>
                <w:color w:val="auto"/>
                <w:kern w:val="0"/>
                <w:sz w:val="24"/>
                <w:highlight w:val="none"/>
              </w:rPr>
              <w:t>投标人需按招标需求的要求完成（台州循环经济发展有限公司及其下属子公司补充医疗保险服务采购项目），按工作顺序提交所需的资料，所有资料必须符合本招标需求的要求。费用应全部包含在总报价中。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5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kern w:val="0"/>
                <w:sz w:val="24"/>
                <w:highlight w:val="none"/>
              </w:rPr>
            </w:pPr>
            <w:r>
              <w:rPr>
                <w:rFonts w:hint="eastAsia" w:ascii="宋体" w:hAnsi="宋体"/>
                <w:color w:val="auto"/>
                <w:kern w:val="0"/>
                <w:sz w:val="24"/>
                <w:highlight w:val="none"/>
              </w:rPr>
              <w:t>投标总报价</w:t>
            </w:r>
          </w:p>
        </w:tc>
        <w:tc>
          <w:tcPr>
            <w:tcW w:w="726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kern w:val="0"/>
                <w:sz w:val="24"/>
                <w:highlight w:val="none"/>
              </w:rPr>
            </w:pPr>
            <w:r>
              <w:rPr>
                <w:rFonts w:hint="eastAsia" w:ascii="宋体" w:hAnsi="宋体"/>
                <w:color w:val="auto"/>
                <w:kern w:val="0"/>
                <w:sz w:val="24"/>
                <w:highlight w:val="none"/>
              </w:rPr>
              <w:t>投标总报价应是招标文件所确定的招标范围内全部工作内容的价格表现。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15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kern w:val="0"/>
                <w:sz w:val="24"/>
                <w:highlight w:val="none"/>
              </w:rPr>
            </w:pPr>
            <w:r>
              <w:rPr>
                <w:rFonts w:hint="eastAsia" w:ascii="宋体" w:hAnsi="宋体"/>
                <w:color w:val="auto"/>
                <w:kern w:val="0"/>
                <w:sz w:val="24"/>
                <w:highlight w:val="none"/>
              </w:rPr>
              <w:t>招标范围</w:t>
            </w:r>
          </w:p>
        </w:tc>
        <w:tc>
          <w:tcPr>
            <w:tcW w:w="726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kern w:val="0"/>
                <w:sz w:val="24"/>
                <w:highlight w:val="none"/>
              </w:rPr>
            </w:pPr>
            <w:r>
              <w:rPr>
                <w:rFonts w:hint="eastAsia" w:ascii="宋体" w:hAnsi="宋体"/>
                <w:color w:val="auto"/>
                <w:kern w:val="0"/>
                <w:sz w:val="24"/>
                <w:highlight w:val="none"/>
              </w:rPr>
              <w:t>招标范围为招标人提供的技术规格书中所包含的（台州循环经济发展有限公司及其下属子公司补充医疗保险服务采购项目）所有内容。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15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kern w:val="0"/>
                <w:sz w:val="24"/>
                <w:highlight w:val="none"/>
              </w:rPr>
            </w:pPr>
            <w:r>
              <w:rPr>
                <w:rFonts w:hint="eastAsia" w:ascii="宋体" w:hAnsi="宋体"/>
                <w:color w:val="auto"/>
                <w:kern w:val="0"/>
                <w:sz w:val="24"/>
                <w:highlight w:val="none"/>
              </w:rPr>
              <w:t>服务要求</w:t>
            </w:r>
          </w:p>
        </w:tc>
        <w:tc>
          <w:tcPr>
            <w:tcW w:w="726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kern w:val="0"/>
                <w:sz w:val="24"/>
                <w:highlight w:val="none"/>
              </w:rPr>
            </w:pPr>
            <w:r>
              <w:rPr>
                <w:rFonts w:hint="eastAsia" w:ascii="宋体" w:hAnsi="宋体"/>
                <w:color w:val="auto"/>
                <w:kern w:val="0"/>
                <w:sz w:val="24"/>
                <w:highlight w:val="none"/>
              </w:rPr>
              <w:t>详见本章“招标需求”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5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kern w:val="0"/>
                <w:sz w:val="24"/>
                <w:highlight w:val="none"/>
              </w:rPr>
            </w:pPr>
            <w:r>
              <w:rPr>
                <w:rFonts w:hint="eastAsia" w:ascii="宋体" w:hAnsi="宋体"/>
                <w:color w:val="auto"/>
                <w:kern w:val="0"/>
                <w:sz w:val="24"/>
                <w:highlight w:val="none"/>
              </w:rPr>
              <w:t>时间及地点</w:t>
            </w:r>
          </w:p>
        </w:tc>
        <w:tc>
          <w:tcPr>
            <w:tcW w:w="726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kern w:val="0"/>
                <w:sz w:val="24"/>
                <w:highlight w:val="none"/>
              </w:rPr>
            </w:pPr>
            <w:r>
              <w:rPr>
                <w:rFonts w:hint="eastAsia" w:ascii="宋体" w:hAnsi="宋体"/>
                <w:color w:val="auto"/>
                <w:kern w:val="0"/>
                <w:sz w:val="24"/>
                <w:highlight w:val="none"/>
              </w:rPr>
              <w:t xml:space="preserve">时间要求：自合同签订之日起三年； </w:t>
            </w:r>
          </w:p>
          <w:p>
            <w:pPr>
              <w:jc w:val="left"/>
              <w:rPr>
                <w:rFonts w:ascii="宋体" w:hAnsi="宋体"/>
                <w:color w:val="auto"/>
                <w:kern w:val="0"/>
                <w:sz w:val="24"/>
                <w:highlight w:val="none"/>
              </w:rPr>
            </w:pPr>
            <w:r>
              <w:rPr>
                <w:rFonts w:hint="eastAsia" w:ascii="宋体" w:hAnsi="宋体"/>
                <w:color w:val="auto"/>
                <w:kern w:val="0"/>
                <w:sz w:val="24"/>
                <w:highlight w:val="none"/>
              </w:rPr>
              <w:t>服务地点：招标人指定地点。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15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kern w:val="0"/>
                <w:sz w:val="24"/>
                <w:highlight w:val="none"/>
              </w:rPr>
            </w:pPr>
            <w:r>
              <w:rPr>
                <w:rFonts w:hint="eastAsia" w:ascii="宋体" w:hAnsi="宋体"/>
                <w:color w:val="auto"/>
                <w:kern w:val="0"/>
                <w:sz w:val="24"/>
                <w:highlight w:val="none"/>
              </w:rPr>
              <w:t>付款条件</w:t>
            </w:r>
          </w:p>
        </w:tc>
        <w:tc>
          <w:tcPr>
            <w:tcW w:w="726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kern w:val="0"/>
                <w:sz w:val="24"/>
                <w:highlight w:val="none"/>
              </w:rPr>
            </w:pPr>
            <w:r>
              <w:rPr>
                <w:rFonts w:hint="eastAsia" w:ascii="宋体" w:hAnsi="宋体"/>
                <w:color w:val="auto"/>
                <w:kern w:val="0"/>
                <w:sz w:val="24"/>
                <w:highlight w:val="none"/>
              </w:rPr>
              <w:t>合同签订后十个工作日内一次性支付当年一年期消费型补充医疗保险费用，其余费用待公司上一年度工资总额清算完毕后一周内支付。中标价款为报价一览表上各类型人员的投保单价与投保时提交的人员清单实际人数相乘所得的金额确定为合同的成交金额。</w:t>
            </w:r>
          </w:p>
        </w:tc>
      </w:tr>
    </w:tbl>
    <w:p>
      <w:pPr>
        <w:pStyle w:val="12"/>
        <w:numPr>
          <w:ilvl w:val="0"/>
          <w:numId w:val="0"/>
        </w:numPr>
        <w:ind w:left="420"/>
        <w:rPr>
          <w:color w:val="auto"/>
          <w:highlight w:val="none"/>
        </w:rPr>
      </w:pPr>
      <w:r>
        <w:rPr>
          <w:rFonts w:ascii="宋体" w:hAnsi="宋体"/>
          <w:color w:val="auto"/>
          <w:sz w:val="30"/>
          <w:szCs w:val="30"/>
          <w:highlight w:val="none"/>
        </w:rPr>
        <w:br w:type="page"/>
      </w:r>
    </w:p>
    <w:p>
      <w:pPr>
        <w:numPr>
          <w:ilvl w:val="0"/>
          <w:numId w:val="6"/>
        </w:numPr>
        <w:spacing w:line="360" w:lineRule="auto"/>
        <w:jc w:val="center"/>
        <w:rPr>
          <w:rFonts w:asciiTheme="minorEastAsia" w:hAnsiTheme="minorEastAsia" w:eastAsiaTheme="minorEastAsia"/>
          <w:b/>
          <w:color w:val="auto"/>
          <w:sz w:val="36"/>
          <w:szCs w:val="36"/>
          <w:highlight w:val="none"/>
        </w:rPr>
      </w:pPr>
      <w:bookmarkStart w:id="43" w:name="_Toc31173_WPSOffice_Level1"/>
      <w:r>
        <w:rPr>
          <w:rFonts w:hint="eastAsia" w:asciiTheme="minorEastAsia" w:hAnsiTheme="minorEastAsia" w:eastAsiaTheme="minorEastAsia"/>
          <w:b/>
          <w:color w:val="auto"/>
          <w:sz w:val="36"/>
          <w:szCs w:val="36"/>
          <w:highlight w:val="none"/>
        </w:rPr>
        <w:t>评标</w:t>
      </w:r>
      <w:bookmarkEnd w:id="43"/>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一、评标原则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二、评标方法</w:t>
      </w:r>
    </w:p>
    <w:p>
      <w:pPr>
        <w:spacing w:line="360" w:lineRule="auto"/>
        <w:ind w:firstLine="480" w:firstLineChars="200"/>
        <w:rPr>
          <w:color w:val="auto"/>
          <w:highlight w:val="none"/>
        </w:rPr>
      </w:pPr>
      <w:r>
        <w:rPr>
          <w:rFonts w:hint="eastAsia" w:ascii="宋体" w:hAnsi="宋体" w:cs="宋体"/>
          <w:color w:val="auto"/>
          <w:sz w:val="24"/>
          <w:highlight w:val="none"/>
        </w:rPr>
        <w:t>综合评分法，是指投标文件满足招标文件全部实质性要求，且按照评审因素的量化指标评审得分最高的投标人为中标候选人的评标方法。</w:t>
      </w:r>
    </w:p>
    <w:p>
      <w:pPr>
        <w:pStyle w:val="25"/>
        <w:spacing w:after="0" w:line="360" w:lineRule="auto"/>
        <w:ind w:left="0" w:leftChars="0"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三、评标委员会</w:t>
      </w:r>
    </w:p>
    <w:p>
      <w:pPr>
        <w:pStyle w:val="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（一）本项目评标委员会由采购人代表和评审专家组成。</w:t>
      </w:r>
    </w:p>
    <w:p>
      <w:pPr>
        <w:pStyle w:val="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（二）评标委员会成员与参与投标的供应商有下列情形之一的，应当回避：</w:t>
      </w:r>
    </w:p>
    <w:p>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1.参加采购活动前3年内与供应商存在劳动关系；</w:t>
      </w:r>
    </w:p>
    <w:p>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2.参加采购活动前3年内担任供应商的董事、监事；</w:t>
      </w:r>
    </w:p>
    <w:p>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3.参加采购活动前3年内是供应商的控股股东或者实际控制人；</w:t>
      </w:r>
    </w:p>
    <w:p>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4.与供应商的法定代表人或者负责人有夫妻、直系血亲、三代以内旁系血亲或者近姻亲关系；</w:t>
      </w:r>
    </w:p>
    <w:p>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5.与供应商有其他可能影响政府采购活动公平、公正进行的关系；</w:t>
      </w:r>
    </w:p>
    <w:p>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6.法律法规规定的其他情形。</w:t>
      </w:r>
    </w:p>
    <w:p>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（三）评标委员会负责具体评标事务，并独立履行下列职责：</w:t>
      </w:r>
    </w:p>
    <w:p>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1.审查、评价投标文件是否符合招标文件的商务、技术等实质性要求；</w:t>
      </w:r>
    </w:p>
    <w:p>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2.要求投标人对投标文件有关事项作出澄清或者说明；</w:t>
      </w:r>
    </w:p>
    <w:p>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3.对投标文件进行比较和评价；</w:t>
      </w:r>
    </w:p>
    <w:p>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4.确定中标候选人名单，以及根据采购人委托直接确定中标人；</w:t>
      </w:r>
    </w:p>
    <w:p>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5.向采购人、采购组织机构或者有关部门报告评标中发现的违法行为；</w:t>
      </w:r>
    </w:p>
    <w:p>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6.法律法规规定的其他职责。</w:t>
      </w:r>
    </w:p>
    <w:p>
      <w:pPr>
        <w:pStyle w:val="21"/>
        <w:spacing w:before="0" w:beforeAutospacing="0" w:after="0" w:afterAutospacing="0" w:line="360" w:lineRule="auto"/>
        <w:ind w:firstLine="482" w:firstLineChars="20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四、无效标情形</w:t>
      </w:r>
    </w:p>
    <w:p>
      <w:pPr>
        <w:adjustRightInd w:val="0"/>
        <w:snapToGrid w:val="0"/>
        <w:spacing w:line="360" w:lineRule="auto"/>
        <w:ind w:firstLine="480"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kern w:val="0"/>
          <w:sz w:val="24"/>
          <w:highlight w:val="none"/>
        </w:rPr>
        <w:t>（一）在资格标或技术标中出现投标报价的，或者报价文件中报价的服务跟商务与技术文件中的投标服务出现重大偏差的；</w:t>
      </w:r>
    </w:p>
    <w:p>
      <w:pPr>
        <w:pStyle w:val="21"/>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（二）不具备招标文件中规定的资格要求的；</w:t>
      </w:r>
      <w:r>
        <w:rPr>
          <w:rFonts w:hint="default" w:asciiTheme="minorEastAsia" w:hAnsiTheme="minorEastAsia" w:eastAsiaTheme="minorEastAsia"/>
          <w:color w:val="auto"/>
          <w:highlight w:val="none"/>
        </w:rPr>
        <w:tab/>
      </w:r>
    </w:p>
    <w:p>
      <w:pPr>
        <w:pStyle w:val="21"/>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（三）投标文件含有采购人不能接受的附加条件的；</w:t>
      </w:r>
    </w:p>
    <w:p>
      <w:pPr>
        <w:pStyle w:val="10"/>
        <w:spacing w:line="360" w:lineRule="auto"/>
        <w:ind w:firstLine="480" w:firstLineChars="200"/>
        <w:jc w:val="both"/>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21"/>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xml:space="preserve">（五）报价超过招标文件中规定的预算金额/最高限价或未填写投标报价的；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（六）投标参数未如实填写，完全复制粘贴招标参数的；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（七）投标文件存在虚假材料的；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（八）有</w:t>
      </w:r>
      <w:r>
        <w:rPr>
          <w:rFonts w:asciiTheme="minorEastAsia" w:hAnsiTheme="minorEastAsia" w:eastAsiaTheme="minorEastAsia"/>
          <w:color w:val="auto"/>
          <w:kern w:val="0"/>
          <w:sz w:val="24"/>
          <w:highlight w:val="none"/>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auto"/>
          <w:kern w:val="0"/>
          <w:sz w:val="24"/>
          <w:highlight w:val="none"/>
        </w:rPr>
        <w:t>，并移送采购监管部门</w:t>
      </w:r>
      <w:r>
        <w:rPr>
          <w:rFonts w:asciiTheme="minorEastAsia" w:hAnsiTheme="minorEastAsia" w:eastAsiaTheme="minorEastAsia"/>
          <w:color w:val="auto"/>
          <w:kern w:val="0"/>
          <w:sz w:val="24"/>
          <w:highlight w:val="none"/>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不同投标人的投标文件由同一单位或者个人编制；</w:t>
      </w:r>
    </w:p>
    <w:p>
      <w:pPr>
        <w:pStyle w:val="21"/>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2.不同投标人委托同一单位或者个人办理投标事宜；</w:t>
      </w:r>
    </w:p>
    <w:p>
      <w:pPr>
        <w:pStyle w:val="21"/>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3.不同投标人的投标文件载明的项目管理成员或者联系人员为同一人；</w:t>
      </w:r>
    </w:p>
    <w:p>
      <w:pPr>
        <w:pStyle w:val="21"/>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4.不同投标人的投标文件异常一致或者投标报价呈规律性差异；</w:t>
      </w:r>
    </w:p>
    <w:p>
      <w:pPr>
        <w:pStyle w:val="21"/>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5.不同投标人的投标文件相互混装。</w:t>
      </w:r>
    </w:p>
    <w:p>
      <w:pPr>
        <w:pStyle w:val="21"/>
        <w:spacing w:before="0" w:beforeAutospacing="0" w:after="0" w:afterAutospacing="0" w:line="360" w:lineRule="auto"/>
        <w:ind w:firstLine="480" w:firstLineChars="200"/>
        <w:jc w:val="both"/>
        <w:rPr>
          <w:rFonts w:hint="default" w:asciiTheme="minorEastAsia" w:hAnsiTheme="minorEastAsia"/>
          <w:color w:val="auto"/>
          <w:highlight w:val="none"/>
        </w:rPr>
      </w:pPr>
      <w:r>
        <w:rPr>
          <w:rFonts w:asciiTheme="minorEastAsia" w:hAnsiTheme="minorEastAsia" w:eastAsiaTheme="minorEastAsia"/>
          <w:color w:val="auto"/>
          <w:highlight w:val="none"/>
        </w:rPr>
        <w:t>（九）</w:t>
      </w:r>
      <w:r>
        <w:rPr>
          <w:rFonts w:cs="宋体"/>
          <w:color w:val="auto"/>
          <w:highlight w:val="none"/>
        </w:rPr>
        <w:t>实质性要求（招标文件中打“▲”内容）不响应的；</w:t>
      </w:r>
    </w:p>
    <w:p>
      <w:pPr>
        <w:pStyle w:val="7"/>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（十）商务条款不响应的；</w:t>
      </w:r>
    </w:p>
    <w:p>
      <w:pPr>
        <w:pStyle w:val="7"/>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（十一）投标文件有效期不足的；</w:t>
      </w:r>
    </w:p>
    <w:p>
      <w:pPr>
        <w:pStyle w:val="7"/>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（十二）逾期或未按要求提交投标文件的；</w:t>
      </w:r>
    </w:p>
    <w:p>
      <w:pPr>
        <w:pStyle w:val="7"/>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（十三）两家或两家以上投标单位上传投标文件的ip地址（或工程清单锁地址）相同，视为串标行为，取消评标资格。</w:t>
      </w:r>
    </w:p>
    <w:p>
      <w:pPr>
        <w:pStyle w:val="7"/>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（十四）被拒绝的投标文件为无效。</w:t>
      </w:r>
    </w:p>
    <w:p>
      <w:pPr>
        <w:pStyle w:val="7"/>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（十五）其他不符合法律法规相关规定的。</w:t>
      </w:r>
    </w:p>
    <w:p>
      <w:pPr>
        <w:autoSpaceDE w:val="0"/>
        <w:autoSpaceDN w:val="0"/>
        <w:adjustRightIn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五、废标情形</w:t>
      </w:r>
    </w:p>
    <w:p>
      <w:pPr>
        <w:pStyle w:val="21"/>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（一）</w:t>
      </w:r>
      <w:r>
        <w:rPr>
          <w:rFonts w:cs="宋体"/>
          <w:color w:val="auto"/>
          <w:highlight w:val="none"/>
        </w:rPr>
        <w:t>出现影响采购公正的违法、违规行为的；</w:t>
      </w:r>
    </w:p>
    <w:p>
      <w:pPr>
        <w:pStyle w:val="21"/>
        <w:spacing w:before="0" w:beforeAutospacing="0" w:after="0" w:afterAutospacing="0" w:line="360" w:lineRule="auto"/>
        <w:ind w:firstLine="480" w:firstLineChars="200"/>
        <w:jc w:val="both"/>
        <w:rPr>
          <w:rFonts w:hint="default" w:cs="宋体"/>
          <w:b/>
          <w:bCs/>
          <w:color w:val="auto"/>
          <w:highlight w:val="none"/>
        </w:rPr>
      </w:pPr>
      <w:r>
        <w:rPr>
          <w:rFonts w:asciiTheme="minorEastAsia" w:hAnsiTheme="minorEastAsia" w:eastAsiaTheme="minorEastAsia"/>
          <w:color w:val="auto"/>
          <w:highlight w:val="none"/>
        </w:rPr>
        <w:t>（二）</w:t>
      </w:r>
      <w:r>
        <w:rPr>
          <w:rFonts w:cs="宋体"/>
          <w:color w:val="auto"/>
          <w:highlight w:val="none"/>
        </w:rPr>
        <w:t>评标委员会发现招标文件存在歧义、重大缺陷导致评标工作无法进行，或者招标文件内容违反国家有关强制性规定的；</w:t>
      </w:r>
    </w:p>
    <w:p>
      <w:pPr>
        <w:pStyle w:val="21"/>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（三）</w:t>
      </w:r>
      <w:r>
        <w:rPr>
          <w:rFonts w:cs="宋体"/>
          <w:color w:val="auto"/>
          <w:highlight w:val="none"/>
        </w:rPr>
        <w:t>因重大变故，采购任务取消的；</w:t>
      </w:r>
    </w:p>
    <w:p>
      <w:pPr>
        <w:pStyle w:val="21"/>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（四）</w:t>
      </w:r>
      <w:r>
        <w:rPr>
          <w:rFonts w:cs="宋体"/>
          <w:color w:val="auto"/>
          <w:highlight w:val="none"/>
        </w:rPr>
        <w:t>法律、法规和招标文件规定的其他导致评标结果无效的。</w:t>
      </w:r>
    </w:p>
    <w:p>
      <w:pPr>
        <w:autoSpaceDE w:val="0"/>
        <w:autoSpaceDN w:val="0"/>
        <w:adjustRightInd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六、投标人有下列情形之一的，投标保证金将不予退还</w:t>
      </w:r>
    </w:p>
    <w:p>
      <w:pPr>
        <w:snapToGrid w:val="0"/>
        <w:spacing w:line="400" w:lineRule="exact"/>
        <w:ind w:firstLine="470" w:firstLineChars="196"/>
        <w:jc w:val="left"/>
        <w:rPr>
          <w:rFonts w:ascii="宋体" w:hAnsi="宋体"/>
          <w:color w:val="auto"/>
          <w:sz w:val="24"/>
          <w:highlight w:val="none"/>
        </w:rPr>
      </w:pPr>
      <w:r>
        <w:rPr>
          <w:rFonts w:hint="eastAsia" w:ascii="宋体" w:hAnsi="宋体"/>
          <w:color w:val="auto"/>
          <w:sz w:val="24"/>
          <w:highlight w:val="none"/>
        </w:rPr>
        <w:t>（一）投标人在投标有效期内撤回投标文件的；</w:t>
      </w:r>
    </w:p>
    <w:p>
      <w:pPr>
        <w:snapToGrid w:val="0"/>
        <w:spacing w:line="400" w:lineRule="exact"/>
        <w:ind w:firstLine="470" w:firstLineChars="196"/>
        <w:jc w:val="left"/>
        <w:rPr>
          <w:rFonts w:ascii="宋体" w:hAnsi="宋体"/>
          <w:color w:val="auto"/>
          <w:sz w:val="24"/>
          <w:highlight w:val="none"/>
        </w:rPr>
      </w:pPr>
      <w:r>
        <w:rPr>
          <w:rFonts w:hint="eastAsia" w:ascii="宋体" w:hAnsi="宋体"/>
          <w:color w:val="auto"/>
          <w:sz w:val="24"/>
          <w:highlight w:val="none"/>
        </w:rPr>
        <w:t>（二）未按规定提交履约保证金的；</w:t>
      </w:r>
    </w:p>
    <w:p>
      <w:pPr>
        <w:snapToGrid w:val="0"/>
        <w:spacing w:line="400" w:lineRule="exact"/>
        <w:ind w:firstLine="470" w:firstLineChars="196"/>
        <w:jc w:val="left"/>
        <w:rPr>
          <w:rFonts w:ascii="宋体" w:hAnsi="宋体"/>
          <w:color w:val="auto"/>
          <w:sz w:val="24"/>
          <w:highlight w:val="none"/>
        </w:rPr>
      </w:pPr>
      <w:r>
        <w:rPr>
          <w:rFonts w:hint="eastAsia" w:ascii="宋体" w:hAnsi="宋体"/>
          <w:color w:val="auto"/>
          <w:sz w:val="24"/>
          <w:highlight w:val="none"/>
        </w:rPr>
        <w:t>（三）投标人在投标过程中弄虚作假，提供虚假材料的；</w:t>
      </w:r>
    </w:p>
    <w:p>
      <w:pPr>
        <w:snapToGrid w:val="0"/>
        <w:spacing w:line="400" w:lineRule="exact"/>
        <w:ind w:firstLine="470" w:firstLineChars="196"/>
        <w:rPr>
          <w:rFonts w:ascii="宋体" w:hAnsi="宋体"/>
          <w:color w:val="auto"/>
          <w:sz w:val="24"/>
          <w:highlight w:val="none"/>
        </w:rPr>
      </w:pPr>
      <w:r>
        <w:rPr>
          <w:rFonts w:hint="eastAsia" w:ascii="宋体" w:hAnsi="宋体"/>
          <w:color w:val="auto"/>
          <w:sz w:val="24"/>
          <w:highlight w:val="none"/>
        </w:rPr>
        <w:t>（四）中标人无正当理由不与采购单位签订合同的；</w:t>
      </w:r>
    </w:p>
    <w:p>
      <w:pPr>
        <w:snapToGrid w:val="0"/>
        <w:spacing w:line="400" w:lineRule="exact"/>
        <w:ind w:firstLine="470" w:firstLineChars="196"/>
        <w:rPr>
          <w:rFonts w:ascii="宋体" w:hAnsi="宋体"/>
          <w:color w:val="auto"/>
          <w:sz w:val="24"/>
          <w:highlight w:val="none"/>
        </w:rPr>
      </w:pPr>
      <w:r>
        <w:rPr>
          <w:rFonts w:hint="eastAsia" w:ascii="宋体" w:hAnsi="宋体"/>
          <w:color w:val="auto"/>
          <w:sz w:val="24"/>
          <w:highlight w:val="none"/>
        </w:rPr>
        <w:t>（五）</w:t>
      </w:r>
      <w:r>
        <w:rPr>
          <w:rFonts w:hint="eastAsia" w:ascii="宋体" w:hAnsi="宋体"/>
          <w:bCs/>
          <w:color w:val="auto"/>
          <w:sz w:val="24"/>
          <w:highlight w:val="none"/>
        </w:rPr>
        <w:t>将中标项目转让给他人或者在投标文件中未说明且未经招标人同意，将中标项目分包给他人的；</w:t>
      </w:r>
    </w:p>
    <w:p>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（六）拒绝履行合同义务的；</w:t>
      </w:r>
    </w:p>
    <w:p>
      <w:pPr>
        <w:pStyle w:val="13"/>
        <w:snapToGrid w:val="0"/>
        <w:spacing w:line="360" w:lineRule="auto"/>
        <w:ind w:firstLine="482" w:firstLineChars="200"/>
        <w:rPr>
          <w:rFonts w:hAnsi="宋体" w:cs="宋体"/>
          <w:b/>
          <w:color w:val="auto"/>
          <w:sz w:val="24"/>
          <w:highlight w:val="none"/>
        </w:rPr>
      </w:pPr>
      <w:r>
        <w:rPr>
          <w:rFonts w:hint="eastAsia" w:hAnsi="宋体" w:cs="宋体"/>
          <w:b/>
          <w:color w:val="auto"/>
          <w:sz w:val="24"/>
          <w:highlight w:val="none"/>
        </w:rPr>
        <w:t>七、评标过程的监控</w:t>
      </w:r>
    </w:p>
    <w:p>
      <w:pPr>
        <w:pStyle w:val="21"/>
        <w:spacing w:before="0" w:beforeAutospacing="0" w:after="0" w:afterAutospacing="0" w:line="360" w:lineRule="auto"/>
        <w:ind w:firstLine="480" w:firstLineChars="200"/>
        <w:jc w:val="both"/>
        <w:rPr>
          <w:rFonts w:hint="default"/>
          <w:color w:val="auto"/>
          <w:highlight w:val="none"/>
        </w:rPr>
      </w:pPr>
      <w:r>
        <w:rPr>
          <w:color w:val="auto"/>
          <w:highlight w:val="none"/>
        </w:rPr>
        <w:t>本项目评标过程实行全程录音、录像监控，投标人在评标过程中所进行的试图影响评标结果的不公正活动，可能导致其投标被拒绝。</w:t>
      </w:r>
    </w:p>
    <w:p>
      <w:pPr>
        <w:pStyle w:val="13"/>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八、</w:t>
      </w:r>
      <w:r>
        <w:rPr>
          <w:rFonts w:asciiTheme="minorEastAsia" w:hAnsiTheme="minorEastAsia" w:eastAsiaTheme="minorEastAsia"/>
          <w:b/>
          <w:bCs/>
          <w:color w:val="auto"/>
          <w:sz w:val="24"/>
          <w:highlight w:val="none"/>
        </w:rPr>
        <w:t>评标程序</w:t>
      </w:r>
    </w:p>
    <w:p>
      <w:pPr>
        <w:snapToGrid w:val="0"/>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（一）资格</w:t>
      </w:r>
      <w:r>
        <w:rPr>
          <w:rFonts w:asciiTheme="minorEastAsia" w:hAnsiTheme="minorEastAsia" w:eastAsiaTheme="minorEastAsia"/>
          <w:b/>
          <w:bCs/>
          <w:color w:val="auto"/>
          <w:sz w:val="24"/>
          <w:highlight w:val="none"/>
        </w:rPr>
        <w:t>审查</w:t>
      </w:r>
    </w:p>
    <w:p>
      <w:pPr>
        <w:pStyle w:val="10"/>
        <w:spacing w:line="360" w:lineRule="auto"/>
        <w:ind w:firstLine="480" w:firstLineChars="200"/>
        <w:jc w:val="both"/>
        <w:rPr>
          <w:rFonts w:asciiTheme="minorEastAsia" w:hAnsiTheme="minorEastAsia" w:eastAsiaTheme="minorEastAsia"/>
          <w:color w:val="auto"/>
          <w:sz w:val="24"/>
          <w:highlight w:val="none"/>
        </w:rPr>
      </w:pPr>
      <w:r>
        <w:rPr>
          <w:rFonts w:hint="eastAsia" w:ascii="宋体" w:hAnsi="宋体" w:cs="宋体"/>
          <w:color w:val="auto"/>
          <w:sz w:val="24"/>
          <w:highlight w:val="none"/>
        </w:rPr>
        <w:t>投标文件解密后</w:t>
      </w:r>
      <w:r>
        <w:rPr>
          <w:rFonts w:asciiTheme="minorEastAsia" w:hAnsiTheme="minorEastAsia" w:eastAsiaTheme="minorEastAsia"/>
          <w:color w:val="auto"/>
          <w:sz w:val="24"/>
          <w:highlight w:val="none"/>
        </w:rPr>
        <w:t>，采购人或采购组织机构依法对投标人的资格进行审查，对审查发现无效的进行必要的</w:t>
      </w:r>
      <w:r>
        <w:rPr>
          <w:rFonts w:hint="eastAsia" w:ascii="宋体" w:hAnsi="宋体" w:cs="宋体"/>
          <w:color w:val="auto"/>
          <w:sz w:val="24"/>
          <w:highlight w:val="none"/>
        </w:rPr>
        <w:t>询问</w:t>
      </w:r>
      <w:r>
        <w:rPr>
          <w:rFonts w:asciiTheme="minorEastAsia" w:hAnsiTheme="minorEastAsia" w:eastAsiaTheme="minorEastAsia"/>
          <w:color w:val="auto"/>
          <w:sz w:val="24"/>
          <w:highlight w:val="none"/>
        </w:rPr>
        <w:t>，</w:t>
      </w:r>
      <w:r>
        <w:rPr>
          <w:rFonts w:hint="eastAsia"/>
          <w:color w:val="auto"/>
          <w:sz w:val="24"/>
          <w:highlight w:val="none"/>
        </w:rPr>
        <w:t>在</w:t>
      </w:r>
      <w:r>
        <w:rPr>
          <w:rFonts w:hint="eastAsia" w:ascii="宋体" w:hAnsi="宋体" w:cs="宋体"/>
          <w:color w:val="auto"/>
          <w:sz w:val="24"/>
          <w:highlight w:val="none"/>
        </w:rPr>
        <w:t>台州湾新区小额工程电子交易平台</w:t>
      </w:r>
      <w:r>
        <w:rPr>
          <w:rFonts w:hint="eastAsia"/>
          <w:color w:val="auto"/>
          <w:sz w:val="24"/>
          <w:highlight w:val="none"/>
        </w:rPr>
        <w:t>公布</w:t>
      </w:r>
      <w:r>
        <w:rPr>
          <w:rFonts w:asciiTheme="minorEastAsia" w:hAnsiTheme="minorEastAsia" w:eastAsiaTheme="minorEastAsia"/>
          <w:color w:val="auto"/>
          <w:sz w:val="24"/>
          <w:highlight w:val="none"/>
        </w:rPr>
        <w:t>无效投标的投标人名单、投标无效的原因。</w:t>
      </w:r>
    </w:p>
    <w:tbl>
      <w:tblPr>
        <w:tblStyle w:val="26"/>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4"/>
              <w:spacing w:before="1" w:line="300" w:lineRule="auto"/>
              <w:ind w:right="3" w:hanging="10"/>
              <w:jc w:val="center"/>
              <w:rPr>
                <w:color w:val="auto"/>
                <w:szCs w:val="21"/>
                <w:highlight w:val="none"/>
              </w:rPr>
            </w:pPr>
            <w:r>
              <w:rPr>
                <w:rFonts w:hint="eastAsia"/>
                <w:color w:val="auto"/>
                <w:szCs w:val="21"/>
                <w:highlight w:val="none"/>
              </w:rPr>
              <w:t>具有独立承担民事责任的能力</w:t>
            </w:r>
          </w:p>
        </w:tc>
        <w:tc>
          <w:tcPr>
            <w:tcW w:w="7092" w:type="dxa"/>
            <w:tcMar>
              <w:top w:w="57" w:type="dxa"/>
              <w:left w:w="108" w:type="dxa"/>
              <w:bottom w:w="0" w:type="dxa"/>
              <w:right w:w="108" w:type="dxa"/>
            </w:tcMar>
            <w:vAlign w:val="center"/>
          </w:tcPr>
          <w:p>
            <w:pPr>
              <w:pStyle w:val="54"/>
              <w:spacing w:line="300" w:lineRule="auto"/>
              <w:ind w:left="15" w:leftChars="7" w:right="-17" w:rightChars="-8" w:firstLine="403" w:firstLineChars="192"/>
              <w:rPr>
                <w:color w:val="auto"/>
                <w:szCs w:val="21"/>
                <w:highlight w:val="none"/>
              </w:rPr>
            </w:pPr>
            <w:r>
              <w:rPr>
                <w:rFonts w:hint="eastAsia"/>
                <w:color w:val="auto"/>
                <w:szCs w:val="21"/>
                <w:highlight w:val="none"/>
              </w:rPr>
              <w:t>在中华人民共和国境内注册的法人或其他组织或自然人，投标时提交有效的营业执照（或事业法人登记证或身份证等相关证明）扫描件。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4"/>
              <w:spacing w:before="1" w:line="300" w:lineRule="auto"/>
              <w:ind w:right="3" w:hanging="10"/>
              <w:jc w:val="center"/>
              <w:rPr>
                <w:color w:val="auto"/>
                <w:szCs w:val="21"/>
                <w:highlight w:val="none"/>
              </w:rPr>
            </w:pPr>
            <w:r>
              <w:rPr>
                <w:rFonts w:hint="eastAsia"/>
                <w:color w:val="auto"/>
                <w:szCs w:val="21"/>
                <w:highlight w:val="none"/>
              </w:rPr>
              <w:t>有依法缴纳税收和社会保障资金的良好记录</w:t>
            </w:r>
          </w:p>
        </w:tc>
        <w:tc>
          <w:tcPr>
            <w:tcW w:w="7092" w:type="dxa"/>
            <w:shd w:val="clear" w:color="auto" w:fill="F6F6F6"/>
            <w:tcMar>
              <w:top w:w="57" w:type="dxa"/>
              <w:left w:w="108" w:type="dxa"/>
              <w:bottom w:w="0" w:type="dxa"/>
              <w:right w:w="108" w:type="dxa"/>
            </w:tcMar>
            <w:vAlign w:val="center"/>
          </w:tcPr>
          <w:p>
            <w:pPr>
              <w:pStyle w:val="54"/>
              <w:spacing w:line="300" w:lineRule="auto"/>
              <w:ind w:left="15" w:leftChars="7" w:right="-17" w:rightChars="-8" w:firstLine="403" w:firstLineChars="192"/>
              <w:rPr>
                <w:color w:val="auto"/>
                <w:szCs w:val="21"/>
                <w:highlight w:val="none"/>
              </w:rPr>
            </w:pPr>
            <w:r>
              <w:rPr>
                <w:rFonts w:hint="eastAsia"/>
                <w:color w:val="auto"/>
                <w:szCs w:val="21"/>
                <w:highlight w:val="none"/>
              </w:rPr>
              <w:t>提供具有依法缴纳税收和社会保障资金证明的承诺函。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4"/>
              <w:spacing w:before="1" w:line="300" w:lineRule="auto"/>
              <w:ind w:right="3" w:hanging="10"/>
              <w:jc w:val="center"/>
              <w:rPr>
                <w:color w:val="auto"/>
                <w:szCs w:val="21"/>
                <w:highlight w:val="none"/>
              </w:rPr>
            </w:pPr>
            <w:r>
              <w:rPr>
                <w:rFonts w:hint="eastAsia"/>
                <w:color w:val="auto"/>
                <w:szCs w:val="21"/>
                <w:highlight w:val="none"/>
              </w:rPr>
              <w:t>具有良好的商业信誉和健全的财务会计制度</w:t>
            </w:r>
          </w:p>
        </w:tc>
        <w:tc>
          <w:tcPr>
            <w:tcW w:w="7092" w:type="dxa"/>
            <w:tcMar>
              <w:top w:w="57" w:type="dxa"/>
              <w:left w:w="108" w:type="dxa"/>
              <w:bottom w:w="0" w:type="dxa"/>
              <w:right w:w="108" w:type="dxa"/>
            </w:tcMar>
            <w:vAlign w:val="center"/>
          </w:tcPr>
          <w:p>
            <w:pPr>
              <w:pStyle w:val="54"/>
              <w:spacing w:before="117" w:line="300" w:lineRule="auto"/>
              <w:ind w:left="15" w:leftChars="7" w:right="-17" w:rightChars="-8" w:firstLine="403" w:firstLineChars="192"/>
              <w:rPr>
                <w:color w:val="auto"/>
                <w:szCs w:val="21"/>
                <w:highlight w:val="none"/>
              </w:rPr>
            </w:pPr>
            <w:r>
              <w:rPr>
                <w:rFonts w:hint="eastAsia"/>
                <w:color w:val="auto"/>
                <w:szCs w:val="21"/>
                <w:highlight w:val="none"/>
              </w:rPr>
              <w:t>提供具有良好的商业信誉和健全的财务会计制度的承诺函。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4"/>
              <w:spacing w:before="1" w:line="300" w:lineRule="auto"/>
              <w:ind w:right="3" w:hanging="10"/>
              <w:jc w:val="center"/>
              <w:rPr>
                <w:color w:val="auto"/>
                <w:szCs w:val="21"/>
                <w:highlight w:val="none"/>
              </w:rPr>
            </w:pPr>
            <w:r>
              <w:rPr>
                <w:rFonts w:hint="eastAsia"/>
                <w:color w:val="auto"/>
                <w:szCs w:val="21"/>
                <w:highlight w:val="none"/>
              </w:rPr>
              <w:t>履行合同所必需的设备和专业技术能力</w:t>
            </w:r>
          </w:p>
        </w:tc>
        <w:tc>
          <w:tcPr>
            <w:tcW w:w="7092" w:type="dxa"/>
            <w:shd w:val="clear" w:color="auto" w:fill="F6F6F6"/>
            <w:tcMar>
              <w:top w:w="57" w:type="dxa"/>
              <w:left w:w="108" w:type="dxa"/>
              <w:bottom w:w="0" w:type="dxa"/>
              <w:right w:w="108" w:type="dxa"/>
            </w:tcMar>
            <w:vAlign w:val="center"/>
          </w:tcPr>
          <w:p>
            <w:pPr>
              <w:pStyle w:val="54"/>
              <w:spacing w:before="1" w:line="300" w:lineRule="auto"/>
              <w:ind w:left="15" w:leftChars="7" w:right="-17" w:rightChars="-8" w:firstLine="403" w:firstLineChars="192"/>
              <w:rPr>
                <w:color w:val="auto"/>
                <w:szCs w:val="21"/>
                <w:highlight w:val="none"/>
              </w:rPr>
            </w:pPr>
            <w:r>
              <w:rPr>
                <w:rFonts w:hint="eastAsia"/>
                <w:color w:val="auto"/>
                <w:szCs w:val="21"/>
                <w:highlight w:val="none"/>
              </w:rPr>
              <w:t>提供具有履行合同所必须的设备和专业技术能力的承诺函。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3" w:hRule="atLeast"/>
          <w:jc w:val="center"/>
        </w:trPr>
        <w:tc>
          <w:tcPr>
            <w:tcW w:w="1913" w:type="dxa"/>
            <w:tcMar>
              <w:top w:w="57" w:type="dxa"/>
              <w:left w:w="108" w:type="dxa"/>
              <w:bottom w:w="0" w:type="dxa"/>
              <w:right w:w="108" w:type="dxa"/>
            </w:tcMar>
            <w:vAlign w:val="center"/>
          </w:tcPr>
          <w:p>
            <w:pPr>
              <w:pStyle w:val="54"/>
              <w:spacing w:line="300" w:lineRule="auto"/>
              <w:ind w:right="3" w:hanging="10"/>
              <w:jc w:val="center"/>
              <w:rPr>
                <w:color w:val="auto"/>
                <w:szCs w:val="21"/>
                <w:highlight w:val="none"/>
              </w:rPr>
            </w:pPr>
            <w:r>
              <w:rPr>
                <w:rFonts w:hint="eastAsia"/>
                <w:color w:val="auto"/>
                <w:szCs w:val="21"/>
                <w:highlight w:val="none"/>
              </w:rPr>
              <w:t>参加采购活动前3年内，在经营活动中没有重大违法记录</w:t>
            </w:r>
          </w:p>
        </w:tc>
        <w:tc>
          <w:tcPr>
            <w:tcW w:w="7092" w:type="dxa"/>
            <w:tcMar>
              <w:top w:w="57" w:type="dxa"/>
              <w:left w:w="108" w:type="dxa"/>
              <w:bottom w:w="0" w:type="dxa"/>
              <w:right w:w="108" w:type="dxa"/>
            </w:tcMar>
            <w:vAlign w:val="center"/>
          </w:tcPr>
          <w:p>
            <w:pPr>
              <w:pStyle w:val="54"/>
              <w:spacing w:before="48" w:line="300" w:lineRule="auto"/>
              <w:ind w:left="15" w:leftChars="7" w:right="-17" w:rightChars="-8" w:firstLine="403" w:firstLineChars="192"/>
              <w:rPr>
                <w:color w:val="auto"/>
                <w:szCs w:val="21"/>
                <w:highlight w:val="none"/>
              </w:rPr>
            </w:pPr>
            <w:r>
              <w:rPr>
                <w:rFonts w:hint="eastAsia"/>
                <w:color w:val="auto"/>
                <w:szCs w:val="21"/>
                <w:highlight w:val="none"/>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4"/>
              <w:spacing w:line="300" w:lineRule="auto"/>
              <w:ind w:right="3" w:hanging="10"/>
              <w:jc w:val="center"/>
              <w:rPr>
                <w:color w:val="auto"/>
                <w:szCs w:val="21"/>
                <w:highlight w:val="none"/>
              </w:rPr>
            </w:pPr>
            <w:r>
              <w:rPr>
                <w:rFonts w:hint="eastAsia"/>
                <w:color w:val="auto"/>
                <w:szCs w:val="21"/>
                <w:highlight w:val="none"/>
              </w:rPr>
              <w:t>信用记录</w:t>
            </w:r>
          </w:p>
        </w:tc>
        <w:tc>
          <w:tcPr>
            <w:tcW w:w="7092" w:type="dxa"/>
            <w:shd w:val="clear" w:color="auto" w:fill="F6F6F6"/>
            <w:tcMar>
              <w:top w:w="57" w:type="dxa"/>
              <w:left w:w="108" w:type="dxa"/>
              <w:bottom w:w="0" w:type="dxa"/>
              <w:right w:w="108" w:type="dxa"/>
            </w:tcMar>
            <w:vAlign w:val="center"/>
          </w:tcPr>
          <w:p>
            <w:pPr>
              <w:spacing w:line="300" w:lineRule="auto"/>
              <w:ind w:left="15" w:leftChars="7" w:right="-17" w:rightChars="-8" w:firstLine="403" w:firstLineChars="192"/>
              <w:rPr>
                <w:rFonts w:ascii="宋体" w:hAnsi="宋体" w:cs="宋体"/>
                <w:color w:val="auto"/>
                <w:szCs w:val="21"/>
                <w:highlight w:val="none"/>
              </w:rPr>
            </w:pPr>
            <w:r>
              <w:rPr>
                <w:rFonts w:hint="eastAsia" w:ascii="宋体" w:hAnsi="宋体" w:cs="宋体"/>
                <w:color w:val="auto"/>
                <w:highlight w:val="none"/>
              </w:rPr>
              <w:t>1.截止时点：开标后评标前。</w:t>
            </w:r>
          </w:p>
          <w:p>
            <w:pPr>
              <w:spacing w:line="300" w:lineRule="auto"/>
              <w:ind w:left="15" w:leftChars="7" w:right="-17" w:rightChars="-8" w:firstLine="403" w:firstLineChars="192"/>
              <w:rPr>
                <w:rFonts w:ascii="宋体" w:hAnsi="宋体" w:cs="宋体"/>
                <w:color w:val="auto"/>
                <w:szCs w:val="21"/>
                <w:highlight w:val="none"/>
              </w:rPr>
            </w:pPr>
            <w:r>
              <w:rPr>
                <w:rFonts w:hint="eastAsia" w:ascii="宋体" w:hAnsi="宋体" w:cs="宋体"/>
                <w:color w:val="auto"/>
                <w:highlight w:val="none"/>
              </w:rPr>
              <w:t>2.使用规则：投标人未被列入“信用中国”失信被执行人或重大税收违法案件当事人名单；未处于“中国政府采购网”政府采购严重违法失信行为信息记录中的禁止参加政府采购活动期间（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4"/>
              <w:spacing w:line="300" w:lineRule="auto"/>
              <w:ind w:right="3" w:hanging="10"/>
              <w:jc w:val="center"/>
              <w:rPr>
                <w:color w:val="auto"/>
                <w:szCs w:val="21"/>
                <w:highlight w:val="none"/>
              </w:rPr>
            </w:pPr>
            <w:r>
              <w:rPr>
                <w:rFonts w:hint="eastAsia"/>
                <w:color w:val="auto"/>
                <w:szCs w:val="21"/>
                <w:highlight w:val="none"/>
              </w:rPr>
              <w:t>必须符合法律、行政法规规定的其他条件</w:t>
            </w:r>
          </w:p>
        </w:tc>
        <w:tc>
          <w:tcPr>
            <w:tcW w:w="7092" w:type="dxa"/>
            <w:tcMar>
              <w:top w:w="57" w:type="dxa"/>
              <w:left w:w="108" w:type="dxa"/>
              <w:bottom w:w="0" w:type="dxa"/>
              <w:right w:w="108" w:type="dxa"/>
            </w:tcMar>
            <w:vAlign w:val="center"/>
          </w:tcPr>
          <w:p>
            <w:pPr>
              <w:pStyle w:val="54"/>
              <w:spacing w:before="48" w:line="300" w:lineRule="auto"/>
              <w:ind w:left="15" w:leftChars="7" w:right="-17" w:rightChars="-8" w:firstLine="403" w:firstLineChars="192"/>
              <w:rPr>
                <w:color w:val="auto"/>
                <w:szCs w:val="21"/>
                <w:highlight w:val="none"/>
              </w:rPr>
            </w:pPr>
            <w:r>
              <w:rPr>
                <w:rFonts w:hint="eastAsia"/>
                <w:color w:val="auto"/>
                <w:szCs w:val="21"/>
                <w:highlight w:val="none"/>
              </w:rPr>
              <w:t>1.单位负责人为同一人或者存在直接控股、管理关系的不同供应商，不得同时参加本项目投标。</w:t>
            </w:r>
          </w:p>
          <w:p>
            <w:pPr>
              <w:pStyle w:val="54"/>
              <w:spacing w:before="48" w:line="300" w:lineRule="auto"/>
              <w:ind w:left="15" w:leftChars="7" w:right="-17" w:rightChars="-8" w:firstLine="403" w:firstLineChars="192"/>
              <w:rPr>
                <w:color w:val="auto"/>
                <w:szCs w:val="21"/>
                <w:highlight w:val="none"/>
              </w:rPr>
            </w:pPr>
            <w:r>
              <w:rPr>
                <w:rFonts w:hint="eastAsia"/>
                <w:color w:val="auto"/>
                <w:szCs w:val="21"/>
                <w:highlight w:val="none"/>
              </w:rPr>
              <w:t>2.为本项目提供整体设计、规范编制或者项目管理、监理、检测等服务的供应商，不得再参与本项目投标。</w:t>
            </w:r>
          </w:p>
          <w:p>
            <w:pPr>
              <w:pStyle w:val="54"/>
              <w:spacing w:before="48" w:line="300" w:lineRule="auto"/>
              <w:ind w:left="15" w:leftChars="7" w:right="-17" w:rightChars="-8" w:firstLine="403" w:firstLineChars="192"/>
              <w:rPr>
                <w:color w:val="auto"/>
                <w:szCs w:val="21"/>
                <w:highlight w:val="none"/>
              </w:rPr>
            </w:pPr>
            <w:r>
              <w:rPr>
                <w:rFonts w:hint="eastAsia"/>
                <w:color w:val="auto"/>
                <w:szCs w:val="21"/>
                <w:highlight w:val="none"/>
              </w:rPr>
              <w:t>3.投标（报价）文件相关承诺要求内容（以联合体形式投标时，联合体各方均须满足该条款）。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4"/>
              <w:spacing w:before="48" w:line="300" w:lineRule="auto"/>
              <w:ind w:right="3" w:hanging="10"/>
              <w:jc w:val="center"/>
              <w:rPr>
                <w:color w:val="auto"/>
                <w:szCs w:val="21"/>
                <w:highlight w:val="none"/>
              </w:rPr>
            </w:pPr>
            <w:r>
              <w:rPr>
                <w:rFonts w:hint="eastAsia"/>
                <w:color w:val="auto"/>
                <w:szCs w:val="21"/>
                <w:highlight w:val="none"/>
              </w:rPr>
              <w:t>联合体投标</w:t>
            </w:r>
          </w:p>
        </w:tc>
        <w:tc>
          <w:tcPr>
            <w:tcW w:w="7092" w:type="dxa"/>
            <w:shd w:val="clear" w:color="auto" w:fill="F6F6F6"/>
            <w:tcMar>
              <w:top w:w="57" w:type="dxa"/>
              <w:left w:w="108" w:type="dxa"/>
              <w:bottom w:w="0" w:type="dxa"/>
              <w:right w:w="108" w:type="dxa"/>
            </w:tcMar>
            <w:vAlign w:val="center"/>
          </w:tcPr>
          <w:p>
            <w:pPr>
              <w:pStyle w:val="54"/>
              <w:spacing w:before="48" w:line="300" w:lineRule="auto"/>
              <w:ind w:left="15" w:leftChars="7" w:right="-17" w:rightChars="-8" w:firstLine="403" w:firstLineChars="192"/>
              <w:rPr>
                <w:color w:val="auto"/>
                <w:szCs w:val="21"/>
                <w:highlight w:val="none"/>
              </w:rPr>
            </w:pPr>
            <w:r>
              <w:rPr>
                <w:rFonts w:hint="eastAsia"/>
                <w:color w:val="auto"/>
                <w:szCs w:val="21"/>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4"/>
              <w:spacing w:line="300" w:lineRule="auto"/>
              <w:ind w:right="3" w:hanging="10"/>
              <w:jc w:val="center"/>
              <w:rPr>
                <w:color w:val="auto"/>
                <w:szCs w:val="21"/>
                <w:highlight w:val="none"/>
              </w:rPr>
            </w:pPr>
            <w:r>
              <w:rPr>
                <w:rFonts w:hint="eastAsia"/>
                <w:color w:val="auto"/>
                <w:szCs w:val="21"/>
                <w:highlight w:val="none"/>
              </w:rPr>
              <w:t>资质</w:t>
            </w:r>
          </w:p>
        </w:tc>
        <w:tc>
          <w:tcPr>
            <w:tcW w:w="7092" w:type="dxa"/>
            <w:tcMar>
              <w:top w:w="57" w:type="dxa"/>
              <w:left w:w="108" w:type="dxa"/>
              <w:bottom w:w="0" w:type="dxa"/>
              <w:right w:w="108" w:type="dxa"/>
            </w:tcMar>
            <w:vAlign w:val="center"/>
          </w:tcPr>
          <w:p>
            <w:pPr>
              <w:pStyle w:val="54"/>
              <w:spacing w:before="48" w:line="300" w:lineRule="auto"/>
              <w:ind w:left="15" w:leftChars="7" w:right="-17" w:rightChars="-8" w:firstLine="403" w:firstLineChars="192"/>
              <w:rPr>
                <w:color w:val="auto"/>
                <w:szCs w:val="21"/>
                <w:highlight w:val="none"/>
              </w:rPr>
            </w:pPr>
            <w:r>
              <w:rPr>
                <w:rFonts w:hint="eastAsia"/>
                <w:color w:val="auto"/>
                <w:szCs w:val="21"/>
                <w:highlight w:val="none"/>
              </w:rPr>
              <w:t>具有中国银行保险监督管理委员会（原中国保险监督管理委员会）颁发的《中华人民共和国经营保险业务许可证》并具备经营意外险和健康险范围的人身保险公司。</w:t>
            </w:r>
          </w:p>
        </w:tc>
      </w:tr>
    </w:tbl>
    <w:p>
      <w:pPr>
        <w:pStyle w:val="10"/>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w:t>
      </w:r>
      <w:r>
        <w:rPr>
          <w:rFonts w:asciiTheme="minorEastAsia" w:hAnsiTheme="minorEastAsia" w:eastAsiaTheme="minorEastAsia"/>
          <w:b/>
          <w:bCs/>
          <w:color w:val="auto"/>
          <w:sz w:val="24"/>
          <w:highlight w:val="none"/>
        </w:rPr>
        <w:t>符合性审查</w:t>
      </w:r>
    </w:p>
    <w:p>
      <w:pPr>
        <w:pStyle w:val="1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w:t>
      </w:r>
      <w:r>
        <w:rPr>
          <w:rFonts w:hint="eastAsia" w:ascii="宋体" w:hAnsi="宋体" w:cs="宋体"/>
          <w:color w:val="auto"/>
          <w:sz w:val="24"/>
          <w:highlight w:val="none"/>
        </w:rPr>
        <w:t>在台州湾新区小额工程电子交易平台公布无效投标的投标人名单、投标无效的原因</w:t>
      </w:r>
      <w:r>
        <w:rPr>
          <w:rFonts w:hint="eastAsia" w:asciiTheme="minorEastAsia" w:hAnsiTheme="minorEastAsia" w:eastAsiaTheme="minorEastAsia"/>
          <w:color w:val="auto"/>
          <w:sz w:val="24"/>
          <w:highlight w:val="none"/>
        </w:rPr>
        <w:t>。</w:t>
      </w:r>
    </w:p>
    <w:tbl>
      <w:tblPr>
        <w:tblStyle w:val="26"/>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4"/>
              <w:spacing w:line="300" w:lineRule="auto"/>
              <w:ind w:right="3" w:hanging="10"/>
              <w:jc w:val="center"/>
              <w:rPr>
                <w:color w:val="auto"/>
                <w:szCs w:val="21"/>
                <w:highlight w:val="none"/>
              </w:rPr>
            </w:pPr>
            <w:r>
              <w:rPr>
                <w:rFonts w:hint="eastAsia"/>
                <w:color w:val="auto"/>
                <w:szCs w:val="21"/>
                <w:highlight w:val="none"/>
              </w:rPr>
              <w:t>投标文件</w:t>
            </w:r>
          </w:p>
        </w:tc>
        <w:tc>
          <w:tcPr>
            <w:tcW w:w="7183" w:type="dxa"/>
            <w:tcMar>
              <w:top w:w="57" w:type="dxa"/>
              <w:left w:w="108" w:type="dxa"/>
              <w:bottom w:w="0" w:type="dxa"/>
              <w:right w:w="108" w:type="dxa"/>
            </w:tcMar>
            <w:vAlign w:val="center"/>
          </w:tcPr>
          <w:p>
            <w:pPr>
              <w:pStyle w:val="10"/>
              <w:spacing w:line="300" w:lineRule="auto"/>
              <w:ind w:left="15" w:leftChars="7" w:right="-17" w:rightChars="-8" w:firstLine="403" w:firstLineChars="192"/>
              <w:jc w:val="both"/>
              <w:rPr>
                <w:color w:val="auto"/>
                <w:highlight w:val="none"/>
              </w:rPr>
            </w:pPr>
            <w:r>
              <w:rPr>
                <w:rFonts w:hint="eastAsia"/>
                <w:color w:val="auto"/>
                <w:highlight w:val="none"/>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54"/>
              <w:spacing w:line="300" w:lineRule="auto"/>
              <w:ind w:right="3" w:hanging="10"/>
              <w:jc w:val="center"/>
              <w:rPr>
                <w:color w:val="auto"/>
                <w:szCs w:val="21"/>
                <w:highlight w:val="none"/>
              </w:rPr>
            </w:pPr>
            <w:r>
              <w:rPr>
                <w:rFonts w:hint="eastAsia"/>
                <w:color w:val="auto"/>
                <w:szCs w:val="21"/>
                <w:highlight w:val="none"/>
              </w:rPr>
              <w:t>法定代表人/负责人授权委托书</w:t>
            </w:r>
          </w:p>
        </w:tc>
        <w:tc>
          <w:tcPr>
            <w:tcW w:w="7183" w:type="dxa"/>
            <w:shd w:val="clear" w:color="auto" w:fill="F6F6F6"/>
            <w:tcMar>
              <w:top w:w="57" w:type="dxa"/>
              <w:left w:w="108" w:type="dxa"/>
              <w:bottom w:w="0" w:type="dxa"/>
              <w:right w:w="108" w:type="dxa"/>
            </w:tcMar>
            <w:vAlign w:val="center"/>
          </w:tcPr>
          <w:p>
            <w:pPr>
              <w:pStyle w:val="10"/>
              <w:spacing w:line="300" w:lineRule="auto"/>
              <w:ind w:left="15" w:leftChars="7" w:right="-17" w:rightChars="-8" w:firstLine="403" w:firstLineChars="192"/>
              <w:jc w:val="both"/>
              <w:rPr>
                <w:color w:val="auto"/>
                <w:highlight w:val="none"/>
              </w:rPr>
            </w:pPr>
            <w:r>
              <w:rPr>
                <w:rFonts w:hint="eastAsia"/>
                <w:color w:val="auto"/>
                <w:highlight w:val="none"/>
              </w:rPr>
              <w:t>法定代表人/负责人授权委托书，按对应格式文件签署、盖章。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4"/>
              <w:spacing w:line="300" w:lineRule="auto"/>
              <w:ind w:right="3" w:hanging="10"/>
              <w:jc w:val="center"/>
              <w:rPr>
                <w:color w:val="auto"/>
                <w:szCs w:val="21"/>
                <w:highlight w:val="none"/>
              </w:rPr>
            </w:pPr>
            <w:r>
              <w:rPr>
                <w:rFonts w:hint="eastAsia"/>
                <w:color w:val="auto"/>
                <w:szCs w:val="21"/>
                <w:highlight w:val="none"/>
              </w:rPr>
              <w:t>“▲”实质性条款</w:t>
            </w:r>
          </w:p>
        </w:tc>
        <w:tc>
          <w:tcPr>
            <w:tcW w:w="7183" w:type="dxa"/>
            <w:tcMar>
              <w:top w:w="57" w:type="dxa"/>
              <w:left w:w="108" w:type="dxa"/>
              <w:bottom w:w="0" w:type="dxa"/>
              <w:right w:w="108" w:type="dxa"/>
            </w:tcMar>
            <w:vAlign w:val="center"/>
          </w:tcPr>
          <w:p>
            <w:pPr>
              <w:pStyle w:val="10"/>
              <w:spacing w:line="300" w:lineRule="auto"/>
              <w:ind w:left="15" w:leftChars="7" w:right="-17" w:rightChars="-8" w:firstLine="403" w:firstLineChars="192"/>
              <w:jc w:val="both"/>
              <w:rPr>
                <w:color w:val="auto"/>
                <w:highlight w:val="none"/>
              </w:rPr>
            </w:pPr>
            <w:r>
              <w:rPr>
                <w:rFonts w:hint="eastAsia"/>
                <w:color w:val="auto"/>
                <w:highlight w:val="none"/>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54"/>
              <w:spacing w:line="300" w:lineRule="auto"/>
              <w:ind w:right="3" w:hanging="10"/>
              <w:jc w:val="center"/>
              <w:rPr>
                <w:color w:val="auto"/>
                <w:szCs w:val="21"/>
                <w:highlight w:val="none"/>
              </w:rPr>
            </w:pPr>
            <w:r>
              <w:rPr>
                <w:rFonts w:hint="eastAsia"/>
                <w:color w:val="auto"/>
                <w:szCs w:val="21"/>
                <w:highlight w:val="none"/>
              </w:rPr>
              <w:t>串通投标</w:t>
            </w:r>
          </w:p>
        </w:tc>
        <w:tc>
          <w:tcPr>
            <w:tcW w:w="7183" w:type="dxa"/>
            <w:shd w:val="clear" w:color="auto" w:fill="F6F6F6"/>
            <w:tcMar>
              <w:top w:w="57" w:type="dxa"/>
              <w:left w:w="108" w:type="dxa"/>
              <w:bottom w:w="0" w:type="dxa"/>
              <w:right w:w="108" w:type="dxa"/>
            </w:tcMar>
            <w:vAlign w:val="center"/>
          </w:tcPr>
          <w:p>
            <w:pPr>
              <w:pStyle w:val="10"/>
              <w:spacing w:line="300" w:lineRule="auto"/>
              <w:ind w:left="15" w:leftChars="7" w:right="-17" w:rightChars="-8" w:firstLine="403" w:firstLineChars="192"/>
              <w:jc w:val="both"/>
              <w:rPr>
                <w:color w:val="auto"/>
                <w:highlight w:val="none"/>
              </w:rPr>
            </w:pPr>
            <w:r>
              <w:rPr>
                <w:rFonts w:hint="eastAsia"/>
                <w:color w:val="auto"/>
                <w:highlight w:val="none"/>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4"/>
              <w:spacing w:line="300" w:lineRule="auto"/>
              <w:ind w:right="3" w:hanging="10"/>
              <w:jc w:val="center"/>
              <w:rPr>
                <w:color w:val="auto"/>
                <w:szCs w:val="21"/>
                <w:highlight w:val="none"/>
              </w:rPr>
            </w:pPr>
            <w:r>
              <w:rPr>
                <w:rFonts w:hint="eastAsia"/>
                <w:color w:val="auto"/>
                <w:szCs w:val="21"/>
                <w:highlight w:val="none"/>
              </w:rPr>
              <w:t>附加条件</w:t>
            </w:r>
          </w:p>
        </w:tc>
        <w:tc>
          <w:tcPr>
            <w:tcW w:w="7183" w:type="dxa"/>
            <w:tcMar>
              <w:top w:w="57" w:type="dxa"/>
              <w:left w:w="108" w:type="dxa"/>
              <w:bottom w:w="0" w:type="dxa"/>
              <w:right w:w="108" w:type="dxa"/>
            </w:tcMar>
            <w:vAlign w:val="center"/>
          </w:tcPr>
          <w:p>
            <w:pPr>
              <w:pStyle w:val="10"/>
              <w:spacing w:line="300" w:lineRule="auto"/>
              <w:ind w:left="15" w:leftChars="7" w:right="-17" w:rightChars="-8" w:firstLine="403" w:firstLineChars="192"/>
              <w:jc w:val="both"/>
              <w:rPr>
                <w:color w:val="auto"/>
                <w:highlight w:val="none"/>
              </w:rPr>
            </w:pPr>
            <w:r>
              <w:rPr>
                <w:rFonts w:hint="eastAsia"/>
                <w:color w:val="auto"/>
                <w:highlight w:val="none"/>
              </w:rPr>
              <w:t>投标文件未含有采购人不可接受的附加条件。</w:t>
            </w:r>
          </w:p>
        </w:tc>
      </w:tr>
    </w:tbl>
    <w:p>
      <w:pPr>
        <w:pStyle w:val="21"/>
        <w:spacing w:before="0" w:beforeAutospacing="0" w:after="0" w:afterAutospacing="0" w:line="360" w:lineRule="auto"/>
        <w:ind w:firstLine="482" w:firstLineChars="200"/>
        <w:jc w:val="both"/>
        <w:rPr>
          <w:rFonts w:hint="default" w:asciiTheme="minorEastAsia" w:hAnsiTheme="minorEastAsia" w:eastAsiaTheme="minorEastAsia"/>
          <w:color w:val="auto"/>
          <w:highlight w:val="none"/>
        </w:rPr>
      </w:pPr>
      <w:r>
        <w:rPr>
          <w:rFonts w:asciiTheme="minorEastAsia" w:hAnsiTheme="minorEastAsia" w:eastAsiaTheme="minorEastAsia"/>
          <w:b/>
          <w:bCs/>
          <w:color w:val="auto"/>
          <w:highlight w:val="none"/>
        </w:rPr>
        <w:t>（三）</w:t>
      </w:r>
      <w:r>
        <w:rPr>
          <w:rFonts w:ascii="Arial" w:hAnsi="Arial" w:cs="Arial" w:eastAsiaTheme="minorEastAsia"/>
          <w:b/>
          <w:bCs/>
          <w:color w:val="auto"/>
          <w:highlight w:val="none"/>
        </w:rPr>
        <w:t>技术标及商务标评审</w:t>
      </w:r>
    </w:p>
    <w:p>
      <w:pPr>
        <w:autoSpaceDE w:val="0"/>
        <w:autoSpaceDN w:val="0"/>
        <w:adjustRightInd w:val="0"/>
        <w:spacing w:line="360" w:lineRule="auto"/>
        <w:ind w:right="85" w:firstLine="240" w:firstLineChars="1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项目评标方法为综合评分法，总计100分，其中商务标30分、技术标70分。各投标人的总得分＝技术标得分＋商务标得分。</w:t>
      </w:r>
    </w:p>
    <w:p>
      <w:pPr>
        <w:autoSpaceDE w:val="0"/>
        <w:autoSpaceDN w:val="0"/>
        <w:adjustRightInd w:val="0"/>
        <w:spacing w:line="360" w:lineRule="auto"/>
        <w:ind w:right="85" w:firstLine="240" w:firstLineChars="100"/>
        <w:rPr>
          <w:rFonts w:ascii="宋体"/>
          <w:b/>
          <w:bCs/>
          <w:color w:val="auto"/>
          <w:sz w:val="24"/>
          <w:highlight w:val="none"/>
        </w:rPr>
      </w:pPr>
      <w:r>
        <w:rPr>
          <w:rFonts w:hint="eastAsia" w:asciiTheme="minorEastAsia" w:hAnsiTheme="minorEastAsia" w:eastAsiaTheme="minorEastAsia"/>
          <w:color w:val="auto"/>
          <w:kern w:val="0"/>
          <w:sz w:val="24"/>
          <w:highlight w:val="none"/>
        </w:rPr>
        <w:t>评标按以下标准及要求进行：</w:t>
      </w:r>
    </w:p>
    <w:p>
      <w:pPr>
        <w:autoSpaceDE w:val="0"/>
        <w:autoSpaceDN w:val="0"/>
        <w:adjustRightInd w:val="0"/>
        <w:spacing w:line="360" w:lineRule="auto"/>
        <w:ind w:right="85" w:firstLine="241" w:firstLineChars="100"/>
        <w:rPr>
          <w:rFonts w:ascii="宋体"/>
          <w:b/>
          <w:bCs/>
          <w:color w:val="auto"/>
          <w:sz w:val="24"/>
          <w:highlight w:val="none"/>
        </w:rPr>
      </w:pPr>
      <w:r>
        <w:rPr>
          <w:rFonts w:hint="eastAsia" w:ascii="宋体"/>
          <w:b/>
          <w:bCs/>
          <w:color w:val="auto"/>
          <w:sz w:val="24"/>
          <w:highlight w:val="none"/>
        </w:rPr>
        <w:t>1、评分标准</w:t>
      </w:r>
    </w:p>
    <w:p>
      <w:pPr>
        <w:spacing w:line="360" w:lineRule="auto"/>
        <w:ind w:left="479" w:leftChars="228"/>
        <w:rPr>
          <w:rFonts w:ascii="宋体" w:hAnsi="宋体"/>
          <w:bCs/>
          <w:color w:val="auto"/>
          <w:spacing w:val="14"/>
          <w:sz w:val="24"/>
          <w:highlight w:val="none"/>
        </w:rPr>
      </w:pPr>
      <w:r>
        <w:rPr>
          <w:rFonts w:hint="eastAsia" w:ascii="宋体" w:hAnsi="宋体"/>
          <w:b/>
          <w:color w:val="auto"/>
          <w:sz w:val="24"/>
          <w:highlight w:val="none"/>
        </w:rPr>
        <w:t>（1）技术标（</w:t>
      </w:r>
      <w:r>
        <w:rPr>
          <w:rFonts w:ascii="宋体" w:hAnsi="宋体"/>
          <w:b/>
          <w:color w:val="auto"/>
          <w:sz w:val="24"/>
          <w:highlight w:val="none"/>
        </w:rPr>
        <w:t>70</w:t>
      </w:r>
      <w:r>
        <w:rPr>
          <w:rFonts w:hint="eastAsia" w:ascii="宋体" w:hAnsi="宋体"/>
          <w:b/>
          <w:color w:val="auto"/>
          <w:sz w:val="24"/>
          <w:highlight w:val="none"/>
        </w:rPr>
        <w:t>分）</w:t>
      </w:r>
    </w:p>
    <w:p>
      <w:pPr>
        <w:spacing w:before="156" w:beforeLines="50" w:after="156" w:afterLines="50" w:line="360" w:lineRule="auto"/>
        <w:ind w:firstLine="480" w:firstLineChars="200"/>
        <w:rPr>
          <w:color w:val="auto"/>
          <w:sz w:val="24"/>
          <w:highlight w:val="none"/>
        </w:rPr>
      </w:pPr>
      <w:r>
        <w:rPr>
          <w:rFonts w:hint="eastAsia"/>
          <w:color w:val="auto"/>
          <w:sz w:val="24"/>
          <w:highlight w:val="none"/>
        </w:rPr>
        <w:t>评标委员会成员按技术标的评分标准，在确定的分值范围内各自打分。技术分按照评标委员会成员的评分结果取平均值，为投标人的技术标得分。技术标内容缺项的，该项得0分。（评委评分结果每项保留1位小数，第2位四舍五入；平均值小数点后保留2位，第3位四舍五入）</w:t>
      </w:r>
    </w:p>
    <w:tbl>
      <w:tblPr>
        <w:tblStyle w:val="26"/>
        <w:tblW w:w="97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825"/>
        <w:gridCol w:w="7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585" w:type="dxa"/>
            <w:vAlign w:val="center"/>
          </w:tcPr>
          <w:p>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评审因素</w:t>
            </w:r>
          </w:p>
        </w:tc>
        <w:tc>
          <w:tcPr>
            <w:tcW w:w="825" w:type="dxa"/>
            <w:vAlign w:val="center"/>
          </w:tcPr>
          <w:p>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分值</w:t>
            </w:r>
          </w:p>
        </w:tc>
        <w:tc>
          <w:tcPr>
            <w:tcW w:w="7297" w:type="dxa"/>
            <w:vAlign w:val="center"/>
          </w:tcPr>
          <w:p>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7" w:type="dxa"/>
            <w:gridSpan w:val="3"/>
            <w:vAlign w:val="center"/>
          </w:tcPr>
          <w:p>
            <w:pPr>
              <w:spacing w:line="360" w:lineRule="auto"/>
              <w:rPr>
                <w:rFonts w:ascii="宋体" w:hAnsi="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585" w:type="dxa"/>
            <w:vAlign w:val="center"/>
          </w:tcPr>
          <w:p>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合规经营情况</w:t>
            </w:r>
          </w:p>
        </w:tc>
        <w:tc>
          <w:tcPr>
            <w:tcW w:w="825" w:type="dxa"/>
            <w:vAlign w:val="center"/>
          </w:tcPr>
          <w:p>
            <w:pPr>
              <w:spacing w:line="360" w:lineRule="auto"/>
              <w:rPr>
                <w:rFonts w:ascii="宋体" w:hAnsi="宋体" w:cs="宋体"/>
                <w:color w:val="auto"/>
                <w:szCs w:val="21"/>
                <w:highlight w:val="none"/>
                <w:lang w:val="zh-CN"/>
              </w:rPr>
            </w:pPr>
            <w:r>
              <w:rPr>
                <w:rFonts w:ascii="宋体" w:hAnsi="宋体" w:cs="宋体"/>
                <w:color w:val="auto"/>
                <w:szCs w:val="21"/>
                <w:highlight w:val="none"/>
              </w:rPr>
              <w:t>5</w:t>
            </w:r>
            <w:r>
              <w:rPr>
                <w:rFonts w:hint="eastAsia" w:ascii="宋体" w:hAnsi="宋体" w:cs="宋体"/>
                <w:color w:val="auto"/>
                <w:szCs w:val="21"/>
                <w:highlight w:val="none"/>
                <w:lang w:val="zh-CN"/>
              </w:rPr>
              <w:t>分</w:t>
            </w:r>
          </w:p>
        </w:tc>
        <w:tc>
          <w:tcPr>
            <w:tcW w:w="7297"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zh-CN"/>
              </w:rPr>
              <w:t>投标人或投标人所在省公司自20</w:t>
            </w:r>
            <w:r>
              <w:rPr>
                <w:rFonts w:ascii="宋体" w:hAnsi="宋体" w:cs="宋体"/>
                <w:color w:val="auto"/>
                <w:szCs w:val="21"/>
                <w:highlight w:val="none"/>
                <w:lang w:val="zh-CN"/>
              </w:rPr>
              <w:t>20</w:t>
            </w:r>
            <w:r>
              <w:rPr>
                <w:rFonts w:hint="eastAsia" w:ascii="宋体" w:hAnsi="宋体" w:cs="宋体"/>
                <w:color w:val="auto"/>
                <w:szCs w:val="21"/>
                <w:highlight w:val="none"/>
                <w:lang w:val="zh-CN"/>
              </w:rPr>
              <w:t>年1月1日（以行政处罚书落款日期为准）是否受到中国保险监督管理委员会浙江监管局等监管部门处罚。有不良行为记录的，每条扣</w:t>
            </w:r>
            <w:r>
              <w:rPr>
                <w:rFonts w:hint="eastAsia" w:ascii="宋体" w:hAnsi="宋体" w:cs="宋体"/>
                <w:color w:val="auto"/>
                <w:szCs w:val="21"/>
                <w:highlight w:val="none"/>
              </w:rPr>
              <w:t>1分，扣至0分。</w:t>
            </w:r>
          </w:p>
          <w:p>
            <w:pPr>
              <w:pStyle w:val="2"/>
              <w:rPr>
                <w:rFonts w:ascii="宋体" w:hAnsi="宋体" w:cs="宋体"/>
                <w:color w:val="auto"/>
                <w:sz w:val="21"/>
                <w:szCs w:val="21"/>
                <w:highlight w:val="none"/>
                <w:lang w:val="zh-CN"/>
              </w:rPr>
            </w:pPr>
            <w:r>
              <w:rPr>
                <w:rFonts w:hint="eastAsia" w:ascii="宋体" w:hAnsi="宋体" w:cs="宋体"/>
                <w:b/>
                <w:bCs/>
                <w:color w:val="auto"/>
                <w:sz w:val="21"/>
                <w:szCs w:val="21"/>
                <w:highlight w:val="none"/>
                <w:lang w:val="zh-CN"/>
              </w:rPr>
              <w:t>注：以中国银行保险监督管理委员会浙江监管局（原中国保险监督管理委员会浙江监管局）网站公布的行政处罚信息为准。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5" w:type="dxa"/>
            <w:vAlign w:val="center"/>
          </w:tcPr>
          <w:p>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综合偿付能力充足率</w:t>
            </w:r>
          </w:p>
        </w:tc>
        <w:tc>
          <w:tcPr>
            <w:tcW w:w="825" w:type="dxa"/>
            <w:vAlign w:val="center"/>
          </w:tcPr>
          <w:p>
            <w:pPr>
              <w:spacing w:line="360" w:lineRule="auto"/>
              <w:rPr>
                <w:color w:val="auto"/>
                <w:highlight w:val="none"/>
              </w:rPr>
            </w:pPr>
            <w:r>
              <w:rPr>
                <w:rFonts w:ascii="宋体" w:hAnsi="宋体" w:cs="宋体"/>
                <w:color w:val="auto"/>
                <w:szCs w:val="21"/>
                <w:highlight w:val="none"/>
              </w:rPr>
              <w:t>5</w:t>
            </w:r>
            <w:r>
              <w:rPr>
                <w:rFonts w:hint="eastAsia" w:ascii="宋体" w:hAnsi="宋体" w:cs="宋体"/>
                <w:color w:val="auto"/>
                <w:szCs w:val="21"/>
                <w:highlight w:val="none"/>
              </w:rPr>
              <w:t>分</w:t>
            </w:r>
          </w:p>
        </w:tc>
        <w:tc>
          <w:tcPr>
            <w:tcW w:w="7297" w:type="dxa"/>
            <w:vAlign w:val="center"/>
          </w:tcPr>
          <w:p>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综合偿付能力充足率达到充足Ⅱ类公司标准，即大于等于150%的，得</w:t>
            </w:r>
            <w:r>
              <w:rPr>
                <w:rFonts w:ascii="宋体" w:hAnsi="宋体" w:cs="宋体"/>
                <w:color w:val="auto"/>
                <w:szCs w:val="21"/>
                <w:highlight w:val="none"/>
                <w:lang w:val="zh-CN"/>
              </w:rPr>
              <w:t>5</w:t>
            </w:r>
            <w:r>
              <w:rPr>
                <w:rFonts w:hint="eastAsia" w:ascii="宋体" w:hAnsi="宋体" w:cs="宋体"/>
                <w:color w:val="auto"/>
                <w:szCs w:val="21"/>
                <w:highlight w:val="none"/>
                <w:lang w:val="zh-CN"/>
              </w:rPr>
              <w:t>分；</w:t>
            </w:r>
          </w:p>
          <w:p>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综合偿付能力充足率达到充足Ⅰ类公司标准，即大于等于100%的，得</w:t>
            </w:r>
            <w:r>
              <w:rPr>
                <w:rFonts w:ascii="宋体" w:hAnsi="宋体" w:cs="宋体"/>
                <w:color w:val="auto"/>
                <w:szCs w:val="21"/>
                <w:highlight w:val="none"/>
                <w:lang w:val="zh-CN"/>
              </w:rPr>
              <w:t>3</w:t>
            </w:r>
            <w:r>
              <w:rPr>
                <w:rFonts w:hint="eastAsia" w:ascii="宋体" w:hAnsi="宋体" w:cs="宋体"/>
                <w:color w:val="auto"/>
                <w:szCs w:val="21"/>
                <w:highlight w:val="none"/>
                <w:lang w:val="zh-CN"/>
              </w:rPr>
              <w:t>分；</w:t>
            </w:r>
          </w:p>
          <w:p>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综合偿付能力充足率未达充足Ⅰ类公司标准，即小于100%的，不得分。</w:t>
            </w:r>
          </w:p>
          <w:p>
            <w:pPr>
              <w:spacing w:line="360" w:lineRule="auto"/>
              <w:rPr>
                <w:color w:val="auto"/>
                <w:highlight w:val="none"/>
              </w:rPr>
            </w:pPr>
            <w:r>
              <w:rPr>
                <w:rFonts w:hint="eastAsia" w:ascii="宋体" w:hAnsi="宋体" w:cs="宋体"/>
                <w:b/>
                <w:bCs/>
                <w:color w:val="auto"/>
                <w:szCs w:val="21"/>
                <w:highlight w:val="none"/>
                <w:lang w:val="zh-CN"/>
              </w:rPr>
              <w:t>注：</w:t>
            </w:r>
            <w:r>
              <w:rPr>
                <w:rFonts w:hint="eastAsia" w:ascii="宋体" w:hAnsi="宋体" w:cs="宋体"/>
                <w:b/>
                <w:bCs/>
                <w:color w:val="auto"/>
                <w:szCs w:val="21"/>
                <w:highlight w:val="none"/>
              </w:rPr>
              <w:t>投标人</w:t>
            </w:r>
            <w:r>
              <w:rPr>
                <w:rFonts w:hint="eastAsia" w:ascii="宋体" w:hAnsi="宋体" w:cs="宋体"/>
                <w:b/>
                <w:bCs/>
                <w:color w:val="auto"/>
                <w:szCs w:val="21"/>
                <w:highlight w:val="none"/>
                <w:lang w:val="zh-CN"/>
              </w:rPr>
              <w:t>须提供总公司</w:t>
            </w:r>
            <w:r>
              <w:rPr>
                <w:rFonts w:hint="eastAsia" w:ascii="宋体" w:hAnsi="宋体" w:cs="宋体"/>
                <w:b/>
                <w:bCs/>
                <w:color w:val="auto"/>
                <w:szCs w:val="21"/>
                <w:highlight w:val="none"/>
              </w:rPr>
              <w:t>2022</w:t>
            </w:r>
            <w:r>
              <w:rPr>
                <w:rFonts w:hint="eastAsia" w:ascii="宋体" w:hAnsi="宋体" w:cs="宋体"/>
                <w:b/>
                <w:bCs/>
                <w:color w:val="auto"/>
                <w:szCs w:val="21"/>
                <w:highlight w:val="none"/>
                <w:lang w:val="zh-CN"/>
              </w:rPr>
              <w:t>年度的审计报告或总公司官网年度信息披露报告</w:t>
            </w:r>
            <w:r>
              <w:rPr>
                <w:rFonts w:hint="eastAsia" w:ascii="宋体" w:hAnsi="宋体" w:cs="宋体"/>
                <w:b/>
                <w:bCs/>
                <w:color w:val="auto"/>
                <w:szCs w:val="21"/>
                <w:highlight w:val="none"/>
              </w:rPr>
              <w:t>扫描</w:t>
            </w:r>
            <w:r>
              <w:rPr>
                <w:rFonts w:hint="eastAsia" w:ascii="宋体" w:hAnsi="宋体" w:cs="宋体"/>
                <w:b/>
                <w:bCs/>
                <w:color w:val="auto"/>
                <w:szCs w:val="21"/>
                <w:highlight w:val="none"/>
                <w:lang w:val="zh-CN"/>
              </w:rPr>
              <w:t>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5" w:type="dxa"/>
            <w:vAlign w:val="center"/>
          </w:tcPr>
          <w:p>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风险监管评级</w:t>
            </w:r>
          </w:p>
        </w:tc>
        <w:tc>
          <w:tcPr>
            <w:tcW w:w="825"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5分</w:t>
            </w:r>
          </w:p>
        </w:tc>
        <w:tc>
          <w:tcPr>
            <w:tcW w:w="7297" w:type="dxa"/>
            <w:vAlign w:val="center"/>
          </w:tcPr>
          <w:p>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投标人的总公司，20</w:t>
            </w:r>
            <w:r>
              <w:rPr>
                <w:rFonts w:ascii="宋体" w:hAnsi="宋体" w:cs="宋体"/>
                <w:color w:val="auto"/>
                <w:szCs w:val="21"/>
                <w:highlight w:val="none"/>
                <w:lang w:val="zh-CN"/>
              </w:rPr>
              <w:t>22</w:t>
            </w:r>
            <w:r>
              <w:rPr>
                <w:rFonts w:hint="eastAsia" w:ascii="宋体" w:hAnsi="宋体" w:cs="宋体"/>
                <w:color w:val="auto"/>
                <w:szCs w:val="21"/>
                <w:highlight w:val="none"/>
                <w:lang w:val="zh-CN"/>
              </w:rPr>
              <w:t>年每个季度风险监管评级均为B及以上的得</w:t>
            </w:r>
            <w:r>
              <w:rPr>
                <w:rFonts w:ascii="宋体" w:hAnsi="宋体" w:cs="宋体"/>
                <w:color w:val="auto"/>
                <w:szCs w:val="21"/>
                <w:highlight w:val="none"/>
                <w:lang w:val="zh-CN"/>
              </w:rPr>
              <w:t>5</w:t>
            </w:r>
            <w:r>
              <w:rPr>
                <w:rFonts w:hint="eastAsia" w:ascii="宋体" w:hAnsi="宋体" w:cs="宋体"/>
                <w:color w:val="auto"/>
                <w:szCs w:val="21"/>
                <w:highlight w:val="none"/>
                <w:lang w:val="zh-CN"/>
              </w:rPr>
              <w:t>分；每有一个季度风险监管评级不为B及以上的，则扣1分，最少为0分。</w:t>
            </w:r>
          </w:p>
          <w:p>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注：提供相关证明文件，若系复印件，须在复印件上盖上有效的投标人公章，如未按此要求提供，不予认可；未提供季度风险监管评级证明材料的，该季度默认风险监管评级不为B及以上。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5" w:type="dxa"/>
            <w:vAlign w:val="center"/>
          </w:tcPr>
          <w:p>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资信证明</w:t>
            </w:r>
          </w:p>
        </w:tc>
        <w:tc>
          <w:tcPr>
            <w:tcW w:w="825" w:type="dxa"/>
            <w:vAlign w:val="center"/>
          </w:tcPr>
          <w:p>
            <w:pPr>
              <w:spacing w:line="360" w:lineRule="auto"/>
              <w:rPr>
                <w:rFonts w:ascii="宋体" w:hAnsi="宋体" w:cs="宋体"/>
                <w:color w:val="auto"/>
                <w:szCs w:val="21"/>
                <w:highlight w:val="none"/>
                <w:lang w:val="zh-CN"/>
              </w:rPr>
            </w:pPr>
            <w:r>
              <w:rPr>
                <w:rFonts w:ascii="宋体" w:hAnsi="宋体" w:cs="宋体"/>
                <w:color w:val="auto"/>
                <w:szCs w:val="21"/>
                <w:highlight w:val="none"/>
              </w:rPr>
              <w:t>5</w:t>
            </w:r>
            <w:r>
              <w:rPr>
                <w:rFonts w:hint="eastAsia" w:ascii="宋体" w:hAnsi="宋体" w:cs="宋体"/>
                <w:color w:val="auto"/>
                <w:szCs w:val="21"/>
                <w:highlight w:val="none"/>
              </w:rPr>
              <w:t>分</w:t>
            </w:r>
          </w:p>
        </w:tc>
        <w:tc>
          <w:tcPr>
            <w:tcW w:w="7297" w:type="dxa"/>
            <w:vAlign w:val="center"/>
          </w:tcPr>
          <w:p>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资信证明：</w:t>
            </w:r>
            <w:r>
              <w:rPr>
                <w:rFonts w:hint="eastAsia" w:ascii="宋体" w:hAnsi="宋体" w:cs="宋体"/>
                <w:color w:val="auto"/>
                <w:szCs w:val="21"/>
                <w:highlight w:val="none"/>
              </w:rPr>
              <w:t>提供</w:t>
            </w:r>
            <w:r>
              <w:rPr>
                <w:rFonts w:hint="eastAsia" w:ascii="宋体" w:hAnsi="宋体" w:cs="宋体"/>
                <w:color w:val="auto"/>
                <w:szCs w:val="21"/>
                <w:highlight w:val="none"/>
                <w:lang w:val="zh-CN"/>
              </w:rPr>
              <w:t>公司或所属集团信用等级证明</w:t>
            </w:r>
            <w:r>
              <w:rPr>
                <w:rFonts w:hint="eastAsia" w:ascii="宋体" w:hAnsi="宋体" w:cs="宋体"/>
                <w:color w:val="auto"/>
                <w:szCs w:val="21"/>
                <w:highlight w:val="none"/>
              </w:rPr>
              <w:t>文件</w:t>
            </w:r>
            <w:r>
              <w:rPr>
                <w:rFonts w:hint="eastAsia" w:ascii="宋体" w:hAnsi="宋体" w:cs="宋体"/>
                <w:b/>
                <w:bCs/>
                <w:color w:val="auto"/>
                <w:szCs w:val="21"/>
                <w:highlight w:val="none"/>
              </w:rPr>
              <w:t>扫描件</w:t>
            </w:r>
            <w:r>
              <w:rPr>
                <w:rFonts w:hint="eastAsia" w:ascii="宋体" w:hAnsi="宋体" w:cs="宋体"/>
                <w:color w:val="auto"/>
                <w:szCs w:val="21"/>
                <w:highlight w:val="none"/>
                <w:lang w:val="zh-CN"/>
              </w:rPr>
              <w:t>，投标人信用等级证明：</w:t>
            </w:r>
          </w:p>
          <w:p>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（1）信用等级证明3A评级，得5分；</w:t>
            </w:r>
          </w:p>
          <w:p>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（2）信用等级证明2A评级，得3分；</w:t>
            </w:r>
          </w:p>
          <w:p>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（3）信用等级证明1A评级，得1分。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85" w:type="dxa"/>
            <w:vAlign w:val="center"/>
          </w:tcPr>
          <w:p>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类似业绩</w:t>
            </w:r>
          </w:p>
        </w:tc>
        <w:tc>
          <w:tcPr>
            <w:tcW w:w="825" w:type="dxa"/>
            <w:vAlign w:val="center"/>
          </w:tcPr>
          <w:p>
            <w:pPr>
              <w:spacing w:line="360" w:lineRule="auto"/>
              <w:rPr>
                <w:rFonts w:ascii="宋体" w:hAnsi="宋体" w:cs="宋体"/>
                <w:color w:val="auto"/>
                <w:szCs w:val="21"/>
                <w:highlight w:val="none"/>
                <w:lang w:val="zh-CN"/>
              </w:rPr>
            </w:pPr>
            <w:r>
              <w:rPr>
                <w:rFonts w:ascii="宋体" w:hAnsi="宋体" w:cs="宋体"/>
                <w:color w:val="auto"/>
                <w:szCs w:val="21"/>
                <w:highlight w:val="none"/>
              </w:rPr>
              <w:t>10</w:t>
            </w:r>
            <w:r>
              <w:rPr>
                <w:rFonts w:hint="eastAsia" w:ascii="宋体" w:hAnsi="宋体" w:cs="宋体"/>
                <w:color w:val="auto"/>
                <w:szCs w:val="21"/>
                <w:highlight w:val="none"/>
                <w:lang w:val="zh-CN"/>
              </w:rPr>
              <w:t>分</w:t>
            </w:r>
          </w:p>
        </w:tc>
        <w:tc>
          <w:tcPr>
            <w:tcW w:w="7297" w:type="dxa"/>
            <w:vAlign w:val="center"/>
          </w:tcPr>
          <w:p>
            <w:pPr>
              <w:spacing w:line="360" w:lineRule="auto"/>
              <w:rPr>
                <w:rFonts w:ascii="宋体" w:hAnsi="宋体" w:cs="宋体"/>
                <w:color w:val="auto"/>
                <w:szCs w:val="21"/>
                <w:highlight w:val="none"/>
                <w:lang w:val="zh-CN"/>
              </w:rPr>
            </w:pPr>
            <w:r>
              <w:rPr>
                <w:rFonts w:hint="eastAsia" w:ascii="宋体" w:hAnsi="宋体" w:cs="宋体"/>
                <w:color w:val="auto"/>
                <w:szCs w:val="21"/>
                <w:highlight w:val="none"/>
              </w:rPr>
              <w:t>投标人</w:t>
            </w:r>
            <w:r>
              <w:rPr>
                <w:rFonts w:hint="eastAsia" w:ascii="宋体" w:hAnsi="宋体" w:cs="宋体"/>
                <w:color w:val="auto"/>
                <w:szCs w:val="21"/>
                <w:highlight w:val="none"/>
                <w:lang w:val="zh-CN"/>
              </w:rPr>
              <w:t>所属市级机构（包括市级机构所辖全市各分支机构）2020年1月1日起承保或提供服务的国资企业（不含政府项目）补充医疗保险项目。单个合同金额超过30万元/年每个业绩得1分，最高得10分。</w:t>
            </w:r>
          </w:p>
          <w:p>
            <w:pPr>
              <w:spacing w:line="360" w:lineRule="auto"/>
              <w:rPr>
                <w:rFonts w:ascii="宋体" w:hAnsi="宋体" w:cs="宋体"/>
                <w:color w:val="auto"/>
                <w:szCs w:val="21"/>
                <w:highlight w:val="none"/>
                <w:lang w:val="zh-CN"/>
              </w:rPr>
            </w:pPr>
            <w:r>
              <w:rPr>
                <w:rFonts w:hint="eastAsia" w:ascii="宋体" w:hAnsi="宋体" w:cs="宋体"/>
                <w:b/>
                <w:bCs/>
                <w:color w:val="auto"/>
                <w:szCs w:val="21"/>
                <w:highlight w:val="none"/>
                <w:lang w:val="zh-CN"/>
              </w:rPr>
              <w:t>注：在投标文件中附上合同及保费证明材料复印件（部分可证明评分标准的有效内容），资料不全不得分。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707" w:type="dxa"/>
            <w:gridSpan w:val="3"/>
            <w:vAlign w:val="center"/>
          </w:tcPr>
          <w:p>
            <w:pPr>
              <w:pStyle w:val="11"/>
              <w:jc w:val="left"/>
              <w:rPr>
                <w:rFonts w:hAnsi="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585" w:type="dxa"/>
            <w:vAlign w:val="center"/>
          </w:tcPr>
          <w:p>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一年期消费型补充医疗保险方案</w:t>
            </w:r>
          </w:p>
        </w:tc>
        <w:tc>
          <w:tcPr>
            <w:tcW w:w="825" w:type="dxa"/>
            <w:vAlign w:val="center"/>
          </w:tcPr>
          <w:p>
            <w:pPr>
              <w:spacing w:line="360" w:lineRule="auto"/>
              <w:rPr>
                <w:rFonts w:ascii="宋体" w:hAnsi="宋体" w:cs="宋体"/>
                <w:color w:val="auto"/>
                <w:szCs w:val="21"/>
                <w:highlight w:val="none"/>
                <w:lang w:val="zh-CN"/>
              </w:rPr>
            </w:pPr>
            <w:r>
              <w:rPr>
                <w:rFonts w:ascii="宋体" w:hAnsi="宋体" w:cs="宋体"/>
                <w:color w:val="auto"/>
                <w:szCs w:val="21"/>
                <w:highlight w:val="none"/>
              </w:rPr>
              <w:t>8分</w:t>
            </w:r>
          </w:p>
        </w:tc>
        <w:tc>
          <w:tcPr>
            <w:tcW w:w="7297" w:type="dxa"/>
            <w:vAlign w:val="center"/>
          </w:tcPr>
          <w:p>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响应文件制作清晰程度、根据招标需求定制的服务方案完善具体程度、内容针对性强弱、实用性和可行性高低进行综合评审。</w:t>
            </w:r>
          </w:p>
          <w:p>
            <w:pPr>
              <w:pStyle w:val="2"/>
              <w:rPr>
                <w:color w:val="auto"/>
                <w:highlight w:val="none"/>
                <w:lang w:val="zh-CN"/>
              </w:rPr>
            </w:pPr>
            <w:r>
              <w:rPr>
                <w:rFonts w:hint="eastAsia" w:ascii="宋体" w:hAnsi="宋体" w:cs="宋体"/>
                <w:color w:val="auto"/>
                <w:sz w:val="21"/>
                <w:szCs w:val="21"/>
                <w:highlight w:val="none"/>
                <w:lang w:val="zh-CN"/>
              </w:rPr>
              <w:t>优得</w:t>
            </w:r>
            <w:r>
              <w:rPr>
                <w:rFonts w:ascii="宋体" w:hAnsi="宋体" w:cs="宋体"/>
                <w:color w:val="auto"/>
                <w:sz w:val="21"/>
                <w:szCs w:val="21"/>
                <w:highlight w:val="none"/>
              </w:rPr>
              <w:t>8</w:t>
            </w:r>
            <w:r>
              <w:rPr>
                <w:rFonts w:hint="eastAsia" w:ascii="宋体" w:hAnsi="宋体" w:cs="宋体"/>
                <w:color w:val="auto"/>
                <w:sz w:val="21"/>
                <w:szCs w:val="21"/>
                <w:highlight w:val="none"/>
                <w:lang w:val="zh-CN"/>
              </w:rPr>
              <w:t>-</w:t>
            </w:r>
            <w:r>
              <w:rPr>
                <w:rFonts w:ascii="宋体" w:hAnsi="宋体" w:cs="宋体"/>
                <w:color w:val="auto"/>
                <w:sz w:val="21"/>
                <w:szCs w:val="21"/>
                <w:highlight w:val="none"/>
              </w:rPr>
              <w:t>6</w:t>
            </w:r>
            <w:r>
              <w:rPr>
                <w:rFonts w:hint="eastAsia" w:ascii="宋体" w:hAnsi="宋体" w:cs="宋体"/>
                <w:color w:val="auto"/>
                <w:sz w:val="21"/>
                <w:szCs w:val="21"/>
                <w:highlight w:val="none"/>
                <w:lang w:val="zh-CN"/>
              </w:rPr>
              <w:t>分，良</w:t>
            </w:r>
            <w:r>
              <w:rPr>
                <w:rFonts w:ascii="宋体" w:hAnsi="宋体" w:cs="宋体"/>
                <w:color w:val="auto"/>
                <w:sz w:val="21"/>
                <w:szCs w:val="21"/>
                <w:highlight w:val="none"/>
              </w:rPr>
              <w:t>5.9</w:t>
            </w:r>
            <w:r>
              <w:rPr>
                <w:rFonts w:hint="eastAsia" w:ascii="宋体" w:hAnsi="宋体" w:cs="宋体"/>
                <w:color w:val="auto"/>
                <w:sz w:val="21"/>
                <w:szCs w:val="21"/>
                <w:highlight w:val="none"/>
                <w:lang w:val="zh-CN"/>
              </w:rPr>
              <w:t>-</w:t>
            </w:r>
            <w:r>
              <w:rPr>
                <w:rFonts w:ascii="宋体" w:hAnsi="宋体" w:cs="宋体"/>
                <w:color w:val="auto"/>
                <w:sz w:val="21"/>
                <w:szCs w:val="21"/>
                <w:highlight w:val="none"/>
              </w:rPr>
              <w:t>4</w:t>
            </w:r>
            <w:r>
              <w:rPr>
                <w:rFonts w:hint="eastAsia" w:ascii="宋体" w:hAnsi="宋体" w:cs="宋体"/>
                <w:color w:val="auto"/>
                <w:sz w:val="21"/>
                <w:szCs w:val="21"/>
                <w:highlight w:val="none"/>
                <w:lang w:val="zh-CN"/>
              </w:rPr>
              <w:t>分，一般</w:t>
            </w:r>
            <w:r>
              <w:rPr>
                <w:rFonts w:ascii="宋体" w:hAnsi="宋体" w:cs="宋体"/>
                <w:color w:val="auto"/>
                <w:sz w:val="21"/>
                <w:szCs w:val="21"/>
                <w:highlight w:val="none"/>
              </w:rPr>
              <w:t>3</w:t>
            </w:r>
            <w:r>
              <w:rPr>
                <w:rFonts w:hint="eastAsia" w:ascii="宋体" w:hAnsi="宋体" w:cs="宋体"/>
                <w:color w:val="auto"/>
                <w:sz w:val="21"/>
                <w:szCs w:val="21"/>
                <w:highlight w:val="none"/>
                <w:lang w:val="zh-CN"/>
              </w:rPr>
              <w:t>.9-</w:t>
            </w:r>
            <w:r>
              <w:rPr>
                <w:rFonts w:ascii="宋体" w:hAnsi="宋体" w:cs="宋体"/>
                <w:color w:val="auto"/>
                <w:sz w:val="21"/>
                <w:szCs w:val="21"/>
                <w:highlight w:val="none"/>
              </w:rPr>
              <w:t>2</w:t>
            </w:r>
            <w:r>
              <w:rPr>
                <w:rFonts w:hint="eastAsia" w:ascii="宋体" w:hAnsi="宋体" w:cs="宋体"/>
                <w:color w:val="auto"/>
                <w:sz w:val="21"/>
                <w:szCs w:val="21"/>
                <w:highlight w:val="none"/>
                <w:lang w:val="zh-CN"/>
              </w:rPr>
              <w:t>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585" w:type="dxa"/>
            <w:vAlign w:val="center"/>
          </w:tcPr>
          <w:p>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企业委托管理型医疗保险基金方案</w:t>
            </w:r>
          </w:p>
        </w:tc>
        <w:tc>
          <w:tcPr>
            <w:tcW w:w="825" w:type="dxa"/>
            <w:vAlign w:val="center"/>
          </w:tcPr>
          <w:p>
            <w:pPr>
              <w:spacing w:line="360" w:lineRule="auto"/>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分</w:t>
            </w:r>
          </w:p>
        </w:tc>
        <w:tc>
          <w:tcPr>
            <w:tcW w:w="7297" w:type="dxa"/>
            <w:vAlign w:val="center"/>
          </w:tcPr>
          <w:p>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响应文件制作清晰程度、根据招标需求定制的服务方案完善具体程度、内容针对性强弱、实用性和可行性高低，是否对于补充医疗单位统筹资金进行有效管理投资运作进行综合评审。</w:t>
            </w:r>
            <w:r>
              <w:rPr>
                <w:rFonts w:ascii="宋体" w:hAnsi="宋体" w:cs="宋体"/>
                <w:color w:val="auto"/>
                <w:szCs w:val="21"/>
                <w:highlight w:val="none"/>
                <w:lang w:val="zh-CN"/>
              </w:rPr>
              <w:t>酌情打</w:t>
            </w:r>
            <w:r>
              <w:rPr>
                <w:rFonts w:hint="eastAsia" w:ascii="宋体" w:hAnsi="宋体" w:cs="宋体"/>
                <w:color w:val="auto"/>
                <w:szCs w:val="21"/>
                <w:highlight w:val="none"/>
                <w:lang w:val="zh-CN"/>
              </w:rPr>
              <w:t>0</w:t>
            </w:r>
            <w:r>
              <w:rPr>
                <w:rFonts w:ascii="宋体" w:hAnsi="宋体" w:cs="宋体"/>
                <w:color w:val="auto"/>
                <w:szCs w:val="21"/>
                <w:highlight w:val="none"/>
                <w:lang w:val="zh-CN"/>
              </w:rPr>
              <w:t>-2分</w:t>
            </w:r>
            <w:r>
              <w:rPr>
                <w:rFonts w:hint="eastAsia" w:ascii="宋体" w:hAnsi="宋体" w:cs="宋体"/>
                <w:color w:val="auto"/>
                <w:szCs w:val="21"/>
                <w:highlight w:val="none"/>
                <w:lang w:val="zh-CN"/>
              </w:rPr>
              <w:t>。缺项不得分。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585" w:type="dxa"/>
            <w:vAlign w:val="center"/>
          </w:tcPr>
          <w:p>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服务团队</w:t>
            </w:r>
          </w:p>
        </w:tc>
        <w:tc>
          <w:tcPr>
            <w:tcW w:w="825" w:type="dxa"/>
            <w:vAlign w:val="center"/>
          </w:tcPr>
          <w:p>
            <w:pPr>
              <w:spacing w:line="360" w:lineRule="auto"/>
              <w:rPr>
                <w:rFonts w:ascii="宋体" w:hAnsi="宋体" w:cs="宋体"/>
                <w:color w:val="auto"/>
                <w:szCs w:val="21"/>
                <w:highlight w:val="none"/>
              </w:rPr>
            </w:pPr>
            <w:r>
              <w:rPr>
                <w:rFonts w:ascii="宋体" w:hAnsi="宋体" w:cs="宋体"/>
                <w:color w:val="auto"/>
                <w:szCs w:val="21"/>
                <w:highlight w:val="none"/>
              </w:rPr>
              <w:t>5分</w:t>
            </w:r>
          </w:p>
        </w:tc>
        <w:tc>
          <w:tcPr>
            <w:tcW w:w="7297" w:type="dxa"/>
            <w:vAlign w:val="center"/>
          </w:tcPr>
          <w:p>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团队负责人的资历情况，团队成员的个数等综合评分。</w:t>
            </w:r>
          </w:p>
          <w:p>
            <w:pPr>
              <w:pStyle w:val="2"/>
              <w:rPr>
                <w:color w:val="auto"/>
                <w:highlight w:val="none"/>
                <w:lang w:val="zh-CN"/>
              </w:rPr>
            </w:pPr>
            <w:r>
              <w:rPr>
                <w:rFonts w:hint="eastAsia" w:ascii="宋体" w:hAnsi="宋体" w:cs="宋体"/>
                <w:color w:val="auto"/>
                <w:sz w:val="21"/>
                <w:szCs w:val="21"/>
                <w:highlight w:val="none"/>
                <w:lang w:val="zh-CN"/>
              </w:rPr>
              <w:t>优得</w:t>
            </w:r>
            <w:r>
              <w:rPr>
                <w:rFonts w:hint="eastAsia" w:ascii="宋体" w:hAnsi="宋体" w:cs="宋体"/>
                <w:color w:val="auto"/>
                <w:sz w:val="21"/>
                <w:szCs w:val="21"/>
                <w:highlight w:val="none"/>
              </w:rPr>
              <w:t>5</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4</w:t>
            </w:r>
            <w:r>
              <w:rPr>
                <w:rFonts w:hint="eastAsia" w:ascii="宋体" w:hAnsi="宋体" w:cs="宋体"/>
                <w:color w:val="auto"/>
                <w:sz w:val="21"/>
                <w:szCs w:val="21"/>
                <w:highlight w:val="none"/>
                <w:lang w:val="zh-CN"/>
              </w:rPr>
              <w:t>分，良</w:t>
            </w:r>
            <w:r>
              <w:rPr>
                <w:rFonts w:hint="eastAsia" w:ascii="宋体" w:hAnsi="宋体" w:cs="宋体"/>
                <w:color w:val="auto"/>
                <w:sz w:val="21"/>
                <w:szCs w:val="21"/>
                <w:highlight w:val="none"/>
              </w:rPr>
              <w:t>3.9</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3</w:t>
            </w:r>
            <w:r>
              <w:rPr>
                <w:rFonts w:hint="eastAsia" w:ascii="宋体" w:hAnsi="宋体" w:cs="宋体"/>
                <w:color w:val="auto"/>
                <w:sz w:val="21"/>
                <w:szCs w:val="21"/>
                <w:highlight w:val="none"/>
                <w:lang w:val="zh-CN"/>
              </w:rPr>
              <w:t>分，一般</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.9-</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585" w:type="dxa"/>
            <w:vAlign w:val="center"/>
          </w:tcPr>
          <w:p>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人员变动服务</w:t>
            </w:r>
          </w:p>
        </w:tc>
        <w:tc>
          <w:tcPr>
            <w:tcW w:w="825" w:type="dxa"/>
            <w:vAlign w:val="center"/>
          </w:tcPr>
          <w:p>
            <w:pPr>
              <w:spacing w:line="360" w:lineRule="auto"/>
              <w:rPr>
                <w:rFonts w:ascii="宋体" w:hAnsi="宋体" w:cs="宋体"/>
                <w:color w:val="auto"/>
                <w:szCs w:val="21"/>
                <w:highlight w:val="none"/>
                <w:lang w:val="zh-CN"/>
              </w:rPr>
            </w:pPr>
            <w:r>
              <w:rPr>
                <w:rFonts w:ascii="宋体" w:hAnsi="宋体" w:cs="宋体"/>
                <w:color w:val="auto"/>
                <w:szCs w:val="21"/>
                <w:highlight w:val="none"/>
              </w:rPr>
              <w:t>5分</w:t>
            </w:r>
          </w:p>
        </w:tc>
        <w:tc>
          <w:tcPr>
            <w:tcW w:w="7297" w:type="dxa"/>
            <w:vAlign w:val="center"/>
          </w:tcPr>
          <w:p>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保险服务提供商可否实现系统对接，企业HR可否通过系统直接完成人员增减变动；为保障客户利益，员工人员变动可否按日收费。</w:t>
            </w:r>
          </w:p>
          <w:p>
            <w:pPr>
              <w:pStyle w:val="2"/>
              <w:rPr>
                <w:color w:val="auto"/>
                <w:highlight w:val="none"/>
                <w:lang w:val="zh-CN"/>
              </w:rPr>
            </w:pPr>
            <w:r>
              <w:rPr>
                <w:rFonts w:hint="eastAsia" w:ascii="宋体" w:hAnsi="宋体" w:cs="宋体"/>
                <w:color w:val="auto"/>
                <w:sz w:val="21"/>
                <w:szCs w:val="21"/>
                <w:highlight w:val="none"/>
                <w:lang w:val="zh-CN"/>
              </w:rPr>
              <w:t>优得</w:t>
            </w:r>
            <w:r>
              <w:rPr>
                <w:rFonts w:hint="eastAsia" w:ascii="宋体" w:hAnsi="宋体" w:cs="宋体"/>
                <w:color w:val="auto"/>
                <w:sz w:val="21"/>
                <w:szCs w:val="21"/>
                <w:highlight w:val="none"/>
              </w:rPr>
              <w:t>5</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4</w:t>
            </w:r>
            <w:r>
              <w:rPr>
                <w:rFonts w:hint="eastAsia" w:ascii="宋体" w:hAnsi="宋体" w:cs="宋体"/>
                <w:color w:val="auto"/>
                <w:sz w:val="21"/>
                <w:szCs w:val="21"/>
                <w:highlight w:val="none"/>
                <w:lang w:val="zh-CN"/>
              </w:rPr>
              <w:t>分，良</w:t>
            </w:r>
            <w:r>
              <w:rPr>
                <w:rFonts w:hint="eastAsia" w:ascii="宋体" w:hAnsi="宋体" w:cs="宋体"/>
                <w:color w:val="auto"/>
                <w:sz w:val="21"/>
                <w:szCs w:val="21"/>
                <w:highlight w:val="none"/>
              </w:rPr>
              <w:t>3.9</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3</w:t>
            </w:r>
            <w:r>
              <w:rPr>
                <w:rFonts w:hint="eastAsia" w:ascii="宋体" w:hAnsi="宋体" w:cs="宋体"/>
                <w:color w:val="auto"/>
                <w:sz w:val="21"/>
                <w:szCs w:val="21"/>
                <w:highlight w:val="none"/>
                <w:lang w:val="zh-CN"/>
              </w:rPr>
              <w:t>分，一般</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.9-</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85" w:type="dxa"/>
            <w:vAlign w:val="center"/>
          </w:tcPr>
          <w:p>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自助理赔服务</w:t>
            </w:r>
          </w:p>
        </w:tc>
        <w:tc>
          <w:tcPr>
            <w:tcW w:w="825"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分</w:t>
            </w:r>
          </w:p>
        </w:tc>
        <w:tc>
          <w:tcPr>
            <w:tcW w:w="7297" w:type="dxa"/>
            <w:vAlign w:val="center"/>
          </w:tcPr>
          <w:p>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是否拥有保险服务自主专属APP（非第三方平台）可保障信息安全并提供便捷高效的员工自助理赔服务。</w:t>
            </w:r>
          </w:p>
          <w:p>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优得</w:t>
            </w:r>
            <w:r>
              <w:rPr>
                <w:rFonts w:hint="eastAsia" w:ascii="宋体" w:hAnsi="宋体" w:cs="宋体"/>
                <w:color w:val="auto"/>
                <w:szCs w:val="21"/>
                <w:highlight w:val="none"/>
              </w:rPr>
              <w:t>5</w:t>
            </w:r>
            <w:r>
              <w:rPr>
                <w:rFonts w:hint="eastAsia" w:ascii="宋体" w:hAnsi="宋体" w:cs="宋体"/>
                <w:color w:val="auto"/>
                <w:szCs w:val="21"/>
                <w:highlight w:val="none"/>
                <w:lang w:val="zh-CN"/>
              </w:rPr>
              <w:t>-</w:t>
            </w:r>
            <w:r>
              <w:rPr>
                <w:rFonts w:hint="eastAsia" w:ascii="宋体" w:hAnsi="宋体" w:cs="宋体"/>
                <w:color w:val="auto"/>
                <w:szCs w:val="21"/>
                <w:highlight w:val="none"/>
              </w:rPr>
              <w:t>4</w:t>
            </w:r>
            <w:r>
              <w:rPr>
                <w:rFonts w:hint="eastAsia" w:ascii="宋体" w:hAnsi="宋体" w:cs="宋体"/>
                <w:color w:val="auto"/>
                <w:szCs w:val="21"/>
                <w:highlight w:val="none"/>
                <w:lang w:val="zh-CN"/>
              </w:rPr>
              <w:t>分，良</w:t>
            </w:r>
            <w:r>
              <w:rPr>
                <w:rFonts w:hint="eastAsia" w:ascii="宋体" w:hAnsi="宋体" w:cs="宋体"/>
                <w:color w:val="auto"/>
                <w:szCs w:val="21"/>
                <w:highlight w:val="none"/>
              </w:rPr>
              <w:t>3.9</w:t>
            </w: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分，一般</w:t>
            </w:r>
            <w:r>
              <w:rPr>
                <w:rFonts w:hint="eastAsia" w:ascii="宋体" w:hAnsi="宋体" w:cs="宋体"/>
                <w:color w:val="auto"/>
                <w:szCs w:val="21"/>
                <w:highlight w:val="none"/>
              </w:rPr>
              <w:t>2</w:t>
            </w:r>
            <w:r>
              <w:rPr>
                <w:rFonts w:hint="eastAsia" w:ascii="宋体" w:hAnsi="宋体" w:cs="宋体"/>
                <w:color w:val="auto"/>
                <w:szCs w:val="21"/>
                <w:highlight w:val="none"/>
                <w:lang w:val="zh-CN"/>
              </w:rPr>
              <w:t>.9-</w:t>
            </w:r>
            <w:r>
              <w:rPr>
                <w:rFonts w:hint="eastAsia" w:ascii="宋体" w:hAnsi="宋体" w:cs="宋体"/>
                <w:color w:val="auto"/>
                <w:szCs w:val="21"/>
                <w:highlight w:val="none"/>
              </w:rPr>
              <w:t>2</w:t>
            </w:r>
            <w:r>
              <w:rPr>
                <w:rFonts w:hint="eastAsia" w:ascii="宋体" w:hAnsi="宋体" w:cs="宋体"/>
                <w:color w:val="auto"/>
                <w:szCs w:val="21"/>
                <w:highlight w:val="none"/>
                <w:lang w:val="zh-CN"/>
              </w:rPr>
              <w:t>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585" w:type="dxa"/>
            <w:vAlign w:val="center"/>
          </w:tcPr>
          <w:p>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查询服务</w:t>
            </w:r>
          </w:p>
        </w:tc>
        <w:tc>
          <w:tcPr>
            <w:tcW w:w="825" w:type="dxa"/>
            <w:vAlign w:val="center"/>
          </w:tcPr>
          <w:p>
            <w:pPr>
              <w:spacing w:line="360" w:lineRule="auto"/>
              <w:rPr>
                <w:rFonts w:ascii="宋体" w:hAnsi="宋体" w:cs="宋体"/>
                <w:color w:val="auto"/>
                <w:szCs w:val="21"/>
                <w:highlight w:val="none"/>
                <w:lang w:val="zh-CN"/>
              </w:rPr>
            </w:pPr>
            <w:r>
              <w:rPr>
                <w:rFonts w:ascii="宋体" w:hAnsi="宋体" w:cs="宋体"/>
                <w:color w:val="auto"/>
                <w:szCs w:val="21"/>
                <w:highlight w:val="none"/>
              </w:rPr>
              <w:t>5分</w:t>
            </w:r>
          </w:p>
        </w:tc>
        <w:tc>
          <w:tcPr>
            <w:tcW w:w="7297" w:type="dxa"/>
            <w:vAlign w:val="center"/>
          </w:tcPr>
          <w:p>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具有多种形式的保险方案及理赔通知的查询方式，通过保险服务专属APP、网络、微信公众号及电话都可以实现理赔通知及保障方案查询。</w:t>
            </w:r>
          </w:p>
          <w:p>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优得</w:t>
            </w:r>
            <w:r>
              <w:rPr>
                <w:rFonts w:hint="eastAsia" w:ascii="宋体" w:hAnsi="宋体" w:cs="宋体"/>
                <w:color w:val="auto"/>
                <w:szCs w:val="21"/>
                <w:highlight w:val="none"/>
              </w:rPr>
              <w:t>5</w:t>
            </w:r>
            <w:r>
              <w:rPr>
                <w:rFonts w:hint="eastAsia" w:ascii="宋体" w:hAnsi="宋体" w:cs="宋体"/>
                <w:color w:val="auto"/>
                <w:szCs w:val="21"/>
                <w:highlight w:val="none"/>
                <w:lang w:val="zh-CN"/>
              </w:rPr>
              <w:t>-</w:t>
            </w:r>
            <w:r>
              <w:rPr>
                <w:rFonts w:hint="eastAsia" w:ascii="宋体" w:hAnsi="宋体" w:cs="宋体"/>
                <w:color w:val="auto"/>
                <w:szCs w:val="21"/>
                <w:highlight w:val="none"/>
              </w:rPr>
              <w:t>4</w:t>
            </w:r>
            <w:r>
              <w:rPr>
                <w:rFonts w:hint="eastAsia" w:ascii="宋体" w:hAnsi="宋体" w:cs="宋体"/>
                <w:color w:val="auto"/>
                <w:szCs w:val="21"/>
                <w:highlight w:val="none"/>
                <w:lang w:val="zh-CN"/>
              </w:rPr>
              <w:t>分，良</w:t>
            </w:r>
            <w:r>
              <w:rPr>
                <w:rFonts w:hint="eastAsia" w:ascii="宋体" w:hAnsi="宋体" w:cs="宋体"/>
                <w:color w:val="auto"/>
                <w:szCs w:val="21"/>
                <w:highlight w:val="none"/>
              </w:rPr>
              <w:t>3.9</w:t>
            </w: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分，一般</w:t>
            </w:r>
            <w:r>
              <w:rPr>
                <w:rFonts w:hint="eastAsia" w:ascii="宋体" w:hAnsi="宋体" w:cs="宋体"/>
                <w:color w:val="auto"/>
                <w:szCs w:val="21"/>
                <w:highlight w:val="none"/>
              </w:rPr>
              <w:t>2</w:t>
            </w:r>
            <w:r>
              <w:rPr>
                <w:rFonts w:hint="eastAsia" w:ascii="宋体" w:hAnsi="宋体" w:cs="宋体"/>
                <w:color w:val="auto"/>
                <w:szCs w:val="21"/>
                <w:highlight w:val="none"/>
                <w:lang w:val="zh-CN"/>
              </w:rPr>
              <w:t>.9-</w:t>
            </w:r>
            <w:r>
              <w:rPr>
                <w:rFonts w:hint="eastAsia" w:ascii="宋体" w:hAnsi="宋体" w:cs="宋体"/>
                <w:color w:val="auto"/>
                <w:szCs w:val="21"/>
                <w:highlight w:val="none"/>
              </w:rPr>
              <w:t>2</w:t>
            </w:r>
            <w:r>
              <w:rPr>
                <w:rFonts w:hint="eastAsia" w:ascii="宋体" w:hAnsi="宋体" w:cs="宋体"/>
                <w:color w:val="auto"/>
                <w:szCs w:val="21"/>
                <w:highlight w:val="none"/>
                <w:lang w:val="zh-CN"/>
              </w:rPr>
              <w:t>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585" w:type="dxa"/>
            <w:vAlign w:val="center"/>
          </w:tcPr>
          <w:p>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上门服务频次</w:t>
            </w:r>
          </w:p>
        </w:tc>
        <w:tc>
          <w:tcPr>
            <w:tcW w:w="825" w:type="dxa"/>
            <w:vAlign w:val="center"/>
          </w:tcPr>
          <w:p>
            <w:pPr>
              <w:spacing w:line="360" w:lineRule="auto"/>
              <w:rPr>
                <w:rFonts w:ascii="宋体" w:hAnsi="宋体" w:cs="宋体"/>
                <w:color w:val="auto"/>
                <w:szCs w:val="21"/>
                <w:highlight w:val="none"/>
                <w:lang w:val="zh-CN"/>
              </w:rPr>
            </w:pPr>
            <w:r>
              <w:rPr>
                <w:rFonts w:ascii="宋体" w:hAnsi="宋体" w:cs="宋体"/>
                <w:color w:val="auto"/>
                <w:szCs w:val="21"/>
                <w:highlight w:val="none"/>
              </w:rPr>
              <w:t>5分</w:t>
            </w:r>
          </w:p>
        </w:tc>
        <w:tc>
          <w:tcPr>
            <w:tcW w:w="7297" w:type="dxa"/>
            <w:vAlign w:val="center"/>
          </w:tcPr>
          <w:p>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根据投标人自行承诺的上门服务频次进行综合评分。</w:t>
            </w:r>
          </w:p>
          <w:p>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优得</w:t>
            </w:r>
            <w:r>
              <w:rPr>
                <w:rFonts w:hint="eastAsia" w:ascii="宋体" w:hAnsi="宋体" w:cs="宋体"/>
                <w:color w:val="auto"/>
                <w:szCs w:val="21"/>
                <w:highlight w:val="none"/>
              </w:rPr>
              <w:t>5</w:t>
            </w:r>
            <w:r>
              <w:rPr>
                <w:rFonts w:hint="eastAsia" w:ascii="宋体" w:hAnsi="宋体" w:cs="宋体"/>
                <w:color w:val="auto"/>
                <w:szCs w:val="21"/>
                <w:highlight w:val="none"/>
                <w:lang w:val="zh-CN"/>
              </w:rPr>
              <w:t>-</w:t>
            </w:r>
            <w:r>
              <w:rPr>
                <w:rFonts w:hint="eastAsia" w:ascii="宋体" w:hAnsi="宋体" w:cs="宋体"/>
                <w:color w:val="auto"/>
                <w:szCs w:val="21"/>
                <w:highlight w:val="none"/>
              </w:rPr>
              <w:t>4</w:t>
            </w:r>
            <w:r>
              <w:rPr>
                <w:rFonts w:hint="eastAsia" w:ascii="宋体" w:hAnsi="宋体" w:cs="宋体"/>
                <w:color w:val="auto"/>
                <w:szCs w:val="21"/>
                <w:highlight w:val="none"/>
                <w:lang w:val="zh-CN"/>
              </w:rPr>
              <w:t>分，良</w:t>
            </w:r>
            <w:r>
              <w:rPr>
                <w:rFonts w:hint="eastAsia" w:ascii="宋体" w:hAnsi="宋体" w:cs="宋体"/>
                <w:color w:val="auto"/>
                <w:szCs w:val="21"/>
                <w:highlight w:val="none"/>
              </w:rPr>
              <w:t>3.9</w:t>
            </w: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分，一般</w:t>
            </w:r>
            <w:r>
              <w:rPr>
                <w:rFonts w:hint="eastAsia" w:ascii="宋体" w:hAnsi="宋体" w:cs="宋体"/>
                <w:color w:val="auto"/>
                <w:szCs w:val="21"/>
                <w:highlight w:val="none"/>
              </w:rPr>
              <w:t>2</w:t>
            </w:r>
            <w:r>
              <w:rPr>
                <w:rFonts w:hint="eastAsia" w:ascii="宋体" w:hAnsi="宋体" w:cs="宋体"/>
                <w:color w:val="auto"/>
                <w:szCs w:val="21"/>
                <w:highlight w:val="none"/>
                <w:lang w:val="zh-CN"/>
              </w:rPr>
              <w:t>.9-</w:t>
            </w:r>
            <w:r>
              <w:rPr>
                <w:rFonts w:hint="eastAsia" w:ascii="宋体" w:hAnsi="宋体" w:cs="宋体"/>
                <w:color w:val="auto"/>
                <w:szCs w:val="21"/>
                <w:highlight w:val="none"/>
              </w:rPr>
              <w:t>2</w:t>
            </w:r>
            <w:r>
              <w:rPr>
                <w:rFonts w:hint="eastAsia" w:ascii="宋体" w:hAnsi="宋体" w:cs="宋体"/>
                <w:color w:val="auto"/>
                <w:szCs w:val="21"/>
                <w:highlight w:val="none"/>
                <w:lang w:val="zh-CN"/>
              </w:rPr>
              <w:t>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585" w:type="dxa"/>
            <w:vAlign w:val="center"/>
          </w:tcPr>
          <w:p>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增值服务</w:t>
            </w:r>
          </w:p>
        </w:tc>
        <w:tc>
          <w:tcPr>
            <w:tcW w:w="825" w:type="dxa"/>
            <w:vAlign w:val="center"/>
          </w:tcPr>
          <w:p>
            <w:pPr>
              <w:spacing w:line="360" w:lineRule="auto"/>
              <w:rPr>
                <w:rFonts w:ascii="宋体" w:hAnsi="宋体" w:cs="宋体"/>
                <w:color w:val="auto"/>
                <w:szCs w:val="21"/>
                <w:highlight w:val="none"/>
              </w:rPr>
            </w:pPr>
            <w:r>
              <w:rPr>
                <w:rFonts w:ascii="宋体" w:hAnsi="宋体" w:cs="宋体"/>
                <w:color w:val="auto"/>
                <w:szCs w:val="21"/>
                <w:highlight w:val="none"/>
              </w:rPr>
              <w:t>5分</w:t>
            </w:r>
          </w:p>
        </w:tc>
        <w:tc>
          <w:tcPr>
            <w:tcW w:w="7297" w:type="dxa"/>
            <w:vAlign w:val="center"/>
          </w:tcPr>
          <w:p>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主动提供员工福利宣传手册、APP线上问诊、优惠保险团购等额外赠送服务等增值服务内容进行综合评分。优得</w:t>
            </w:r>
            <w:r>
              <w:rPr>
                <w:rFonts w:hint="eastAsia" w:ascii="宋体" w:hAnsi="宋体" w:cs="宋体"/>
                <w:color w:val="auto"/>
                <w:szCs w:val="21"/>
                <w:highlight w:val="none"/>
              </w:rPr>
              <w:t>5</w:t>
            </w:r>
            <w:r>
              <w:rPr>
                <w:rFonts w:hint="eastAsia" w:ascii="宋体" w:hAnsi="宋体" w:cs="宋体"/>
                <w:color w:val="auto"/>
                <w:szCs w:val="21"/>
                <w:highlight w:val="none"/>
                <w:lang w:val="zh-CN"/>
              </w:rPr>
              <w:t>-</w:t>
            </w:r>
            <w:r>
              <w:rPr>
                <w:rFonts w:hint="eastAsia" w:ascii="宋体" w:hAnsi="宋体" w:cs="宋体"/>
                <w:color w:val="auto"/>
                <w:szCs w:val="21"/>
                <w:highlight w:val="none"/>
              </w:rPr>
              <w:t>4</w:t>
            </w:r>
            <w:r>
              <w:rPr>
                <w:rFonts w:hint="eastAsia" w:ascii="宋体" w:hAnsi="宋体" w:cs="宋体"/>
                <w:color w:val="auto"/>
                <w:szCs w:val="21"/>
                <w:highlight w:val="none"/>
                <w:lang w:val="zh-CN"/>
              </w:rPr>
              <w:t>分，良</w:t>
            </w:r>
            <w:r>
              <w:rPr>
                <w:rFonts w:hint="eastAsia" w:ascii="宋体" w:hAnsi="宋体" w:cs="宋体"/>
                <w:color w:val="auto"/>
                <w:szCs w:val="21"/>
                <w:highlight w:val="none"/>
              </w:rPr>
              <w:t>3.9</w:t>
            </w: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分，一般</w:t>
            </w:r>
            <w:r>
              <w:rPr>
                <w:rFonts w:hint="eastAsia" w:ascii="宋体" w:hAnsi="宋体" w:cs="宋体"/>
                <w:color w:val="auto"/>
                <w:szCs w:val="21"/>
                <w:highlight w:val="none"/>
              </w:rPr>
              <w:t>2</w:t>
            </w:r>
            <w:r>
              <w:rPr>
                <w:rFonts w:hint="eastAsia" w:ascii="宋体" w:hAnsi="宋体" w:cs="宋体"/>
                <w:color w:val="auto"/>
                <w:szCs w:val="21"/>
                <w:highlight w:val="none"/>
                <w:lang w:val="zh-CN"/>
              </w:rPr>
              <w:t>.9-</w:t>
            </w:r>
            <w:r>
              <w:rPr>
                <w:rFonts w:hint="eastAsia" w:ascii="宋体" w:hAnsi="宋体" w:cs="宋体"/>
                <w:color w:val="auto"/>
                <w:szCs w:val="21"/>
                <w:highlight w:val="none"/>
              </w:rPr>
              <w:t>2</w:t>
            </w:r>
            <w:r>
              <w:rPr>
                <w:rFonts w:hint="eastAsia" w:ascii="宋体" w:hAnsi="宋体" w:cs="宋体"/>
                <w:color w:val="auto"/>
                <w:szCs w:val="21"/>
                <w:highlight w:val="none"/>
                <w:lang w:val="zh-CN"/>
              </w:rPr>
              <w:t>分。缺项不得分。</w:t>
            </w:r>
          </w:p>
        </w:tc>
      </w:tr>
    </w:tbl>
    <w:p>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注：①请扫描上传合同、证书、报告及其他相关证明材料的原件至投标文件。</w:t>
      </w:r>
    </w:p>
    <w:p>
      <w:pPr>
        <w:spacing w:line="360" w:lineRule="auto"/>
        <w:ind w:left="420"/>
        <w:rPr>
          <w:rFonts w:ascii="宋体" w:hAnsi="宋体"/>
          <w:b/>
          <w:color w:val="auto"/>
          <w:sz w:val="24"/>
          <w:highlight w:val="none"/>
        </w:rPr>
      </w:pPr>
      <w:r>
        <w:rPr>
          <w:rFonts w:hint="eastAsia" w:ascii="宋体" w:hAnsi="宋体"/>
          <w:b/>
          <w:color w:val="auto"/>
          <w:sz w:val="24"/>
          <w:highlight w:val="none"/>
        </w:rPr>
        <w:t>（2）商务标（</w:t>
      </w:r>
      <w:r>
        <w:rPr>
          <w:rFonts w:ascii="宋体" w:hAnsi="宋体"/>
          <w:b/>
          <w:color w:val="auto"/>
          <w:sz w:val="24"/>
          <w:highlight w:val="none"/>
        </w:rPr>
        <w:t>30</w:t>
      </w:r>
      <w:r>
        <w:rPr>
          <w:rFonts w:hint="eastAsia" w:ascii="宋体" w:hAnsi="宋体"/>
          <w:b/>
          <w:color w:val="auto"/>
          <w:sz w:val="24"/>
          <w:highlight w:val="none"/>
        </w:rPr>
        <w:t>分）</w:t>
      </w:r>
    </w:p>
    <w:p>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商务标评定分值为</w:t>
      </w:r>
      <w:r>
        <w:rPr>
          <w:rFonts w:ascii="宋体" w:hAnsi="宋体" w:cs="宋体"/>
          <w:iCs/>
          <w:color w:val="auto"/>
          <w:sz w:val="24"/>
          <w:highlight w:val="none"/>
        </w:rPr>
        <w:t>30</w:t>
      </w:r>
      <w:r>
        <w:rPr>
          <w:rFonts w:hint="eastAsia" w:ascii="宋体" w:hAnsi="宋体" w:cs="宋体"/>
          <w:color w:val="auto"/>
          <w:sz w:val="24"/>
          <w:highlight w:val="none"/>
        </w:rPr>
        <w:t>分。（以下除注明外，计算结果小数点后保留2位，第3位四舍五入）。</w:t>
      </w:r>
    </w:p>
    <w:p>
      <w:pPr>
        <w:spacing w:line="360" w:lineRule="auto"/>
        <w:ind w:firstLine="472" w:firstLineChars="196"/>
        <w:rPr>
          <w:rFonts w:ascii="宋体" w:hAnsi="宋体"/>
          <w:b/>
          <w:color w:val="auto"/>
          <w:sz w:val="24"/>
          <w:highlight w:val="none"/>
        </w:rPr>
      </w:pPr>
      <w:r>
        <w:rPr>
          <w:rFonts w:hint="eastAsia" w:ascii="宋体" w:hAnsi="宋体"/>
          <w:b/>
          <w:color w:val="auto"/>
          <w:sz w:val="24"/>
          <w:highlight w:val="none"/>
        </w:rPr>
        <w:t>1）一年期消费型补充医疗保险报价得分（2</w:t>
      </w:r>
      <w:r>
        <w:rPr>
          <w:rFonts w:ascii="宋体" w:hAnsi="宋体"/>
          <w:b/>
          <w:color w:val="auto"/>
          <w:sz w:val="24"/>
          <w:highlight w:val="none"/>
        </w:rPr>
        <w:t>5分</w:t>
      </w:r>
      <w:r>
        <w:rPr>
          <w:rFonts w:hint="eastAsia" w:ascii="宋体" w:hAnsi="宋体"/>
          <w:b/>
          <w:color w:val="auto"/>
          <w:sz w:val="24"/>
          <w:highlight w:val="none"/>
        </w:rPr>
        <w:t>）</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本项目招标人就一年期消费型补充医疗保险设有报价上限，</w:t>
      </w:r>
      <w:r>
        <w:rPr>
          <w:rFonts w:hint="eastAsia" w:ascii="宋体" w:hAnsi="宋体"/>
          <w:b/>
          <w:color w:val="auto"/>
          <w:sz w:val="24"/>
          <w:highlight w:val="none"/>
        </w:rPr>
        <w:t>上限价为10</w:t>
      </w:r>
      <w:r>
        <w:rPr>
          <w:rFonts w:ascii="宋体" w:hAnsi="宋体"/>
          <w:b/>
          <w:color w:val="auto"/>
          <w:sz w:val="24"/>
          <w:highlight w:val="none"/>
        </w:rPr>
        <w:t>0</w:t>
      </w:r>
      <w:r>
        <w:rPr>
          <w:rFonts w:hint="eastAsia" w:ascii="宋体" w:hAnsi="宋体"/>
          <w:b/>
          <w:color w:val="auto"/>
          <w:sz w:val="24"/>
          <w:highlight w:val="none"/>
        </w:rPr>
        <w:t>万元/年，</w:t>
      </w:r>
      <w:r>
        <w:rPr>
          <w:rFonts w:hint="eastAsia" w:ascii="宋体" w:hAnsi="宋体"/>
          <w:color w:val="auto"/>
          <w:sz w:val="24"/>
          <w:highlight w:val="none"/>
        </w:rPr>
        <w:t>投标报价高于上限价的，作无效标处理。当所有投标人的投标报价均高于上限价的，本项目重新招标。</w:t>
      </w:r>
    </w:p>
    <w:p>
      <w:pPr>
        <w:spacing w:line="360" w:lineRule="auto"/>
        <w:ind w:firstLine="470" w:firstLineChars="196"/>
        <w:rPr>
          <w:rFonts w:ascii="宋体" w:hAnsi="宋体"/>
          <w:b/>
          <w:color w:val="auto"/>
          <w:sz w:val="24"/>
          <w:highlight w:val="none"/>
        </w:rPr>
      </w:pPr>
      <w:r>
        <w:rPr>
          <w:rFonts w:hint="eastAsia" w:ascii="宋体" w:hAnsi="宋体"/>
          <w:color w:val="auto"/>
          <w:sz w:val="24"/>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600"/>
        <w:rPr>
          <w:rFonts w:ascii="宋体" w:hAnsi="宋体" w:cs="宋体"/>
          <w:color w:val="auto"/>
          <w:sz w:val="24"/>
          <w:highlight w:val="none"/>
        </w:rPr>
      </w:pPr>
      <w:r>
        <w:rPr>
          <w:rFonts w:hint="eastAsia" w:ascii="宋体" w:hAnsi="宋体" w:cs="宋体"/>
          <w:color w:val="auto"/>
          <w:sz w:val="24"/>
          <w:highlight w:val="none"/>
        </w:rPr>
        <w:t>以所有有效报价的算术平均值作为评标基准价，其价格分为</w:t>
      </w:r>
      <w:r>
        <w:rPr>
          <w:rFonts w:ascii="宋体" w:hAnsi="宋体" w:cs="宋体"/>
          <w:color w:val="auto"/>
          <w:sz w:val="24"/>
          <w:highlight w:val="none"/>
        </w:rPr>
        <w:t>25</w:t>
      </w:r>
      <w:r>
        <w:rPr>
          <w:rFonts w:hint="eastAsia" w:ascii="宋体" w:hAnsi="宋体" w:cs="宋体"/>
          <w:color w:val="auto"/>
          <w:sz w:val="24"/>
          <w:highlight w:val="none"/>
        </w:rPr>
        <w:t>分。其他投标人的价格分统一按照下列方法计算：</w:t>
      </w:r>
    </w:p>
    <w:p>
      <w:pPr>
        <w:spacing w:line="360" w:lineRule="auto"/>
        <w:ind w:firstLine="470" w:firstLineChars="196"/>
        <w:rPr>
          <w:rFonts w:ascii="宋体" w:hAnsi="宋体"/>
          <w:color w:val="auto"/>
          <w:sz w:val="24"/>
          <w:szCs w:val="21"/>
          <w:highlight w:val="none"/>
        </w:rPr>
      </w:pPr>
      <w:r>
        <w:rPr>
          <w:rFonts w:hint="eastAsia" w:ascii="宋体" w:hAnsi="宋体"/>
          <w:color w:val="auto"/>
          <w:sz w:val="24"/>
          <w:szCs w:val="21"/>
          <w:highlight w:val="none"/>
        </w:rPr>
        <w:t>根据投标文件的投标评标价与评标基准价对比，计算投标人的商务报价的得分值。即：</w:t>
      </w:r>
    </w:p>
    <w:p>
      <w:pPr>
        <w:spacing w:line="360" w:lineRule="auto"/>
        <w:ind w:firstLine="470" w:firstLineChars="196"/>
        <w:rPr>
          <w:rFonts w:ascii="宋体" w:hAnsi="宋体"/>
          <w:color w:val="auto"/>
          <w:sz w:val="24"/>
          <w:szCs w:val="21"/>
          <w:highlight w:val="none"/>
        </w:rPr>
      </w:pPr>
      <w:r>
        <w:rPr>
          <w:rFonts w:hint="eastAsia" w:ascii="宋体" w:hAnsi="宋体"/>
          <w:color w:val="auto"/>
          <w:sz w:val="24"/>
          <w:szCs w:val="21"/>
          <w:highlight w:val="none"/>
        </w:rPr>
        <w:t>a.投标评标价等于评标基准价时，得</w:t>
      </w:r>
      <w:r>
        <w:rPr>
          <w:rFonts w:ascii="宋体" w:hAnsi="宋体"/>
          <w:color w:val="auto"/>
          <w:sz w:val="24"/>
          <w:szCs w:val="21"/>
          <w:highlight w:val="none"/>
        </w:rPr>
        <w:t>25</w:t>
      </w:r>
      <w:r>
        <w:rPr>
          <w:rFonts w:hint="eastAsia" w:ascii="宋体" w:hAnsi="宋体"/>
          <w:color w:val="auto"/>
          <w:sz w:val="24"/>
          <w:szCs w:val="21"/>
          <w:highlight w:val="none"/>
        </w:rPr>
        <w:t>分；</w:t>
      </w:r>
    </w:p>
    <w:p>
      <w:pPr>
        <w:spacing w:line="360" w:lineRule="auto"/>
        <w:ind w:firstLine="470" w:firstLineChars="196"/>
        <w:rPr>
          <w:rFonts w:ascii="宋体" w:hAnsi="宋体"/>
          <w:color w:val="auto"/>
          <w:sz w:val="24"/>
          <w:szCs w:val="21"/>
          <w:highlight w:val="none"/>
        </w:rPr>
      </w:pPr>
      <w:r>
        <w:rPr>
          <w:rFonts w:hint="eastAsia" w:ascii="宋体" w:hAnsi="宋体"/>
          <w:color w:val="auto"/>
          <w:sz w:val="24"/>
          <w:szCs w:val="21"/>
          <w:highlight w:val="none"/>
        </w:rPr>
        <w:t>b.投标评标价每低于评标基准价1个百分点，扣</w:t>
      </w:r>
      <w:r>
        <w:rPr>
          <w:rFonts w:ascii="宋体" w:hAnsi="宋体"/>
          <w:color w:val="auto"/>
          <w:sz w:val="24"/>
          <w:szCs w:val="21"/>
          <w:highlight w:val="none"/>
        </w:rPr>
        <w:t>0.5</w:t>
      </w:r>
      <w:r>
        <w:rPr>
          <w:rFonts w:hint="eastAsia" w:ascii="宋体" w:hAnsi="宋体"/>
          <w:color w:val="auto"/>
          <w:sz w:val="24"/>
          <w:szCs w:val="21"/>
          <w:highlight w:val="none"/>
        </w:rPr>
        <w:t>分；</w:t>
      </w:r>
    </w:p>
    <w:p>
      <w:pPr>
        <w:spacing w:line="360" w:lineRule="auto"/>
        <w:ind w:firstLine="470" w:firstLineChars="196"/>
        <w:rPr>
          <w:rFonts w:ascii="宋体" w:hAnsi="宋体"/>
          <w:color w:val="auto"/>
          <w:sz w:val="24"/>
          <w:szCs w:val="21"/>
          <w:highlight w:val="none"/>
        </w:rPr>
      </w:pPr>
      <w:r>
        <w:rPr>
          <w:rFonts w:hint="eastAsia" w:ascii="宋体" w:hAnsi="宋体"/>
          <w:color w:val="auto"/>
          <w:sz w:val="24"/>
          <w:szCs w:val="21"/>
          <w:highlight w:val="none"/>
        </w:rPr>
        <w:t>c.投标评标价每高于评标基准价1个百分点，扣</w:t>
      </w:r>
      <w:r>
        <w:rPr>
          <w:rFonts w:ascii="宋体" w:hAnsi="宋体"/>
          <w:color w:val="auto"/>
          <w:sz w:val="24"/>
          <w:szCs w:val="21"/>
          <w:highlight w:val="none"/>
        </w:rPr>
        <w:t>1</w:t>
      </w:r>
      <w:r>
        <w:rPr>
          <w:rFonts w:hint="eastAsia" w:ascii="宋体" w:hAnsi="宋体"/>
          <w:color w:val="auto"/>
          <w:sz w:val="24"/>
          <w:szCs w:val="21"/>
          <w:highlight w:val="none"/>
        </w:rPr>
        <w:t>分。</w:t>
      </w:r>
    </w:p>
    <w:p>
      <w:pPr>
        <w:spacing w:line="360" w:lineRule="auto"/>
        <w:ind w:firstLine="470" w:firstLineChars="196"/>
        <w:rPr>
          <w:rFonts w:ascii="宋体" w:hAnsi="宋体"/>
          <w:color w:val="auto"/>
          <w:sz w:val="24"/>
          <w:szCs w:val="21"/>
          <w:highlight w:val="none"/>
        </w:rPr>
      </w:pPr>
      <w:r>
        <w:rPr>
          <w:rFonts w:hint="eastAsia" w:ascii="宋体" w:hAnsi="宋体"/>
          <w:color w:val="auto"/>
          <w:sz w:val="24"/>
          <w:szCs w:val="21"/>
          <w:highlight w:val="none"/>
        </w:rPr>
        <w:t>以上报价得分不足一个百分点时，使用直线插入法计算（保留小数2位，小数点后3位四舍五入）。</w:t>
      </w:r>
    </w:p>
    <w:p>
      <w:pPr>
        <w:spacing w:line="360" w:lineRule="auto"/>
        <w:ind w:firstLine="472" w:firstLineChars="196"/>
        <w:rPr>
          <w:rFonts w:ascii="宋体" w:hAnsi="宋体"/>
          <w:b/>
          <w:color w:val="auto"/>
          <w:sz w:val="24"/>
          <w:szCs w:val="21"/>
          <w:highlight w:val="none"/>
        </w:rPr>
      </w:pPr>
      <w:r>
        <w:rPr>
          <w:rFonts w:hint="eastAsia" w:ascii="宋体" w:hAnsi="宋体"/>
          <w:b/>
          <w:color w:val="auto"/>
          <w:sz w:val="24"/>
          <w:szCs w:val="21"/>
          <w:highlight w:val="none"/>
        </w:rPr>
        <w:t>2）企业委托管理型医疗保险基金初始管理费报价得分（5分）</w:t>
      </w:r>
    </w:p>
    <w:p>
      <w:pPr>
        <w:pStyle w:val="2"/>
        <w:spacing w:line="360" w:lineRule="auto"/>
        <w:ind w:firstLine="480" w:firstLineChars="200"/>
        <w:rPr>
          <w:rFonts w:ascii="宋体" w:hAnsi="宋体"/>
          <w:color w:val="auto"/>
          <w:szCs w:val="21"/>
          <w:highlight w:val="none"/>
        </w:rPr>
      </w:pPr>
      <w:r>
        <w:rPr>
          <w:rFonts w:hint="eastAsia" w:ascii="宋体" w:hAnsi="宋体"/>
          <w:color w:val="auto"/>
          <w:szCs w:val="21"/>
          <w:highlight w:val="none"/>
        </w:rPr>
        <w:t>企业委托管理型医疗保险基金初始管理费以保险基金的1%作为上限价。</w:t>
      </w:r>
    </w:p>
    <w:p>
      <w:pPr>
        <w:pStyle w:val="2"/>
        <w:spacing w:line="360" w:lineRule="auto"/>
        <w:ind w:firstLine="480" w:firstLineChars="200"/>
        <w:rPr>
          <w:rFonts w:ascii="宋体" w:hAnsi="宋体"/>
          <w:color w:val="auto"/>
          <w:szCs w:val="21"/>
          <w:highlight w:val="none"/>
        </w:rPr>
      </w:pPr>
      <w:r>
        <w:rPr>
          <w:rFonts w:hint="eastAsia" w:ascii="宋体" w:hAnsi="宋体"/>
          <w:color w:val="auto"/>
          <w:szCs w:val="21"/>
          <w:highlight w:val="none"/>
        </w:rPr>
        <w:t>a.管理费为上限价时，得4分；</w:t>
      </w:r>
    </w:p>
    <w:p>
      <w:pPr>
        <w:pStyle w:val="2"/>
        <w:spacing w:line="360" w:lineRule="auto"/>
        <w:ind w:firstLine="480" w:firstLineChars="200"/>
        <w:rPr>
          <w:rFonts w:ascii="宋体" w:hAnsi="宋体"/>
          <w:color w:val="auto"/>
          <w:szCs w:val="21"/>
          <w:highlight w:val="none"/>
        </w:rPr>
      </w:pPr>
      <w:r>
        <w:rPr>
          <w:rFonts w:hint="eastAsia" w:ascii="宋体" w:hAnsi="宋体"/>
          <w:color w:val="auto"/>
          <w:szCs w:val="21"/>
          <w:highlight w:val="none"/>
        </w:rPr>
        <w:t>b.管理费每低于上限价10个百分点，加0.2分，最高得5分。</w:t>
      </w:r>
    </w:p>
    <w:p>
      <w:pPr>
        <w:pStyle w:val="13"/>
        <w:snapToGrid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2、评审要求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（1）评标委员会应当按照招标文件中规定的评标方法和标准，对符合性审查合格的投标文件的商务部分和技术部分进行综合比较与评价，其中</w:t>
      </w:r>
      <w:r>
        <w:rPr>
          <w:rFonts w:hint="eastAsia" w:ascii="宋体"/>
          <w:bCs/>
          <w:color w:val="auto"/>
          <w:sz w:val="24"/>
          <w:highlight w:val="none"/>
          <w:lang w:val="zh-CN"/>
        </w:rPr>
        <w:t>客观</w:t>
      </w:r>
      <w:r>
        <w:rPr>
          <w:rFonts w:hint="eastAsia" w:ascii="宋体"/>
          <w:bCs/>
          <w:color w:val="auto"/>
          <w:sz w:val="24"/>
          <w:highlight w:val="none"/>
        </w:rPr>
        <w:t>评分项的分值</w:t>
      </w:r>
      <w:r>
        <w:rPr>
          <w:rFonts w:hint="eastAsia" w:ascii="宋体"/>
          <w:bCs/>
          <w:color w:val="auto"/>
          <w:sz w:val="24"/>
          <w:highlight w:val="none"/>
          <w:lang w:val="zh-CN"/>
        </w:rPr>
        <w:t>应当一致。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（2）对于投标文件报价出现前后不一致的，除招标文件另有规定外，按照下列规定修正：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①“台州湾新区小额工程电子交易平台”上开启的投标报价与电子投标文件中开标一览表（报价表）内容不一致的，以电子投标文件中开标一览表（报价表）为准；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②投标文件中开标一览表（报价表）内容与投标文件中相应内容不一致的，以开标一览表（报价表）为准；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③大写金额和小写金额不一致的，以大写金额为准。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同时出现两种以上不一致的，按照前款规定的顺序修正。修正应当采用询标的形式，并加盖公章。</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color w:val="auto"/>
          <w:sz w:val="24"/>
          <w:highlight w:val="none"/>
        </w:rPr>
      </w:pPr>
      <w:r>
        <w:rPr>
          <w:rFonts w:hint="eastAsia" w:ascii="宋体" w:hAnsi="宋体" w:cs="宋体"/>
          <w:b/>
          <w:bCs/>
          <w:color w:val="auto"/>
          <w:sz w:val="24"/>
          <w:highlight w:val="none"/>
        </w:rPr>
        <w:t>（四）结果汇总及排序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评标结果按评审后综合得分由高到低顺序排列。</w:t>
      </w:r>
      <w:r>
        <w:rPr>
          <w:rFonts w:hint="eastAsia" w:ascii="宋体" w:hAnsi="宋体" w:cs="宋体"/>
          <w:color w:val="auto"/>
          <w:sz w:val="24"/>
          <w:highlight w:val="none"/>
          <w:lang w:val="zh-CN"/>
        </w:rPr>
        <w:t>得分相同</w:t>
      </w:r>
      <w:r>
        <w:rPr>
          <w:rFonts w:hint="eastAsia" w:ascii="宋体" w:hAnsi="宋体" w:cs="宋体"/>
          <w:color w:val="auto"/>
          <w:sz w:val="24"/>
          <w:highlight w:val="none"/>
        </w:rPr>
        <w:t>的</w:t>
      </w:r>
      <w:r>
        <w:rPr>
          <w:rFonts w:hint="eastAsia" w:ascii="宋体" w:hAnsi="宋体" w:cs="宋体"/>
          <w:color w:val="auto"/>
          <w:sz w:val="24"/>
          <w:highlight w:val="none"/>
          <w:lang w:val="zh-CN"/>
        </w:rPr>
        <w:t>，</w:t>
      </w:r>
      <w:r>
        <w:rPr>
          <w:rFonts w:hint="eastAsia" w:ascii="宋体" w:hAnsi="宋体" w:cs="宋体"/>
          <w:color w:val="auto"/>
          <w:sz w:val="24"/>
          <w:highlight w:val="none"/>
        </w:rPr>
        <w:t>按</w:t>
      </w:r>
      <w:r>
        <w:rPr>
          <w:rFonts w:hint="eastAsia" w:ascii="宋体" w:hAnsi="宋体" w:cs="宋体"/>
          <w:color w:val="auto"/>
          <w:sz w:val="24"/>
          <w:highlight w:val="none"/>
          <w:lang w:val="zh-CN"/>
        </w:rPr>
        <w:t>投标报价</w:t>
      </w:r>
      <w:r>
        <w:rPr>
          <w:rFonts w:hint="eastAsia" w:ascii="宋体" w:hAnsi="宋体" w:cs="宋体"/>
          <w:color w:val="auto"/>
          <w:sz w:val="24"/>
          <w:highlight w:val="none"/>
        </w:rPr>
        <w:t>由</w:t>
      </w:r>
      <w:r>
        <w:rPr>
          <w:rFonts w:hint="eastAsia" w:ascii="宋体" w:hAnsi="宋体" w:cs="宋体"/>
          <w:color w:val="auto"/>
          <w:sz w:val="24"/>
          <w:highlight w:val="none"/>
          <w:lang w:val="zh-CN"/>
        </w:rPr>
        <w:t>低</w:t>
      </w:r>
      <w:r>
        <w:rPr>
          <w:rFonts w:hint="eastAsia" w:ascii="宋体" w:hAnsi="宋体" w:cs="宋体"/>
          <w:color w:val="auto"/>
          <w:sz w:val="24"/>
          <w:highlight w:val="none"/>
        </w:rPr>
        <w:t>到高顺序排列。</w:t>
      </w:r>
      <w:r>
        <w:rPr>
          <w:rFonts w:hint="eastAsia" w:ascii="宋体" w:hAnsi="宋体" w:cs="宋体"/>
          <w:color w:val="auto"/>
          <w:sz w:val="24"/>
          <w:highlight w:val="none"/>
          <w:lang w:val="zh-CN"/>
        </w:rPr>
        <w:t>得分且投标报价相同的</w:t>
      </w:r>
      <w:r>
        <w:rPr>
          <w:rFonts w:hint="eastAsia" w:ascii="宋体" w:hAnsi="宋体" w:cs="宋体"/>
          <w:color w:val="auto"/>
          <w:sz w:val="24"/>
          <w:highlight w:val="none"/>
        </w:rPr>
        <w:t>并列</w:t>
      </w:r>
      <w:r>
        <w:rPr>
          <w:rFonts w:hint="eastAsia" w:ascii="宋体" w:hAnsi="宋体" w:cs="宋体"/>
          <w:color w:val="auto"/>
          <w:sz w:val="24"/>
          <w:highlight w:val="none"/>
          <w:lang w:val="zh-CN"/>
        </w:rPr>
        <w:t>。</w:t>
      </w:r>
      <w:r>
        <w:rPr>
          <w:rFonts w:hint="eastAsia" w:ascii="宋体" w:hAnsi="宋体" w:cs="宋体"/>
          <w:color w:val="auto"/>
          <w:sz w:val="24"/>
          <w:highlight w:val="none"/>
        </w:rPr>
        <w:t>投标文件满足招标文件全部实质性要求，且按照评审因素的量化指标评审得分最高的投标人为排名第一的为第一中标候选人，排名第二的为第二中标后选人。</w:t>
      </w:r>
      <w:r>
        <w:rPr>
          <w:rFonts w:hint="eastAsia" w:ascii="宋体" w:hAnsi="宋体"/>
          <w:bCs/>
          <w:color w:val="auto"/>
          <w:sz w:val="24"/>
          <w:highlight w:val="none"/>
        </w:rPr>
        <w:t>若出现总得分相同时，按技术标得分由高到低顺序排列；若以上均相同的，则抽签确定。</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（五）评标报告撰写</w:t>
      </w:r>
    </w:p>
    <w:p>
      <w:pPr>
        <w:spacing w:line="360" w:lineRule="auto"/>
        <w:ind w:firstLine="480"/>
        <w:rPr>
          <w:rFonts w:asciiTheme="minorEastAsia" w:hAnsiTheme="minorEastAsia" w:eastAsiaTheme="minorEastAsia"/>
          <w:b/>
          <w:color w:val="auto"/>
          <w:sz w:val="36"/>
          <w:szCs w:val="36"/>
          <w:highlight w:val="none"/>
        </w:rPr>
      </w:pPr>
      <w:r>
        <w:rPr>
          <w:rFonts w:hint="eastAsia" w:ascii="宋体" w:hAnsi="宋体" w:cs="宋体"/>
          <w:color w:val="auto"/>
          <w:sz w:val="24"/>
          <w:highlight w:val="none"/>
        </w:rPr>
        <w:t>评标委员会根据全体评标成员签字的原始评标记录和评标结果编写评标报告。</w:t>
      </w:r>
      <w:bookmarkStart w:id="44" w:name="_Toc27944_WPSOffice_Level1"/>
    </w:p>
    <w:bookmarkEnd w:id="44"/>
    <w:p>
      <w:pPr>
        <w:pStyle w:val="24"/>
        <w:ind w:firstLine="480"/>
        <w:rPr>
          <w:rFonts w:ascii="仿宋" w:hAnsi="仿宋" w:eastAsia="仿宋" w:cs="仿宋"/>
          <w:color w:val="auto"/>
          <w:highlight w:val="none"/>
        </w:rPr>
      </w:pPr>
    </w:p>
    <w:p>
      <w:pPr>
        <w:pStyle w:val="19"/>
        <w:rPr>
          <w:rFonts w:ascii="仿宋" w:hAnsi="仿宋" w:eastAsia="仿宋" w:cs="仿宋"/>
          <w:color w:val="auto"/>
          <w:highlight w:val="none"/>
        </w:rPr>
      </w:pPr>
    </w:p>
    <w:p>
      <w:pPr>
        <w:rPr>
          <w:rFonts w:ascii="仿宋" w:hAnsi="仿宋" w:eastAsia="仿宋" w:cs="仿宋"/>
          <w:color w:val="auto"/>
          <w:highlight w:val="none"/>
        </w:rPr>
      </w:pPr>
    </w:p>
    <w:p>
      <w:pPr>
        <w:pStyle w:val="2"/>
        <w:rPr>
          <w:rFonts w:ascii="仿宋" w:hAnsi="仿宋" w:eastAsia="仿宋" w:cs="仿宋"/>
          <w:color w:val="auto"/>
          <w:highlight w:val="none"/>
        </w:rPr>
      </w:pPr>
    </w:p>
    <w:p>
      <w:pPr>
        <w:pStyle w:val="24"/>
        <w:ind w:firstLine="480"/>
        <w:rPr>
          <w:rFonts w:ascii="仿宋" w:hAnsi="仿宋" w:eastAsia="仿宋" w:cs="仿宋"/>
          <w:color w:val="auto"/>
          <w:highlight w:val="none"/>
        </w:rPr>
      </w:pPr>
    </w:p>
    <w:p>
      <w:pPr>
        <w:pStyle w:val="19"/>
        <w:rPr>
          <w:rFonts w:ascii="仿宋" w:hAnsi="仿宋" w:eastAsia="仿宋" w:cs="仿宋"/>
          <w:color w:val="auto"/>
          <w:highlight w:val="none"/>
        </w:rPr>
      </w:pPr>
    </w:p>
    <w:p>
      <w:pPr>
        <w:rPr>
          <w:rFonts w:ascii="仿宋" w:hAnsi="仿宋" w:eastAsia="仿宋" w:cs="仿宋"/>
          <w:color w:val="auto"/>
          <w:highlight w:val="none"/>
        </w:rPr>
      </w:pPr>
    </w:p>
    <w:p>
      <w:pPr>
        <w:pStyle w:val="2"/>
        <w:rPr>
          <w:rFonts w:ascii="仿宋" w:hAnsi="仿宋" w:eastAsia="仿宋" w:cs="仿宋"/>
          <w:color w:val="auto"/>
          <w:highlight w:val="none"/>
        </w:rPr>
      </w:pPr>
    </w:p>
    <w:p>
      <w:pPr>
        <w:pStyle w:val="24"/>
        <w:ind w:firstLine="480"/>
        <w:rPr>
          <w:rFonts w:ascii="仿宋" w:hAnsi="仿宋" w:eastAsia="仿宋" w:cs="仿宋"/>
          <w:color w:val="auto"/>
          <w:highlight w:val="none"/>
        </w:rPr>
      </w:pPr>
    </w:p>
    <w:p>
      <w:pPr>
        <w:pStyle w:val="19"/>
        <w:rPr>
          <w:rFonts w:ascii="仿宋" w:hAnsi="仿宋" w:eastAsia="仿宋" w:cs="仿宋"/>
          <w:color w:val="auto"/>
          <w:highlight w:val="none"/>
        </w:rPr>
      </w:pPr>
    </w:p>
    <w:p>
      <w:pPr>
        <w:rPr>
          <w:rFonts w:ascii="仿宋" w:hAnsi="仿宋" w:eastAsia="仿宋" w:cs="仿宋"/>
          <w:color w:val="auto"/>
          <w:highlight w:val="none"/>
        </w:rPr>
      </w:pPr>
    </w:p>
    <w:p>
      <w:pPr>
        <w:pStyle w:val="2"/>
        <w:rPr>
          <w:rFonts w:ascii="仿宋" w:hAnsi="仿宋" w:eastAsia="仿宋" w:cs="仿宋"/>
          <w:color w:val="auto"/>
          <w:highlight w:val="none"/>
        </w:rPr>
      </w:pPr>
    </w:p>
    <w:p>
      <w:pPr>
        <w:pStyle w:val="24"/>
        <w:ind w:firstLine="480"/>
        <w:rPr>
          <w:rFonts w:ascii="仿宋" w:hAnsi="仿宋" w:eastAsia="仿宋" w:cs="仿宋"/>
          <w:color w:val="auto"/>
          <w:highlight w:val="none"/>
        </w:rPr>
      </w:pPr>
    </w:p>
    <w:p>
      <w:pPr>
        <w:pStyle w:val="19"/>
        <w:rPr>
          <w:rFonts w:ascii="仿宋" w:hAnsi="仿宋" w:eastAsia="仿宋" w:cs="仿宋"/>
          <w:color w:val="auto"/>
          <w:highlight w:val="none"/>
        </w:rPr>
      </w:pPr>
    </w:p>
    <w:p>
      <w:pPr>
        <w:rPr>
          <w:rFonts w:ascii="仿宋" w:hAnsi="仿宋" w:eastAsia="仿宋" w:cs="仿宋"/>
          <w:color w:val="auto"/>
          <w:highlight w:val="none"/>
        </w:rPr>
      </w:pPr>
    </w:p>
    <w:p>
      <w:pPr>
        <w:pStyle w:val="2"/>
        <w:rPr>
          <w:rFonts w:ascii="仿宋" w:hAnsi="仿宋" w:eastAsia="仿宋" w:cs="仿宋"/>
          <w:color w:val="auto"/>
          <w:highlight w:val="none"/>
        </w:rPr>
      </w:pPr>
    </w:p>
    <w:p>
      <w:pPr>
        <w:pStyle w:val="24"/>
        <w:ind w:firstLine="480"/>
        <w:rPr>
          <w:rFonts w:ascii="仿宋" w:hAnsi="仿宋" w:eastAsia="仿宋" w:cs="仿宋"/>
          <w:color w:val="auto"/>
          <w:highlight w:val="none"/>
        </w:rPr>
      </w:pPr>
    </w:p>
    <w:p>
      <w:pPr>
        <w:pStyle w:val="19"/>
        <w:rPr>
          <w:rFonts w:ascii="仿宋" w:hAnsi="仿宋" w:eastAsia="仿宋" w:cs="仿宋"/>
          <w:color w:val="auto"/>
          <w:highlight w:val="none"/>
        </w:rPr>
      </w:pPr>
    </w:p>
    <w:p>
      <w:pPr>
        <w:rPr>
          <w:rFonts w:ascii="仿宋" w:hAnsi="仿宋" w:eastAsia="仿宋" w:cs="仿宋"/>
          <w:color w:val="auto"/>
          <w:highlight w:val="none"/>
        </w:rPr>
      </w:pPr>
    </w:p>
    <w:p>
      <w:pPr>
        <w:pStyle w:val="2"/>
        <w:rPr>
          <w:rFonts w:ascii="仿宋" w:hAnsi="仿宋" w:eastAsia="仿宋" w:cs="仿宋"/>
          <w:color w:val="auto"/>
          <w:highlight w:val="none"/>
        </w:rPr>
      </w:pPr>
    </w:p>
    <w:p>
      <w:pPr>
        <w:pStyle w:val="24"/>
        <w:ind w:firstLine="480"/>
        <w:rPr>
          <w:rFonts w:ascii="仿宋" w:hAnsi="仿宋" w:eastAsia="仿宋" w:cs="仿宋"/>
          <w:color w:val="auto"/>
          <w:highlight w:val="none"/>
        </w:rPr>
      </w:pPr>
    </w:p>
    <w:p>
      <w:pPr>
        <w:pStyle w:val="19"/>
        <w:rPr>
          <w:color w:val="auto"/>
          <w:highlight w:val="none"/>
        </w:rPr>
      </w:pPr>
    </w:p>
    <w:p>
      <w:pPr>
        <w:numPr>
          <w:ilvl w:val="0"/>
          <w:numId w:val="6"/>
        </w:num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拟签订的合同文本</w:t>
      </w:r>
    </w:p>
    <w:p>
      <w:pPr>
        <w:spacing w:line="440" w:lineRule="exact"/>
        <w:rPr>
          <w:rFonts w:ascii="宋体" w:hAnsi="宋体" w:cs="宋体"/>
          <w:color w:val="auto"/>
          <w:sz w:val="24"/>
          <w:szCs w:val="32"/>
          <w:highlight w:val="none"/>
        </w:rPr>
      </w:pPr>
      <w:r>
        <w:rPr>
          <w:rFonts w:hint="eastAsia" w:hAnsi="宋体"/>
          <w:b/>
          <w:bCs/>
          <w:color w:val="auto"/>
          <w:spacing w:val="-6"/>
          <w:highlight w:val="none"/>
        </w:rPr>
        <w:t>（合同可采用保监会制式格式，有特殊条款的，双方另行签署补充条款对主合同进行约束或补充说明</w:t>
      </w:r>
      <w:r>
        <w:rPr>
          <w:rFonts w:hAnsi="宋体"/>
          <w:b/>
          <w:bCs/>
          <w:color w:val="auto"/>
          <w:spacing w:val="-6"/>
          <w:highlight w:val="none"/>
        </w:rPr>
        <w:t>）</w:t>
      </w:r>
    </w:p>
    <w:p>
      <w:pPr>
        <w:spacing w:line="460" w:lineRule="exact"/>
        <w:ind w:firstLine="495"/>
        <w:rPr>
          <w:color w:val="auto"/>
          <w:highlight w:val="none"/>
        </w:rPr>
      </w:pPr>
    </w:p>
    <w:p>
      <w:pPr>
        <w:pStyle w:val="4"/>
        <w:numPr>
          <w:ilvl w:val="0"/>
          <w:numId w:val="0"/>
        </w:numPr>
        <w:spacing w:before="0" w:after="0" w:line="360" w:lineRule="auto"/>
        <w:ind w:left="425"/>
        <w:jc w:val="both"/>
        <w:rPr>
          <w:color w:val="auto"/>
          <w:sz w:val="32"/>
          <w:szCs w:val="32"/>
          <w:highlight w:val="none"/>
        </w:rPr>
      </w:pPr>
    </w:p>
    <w:p>
      <w:pPr>
        <w:rPr>
          <w:rFonts w:ascii="仿宋" w:hAnsi="仿宋" w:eastAsia="仿宋" w:cs="仿宋"/>
          <w:color w:val="auto"/>
          <w:highlight w:val="none"/>
        </w:rPr>
      </w:pPr>
    </w:p>
    <w:p>
      <w:pPr>
        <w:autoSpaceDE w:val="0"/>
        <w:autoSpaceDN w:val="0"/>
        <w:spacing w:line="360" w:lineRule="exact"/>
        <w:ind w:firstLine="767" w:firstLineChars="273"/>
        <w:jc w:val="center"/>
        <w:rPr>
          <w:rFonts w:hAnsi="宋体"/>
          <w:b/>
          <w:color w:val="auto"/>
          <w:sz w:val="28"/>
          <w:szCs w:val="28"/>
          <w:highlight w:val="none"/>
        </w:rPr>
        <w:sectPr>
          <w:pgSz w:w="11906" w:h="16838"/>
          <w:pgMar w:top="1247" w:right="1361" w:bottom="1247" w:left="1361" w:header="851" w:footer="851" w:gutter="0"/>
          <w:pgNumType w:fmt="numberInDash"/>
          <w:cols w:space="720" w:num="1"/>
          <w:docGrid w:type="lines" w:linePitch="312" w:charSpace="0"/>
        </w:sectPr>
      </w:pPr>
    </w:p>
    <w:p>
      <w:pPr>
        <w:spacing w:line="360" w:lineRule="auto"/>
        <w:jc w:val="center"/>
        <w:rPr>
          <w:rFonts w:asciiTheme="minorEastAsia" w:hAnsiTheme="minorEastAsia" w:eastAsiaTheme="minorEastAsia"/>
          <w:b/>
          <w:color w:val="auto"/>
          <w:sz w:val="36"/>
          <w:szCs w:val="36"/>
          <w:highlight w:val="none"/>
        </w:rPr>
      </w:pPr>
      <w:bookmarkStart w:id="45" w:name="_Toc5481_WPSOffice_Level1"/>
      <w:r>
        <w:rPr>
          <w:rFonts w:hint="eastAsia" w:asciiTheme="minorEastAsia" w:hAnsiTheme="minorEastAsia" w:eastAsiaTheme="minorEastAsia"/>
          <w:b/>
          <w:color w:val="auto"/>
          <w:sz w:val="36"/>
          <w:szCs w:val="36"/>
          <w:highlight w:val="none"/>
        </w:rPr>
        <w:t>第六章 投标文件格式</w:t>
      </w:r>
      <w:bookmarkEnd w:id="45"/>
    </w:p>
    <w:p>
      <w:pPr>
        <w:rPr>
          <w:rFonts w:ascii="宋体" w:hAnsi="宋体"/>
          <w:b/>
          <w:color w:val="auto"/>
          <w:sz w:val="30"/>
          <w:szCs w:val="30"/>
          <w:highlight w:val="none"/>
        </w:rPr>
      </w:pPr>
    </w:p>
    <w:p>
      <w:pPr>
        <w:rPr>
          <w:rFonts w:ascii="宋体" w:hAnsi="宋体"/>
          <w:b/>
          <w:color w:val="auto"/>
          <w:kern w:val="0"/>
          <w:sz w:val="28"/>
          <w:szCs w:val="28"/>
          <w:highlight w:val="none"/>
        </w:rPr>
      </w:pPr>
      <w:r>
        <w:rPr>
          <w:rFonts w:hint="eastAsia" w:ascii="宋体" w:hAnsi="宋体"/>
          <w:b/>
          <w:color w:val="auto"/>
          <w:sz w:val="30"/>
          <w:szCs w:val="30"/>
          <w:highlight w:val="none"/>
        </w:rPr>
        <w:t xml:space="preserve">                             </w:t>
      </w:r>
      <w:r>
        <w:rPr>
          <w:rFonts w:hint="eastAsia" w:ascii="宋体" w:hAnsi="宋体"/>
          <w:color w:val="auto"/>
          <w:sz w:val="30"/>
          <w:szCs w:val="30"/>
          <w:highlight w:val="none"/>
        </w:rPr>
        <w:t xml:space="preserve"> 　　　</w:t>
      </w:r>
      <w:r>
        <w:rPr>
          <w:rFonts w:hint="eastAsia" w:ascii="宋体" w:hAnsi="宋体"/>
          <w:b/>
          <w:color w:val="auto"/>
          <w:sz w:val="28"/>
          <w:highlight w:val="none"/>
        </w:rPr>
        <w:t xml:space="preserve">        </w:t>
      </w:r>
    </w:p>
    <w:p>
      <w:pPr>
        <w:spacing w:line="360" w:lineRule="auto"/>
        <w:rPr>
          <w:rFonts w:asciiTheme="minorEastAsia" w:hAnsiTheme="minorEastAsia" w:eastAsiaTheme="minorEastAsia"/>
          <w:b/>
          <w:color w:val="auto"/>
          <w:sz w:val="30"/>
          <w:szCs w:val="30"/>
          <w:highlight w:val="none"/>
        </w:rPr>
      </w:pPr>
    </w:p>
    <w:p>
      <w:pPr>
        <w:jc w:val="center"/>
        <w:rPr>
          <w:color w:val="auto"/>
          <w:sz w:val="44"/>
          <w:szCs w:val="44"/>
          <w:highlight w:val="none"/>
        </w:rPr>
      </w:pPr>
      <w:r>
        <w:rPr>
          <w:rFonts w:hint="eastAsia"/>
          <w:color w:val="auto"/>
          <w:sz w:val="44"/>
          <w:szCs w:val="44"/>
          <w:highlight w:val="none"/>
        </w:rPr>
        <w:t>台州循环经济发展有限公司及其下属子公司补充医疗保险服务采购项目</w:t>
      </w:r>
    </w:p>
    <w:p>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pPr>
        <w:pStyle w:val="25"/>
        <w:rPr>
          <w:color w:val="auto"/>
          <w:highlight w:val="none"/>
        </w:rPr>
      </w:pPr>
    </w:p>
    <w:p>
      <w:pPr>
        <w:jc w:val="center"/>
        <w:rPr>
          <w:color w:val="auto"/>
          <w:sz w:val="84"/>
          <w:szCs w:val="84"/>
          <w:highlight w:val="none"/>
          <w:lang w:val="zh-CN"/>
        </w:rPr>
      </w:pPr>
      <w:r>
        <w:rPr>
          <w:rFonts w:hint="eastAsia"/>
          <w:color w:val="auto"/>
          <w:sz w:val="84"/>
          <w:szCs w:val="84"/>
          <w:highlight w:val="none"/>
          <w:lang w:val="zh-CN"/>
        </w:rPr>
        <w:t>投</w:t>
      </w:r>
    </w:p>
    <w:p>
      <w:pPr>
        <w:jc w:val="center"/>
        <w:rPr>
          <w:color w:val="auto"/>
          <w:sz w:val="84"/>
          <w:szCs w:val="84"/>
          <w:highlight w:val="none"/>
          <w:lang w:val="zh-CN"/>
        </w:rPr>
      </w:pPr>
      <w:r>
        <w:rPr>
          <w:rFonts w:hint="eastAsia"/>
          <w:color w:val="auto"/>
          <w:sz w:val="84"/>
          <w:szCs w:val="84"/>
          <w:highlight w:val="none"/>
          <w:lang w:val="zh-CN"/>
        </w:rPr>
        <w:t>标</w:t>
      </w:r>
    </w:p>
    <w:p>
      <w:pPr>
        <w:jc w:val="center"/>
        <w:rPr>
          <w:color w:val="auto"/>
          <w:sz w:val="84"/>
          <w:szCs w:val="84"/>
          <w:highlight w:val="none"/>
        </w:rPr>
      </w:pPr>
      <w:r>
        <w:rPr>
          <w:rFonts w:hint="eastAsia"/>
          <w:color w:val="auto"/>
          <w:sz w:val="84"/>
          <w:szCs w:val="84"/>
          <w:highlight w:val="none"/>
          <w:lang w:val="zh-CN"/>
        </w:rPr>
        <w:t>文</w:t>
      </w:r>
    </w:p>
    <w:p>
      <w:pPr>
        <w:jc w:val="center"/>
        <w:rPr>
          <w:color w:val="auto"/>
          <w:sz w:val="84"/>
          <w:szCs w:val="84"/>
          <w:highlight w:val="none"/>
          <w:lang w:val="zh-CN"/>
        </w:rPr>
      </w:pPr>
      <w:r>
        <w:rPr>
          <w:rFonts w:hint="eastAsia"/>
          <w:color w:val="auto"/>
          <w:sz w:val="84"/>
          <w:szCs w:val="84"/>
          <w:highlight w:val="none"/>
          <w:lang w:val="zh-CN"/>
        </w:rPr>
        <w:t>件</w:t>
      </w:r>
    </w:p>
    <w:p>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rPr>
        <w:t>资格标）</w:t>
      </w:r>
    </w:p>
    <w:p>
      <w:pPr>
        <w:pStyle w:val="25"/>
        <w:rPr>
          <w:color w:val="auto"/>
          <w:highlight w:val="none"/>
        </w:rPr>
      </w:pPr>
    </w:p>
    <w:p>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投标人全称（公章）：</w:t>
      </w:r>
    </w:p>
    <w:p>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时    间：</w:t>
      </w:r>
    </w:p>
    <w:p>
      <w:pPr>
        <w:snapToGrid w:val="0"/>
        <w:spacing w:before="50" w:after="50" w:line="360" w:lineRule="auto"/>
        <w:rPr>
          <w:rFonts w:ascii="仿宋_GB2312" w:hAnsi="宋体" w:eastAsia="仿宋_GB2312"/>
          <w:b/>
          <w:color w:val="auto"/>
          <w:sz w:val="36"/>
          <w:szCs w:val="36"/>
          <w:highlight w:val="none"/>
        </w:rPr>
      </w:pPr>
    </w:p>
    <w:p>
      <w:pPr>
        <w:spacing w:line="360" w:lineRule="auto"/>
        <w:jc w:val="center"/>
        <w:rPr>
          <w:b/>
          <w:bCs/>
          <w:color w:val="auto"/>
          <w:sz w:val="36"/>
          <w:szCs w:val="36"/>
          <w:highlight w:val="none"/>
        </w:rPr>
      </w:pPr>
      <w:r>
        <w:rPr>
          <w:rFonts w:hint="eastAsia"/>
          <w:b/>
          <w:bCs/>
          <w:color w:val="auto"/>
          <w:sz w:val="36"/>
          <w:szCs w:val="36"/>
          <w:highlight w:val="none"/>
        </w:rPr>
        <w:t>资格标目录</w:t>
      </w:r>
    </w:p>
    <w:p>
      <w:pPr>
        <w:spacing w:line="360" w:lineRule="auto"/>
        <w:ind w:firstLine="560" w:firstLineChars="200"/>
        <w:rPr>
          <w:color w:val="auto"/>
          <w:sz w:val="28"/>
          <w:szCs w:val="36"/>
          <w:highlight w:val="none"/>
        </w:rPr>
      </w:pP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（1）投标声明书（附件1）；</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（2）授权委托书（法定代表人亲自办理投标事宜的，则无需提交；附件2）；</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（3）法人或者其他组织的营业执照等证明文件，自然人的身份证明；</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（4）具有依法缴纳税收和社会保障资金证明的承诺函（附件3）；</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（5）具有良好的商业信誉和健全的财务会计制度的承诺函（附件4）；</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（6）具有履行合同所必须的设备和专业技术能力的承诺函（附件5）；</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（7）《中华人民共和国经营保险业务许可证》；</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（8）需要说明的其他资料。</w:t>
      </w:r>
    </w:p>
    <w:p>
      <w:pPr>
        <w:spacing w:line="360" w:lineRule="auto"/>
        <w:rPr>
          <w:rFonts w:ascii="宋体" w:hAnsi="宋体"/>
          <w:b/>
          <w:color w:val="auto"/>
          <w:sz w:val="28"/>
          <w:highlight w:val="none"/>
        </w:rPr>
      </w:pPr>
    </w:p>
    <w:p>
      <w:pPr>
        <w:spacing w:line="360" w:lineRule="auto"/>
        <w:ind w:left="420"/>
        <w:rPr>
          <w:rFonts w:ascii="宋体" w:hAnsi="宋体"/>
          <w:b/>
          <w:color w:val="auto"/>
          <w:sz w:val="28"/>
          <w:highlight w:val="none"/>
        </w:rPr>
      </w:pPr>
    </w:p>
    <w:p>
      <w:pPr>
        <w:pStyle w:val="34"/>
        <w:rPr>
          <w:rFonts w:ascii="宋体" w:hAnsi="宋体"/>
          <w:b/>
          <w:color w:val="auto"/>
          <w:sz w:val="28"/>
          <w:highlight w:val="none"/>
        </w:rPr>
      </w:pPr>
    </w:p>
    <w:p>
      <w:pPr>
        <w:pStyle w:val="34"/>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rPr>
          <w:rFonts w:ascii="宋体" w:hAnsi="宋体"/>
          <w:b/>
          <w:color w:val="auto"/>
          <w:sz w:val="28"/>
          <w:highlight w:val="none"/>
        </w:rPr>
      </w:pPr>
    </w:p>
    <w:p>
      <w:pPr>
        <w:pStyle w:val="4"/>
        <w:numPr>
          <w:ilvl w:val="0"/>
          <w:numId w:val="0"/>
        </w:numPr>
        <w:ind w:left="425"/>
        <w:jc w:val="both"/>
        <w:rPr>
          <w:color w:val="auto"/>
          <w:highlight w:val="none"/>
        </w:rPr>
      </w:pPr>
    </w:p>
    <w:p>
      <w:pPr>
        <w:rPr>
          <w:color w:val="auto"/>
          <w:highlight w:val="none"/>
        </w:rPr>
      </w:pPr>
    </w:p>
    <w:p>
      <w:pPr>
        <w:pStyle w:val="7"/>
        <w:rPr>
          <w:rFonts w:ascii="宋体" w:hAnsi="宋体"/>
          <w:b/>
          <w:color w:val="auto"/>
          <w:sz w:val="28"/>
          <w:highlight w:val="none"/>
        </w:rPr>
      </w:pPr>
    </w:p>
    <w:p>
      <w:pPr>
        <w:pStyle w:val="7"/>
        <w:rPr>
          <w:rFonts w:ascii="宋体" w:hAnsi="宋体"/>
          <w:b/>
          <w:color w:val="auto"/>
          <w:sz w:val="28"/>
          <w:highlight w:val="none"/>
        </w:rPr>
      </w:pPr>
    </w:p>
    <w:p>
      <w:pPr>
        <w:rPr>
          <w:rFonts w:ascii="宋体" w:hAnsi="宋体"/>
          <w:b/>
          <w:color w:val="auto"/>
          <w:sz w:val="28"/>
          <w:highlight w:val="none"/>
        </w:rPr>
      </w:pPr>
    </w:p>
    <w:p>
      <w:pPr>
        <w:pStyle w:val="2"/>
        <w:rPr>
          <w:color w:val="auto"/>
          <w:highlight w:val="none"/>
        </w:rPr>
      </w:pPr>
    </w:p>
    <w:p>
      <w:pPr>
        <w:pStyle w:val="25"/>
        <w:rPr>
          <w:color w:val="auto"/>
          <w:highlight w:val="none"/>
        </w:rPr>
      </w:pPr>
    </w:p>
    <w:p>
      <w:pPr>
        <w:spacing w:line="312" w:lineRule="auto"/>
        <w:rPr>
          <w:rFonts w:ascii="宋体" w:hAnsi="宋体"/>
          <w:b/>
          <w:color w:val="auto"/>
          <w:sz w:val="28"/>
          <w:highlight w:val="none"/>
        </w:rPr>
      </w:pPr>
      <w:r>
        <w:rPr>
          <w:rFonts w:hint="eastAsia" w:ascii="宋体" w:hAnsi="宋体"/>
          <w:b/>
          <w:color w:val="auto"/>
          <w:sz w:val="28"/>
          <w:highlight w:val="none"/>
        </w:rPr>
        <w:t>附件1</w:t>
      </w:r>
    </w:p>
    <w:p>
      <w:pPr>
        <w:adjustRightInd w:val="0"/>
        <w:snapToGrid w:val="0"/>
        <w:spacing w:line="312" w:lineRule="auto"/>
        <w:ind w:right="480"/>
        <w:jc w:val="center"/>
        <w:rPr>
          <w:rFonts w:ascii="宋体" w:hAnsi="宋体"/>
          <w:b/>
          <w:color w:val="auto"/>
          <w:kern w:val="0"/>
          <w:sz w:val="32"/>
          <w:szCs w:val="32"/>
          <w:highlight w:val="none"/>
          <w:lang w:val="zh-CN"/>
        </w:rPr>
      </w:pPr>
      <w:bookmarkStart w:id="46" w:name="_Toc30723_WPSOffice_Level1"/>
      <w:bookmarkStart w:id="47" w:name="_Toc31708_WPSOffice_Level1"/>
      <w:r>
        <w:rPr>
          <w:rFonts w:hint="eastAsia" w:ascii="宋体" w:hAnsi="宋体"/>
          <w:b/>
          <w:color w:val="auto"/>
          <w:kern w:val="0"/>
          <w:sz w:val="32"/>
          <w:szCs w:val="32"/>
          <w:highlight w:val="none"/>
          <w:lang w:val="zh-CN"/>
        </w:rPr>
        <w:t>投标声明书</w:t>
      </w:r>
      <w:bookmarkEnd w:id="46"/>
      <w:bookmarkEnd w:id="47"/>
    </w:p>
    <w:p>
      <w:pPr>
        <w:snapToGrid w:val="0"/>
        <w:spacing w:before="156" w:beforeLines="50" w:after="50" w:line="312" w:lineRule="auto"/>
        <w:rPr>
          <w:rFonts w:ascii="宋体" w:hAnsi="宋体" w:cs="宋体"/>
          <w:color w:val="auto"/>
          <w:kern w:val="0"/>
          <w:sz w:val="24"/>
          <w:highlight w:val="none"/>
        </w:rPr>
      </w:pPr>
      <w:r>
        <w:rPr>
          <w:rFonts w:hint="eastAsia" w:ascii="宋体" w:hAnsi="宋体" w:cs="宋体"/>
          <w:color w:val="auto"/>
          <w:kern w:val="0"/>
          <w:sz w:val="24"/>
          <w:highlight w:val="none"/>
          <w:u w:val="single"/>
        </w:rPr>
        <w:t>台州循环经济发展有限公司</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系中华人民共和国合法企业（二类事业单位），经营地址。</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投标人名称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 xml:space="preserve">              招标项目名称                </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）的投标，为此，我公司就本次投标有关事项郑重声明如下：</w:t>
      </w:r>
    </w:p>
    <w:p>
      <w:pPr>
        <w:numPr>
          <w:ilvl w:val="0"/>
          <w:numId w:val="9"/>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9"/>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我公司在参与投标前已详细审查了招标文件和所有相关资料，我方完全知悉并认为此招标文件没有倾向性，也没有存在排斥潜在投标人的内容，我方对招标文件的所有内容没有任何异议，不申请澄清和质疑。</w:t>
      </w:r>
    </w:p>
    <w:p>
      <w:pPr>
        <w:numPr>
          <w:ilvl w:val="0"/>
          <w:numId w:val="9"/>
        </w:numPr>
        <w:snapToGrid w:val="0"/>
        <w:spacing w:line="360" w:lineRule="auto"/>
        <w:ind w:left="5" w:firstLine="415"/>
        <w:rPr>
          <w:rFonts w:ascii="宋体" w:hAnsi="宋体"/>
          <w:color w:val="auto"/>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不是采购人的附属机构；</w:t>
      </w:r>
      <w:r>
        <w:rPr>
          <w:rFonts w:hint="eastAsia" w:ascii="宋体" w:hAnsi="宋体"/>
          <w:color w:val="auto"/>
          <w:sz w:val="24"/>
          <w:highlight w:val="none"/>
        </w:rPr>
        <w:t>在获知本项目采购信息后，与采购人聘请的为此项目提供咨询服务的公司及其附属机构没有任何联系。</w:t>
      </w:r>
    </w:p>
    <w:p>
      <w:pPr>
        <w:numPr>
          <w:ilvl w:val="0"/>
          <w:numId w:val="9"/>
        </w:numPr>
        <w:snapToGrid w:val="0"/>
        <w:spacing w:line="360" w:lineRule="auto"/>
        <w:ind w:left="5" w:firstLine="415"/>
        <w:rPr>
          <w:rFonts w:ascii="宋体" w:hAnsi="宋体"/>
          <w:color w:val="auto"/>
          <w:kern w:val="0"/>
          <w:sz w:val="24"/>
          <w:highlight w:val="none"/>
          <w:lang w:val="af-ZA"/>
        </w:rPr>
      </w:pP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pPr>
        <w:numPr>
          <w:ilvl w:val="0"/>
          <w:numId w:val="9"/>
        </w:numPr>
        <w:snapToGrid w:val="0"/>
        <w:spacing w:line="360" w:lineRule="auto"/>
        <w:ind w:left="5" w:firstLine="415"/>
        <w:rPr>
          <w:rFonts w:ascii="仿宋_GB2312" w:hAnsi="仿宋_GB2312" w:cs="仿宋_GB2312"/>
          <w:color w:val="auto"/>
          <w:sz w:val="24"/>
          <w:highlight w:val="none"/>
        </w:rPr>
      </w:pPr>
      <w:r>
        <w:rPr>
          <w:rFonts w:hint="eastAsia" w:ascii="宋体" w:hAnsi="宋体" w:cs="宋体"/>
          <w:color w:val="auto"/>
          <w:kern w:val="0"/>
          <w:sz w:val="24"/>
          <w:highlight w:val="none"/>
          <w:lang w:val="af-ZA"/>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pPr>
        <w:numPr>
          <w:ilvl w:val="0"/>
          <w:numId w:val="9"/>
        </w:numPr>
        <w:snapToGrid w:val="0"/>
        <w:spacing w:line="360" w:lineRule="auto"/>
        <w:ind w:left="5" w:firstLine="415"/>
        <w:rPr>
          <w:color w:val="auto"/>
          <w:highlight w:val="none"/>
        </w:rPr>
      </w:pPr>
      <w:r>
        <w:rPr>
          <w:rFonts w:hint="eastAsia" w:ascii="宋体" w:hAnsi="宋体"/>
          <w:color w:val="auto"/>
          <w:sz w:val="24"/>
          <w:highlight w:val="none"/>
        </w:rPr>
        <w:t>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投标人名称（公章）：</w:t>
      </w:r>
    </w:p>
    <w:p>
      <w:pPr>
        <w:adjustRightInd w:val="0"/>
        <w:snapToGrid w:val="0"/>
        <w:spacing w:line="360" w:lineRule="auto"/>
        <w:ind w:firstLine="3120" w:firstLineChars="1300"/>
        <w:rPr>
          <w:rFonts w:ascii="宋体" w:hAnsi="宋体" w:cs="仿宋_GB2312"/>
          <w:color w:val="auto"/>
          <w:kern w:val="0"/>
          <w:sz w:val="24"/>
          <w:highlight w:val="none"/>
          <w:lang w:val="zh-CN"/>
        </w:rPr>
      </w:pPr>
      <w:r>
        <w:rPr>
          <w:rFonts w:hint="eastAsia" w:ascii="宋体" w:hAnsi="宋体"/>
          <w:color w:val="auto"/>
          <w:sz w:val="24"/>
          <w:highlight w:val="none"/>
        </w:rPr>
        <w:t>法定代表人（负责人）或授权委托人（签字或盖章）</w:t>
      </w:r>
      <w:r>
        <w:rPr>
          <w:rFonts w:hint="eastAsia" w:ascii="宋体" w:hAnsi="宋体" w:cs="仿宋_GB2312"/>
          <w:color w:val="auto"/>
          <w:kern w:val="0"/>
          <w:sz w:val="24"/>
          <w:highlight w:val="none"/>
          <w:lang w:val="zh-CN"/>
        </w:rPr>
        <w:t>：</w:t>
      </w:r>
    </w:p>
    <w:p>
      <w:pPr>
        <w:adjustRightInd w:val="0"/>
        <w:snapToGrid w:val="0"/>
        <w:spacing w:line="360" w:lineRule="auto"/>
        <w:ind w:firstLine="4838" w:firstLineChars="2016"/>
        <w:rPr>
          <w:rFonts w:ascii="宋体" w:hAnsi="宋体"/>
          <w:b/>
          <w:color w:val="auto"/>
          <w:sz w:val="28"/>
          <w:highlight w:val="none"/>
        </w:rPr>
      </w:pPr>
      <w:r>
        <w:rPr>
          <w:rFonts w:hint="eastAsia" w:ascii="宋体" w:hAnsi="宋体" w:cs="仿宋_GB2312"/>
          <w:color w:val="auto"/>
          <w:kern w:val="0"/>
          <w:sz w:val="24"/>
          <w:highlight w:val="none"/>
          <w:lang w:val="zh-CN"/>
        </w:rPr>
        <w:t>日期：    年   月   日</w:t>
      </w:r>
    </w:p>
    <w:p>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附件2</w:t>
      </w:r>
    </w:p>
    <w:p>
      <w:pPr>
        <w:spacing w:line="360" w:lineRule="auto"/>
        <w:ind w:firstLine="321" w:firstLineChars="100"/>
        <w:jc w:val="center"/>
        <w:rPr>
          <w:rFonts w:hAnsi="宋体"/>
          <w:b/>
          <w:color w:val="auto"/>
          <w:sz w:val="32"/>
          <w:szCs w:val="32"/>
          <w:highlight w:val="none"/>
          <w:u w:val="single"/>
        </w:rPr>
      </w:pPr>
      <w:bookmarkStart w:id="48" w:name="_Toc24373_WPSOffice_Level1"/>
      <w:bookmarkStart w:id="49" w:name="_Toc6870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48"/>
      <w:bookmarkEnd w:id="49"/>
    </w:p>
    <w:p>
      <w:pPr>
        <w:snapToGrid w:val="0"/>
        <w:spacing w:before="156" w:beforeLines="50" w:after="50" w:line="360" w:lineRule="auto"/>
        <w:rPr>
          <w:rFonts w:ascii="宋体" w:hAnsi="宋体" w:cs="宋体"/>
          <w:color w:val="auto"/>
          <w:kern w:val="0"/>
          <w:sz w:val="24"/>
          <w:highlight w:val="none"/>
        </w:rPr>
      </w:pPr>
      <w:r>
        <w:rPr>
          <w:rFonts w:hint="eastAsia" w:ascii="宋体" w:hAnsi="宋体" w:cs="宋体"/>
          <w:color w:val="auto"/>
          <w:kern w:val="0"/>
          <w:sz w:val="24"/>
          <w:highlight w:val="none"/>
          <w:u w:val="single"/>
        </w:rPr>
        <w:t>台州循环经济发展有限公司</w:t>
      </w:r>
      <w:r>
        <w:rPr>
          <w:rFonts w:hint="eastAsia" w:ascii="宋体" w:hAnsi="宋体" w:cs="宋体"/>
          <w:color w:val="auto"/>
          <w:kern w:val="0"/>
          <w:sz w:val="24"/>
          <w:highlight w:val="none"/>
        </w:rPr>
        <w:t>：</w:t>
      </w:r>
    </w:p>
    <w:p>
      <w:pPr>
        <w:pStyle w:val="13"/>
        <w:spacing w:line="360" w:lineRule="auto"/>
        <w:ind w:firstLine="480" w:firstLineChars="200"/>
        <w:rPr>
          <w:rFonts w:hAnsi="宋体"/>
          <w:color w:val="auto"/>
          <w:sz w:val="24"/>
          <w:highlight w:val="none"/>
        </w:rPr>
      </w:pPr>
      <w:r>
        <w:rPr>
          <w:rFonts w:hAnsi="宋体"/>
          <w:color w:val="auto"/>
          <w:sz w:val="24"/>
          <w:highlight w:val="none"/>
          <w:u w:val="single"/>
        </w:rPr>
        <w:t xml:space="preserve">  （投标人全称）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w:t>
      </w:r>
      <w:r>
        <w:rPr>
          <w:rFonts w:hint="eastAsia" w:hAnsi="宋体" w:cs="宋体"/>
          <w:color w:val="auto"/>
          <w:kern w:val="0"/>
          <w:sz w:val="24"/>
          <w:highlight w:val="none"/>
        </w:rPr>
        <w:t>（编号为</w:t>
      </w:r>
      <w:r>
        <w:rPr>
          <w:rFonts w:hint="eastAsia" w:hAnsi="宋体" w:cs="宋体"/>
          <w:color w:val="auto"/>
          <w:kern w:val="0"/>
          <w:sz w:val="24"/>
          <w:highlight w:val="none"/>
          <w:u w:val="single"/>
        </w:rPr>
        <w:t xml:space="preserve">           </w:t>
      </w:r>
      <w:r>
        <w:rPr>
          <w:rFonts w:hint="eastAsia" w:hAnsi="宋体" w:cs="宋体"/>
          <w:color w:val="auto"/>
          <w:kern w:val="0"/>
          <w:sz w:val="24"/>
          <w:highlight w:val="none"/>
        </w:rPr>
        <w:t>）</w:t>
      </w:r>
      <w:r>
        <w:rPr>
          <w:rFonts w:hAnsi="宋体"/>
          <w:color w:val="auto"/>
          <w:sz w:val="24"/>
          <w:highlight w:val="none"/>
        </w:rPr>
        <w:t>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pPr>
        <w:pStyle w:val="13"/>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pPr>
        <w:pStyle w:val="13"/>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pPr>
        <w:spacing w:line="360" w:lineRule="auto"/>
        <w:rPr>
          <w:color w:val="auto"/>
          <w:sz w:val="24"/>
          <w:highlight w:val="none"/>
        </w:rPr>
      </w:pPr>
    </w:p>
    <w:p>
      <w:pPr>
        <w:spacing w:line="360" w:lineRule="auto"/>
        <w:rPr>
          <w:color w:val="auto"/>
          <w:sz w:val="24"/>
          <w:highlight w:val="none"/>
        </w:rPr>
      </w:pPr>
      <w:r>
        <w:rPr>
          <w:rFonts w:hint="eastAsia" w:ascii="宋体" w:hAnsi="宋体"/>
          <w:color w:val="auto"/>
          <w:sz w:val="24"/>
          <w:highlight w:val="none"/>
        </w:rPr>
        <w:t>法定代表人（负责人）或授权委托人（签字或盖章）</w:t>
      </w:r>
      <w:r>
        <w:rPr>
          <w:rFonts w:hint="eastAsia" w:ascii="宋体"/>
          <w:color w:val="auto"/>
          <w:sz w:val="24"/>
          <w:highlight w:val="none"/>
        </w:rPr>
        <w:t>：</w:t>
      </w:r>
    </w:p>
    <w:p>
      <w:pPr>
        <w:spacing w:line="360" w:lineRule="auto"/>
        <w:rPr>
          <w:color w:val="auto"/>
          <w:sz w:val="24"/>
          <w:highlight w:val="none"/>
        </w:rPr>
      </w:pPr>
      <w:r>
        <w:rPr>
          <w:rFonts w:hint="eastAsia" w:ascii="宋体"/>
          <w:color w:val="auto"/>
          <w:sz w:val="24"/>
          <w:highlight w:val="none"/>
        </w:rPr>
        <w:t>投标人全称（公章）：                              日期：</w:t>
      </w:r>
    </w:p>
    <w:p>
      <w:pPr>
        <w:spacing w:line="360" w:lineRule="auto"/>
        <w:rPr>
          <w:color w:val="auto"/>
          <w:sz w:val="24"/>
          <w:highlight w:val="none"/>
        </w:rPr>
      </w:pPr>
    </w:p>
    <w:p>
      <w:pPr>
        <w:spacing w:line="360" w:lineRule="auto"/>
        <w:rPr>
          <w:b/>
          <w:color w:val="auto"/>
          <w:sz w:val="24"/>
          <w:highlight w:val="none"/>
        </w:rPr>
      </w:pPr>
      <w:r>
        <w:rPr>
          <w:rFonts w:hint="eastAsia" w:ascii="宋体"/>
          <w:b/>
          <w:color w:val="auto"/>
          <w:sz w:val="24"/>
          <w:highlight w:val="none"/>
        </w:rPr>
        <w:t>附：</w:t>
      </w: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w:t>
            </w:r>
          </w:p>
        </w:tc>
      </w:tr>
    </w:tbl>
    <w:p>
      <w:pPr>
        <w:spacing w:line="360" w:lineRule="auto"/>
        <w:rPr>
          <w:color w:val="auto"/>
          <w:sz w:val="24"/>
          <w:highlight w:val="none"/>
        </w:rPr>
      </w:pPr>
      <w:r>
        <w:rPr>
          <w:rFonts w:hint="eastAsia" w:ascii="宋体"/>
          <w:color w:val="auto"/>
          <w:sz w:val="24"/>
          <w:highlight w:val="none"/>
        </w:rPr>
        <w:t xml:space="preserve">法定代表人姓名：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spacing w:line="360" w:lineRule="auto"/>
        <w:rPr>
          <w:b/>
          <w:color w:val="auto"/>
          <w:sz w:val="24"/>
          <w:highlight w:val="none"/>
        </w:rPr>
      </w:pP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w:t>
            </w:r>
          </w:p>
        </w:tc>
      </w:tr>
    </w:tbl>
    <w:p>
      <w:pPr>
        <w:spacing w:line="360" w:lineRule="auto"/>
        <w:rPr>
          <w:rFonts w:ascii="宋体"/>
          <w:color w:val="auto"/>
          <w:sz w:val="24"/>
          <w:highlight w:val="none"/>
        </w:rPr>
      </w:pPr>
      <w:r>
        <w:rPr>
          <w:rFonts w:hint="eastAsia" w:ascii="宋体"/>
          <w:color w:val="auto"/>
          <w:sz w:val="24"/>
          <w:highlight w:val="none"/>
        </w:rPr>
        <w:t xml:space="preserve">全权代表姓名：       </w:t>
      </w:r>
    </w:p>
    <w:p>
      <w:pPr>
        <w:spacing w:line="360" w:lineRule="auto"/>
        <w:rPr>
          <w:color w:val="auto"/>
          <w:sz w:val="24"/>
          <w:highlight w:val="none"/>
        </w:rPr>
      </w:pPr>
      <w:r>
        <w:rPr>
          <w:rFonts w:hint="eastAsia" w:ascii="宋体"/>
          <w:color w:val="auto"/>
          <w:sz w:val="24"/>
          <w:highlight w:val="none"/>
        </w:rPr>
        <w:t xml:space="preserve">职务：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rPr>
          <w:rFonts w:ascii="宋体" w:hAnsi="宋体"/>
          <w:b/>
          <w:color w:val="auto"/>
          <w:sz w:val="28"/>
          <w:highlight w:val="none"/>
        </w:rPr>
      </w:pPr>
      <w:r>
        <w:rPr>
          <w:rFonts w:hint="eastAsia" w:ascii="宋体" w:hAnsi="宋体"/>
          <w:b/>
          <w:color w:val="auto"/>
          <w:sz w:val="28"/>
          <w:highlight w:val="none"/>
        </w:rPr>
        <w:br w:type="page"/>
      </w:r>
      <w:bookmarkStart w:id="50" w:name="_Toc12331_WPSOffice_Level1"/>
      <w:bookmarkStart w:id="51" w:name="_Toc16825_WPSOffice_Level1"/>
      <w:bookmarkStart w:id="52" w:name="_Toc26389_WPSOffice_Level1"/>
    </w:p>
    <w:p>
      <w:pPr>
        <w:rPr>
          <w:rFonts w:ascii="宋体" w:hAnsi="宋体"/>
          <w:b/>
          <w:color w:val="auto"/>
          <w:sz w:val="28"/>
          <w:highlight w:val="none"/>
        </w:rPr>
      </w:pPr>
      <w:r>
        <w:rPr>
          <w:rFonts w:hint="eastAsia" w:ascii="宋体" w:hAnsi="宋体"/>
          <w:b/>
          <w:color w:val="auto"/>
          <w:sz w:val="28"/>
          <w:highlight w:val="none"/>
        </w:rPr>
        <w:t>附件3</w:t>
      </w:r>
    </w:p>
    <w:p>
      <w:pPr>
        <w:widowControl/>
        <w:adjustRightInd w:val="0"/>
        <w:snapToGrid w:val="0"/>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w:t>
      </w:r>
      <w:r>
        <w:rPr>
          <w:rFonts w:ascii="宋体" w:hAnsi="宋体"/>
          <w:b/>
          <w:color w:val="auto"/>
          <w:kern w:val="0"/>
          <w:sz w:val="32"/>
          <w:szCs w:val="32"/>
          <w:highlight w:val="none"/>
        </w:rPr>
        <w:t>依法缴纳税收和</w:t>
      </w:r>
      <w:r>
        <w:rPr>
          <w:rFonts w:hint="eastAsia" w:ascii="宋体" w:hAnsi="宋体"/>
          <w:b/>
          <w:color w:val="auto"/>
          <w:kern w:val="0"/>
          <w:sz w:val="32"/>
          <w:szCs w:val="32"/>
          <w:highlight w:val="none"/>
        </w:rPr>
        <w:t>社会保障资金证明</w:t>
      </w:r>
      <w:r>
        <w:rPr>
          <w:rFonts w:ascii="宋体" w:hAnsi="宋体"/>
          <w:b/>
          <w:color w:val="auto"/>
          <w:kern w:val="0"/>
          <w:sz w:val="32"/>
          <w:szCs w:val="32"/>
          <w:highlight w:val="none"/>
        </w:rPr>
        <w:t>的承诺函</w:t>
      </w:r>
    </w:p>
    <w:p>
      <w:pPr>
        <w:widowControl/>
        <w:adjustRightInd w:val="0"/>
        <w:snapToGrid w:val="0"/>
        <w:jc w:val="center"/>
        <w:rPr>
          <w:rFonts w:ascii="宋体" w:hAnsi="宋体"/>
          <w:b/>
          <w:color w:val="auto"/>
          <w:kern w:val="0"/>
          <w:sz w:val="32"/>
          <w:szCs w:val="32"/>
          <w:highlight w:val="none"/>
        </w:rPr>
      </w:pPr>
    </w:p>
    <w:p>
      <w:pPr>
        <w:widowControl/>
        <w:adjustRightInd w:val="0"/>
        <w:snapToGrid w:val="0"/>
        <w:jc w:val="left"/>
        <w:rPr>
          <w:rFonts w:ascii="宋体" w:hAnsi="宋体"/>
          <w:color w:val="auto"/>
          <w:kern w:val="0"/>
          <w:sz w:val="28"/>
          <w:szCs w:val="32"/>
          <w:highlight w:val="none"/>
        </w:rPr>
      </w:pPr>
      <w:r>
        <w:rPr>
          <w:rFonts w:hint="eastAsia" w:ascii="宋体" w:hAnsi="宋体"/>
          <w:color w:val="auto"/>
          <w:kern w:val="0"/>
          <w:sz w:val="28"/>
          <w:szCs w:val="32"/>
          <w:highlight w:val="none"/>
        </w:rPr>
        <w:t>（如依法免税的，应提供相应文件证明其依法免税；如依法不需要缴纳社会保障资金的，应提供相应文件证明其依法不需要缴纳社会保障资金。）</w:t>
      </w:r>
    </w:p>
    <w:p>
      <w:pPr>
        <w:adjustRightInd w:val="0"/>
        <w:snapToGrid w:val="0"/>
        <w:jc w:val="left"/>
        <w:rPr>
          <w:rFonts w:ascii="宋体" w:hAnsi="宋体"/>
          <w:b/>
          <w:color w:val="auto"/>
          <w:kern w:val="0"/>
          <w:sz w:val="32"/>
          <w:szCs w:val="32"/>
          <w:highlight w:val="none"/>
        </w:rPr>
      </w:pPr>
    </w:p>
    <w:p>
      <w:pPr>
        <w:widowControl/>
        <w:shd w:val="clear" w:color="auto" w:fill="FFFFFF"/>
        <w:spacing w:before="100" w:beforeAutospacing="1" w:after="100" w:afterAutospacing="1" w:line="480" w:lineRule="auto"/>
        <w:jc w:val="left"/>
        <w:rPr>
          <w:rFonts w:ascii="宋体" w:hAnsi="宋体"/>
          <w:color w:val="auto"/>
          <w:kern w:val="0"/>
          <w:sz w:val="24"/>
          <w:highlight w:val="none"/>
        </w:rPr>
      </w:pPr>
      <w:r>
        <w:rPr>
          <w:rFonts w:hint="eastAsia" w:ascii="宋体" w:hAnsi="宋体"/>
          <w:color w:val="auto"/>
          <w:kern w:val="0"/>
          <w:sz w:val="24"/>
          <w:highlight w:val="none"/>
          <w:u w:val="single"/>
        </w:rPr>
        <w:t>台州循环经济发展有限公司</w:t>
      </w:r>
      <w:r>
        <w:rPr>
          <w:rFonts w:ascii="宋体" w:hAnsi="宋体"/>
          <w:color w:val="auto"/>
          <w:kern w:val="0"/>
          <w:sz w:val="24"/>
          <w:highlight w:val="none"/>
        </w:rPr>
        <w:t>：</w:t>
      </w:r>
    </w:p>
    <w:p>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w:t>
      </w:r>
      <w:r>
        <w:rPr>
          <w:rFonts w:hint="eastAsia" w:ascii="宋体" w:hAnsi="宋体"/>
          <w:color w:val="auto"/>
          <w:kern w:val="0"/>
          <w:sz w:val="24"/>
          <w:highlight w:val="none"/>
        </w:rPr>
        <w:t>具有</w:t>
      </w:r>
      <w:r>
        <w:rPr>
          <w:rFonts w:ascii="宋体" w:hAnsi="宋体"/>
          <w:color w:val="auto"/>
          <w:kern w:val="0"/>
          <w:sz w:val="24"/>
          <w:highlight w:val="none"/>
        </w:rPr>
        <w:t>依法缴纳税收和</w:t>
      </w:r>
      <w:r>
        <w:rPr>
          <w:rFonts w:hint="eastAsia" w:ascii="宋体" w:hAnsi="宋体"/>
          <w:color w:val="auto"/>
          <w:kern w:val="0"/>
          <w:sz w:val="24"/>
          <w:highlight w:val="none"/>
        </w:rPr>
        <w:t>社会保障资金</w:t>
      </w:r>
      <w:r>
        <w:rPr>
          <w:rFonts w:ascii="宋体" w:hAnsi="宋体"/>
          <w:color w:val="auto"/>
          <w:kern w:val="0"/>
          <w:sz w:val="24"/>
          <w:highlight w:val="none"/>
        </w:rPr>
        <w:t>。如本声明失实，我单位自愿承担被取消成交资格等责任。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投标人名称（公章）：</w:t>
      </w:r>
    </w:p>
    <w:p>
      <w:pPr>
        <w:adjustRightInd w:val="0"/>
        <w:snapToGrid w:val="0"/>
        <w:spacing w:line="360" w:lineRule="auto"/>
        <w:ind w:firstLine="3120" w:firstLineChars="1300"/>
        <w:rPr>
          <w:rFonts w:ascii="宋体" w:hAnsi="宋体" w:cs="仿宋_GB2312"/>
          <w:color w:val="auto"/>
          <w:kern w:val="0"/>
          <w:sz w:val="24"/>
          <w:highlight w:val="none"/>
          <w:lang w:val="zh-CN"/>
        </w:rPr>
      </w:pPr>
      <w:r>
        <w:rPr>
          <w:rFonts w:hint="eastAsia" w:ascii="宋体" w:hAnsi="宋体"/>
          <w:color w:val="auto"/>
          <w:sz w:val="24"/>
          <w:highlight w:val="none"/>
        </w:rPr>
        <w:t>法定代表人（负责人）或授权委托人（签字或盖章）</w:t>
      </w:r>
      <w:r>
        <w:rPr>
          <w:rFonts w:hint="eastAsia" w:ascii="宋体" w:hAnsi="宋体" w:cs="仿宋_GB2312"/>
          <w:color w:val="auto"/>
          <w:kern w:val="0"/>
          <w:sz w:val="24"/>
          <w:highlight w:val="none"/>
          <w:lang w:val="zh-CN"/>
        </w:rPr>
        <w:t>：</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    年   月   日</w:t>
      </w:r>
    </w:p>
    <w:p>
      <w:pPr>
        <w:rPr>
          <w:rFonts w:ascii="宋体" w:hAnsi="宋体"/>
          <w:b/>
          <w:color w:val="auto"/>
          <w:sz w:val="28"/>
          <w:highlight w:val="none"/>
        </w:rPr>
      </w:pPr>
      <w:r>
        <w:rPr>
          <w:rFonts w:hint="eastAsia" w:ascii="宋体" w:hAnsi="宋体"/>
          <w:b/>
          <w:color w:val="auto"/>
          <w:sz w:val="28"/>
          <w:highlight w:val="none"/>
        </w:rPr>
        <w:br w:type="page"/>
      </w:r>
      <w:r>
        <w:rPr>
          <w:rFonts w:hint="eastAsia" w:ascii="宋体" w:hAnsi="宋体"/>
          <w:b/>
          <w:color w:val="auto"/>
          <w:sz w:val="28"/>
          <w:highlight w:val="none"/>
        </w:rPr>
        <w:t>附件4</w:t>
      </w:r>
    </w:p>
    <w:p>
      <w:pPr>
        <w:jc w:val="center"/>
        <w:rPr>
          <w:rFonts w:ascii="宋体" w:hAnsi="宋体"/>
          <w:b/>
          <w:color w:val="auto"/>
          <w:kern w:val="0"/>
          <w:sz w:val="32"/>
          <w:szCs w:val="32"/>
          <w:highlight w:val="none"/>
        </w:rPr>
      </w:pPr>
      <w:r>
        <w:rPr>
          <w:rFonts w:ascii="宋体" w:hAnsi="宋体"/>
          <w:b/>
          <w:color w:val="auto"/>
          <w:kern w:val="0"/>
          <w:sz w:val="32"/>
          <w:szCs w:val="32"/>
          <w:highlight w:val="none"/>
        </w:rPr>
        <w:t>具有良好的商业信誉和健全的财务会计制度的承诺函</w:t>
      </w:r>
    </w:p>
    <w:p>
      <w:pPr>
        <w:jc w:val="center"/>
        <w:rPr>
          <w:rFonts w:ascii="宋体" w:hAnsi="宋体"/>
          <w:b/>
          <w:color w:val="auto"/>
          <w:kern w:val="0"/>
          <w:sz w:val="32"/>
          <w:szCs w:val="32"/>
          <w:highlight w:val="none"/>
        </w:rPr>
      </w:pPr>
    </w:p>
    <w:p>
      <w:pPr>
        <w:widowControl/>
        <w:shd w:val="clear" w:color="auto" w:fill="FFFFFF"/>
        <w:spacing w:before="100" w:beforeAutospacing="1" w:after="100" w:afterAutospacing="1" w:line="480" w:lineRule="auto"/>
        <w:jc w:val="left"/>
        <w:rPr>
          <w:rFonts w:ascii="宋体" w:hAnsi="宋体"/>
          <w:color w:val="auto"/>
          <w:kern w:val="0"/>
          <w:sz w:val="24"/>
          <w:highlight w:val="none"/>
        </w:rPr>
      </w:pPr>
      <w:r>
        <w:rPr>
          <w:rFonts w:hint="eastAsia" w:ascii="宋体" w:hAnsi="宋体"/>
          <w:color w:val="auto"/>
          <w:kern w:val="0"/>
          <w:sz w:val="24"/>
          <w:highlight w:val="none"/>
          <w:u w:val="single"/>
        </w:rPr>
        <w:t>台州循环经济发展有限公司</w:t>
      </w:r>
      <w:r>
        <w:rPr>
          <w:rFonts w:ascii="宋体" w:hAnsi="宋体"/>
          <w:color w:val="auto"/>
          <w:kern w:val="0"/>
          <w:sz w:val="24"/>
          <w:highlight w:val="none"/>
        </w:rPr>
        <w:t>：</w:t>
      </w:r>
    </w:p>
    <w:p>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我单位具有良好的商业信誉和健全的财务会计制度。如本声明失实，我单位自愿承担被取消成交资格等责任。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投标人名称（公章）：</w:t>
      </w:r>
    </w:p>
    <w:p>
      <w:pPr>
        <w:adjustRightInd w:val="0"/>
        <w:snapToGrid w:val="0"/>
        <w:spacing w:line="360" w:lineRule="auto"/>
        <w:ind w:firstLine="2640" w:firstLineChars="1100"/>
        <w:rPr>
          <w:rFonts w:ascii="宋体" w:hAnsi="宋体" w:cs="仿宋_GB2312"/>
          <w:color w:val="auto"/>
          <w:kern w:val="0"/>
          <w:sz w:val="24"/>
          <w:highlight w:val="none"/>
          <w:lang w:val="zh-CN"/>
        </w:rPr>
      </w:pPr>
      <w:r>
        <w:rPr>
          <w:rFonts w:hint="eastAsia" w:ascii="宋体" w:hAnsi="宋体"/>
          <w:color w:val="auto"/>
          <w:sz w:val="24"/>
          <w:highlight w:val="none"/>
        </w:rPr>
        <w:t>法定代表人（负责人）或授权委托人（签字或盖章）</w:t>
      </w:r>
      <w:r>
        <w:rPr>
          <w:rFonts w:hint="eastAsia" w:ascii="宋体" w:hAnsi="宋体" w:cs="仿宋_GB2312"/>
          <w:color w:val="auto"/>
          <w:kern w:val="0"/>
          <w:sz w:val="24"/>
          <w:highlight w:val="none"/>
          <w:lang w:val="zh-CN"/>
        </w:rPr>
        <w:t>：</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    年   月   日</w:t>
      </w:r>
    </w:p>
    <w:p>
      <w:pPr>
        <w:jc w:val="center"/>
        <w:rPr>
          <w:rFonts w:ascii="宋体" w:hAnsi="宋体"/>
          <w:b/>
          <w:color w:val="auto"/>
          <w:kern w:val="0"/>
          <w:sz w:val="32"/>
          <w:szCs w:val="32"/>
          <w:highlight w:val="none"/>
        </w:rPr>
      </w:pPr>
    </w:p>
    <w:p>
      <w:pPr>
        <w:jc w:val="center"/>
        <w:rPr>
          <w:rFonts w:ascii="宋体" w:hAnsi="宋体"/>
          <w:b/>
          <w:color w:val="auto"/>
          <w:kern w:val="0"/>
          <w:sz w:val="32"/>
          <w:szCs w:val="32"/>
          <w:highlight w:val="none"/>
        </w:rPr>
      </w:pPr>
    </w:p>
    <w:p>
      <w:pPr>
        <w:rPr>
          <w:rFonts w:ascii="宋体" w:hAnsi="宋体"/>
          <w:b/>
          <w:color w:val="auto"/>
          <w:kern w:val="0"/>
          <w:sz w:val="32"/>
          <w:szCs w:val="32"/>
          <w:highlight w:val="none"/>
        </w:rPr>
      </w:pPr>
      <w:r>
        <w:rPr>
          <w:rFonts w:ascii="宋体" w:hAnsi="宋体"/>
          <w:b/>
          <w:color w:val="auto"/>
          <w:kern w:val="0"/>
          <w:sz w:val="32"/>
          <w:szCs w:val="32"/>
          <w:highlight w:val="none"/>
        </w:rPr>
        <w:br w:type="page"/>
      </w:r>
    </w:p>
    <w:p>
      <w:pPr>
        <w:jc w:val="left"/>
        <w:rPr>
          <w:rFonts w:ascii="宋体" w:hAnsi="宋体"/>
          <w:b/>
          <w:color w:val="auto"/>
          <w:kern w:val="0"/>
          <w:sz w:val="32"/>
          <w:szCs w:val="32"/>
          <w:highlight w:val="none"/>
        </w:rPr>
      </w:pPr>
      <w:r>
        <w:rPr>
          <w:rFonts w:hint="eastAsia" w:ascii="宋体" w:hAnsi="宋体"/>
          <w:b/>
          <w:color w:val="auto"/>
          <w:kern w:val="0"/>
          <w:sz w:val="32"/>
          <w:szCs w:val="32"/>
          <w:highlight w:val="none"/>
        </w:rPr>
        <w:t>附件5</w:t>
      </w:r>
    </w:p>
    <w:p>
      <w:pPr>
        <w:jc w:val="center"/>
        <w:rPr>
          <w:rFonts w:ascii="宋体" w:hAnsi="宋体"/>
          <w:b/>
          <w:color w:val="auto"/>
          <w:sz w:val="28"/>
          <w:highlight w:val="none"/>
        </w:rPr>
      </w:pPr>
      <w:r>
        <w:rPr>
          <w:rFonts w:ascii="宋体" w:hAnsi="宋体"/>
          <w:b/>
          <w:color w:val="auto"/>
          <w:kern w:val="0"/>
          <w:sz w:val="32"/>
          <w:szCs w:val="32"/>
          <w:highlight w:val="none"/>
        </w:rPr>
        <w:t>具有履行合同所必须的设备和专业技术能力的承诺函</w:t>
      </w:r>
    </w:p>
    <w:p>
      <w:pPr>
        <w:jc w:val="center"/>
        <w:rPr>
          <w:rFonts w:ascii="宋体" w:hAnsi="宋体"/>
          <w:b/>
          <w:color w:val="auto"/>
          <w:sz w:val="28"/>
          <w:highlight w:val="none"/>
        </w:rPr>
      </w:pPr>
    </w:p>
    <w:p>
      <w:pPr>
        <w:widowControl/>
        <w:shd w:val="clear" w:color="auto" w:fill="FFFFFF"/>
        <w:snapToGrid w:val="0"/>
        <w:spacing w:after="50" w:line="480" w:lineRule="auto"/>
        <w:jc w:val="left"/>
        <w:rPr>
          <w:rFonts w:ascii="宋体" w:hAnsi="宋体"/>
          <w:color w:val="auto"/>
          <w:kern w:val="0"/>
          <w:sz w:val="24"/>
          <w:highlight w:val="none"/>
        </w:rPr>
      </w:pPr>
      <w:r>
        <w:rPr>
          <w:rFonts w:hint="eastAsia" w:ascii="宋体" w:hAnsi="宋体"/>
          <w:color w:val="auto"/>
          <w:kern w:val="0"/>
          <w:sz w:val="24"/>
          <w:highlight w:val="none"/>
          <w:u w:val="single"/>
        </w:rPr>
        <w:t>台州循环经济发展有限公司</w:t>
      </w:r>
      <w:r>
        <w:rPr>
          <w:rFonts w:ascii="宋体" w:hAnsi="宋体"/>
          <w:color w:val="auto"/>
          <w:kern w:val="0"/>
          <w:sz w:val="24"/>
          <w:highlight w:val="none"/>
        </w:rPr>
        <w:t>：</w:t>
      </w:r>
    </w:p>
    <w:p>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若我单位有幸成为</w:t>
      </w:r>
      <w:r>
        <w:rPr>
          <w:rFonts w:hint="eastAsia" w:ascii="宋体" w:hAnsi="宋体"/>
          <w:color w:val="auto"/>
          <w:sz w:val="24"/>
          <w:highlight w:val="none"/>
          <w:u w:val="single"/>
        </w:rPr>
        <w:t>台州循环经济发展有限公司及其下属子公司补充医疗保险服务采购项目</w:t>
      </w:r>
      <w:r>
        <w:rPr>
          <w:rFonts w:hint="eastAsia" w:hAnsi="宋体"/>
          <w:color w:val="auto"/>
          <w:sz w:val="24"/>
          <w:highlight w:val="none"/>
        </w:rPr>
        <w:t>（</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rPr>
        <w:t xml:space="preserve">            </w:t>
      </w:r>
      <w:r>
        <w:rPr>
          <w:rFonts w:hint="eastAsia" w:hAnsi="宋体" w:cs="宋体"/>
          <w:color w:val="auto"/>
          <w:kern w:val="0"/>
          <w:sz w:val="24"/>
          <w:highlight w:val="none"/>
        </w:rPr>
        <w:t>）</w:t>
      </w:r>
      <w:r>
        <w:rPr>
          <w:rFonts w:ascii="宋体" w:hAnsi="宋体"/>
          <w:color w:val="auto"/>
          <w:kern w:val="0"/>
          <w:sz w:val="24"/>
          <w:highlight w:val="none"/>
        </w:rPr>
        <w:t>的成交单位，我单位有履行该项目合同的设备和专业技术能力，胜任本项目的服务工作。如本声明失实，我单位自愿承担被取消成交资格等责任。</w:t>
      </w:r>
    </w:p>
    <w:p>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p>
    <w:p>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投标人名称（公章）：</w:t>
      </w:r>
    </w:p>
    <w:p>
      <w:pPr>
        <w:adjustRightInd w:val="0"/>
        <w:snapToGrid w:val="0"/>
        <w:spacing w:line="360" w:lineRule="auto"/>
        <w:ind w:firstLine="3120" w:firstLineChars="1300"/>
        <w:rPr>
          <w:rFonts w:ascii="宋体" w:hAnsi="宋体" w:cs="仿宋_GB2312"/>
          <w:color w:val="auto"/>
          <w:kern w:val="0"/>
          <w:sz w:val="24"/>
          <w:highlight w:val="none"/>
          <w:lang w:val="zh-CN"/>
        </w:rPr>
      </w:pPr>
      <w:r>
        <w:rPr>
          <w:rFonts w:hint="eastAsia" w:ascii="宋体" w:hAnsi="宋体"/>
          <w:color w:val="auto"/>
          <w:sz w:val="24"/>
          <w:highlight w:val="none"/>
        </w:rPr>
        <w:t>法定代表人（负责人）或授权委托人（签字或盖章）</w:t>
      </w:r>
      <w:r>
        <w:rPr>
          <w:rFonts w:hint="eastAsia" w:ascii="宋体" w:hAnsi="宋体" w:cs="仿宋_GB2312"/>
          <w:color w:val="auto"/>
          <w:kern w:val="0"/>
          <w:sz w:val="24"/>
          <w:highlight w:val="none"/>
          <w:lang w:val="zh-CN"/>
        </w:rPr>
        <w:t>：</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    年   月   日</w:t>
      </w:r>
    </w:p>
    <w:p>
      <w:pPr>
        <w:jc w:val="center"/>
        <w:rPr>
          <w:color w:val="auto"/>
          <w:sz w:val="52"/>
          <w:szCs w:val="52"/>
          <w:highlight w:val="none"/>
        </w:rPr>
      </w:pPr>
    </w:p>
    <w:p>
      <w:pPr>
        <w:jc w:val="center"/>
        <w:rPr>
          <w:color w:val="auto"/>
          <w:sz w:val="52"/>
          <w:szCs w:val="52"/>
          <w:highlight w:val="none"/>
        </w:rPr>
      </w:pPr>
    </w:p>
    <w:p>
      <w:pPr>
        <w:jc w:val="center"/>
        <w:rPr>
          <w:color w:val="auto"/>
          <w:sz w:val="52"/>
          <w:szCs w:val="52"/>
          <w:highlight w:val="none"/>
        </w:rPr>
      </w:pPr>
    </w:p>
    <w:p>
      <w:pPr>
        <w:rPr>
          <w:color w:val="auto"/>
          <w:sz w:val="52"/>
          <w:szCs w:val="52"/>
          <w:highlight w:val="none"/>
        </w:rPr>
      </w:pPr>
    </w:p>
    <w:p>
      <w:pPr>
        <w:pStyle w:val="4"/>
        <w:numPr>
          <w:ilvl w:val="0"/>
          <w:numId w:val="0"/>
        </w:numPr>
        <w:jc w:val="both"/>
        <w:rPr>
          <w:color w:val="auto"/>
          <w:highlight w:val="none"/>
        </w:rPr>
      </w:pPr>
    </w:p>
    <w:p>
      <w:pPr>
        <w:jc w:val="center"/>
        <w:rPr>
          <w:color w:val="auto"/>
          <w:sz w:val="52"/>
          <w:szCs w:val="52"/>
          <w:highlight w:val="none"/>
        </w:rPr>
      </w:pPr>
    </w:p>
    <w:p>
      <w:pPr>
        <w:pStyle w:val="4"/>
        <w:numPr>
          <w:ilvl w:val="0"/>
          <w:numId w:val="0"/>
        </w:numPr>
        <w:ind w:left="425"/>
        <w:jc w:val="both"/>
        <w:rPr>
          <w:color w:val="auto"/>
          <w:highlight w:val="none"/>
        </w:rPr>
      </w:pPr>
    </w:p>
    <w:p>
      <w:pPr>
        <w:rPr>
          <w:color w:val="auto"/>
          <w:highlight w:val="none"/>
        </w:rPr>
      </w:pPr>
    </w:p>
    <w:bookmarkEnd w:id="50"/>
    <w:bookmarkEnd w:id="51"/>
    <w:bookmarkEnd w:id="52"/>
    <w:p>
      <w:pPr>
        <w:jc w:val="center"/>
        <w:rPr>
          <w:color w:val="auto"/>
          <w:highlight w:val="none"/>
        </w:rPr>
      </w:pPr>
    </w:p>
    <w:p>
      <w:pPr>
        <w:jc w:val="center"/>
        <w:rPr>
          <w:color w:val="auto"/>
          <w:sz w:val="44"/>
          <w:szCs w:val="44"/>
          <w:highlight w:val="none"/>
        </w:rPr>
      </w:pPr>
      <w:r>
        <w:rPr>
          <w:rFonts w:hint="eastAsia"/>
          <w:color w:val="auto"/>
          <w:sz w:val="44"/>
          <w:szCs w:val="44"/>
          <w:highlight w:val="none"/>
        </w:rPr>
        <w:t>台州循环经济发展有限公司及其下属子公司补充医疗保险服务采购项目</w:t>
      </w:r>
    </w:p>
    <w:p>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  ）</w:t>
      </w:r>
    </w:p>
    <w:p>
      <w:pPr>
        <w:autoSpaceDE w:val="0"/>
        <w:autoSpaceDN w:val="0"/>
        <w:adjustRightInd w:val="0"/>
        <w:spacing w:line="360" w:lineRule="auto"/>
        <w:jc w:val="center"/>
        <w:rPr>
          <w:rFonts w:ascii="宋体" w:hAnsi="宋体" w:cs="宋体"/>
          <w:color w:val="auto"/>
          <w:sz w:val="24"/>
          <w:highlight w:val="none"/>
          <w:lang w:val="zh-CN"/>
        </w:rPr>
      </w:pPr>
    </w:p>
    <w:p>
      <w:pPr>
        <w:jc w:val="center"/>
        <w:rPr>
          <w:color w:val="auto"/>
          <w:sz w:val="84"/>
          <w:szCs w:val="84"/>
          <w:highlight w:val="none"/>
          <w:lang w:val="zh-CN"/>
        </w:rPr>
      </w:pPr>
      <w:r>
        <w:rPr>
          <w:rFonts w:hint="eastAsia"/>
          <w:color w:val="auto"/>
          <w:sz w:val="84"/>
          <w:szCs w:val="84"/>
          <w:highlight w:val="none"/>
          <w:lang w:val="zh-CN"/>
        </w:rPr>
        <w:t>投</w:t>
      </w:r>
    </w:p>
    <w:p>
      <w:pPr>
        <w:jc w:val="center"/>
        <w:rPr>
          <w:color w:val="auto"/>
          <w:sz w:val="84"/>
          <w:szCs w:val="84"/>
          <w:highlight w:val="none"/>
          <w:lang w:val="zh-CN"/>
        </w:rPr>
      </w:pPr>
      <w:r>
        <w:rPr>
          <w:rFonts w:hint="eastAsia"/>
          <w:color w:val="auto"/>
          <w:sz w:val="84"/>
          <w:szCs w:val="84"/>
          <w:highlight w:val="none"/>
          <w:lang w:val="zh-CN"/>
        </w:rPr>
        <w:t>标</w:t>
      </w:r>
    </w:p>
    <w:p>
      <w:pPr>
        <w:jc w:val="center"/>
        <w:rPr>
          <w:color w:val="auto"/>
          <w:sz w:val="84"/>
          <w:szCs w:val="84"/>
          <w:highlight w:val="none"/>
        </w:rPr>
      </w:pPr>
      <w:r>
        <w:rPr>
          <w:rFonts w:hint="eastAsia"/>
          <w:color w:val="auto"/>
          <w:sz w:val="84"/>
          <w:szCs w:val="84"/>
          <w:highlight w:val="none"/>
          <w:lang w:val="zh-CN"/>
        </w:rPr>
        <w:t>文</w:t>
      </w:r>
    </w:p>
    <w:p>
      <w:pPr>
        <w:jc w:val="center"/>
        <w:rPr>
          <w:color w:val="auto"/>
          <w:sz w:val="84"/>
          <w:szCs w:val="84"/>
          <w:highlight w:val="none"/>
          <w:lang w:val="zh-CN"/>
        </w:rPr>
      </w:pPr>
      <w:r>
        <w:rPr>
          <w:rFonts w:hint="eastAsia"/>
          <w:color w:val="auto"/>
          <w:sz w:val="84"/>
          <w:szCs w:val="84"/>
          <w:highlight w:val="none"/>
          <w:lang w:val="zh-CN"/>
        </w:rPr>
        <w:t>件</w:t>
      </w:r>
    </w:p>
    <w:p>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rPr>
        <w:t>技术标</w:t>
      </w:r>
      <w:r>
        <w:rPr>
          <w:rFonts w:hint="eastAsia" w:ascii="宋体" w:hAnsi="宋体"/>
          <w:b/>
          <w:color w:val="auto"/>
          <w:sz w:val="28"/>
          <w:szCs w:val="28"/>
          <w:highlight w:val="none"/>
        </w:rPr>
        <w:t>）</w:t>
      </w:r>
    </w:p>
    <w:p>
      <w:pPr>
        <w:pStyle w:val="25"/>
        <w:rPr>
          <w:color w:val="auto"/>
          <w:highlight w:val="none"/>
        </w:rPr>
      </w:pP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pPr>
        <w:snapToGrid w:val="0"/>
        <w:spacing w:before="50" w:after="50" w:line="360" w:lineRule="auto"/>
        <w:rPr>
          <w:rFonts w:ascii="仿宋_GB2312" w:hAnsi="宋体" w:eastAsia="仿宋_GB2312"/>
          <w:b/>
          <w:color w:val="auto"/>
          <w:sz w:val="36"/>
          <w:szCs w:val="36"/>
          <w:highlight w:val="none"/>
        </w:rPr>
      </w:pPr>
    </w:p>
    <w:p>
      <w:pPr>
        <w:pStyle w:val="7"/>
        <w:rPr>
          <w:rFonts w:ascii="仿宋_GB2312" w:hAnsi="宋体" w:eastAsia="仿宋_GB2312"/>
          <w:b/>
          <w:color w:val="auto"/>
          <w:sz w:val="36"/>
          <w:szCs w:val="36"/>
          <w:highlight w:val="none"/>
        </w:rPr>
      </w:pPr>
    </w:p>
    <w:p>
      <w:pPr>
        <w:rPr>
          <w:b/>
          <w:bCs/>
          <w:color w:val="auto"/>
          <w:sz w:val="32"/>
          <w:szCs w:val="32"/>
          <w:highlight w:val="none"/>
          <w:lang w:val="zh-CN"/>
        </w:rPr>
      </w:pPr>
      <w:bookmarkStart w:id="53" w:name="_Toc11308_WPSOffice_Level1"/>
      <w:bookmarkStart w:id="54" w:name="_Toc5889_WPSOffice_Level1"/>
    </w:p>
    <w:p>
      <w:pPr>
        <w:jc w:val="center"/>
        <w:rPr>
          <w:b/>
          <w:bCs/>
          <w:color w:val="auto"/>
          <w:sz w:val="36"/>
          <w:szCs w:val="36"/>
          <w:highlight w:val="none"/>
          <w:lang w:val="zh-CN"/>
        </w:rPr>
      </w:pPr>
    </w:p>
    <w:p>
      <w:pPr>
        <w:jc w:val="center"/>
        <w:rPr>
          <w:b/>
          <w:bCs/>
          <w:color w:val="auto"/>
          <w:sz w:val="36"/>
          <w:szCs w:val="36"/>
          <w:highlight w:val="none"/>
        </w:rPr>
      </w:pPr>
      <w:r>
        <w:rPr>
          <w:rFonts w:hint="eastAsia"/>
          <w:b/>
          <w:bCs/>
          <w:color w:val="auto"/>
          <w:sz w:val="36"/>
          <w:szCs w:val="36"/>
          <w:highlight w:val="none"/>
        </w:rPr>
        <w:t>技术标目录</w:t>
      </w:r>
      <w:bookmarkEnd w:id="53"/>
      <w:bookmarkEnd w:id="54"/>
    </w:p>
    <w:p>
      <w:pPr>
        <w:spacing w:line="360" w:lineRule="auto"/>
        <w:rPr>
          <w:color w:val="auto"/>
          <w:sz w:val="24"/>
          <w:highlight w:val="none"/>
        </w:rPr>
      </w:pP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（4）项目实施人员一览表（附件6）；</w:t>
      </w:r>
    </w:p>
    <w:p>
      <w:pPr>
        <w:snapToGrid w:val="0"/>
        <w:spacing w:line="360" w:lineRule="auto"/>
        <w:ind w:firstLine="480" w:firstLineChars="200"/>
        <w:rPr>
          <w:rFonts w:ascii="Calibri" w:hAnsi="Calibri" w:cs="Calibri"/>
          <w:color w:val="auto"/>
          <w:sz w:val="24"/>
          <w:highlight w:val="none"/>
        </w:rPr>
      </w:pPr>
      <w:r>
        <w:rPr>
          <w:rFonts w:hint="eastAsia" w:ascii="宋体" w:hAnsi="宋体"/>
          <w:bCs/>
          <w:color w:val="auto"/>
          <w:sz w:val="24"/>
          <w:highlight w:val="none"/>
        </w:rPr>
        <w:t>（5）</w:t>
      </w:r>
      <w:r>
        <w:rPr>
          <w:rFonts w:hint="eastAsia" w:ascii="Calibri" w:hAnsi="Calibri" w:cs="Calibri"/>
          <w:color w:val="auto"/>
          <w:sz w:val="24"/>
          <w:highlight w:val="none"/>
        </w:rPr>
        <w:t>服务条款响应表（附件7）；</w:t>
      </w:r>
    </w:p>
    <w:p>
      <w:pPr>
        <w:pStyle w:val="7"/>
        <w:widowControl/>
        <w:numPr>
          <w:ilvl w:val="255"/>
          <w:numId w:val="0"/>
        </w:num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（7）同类业绩证明（如有，需提供合同复印件；附件8）；</w:t>
      </w:r>
    </w:p>
    <w:p>
      <w:pPr>
        <w:pStyle w:val="7"/>
        <w:spacing w:line="360" w:lineRule="auto"/>
        <w:ind w:left="420" w:firstLine="0"/>
        <w:rPr>
          <w:color w:val="auto"/>
          <w:sz w:val="28"/>
          <w:szCs w:val="28"/>
          <w:highlight w:val="none"/>
        </w:rPr>
      </w:pPr>
      <w:r>
        <w:rPr>
          <w:rFonts w:hint="eastAsia" w:ascii="宋体" w:hAnsi="宋体"/>
          <w:bCs/>
          <w:color w:val="auto"/>
          <w:sz w:val="24"/>
          <w:highlight w:val="none"/>
        </w:rPr>
        <w:t>（8）符合招标文件规定的其他证明文件及评分标准中涉及的其他材料。</w:t>
      </w:r>
    </w:p>
    <w:p>
      <w:pPr>
        <w:pStyle w:val="7"/>
        <w:spacing w:line="360" w:lineRule="auto"/>
        <w:ind w:firstLine="0"/>
        <w:rPr>
          <w:rFonts w:ascii="宋体" w:hAnsi="宋体"/>
          <w:bCs/>
          <w:color w:val="auto"/>
          <w:sz w:val="24"/>
          <w:highlight w:val="none"/>
        </w:rPr>
      </w:pPr>
    </w:p>
    <w:p>
      <w:pPr>
        <w:pStyle w:val="7"/>
        <w:spacing w:line="360" w:lineRule="auto"/>
        <w:ind w:firstLine="0"/>
        <w:rPr>
          <w:rFonts w:ascii="宋体" w:hAnsi="宋体"/>
          <w:bCs/>
          <w:color w:val="auto"/>
          <w:sz w:val="24"/>
          <w:highlight w:val="none"/>
        </w:rPr>
      </w:pPr>
    </w:p>
    <w:p>
      <w:pPr>
        <w:pStyle w:val="7"/>
        <w:spacing w:line="360" w:lineRule="auto"/>
        <w:ind w:firstLine="0"/>
        <w:rPr>
          <w:rFonts w:ascii="宋体" w:hAnsi="宋体"/>
          <w:bCs/>
          <w:color w:val="auto"/>
          <w:sz w:val="24"/>
          <w:highlight w:val="none"/>
        </w:rPr>
      </w:pPr>
    </w:p>
    <w:p>
      <w:pPr>
        <w:pStyle w:val="7"/>
        <w:spacing w:line="360" w:lineRule="auto"/>
        <w:ind w:firstLine="0"/>
        <w:rPr>
          <w:rFonts w:ascii="宋体" w:hAnsi="宋体"/>
          <w:bCs/>
          <w:color w:val="auto"/>
          <w:sz w:val="24"/>
          <w:highlight w:val="none"/>
        </w:rPr>
      </w:pPr>
    </w:p>
    <w:p>
      <w:pPr>
        <w:pStyle w:val="7"/>
        <w:spacing w:line="360" w:lineRule="auto"/>
        <w:ind w:firstLine="0"/>
        <w:rPr>
          <w:rFonts w:ascii="宋体" w:hAnsi="宋体"/>
          <w:bCs/>
          <w:color w:val="auto"/>
          <w:sz w:val="24"/>
          <w:highlight w:val="none"/>
        </w:rPr>
      </w:pPr>
    </w:p>
    <w:p>
      <w:pPr>
        <w:pStyle w:val="7"/>
        <w:spacing w:line="360" w:lineRule="auto"/>
        <w:ind w:firstLine="0"/>
        <w:rPr>
          <w:rFonts w:ascii="宋体" w:hAnsi="宋体"/>
          <w:bCs/>
          <w:color w:val="auto"/>
          <w:sz w:val="24"/>
          <w:highlight w:val="none"/>
        </w:rPr>
      </w:pPr>
    </w:p>
    <w:p>
      <w:pPr>
        <w:pStyle w:val="7"/>
        <w:spacing w:line="360" w:lineRule="auto"/>
        <w:ind w:firstLine="0"/>
        <w:rPr>
          <w:rFonts w:ascii="宋体" w:hAnsi="宋体"/>
          <w:bCs/>
          <w:color w:val="auto"/>
          <w:sz w:val="24"/>
          <w:highlight w:val="none"/>
        </w:rPr>
      </w:pPr>
    </w:p>
    <w:p>
      <w:pPr>
        <w:pStyle w:val="7"/>
        <w:spacing w:line="360" w:lineRule="auto"/>
        <w:ind w:firstLine="0"/>
        <w:rPr>
          <w:rFonts w:ascii="宋体" w:hAnsi="宋体"/>
          <w:bCs/>
          <w:color w:val="auto"/>
          <w:sz w:val="24"/>
          <w:highlight w:val="none"/>
        </w:rPr>
      </w:pPr>
    </w:p>
    <w:p>
      <w:pPr>
        <w:rPr>
          <w:color w:val="auto"/>
          <w:highlight w:val="none"/>
        </w:rPr>
      </w:pPr>
    </w:p>
    <w:p>
      <w:pPr>
        <w:pStyle w:val="38"/>
        <w:shd w:val="clear" w:color="auto" w:fill="FFFFFF"/>
        <w:spacing w:before="0" w:beforeAutospacing="0" w:after="0" w:afterAutospacing="0" w:line="360" w:lineRule="auto"/>
        <w:rPr>
          <w:b/>
          <w:color w:val="auto"/>
          <w:sz w:val="28"/>
          <w:highlight w:val="none"/>
        </w:rPr>
      </w:pPr>
    </w:p>
    <w:p>
      <w:pPr>
        <w:pStyle w:val="38"/>
        <w:shd w:val="clear" w:color="auto" w:fill="FFFFFF"/>
        <w:spacing w:before="0" w:beforeAutospacing="0" w:after="0" w:afterAutospacing="0" w:line="360" w:lineRule="auto"/>
        <w:rPr>
          <w:b/>
          <w:color w:val="auto"/>
          <w:sz w:val="28"/>
          <w:highlight w:val="none"/>
        </w:rPr>
      </w:pPr>
    </w:p>
    <w:p>
      <w:pPr>
        <w:pStyle w:val="38"/>
        <w:shd w:val="clear" w:color="auto" w:fill="FFFFFF"/>
        <w:spacing w:before="0" w:beforeAutospacing="0" w:after="0" w:afterAutospacing="0" w:line="360" w:lineRule="auto"/>
        <w:rPr>
          <w:b/>
          <w:color w:val="auto"/>
          <w:sz w:val="28"/>
          <w:highlight w:val="none"/>
        </w:rPr>
      </w:pPr>
    </w:p>
    <w:p>
      <w:pPr>
        <w:pStyle w:val="38"/>
        <w:shd w:val="clear" w:color="auto" w:fill="FFFFFF"/>
        <w:spacing w:before="0" w:beforeAutospacing="0" w:after="0" w:afterAutospacing="0" w:line="360" w:lineRule="auto"/>
        <w:rPr>
          <w:b/>
          <w:color w:val="auto"/>
          <w:sz w:val="28"/>
          <w:highlight w:val="none"/>
        </w:rPr>
      </w:pPr>
    </w:p>
    <w:p>
      <w:pPr>
        <w:pStyle w:val="38"/>
        <w:shd w:val="clear" w:color="auto" w:fill="FFFFFF"/>
        <w:spacing w:before="0" w:beforeAutospacing="0" w:after="0" w:afterAutospacing="0" w:line="360" w:lineRule="auto"/>
        <w:rPr>
          <w:b/>
          <w:color w:val="auto"/>
          <w:sz w:val="28"/>
          <w:highlight w:val="none"/>
        </w:rPr>
      </w:pPr>
    </w:p>
    <w:p>
      <w:pPr>
        <w:pStyle w:val="38"/>
        <w:shd w:val="clear" w:color="auto" w:fill="FFFFFF"/>
        <w:spacing w:before="0" w:beforeAutospacing="0" w:after="0" w:afterAutospacing="0" w:line="360" w:lineRule="auto"/>
        <w:rPr>
          <w:b/>
          <w:color w:val="auto"/>
          <w:sz w:val="28"/>
          <w:highlight w:val="none"/>
        </w:rPr>
      </w:pPr>
    </w:p>
    <w:p>
      <w:pPr>
        <w:pStyle w:val="38"/>
        <w:shd w:val="clear" w:color="auto" w:fill="FFFFFF"/>
        <w:spacing w:before="0" w:beforeAutospacing="0" w:after="0" w:afterAutospacing="0" w:line="360" w:lineRule="auto"/>
        <w:rPr>
          <w:b/>
          <w:color w:val="auto"/>
          <w:sz w:val="28"/>
          <w:highlight w:val="none"/>
        </w:rPr>
      </w:pPr>
    </w:p>
    <w:p>
      <w:pPr>
        <w:jc w:val="left"/>
        <w:rPr>
          <w:rFonts w:ascii="宋体" w:hAnsi="宋体"/>
          <w:b/>
          <w:bCs/>
          <w:color w:val="auto"/>
          <w:kern w:val="0"/>
          <w:sz w:val="32"/>
          <w:szCs w:val="32"/>
          <w:highlight w:val="none"/>
        </w:rPr>
      </w:pPr>
      <w:bookmarkStart w:id="55" w:name="_Toc26601_WPSOffice_Level1"/>
      <w:bookmarkStart w:id="56" w:name="_Toc12856_WPSOffice_Level1"/>
      <w:r>
        <w:rPr>
          <w:rFonts w:hint="eastAsia" w:ascii="宋体" w:hAnsi="宋体"/>
          <w:b/>
          <w:bCs/>
          <w:color w:val="auto"/>
          <w:kern w:val="0"/>
          <w:sz w:val="32"/>
          <w:szCs w:val="32"/>
          <w:highlight w:val="none"/>
        </w:rPr>
        <w:t>附件6</w:t>
      </w:r>
    </w:p>
    <w:p>
      <w:pPr>
        <w:snapToGri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（主要从业人员及其技术资格）</w:t>
      </w:r>
    </w:p>
    <w:tbl>
      <w:tblPr>
        <w:tblStyle w:val="26"/>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auto"/>
                <w:szCs w:val="21"/>
                <w:highlight w:val="none"/>
              </w:rPr>
            </w:pPr>
            <w:r>
              <w:rPr>
                <w:rFonts w:hint="eastAsia" w:ascii="宋体" w:hAnsi="宋体"/>
                <w:b/>
                <w:color w:val="auto"/>
                <w:szCs w:val="21"/>
                <w:highlight w:val="none"/>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auto"/>
                <w:szCs w:val="21"/>
                <w:highlight w:val="none"/>
              </w:rPr>
            </w:pPr>
            <w:r>
              <w:rPr>
                <w:rFonts w:hint="eastAsia" w:ascii="宋体" w:hAnsi="宋体"/>
                <w:b/>
                <w:color w:val="auto"/>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auto"/>
                <w:szCs w:val="21"/>
                <w:highlight w:val="none"/>
              </w:rPr>
            </w:pPr>
            <w:r>
              <w:rPr>
                <w:rFonts w:hint="eastAsia" w:ascii="宋体" w:hAnsi="宋体"/>
                <w:b/>
                <w:color w:val="auto"/>
                <w:szCs w:val="21"/>
                <w:highlight w:val="none"/>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auto"/>
                <w:szCs w:val="21"/>
                <w:highlight w:val="none"/>
              </w:rPr>
            </w:pPr>
            <w:r>
              <w:rPr>
                <w:rFonts w:hint="eastAsia" w:ascii="宋体" w:hAnsi="宋体"/>
                <w:b/>
                <w:color w:val="auto"/>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auto"/>
                <w:szCs w:val="21"/>
                <w:highlight w:val="none"/>
              </w:rPr>
            </w:pPr>
            <w:r>
              <w:rPr>
                <w:rFonts w:hint="eastAsia" w:ascii="宋体" w:hAnsi="宋体"/>
                <w:b/>
                <w:color w:val="auto"/>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auto"/>
                <w:szCs w:val="21"/>
                <w:highlight w:val="none"/>
              </w:rPr>
            </w:pPr>
            <w:r>
              <w:rPr>
                <w:rFonts w:hint="eastAsia" w:ascii="宋体" w:hAnsi="宋体"/>
                <w:b/>
                <w:color w:val="auto"/>
                <w:szCs w:val="21"/>
                <w:highlight w:val="none"/>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color w:val="auto"/>
                <w:szCs w:val="21"/>
                <w:highlight w:val="none"/>
              </w:rPr>
            </w:pPr>
            <w:r>
              <w:rPr>
                <w:rFonts w:hint="eastAsia" w:ascii="宋体" w:hAnsi="宋体"/>
                <w:b/>
                <w:bCs/>
                <w:color w:val="auto"/>
                <w:szCs w:val="21"/>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color w:val="auto"/>
                <w:szCs w:val="21"/>
                <w:highlight w:val="none"/>
              </w:rPr>
            </w:pPr>
            <w:r>
              <w:rPr>
                <w:rFonts w:hint="eastAsia" w:ascii="宋体" w:hAnsi="宋体"/>
                <w:b/>
                <w:color w:val="auto"/>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napToGrid w:val="0"/>
              <w:spacing w:before="156" w:beforeLines="50" w:after="50" w:line="360" w:lineRule="auto"/>
              <w:ind w:left="5250"/>
              <w:rPr>
                <w:rFonts w:ascii="宋体" w:hAnsi="宋体" w:eastAsia="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napToGrid w:val="0"/>
              <w:spacing w:before="156" w:beforeLines="50" w:after="50" w:line="360" w:lineRule="auto"/>
              <w:ind w:left="5250"/>
              <w:rPr>
                <w:rFonts w:ascii="宋体" w:hAnsi="宋体" w:eastAsia="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pacing w:line="360" w:lineRule="auto"/>
              <w:ind w:left="5250"/>
              <w:rPr>
                <w:rFonts w:ascii="宋体" w:hAnsi="宋体"/>
                <w:color w:val="auto"/>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color w:val="auto"/>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color w:val="auto"/>
                <w:kern w:val="44"/>
                <w:szCs w:val="21"/>
                <w:highlight w:val="none"/>
              </w:rPr>
            </w:pPr>
          </w:p>
        </w:tc>
      </w:tr>
    </w:tbl>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要求：</w:t>
      </w:r>
    </w:p>
    <w:p>
      <w:pPr>
        <w:spacing w:line="360" w:lineRule="auto"/>
        <w:ind w:left="437"/>
        <w:rPr>
          <w:rFonts w:ascii="宋体" w:hAnsi="宋体"/>
          <w:color w:val="auto"/>
          <w:szCs w:val="21"/>
          <w:highlight w:val="none"/>
        </w:rPr>
      </w:pPr>
      <w:r>
        <w:rPr>
          <w:rFonts w:hint="eastAsia" w:ascii="宋体" w:hAnsi="宋体"/>
          <w:bCs/>
          <w:color w:val="auto"/>
          <w:szCs w:val="21"/>
          <w:highlight w:val="none"/>
        </w:rPr>
        <w:t>1.在填</w:t>
      </w:r>
      <w:r>
        <w:rPr>
          <w:rFonts w:hint="eastAsia" w:ascii="宋体" w:hAnsi="宋体"/>
          <w:color w:val="auto"/>
          <w:szCs w:val="21"/>
          <w:highlight w:val="none"/>
        </w:rPr>
        <w:t>写时，如本表格不适合投标单位的实际情况，可根据本表格式自行划表填写。</w:t>
      </w:r>
    </w:p>
    <w:p>
      <w:pPr>
        <w:snapToGrid w:val="0"/>
        <w:spacing w:before="50" w:after="156" w:afterLines="50" w:line="360" w:lineRule="auto"/>
        <w:jc w:val="left"/>
        <w:rPr>
          <w:rFonts w:ascii="宋体" w:hAnsi="宋体"/>
          <w:color w:val="auto"/>
          <w:sz w:val="24"/>
          <w:szCs w:val="20"/>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法定代表人（负责人）或授权委托人（签字或盖章）：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jc w:val="left"/>
        <w:rPr>
          <w:rFonts w:ascii="宋体" w:hAnsi="宋体"/>
          <w:b/>
          <w:bCs/>
          <w:color w:val="auto"/>
          <w:kern w:val="0"/>
          <w:sz w:val="32"/>
          <w:szCs w:val="32"/>
          <w:highlight w:val="none"/>
        </w:rPr>
      </w:pPr>
    </w:p>
    <w:p>
      <w:pPr>
        <w:jc w:val="left"/>
        <w:rPr>
          <w:rFonts w:ascii="宋体" w:hAnsi="宋体"/>
          <w:b/>
          <w:bCs/>
          <w:color w:val="auto"/>
          <w:kern w:val="0"/>
          <w:sz w:val="32"/>
          <w:szCs w:val="32"/>
          <w:highlight w:val="none"/>
        </w:rPr>
      </w:pPr>
      <w:r>
        <w:rPr>
          <w:rFonts w:ascii="宋体" w:hAnsi="宋体"/>
          <w:b/>
          <w:bCs/>
          <w:color w:val="auto"/>
          <w:kern w:val="0"/>
          <w:sz w:val="32"/>
          <w:szCs w:val="32"/>
          <w:highlight w:val="none"/>
        </w:rPr>
        <w:br w:type="page"/>
      </w:r>
    </w:p>
    <w:p>
      <w:pPr>
        <w:spacing w:line="360" w:lineRule="auto"/>
        <w:jc w:val="left"/>
        <w:rPr>
          <w:rFonts w:ascii="宋体" w:hAnsi="宋体"/>
          <w:b/>
          <w:bCs/>
          <w:color w:val="auto"/>
          <w:kern w:val="0"/>
          <w:sz w:val="32"/>
          <w:szCs w:val="32"/>
          <w:highlight w:val="none"/>
        </w:rPr>
      </w:pPr>
      <w:r>
        <w:rPr>
          <w:rFonts w:hint="eastAsia" w:ascii="宋体" w:hAnsi="宋体"/>
          <w:b/>
          <w:bCs/>
          <w:color w:val="auto"/>
          <w:kern w:val="0"/>
          <w:sz w:val="32"/>
          <w:szCs w:val="32"/>
          <w:highlight w:val="none"/>
        </w:rPr>
        <w:t>附件7</w:t>
      </w:r>
    </w:p>
    <w:p>
      <w:pPr>
        <w:adjustRightInd w:val="0"/>
        <w:snapToGrid w:val="0"/>
        <w:ind w:firstLine="1205" w:firstLineChars="375"/>
        <w:jc w:val="center"/>
        <w:rPr>
          <w:rFonts w:ascii="宋体" w:hAnsi="宋体"/>
          <w:b/>
          <w:color w:val="auto"/>
          <w:kern w:val="0"/>
          <w:sz w:val="32"/>
          <w:szCs w:val="32"/>
          <w:highlight w:val="none"/>
        </w:rPr>
      </w:pPr>
      <w:r>
        <w:rPr>
          <w:rFonts w:ascii="宋体" w:hAnsi="宋体"/>
          <w:b/>
          <w:color w:val="auto"/>
          <w:kern w:val="0"/>
          <w:sz w:val="32"/>
          <w:szCs w:val="32"/>
          <w:highlight w:val="none"/>
        </w:rPr>
        <w:t>服务条款响应表</w:t>
      </w:r>
    </w:p>
    <w:p>
      <w:pPr>
        <w:adjustRightInd w:val="0"/>
        <w:snapToGrid w:val="0"/>
        <w:ind w:firstLine="1205" w:firstLineChars="375"/>
        <w:jc w:val="center"/>
        <w:rPr>
          <w:rFonts w:ascii="宋体" w:hAnsi="宋体"/>
          <w:b/>
          <w:color w:val="auto"/>
          <w:kern w:val="0"/>
          <w:sz w:val="32"/>
          <w:szCs w:val="32"/>
          <w:highlight w:val="none"/>
        </w:rPr>
      </w:pPr>
    </w:p>
    <w:tbl>
      <w:tblPr>
        <w:tblStyle w:val="26"/>
        <w:tblW w:w="48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2057"/>
        <w:gridCol w:w="3032"/>
        <w:gridCol w:w="113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99"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序号</w:t>
            </w:r>
          </w:p>
        </w:tc>
        <w:tc>
          <w:tcPr>
            <w:tcW w:w="1235"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u w:val="thick" w:color="FFFFFF"/>
              </w:rPr>
              <w:t>招标文件</w:t>
            </w:r>
            <w:r>
              <w:rPr>
                <w:rFonts w:ascii="宋体" w:hAnsi="宋体"/>
                <w:color w:val="auto"/>
                <w:sz w:val="24"/>
                <w:highlight w:val="none"/>
              </w:rPr>
              <w:t>要求</w:t>
            </w:r>
          </w:p>
        </w:tc>
        <w:tc>
          <w:tcPr>
            <w:tcW w:w="1820"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投标响应内容</w:t>
            </w:r>
          </w:p>
        </w:tc>
        <w:tc>
          <w:tcPr>
            <w:tcW w:w="681"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响应情况</w:t>
            </w:r>
          </w:p>
        </w:tc>
        <w:tc>
          <w:tcPr>
            <w:tcW w:w="765"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99"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1</w:t>
            </w:r>
          </w:p>
        </w:tc>
        <w:tc>
          <w:tcPr>
            <w:tcW w:w="1235" w:type="pct"/>
          </w:tcPr>
          <w:p>
            <w:pPr>
              <w:adjustRightInd w:val="0"/>
              <w:snapToGrid w:val="0"/>
              <w:spacing w:before="100" w:beforeAutospacing="1" w:after="100" w:afterAutospacing="1"/>
              <w:jc w:val="center"/>
              <w:rPr>
                <w:rFonts w:ascii="宋体" w:hAnsi="宋体"/>
                <w:color w:val="auto"/>
                <w:sz w:val="24"/>
                <w:highlight w:val="none"/>
              </w:rPr>
            </w:pPr>
            <w:r>
              <w:rPr>
                <w:rFonts w:hint="eastAsia"/>
                <w:color w:val="auto"/>
                <w:highlight w:val="none"/>
              </w:rPr>
              <w:t>总体要求</w:t>
            </w:r>
          </w:p>
        </w:tc>
        <w:tc>
          <w:tcPr>
            <w:tcW w:w="1820" w:type="pct"/>
          </w:tcPr>
          <w:p>
            <w:pPr>
              <w:adjustRightInd w:val="0"/>
              <w:snapToGrid w:val="0"/>
              <w:spacing w:before="100" w:beforeAutospacing="1" w:after="100" w:afterAutospacing="1"/>
              <w:rPr>
                <w:rFonts w:ascii="宋体" w:hAnsi="宋体"/>
                <w:color w:val="auto"/>
                <w:sz w:val="24"/>
                <w:highlight w:val="none"/>
              </w:rPr>
            </w:pPr>
            <w:r>
              <w:rPr>
                <w:rFonts w:hint="eastAsia"/>
                <w:color w:val="auto"/>
                <w:highlight w:val="none"/>
              </w:rPr>
              <w:t>投标人需按招标需求的要求完成（台州循环经济发展有限公司及其下属子公司补充医疗保险服务采购项目），按工作顺序提交所需的资料，所有资料必须符合本招标需求的要求。费用应全部包含在总报价中。</w:t>
            </w:r>
          </w:p>
        </w:tc>
        <w:tc>
          <w:tcPr>
            <w:tcW w:w="681" w:type="pct"/>
            <w:vAlign w:val="center"/>
          </w:tcPr>
          <w:p>
            <w:pPr>
              <w:adjustRightInd w:val="0"/>
              <w:snapToGrid w:val="0"/>
              <w:spacing w:before="100" w:beforeAutospacing="1" w:after="100" w:afterAutospacing="1"/>
              <w:jc w:val="center"/>
              <w:rPr>
                <w:rFonts w:ascii="宋体" w:hAnsi="宋体"/>
                <w:color w:val="auto"/>
                <w:sz w:val="24"/>
                <w:highlight w:val="none"/>
              </w:rPr>
            </w:pPr>
          </w:p>
        </w:tc>
        <w:tc>
          <w:tcPr>
            <w:tcW w:w="765" w:type="pct"/>
            <w:vAlign w:val="center"/>
          </w:tcPr>
          <w:p>
            <w:pPr>
              <w:adjustRightInd w:val="0"/>
              <w:snapToGrid w:val="0"/>
              <w:spacing w:before="100" w:beforeAutospacing="1" w:after="100" w:afterAutospacing="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99"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2</w:t>
            </w:r>
          </w:p>
        </w:tc>
        <w:tc>
          <w:tcPr>
            <w:tcW w:w="1235" w:type="pct"/>
          </w:tcPr>
          <w:p>
            <w:pPr>
              <w:adjustRightInd w:val="0"/>
              <w:snapToGrid w:val="0"/>
              <w:spacing w:before="100" w:beforeAutospacing="1" w:after="100" w:afterAutospacing="1"/>
              <w:jc w:val="center"/>
              <w:rPr>
                <w:rFonts w:ascii="宋体" w:hAnsi="宋体"/>
                <w:color w:val="auto"/>
                <w:sz w:val="24"/>
                <w:highlight w:val="none"/>
              </w:rPr>
            </w:pPr>
            <w:r>
              <w:rPr>
                <w:rFonts w:hint="eastAsia"/>
                <w:color w:val="auto"/>
                <w:highlight w:val="none"/>
              </w:rPr>
              <w:t>投标总报价</w:t>
            </w:r>
          </w:p>
        </w:tc>
        <w:tc>
          <w:tcPr>
            <w:tcW w:w="1820" w:type="pct"/>
          </w:tcPr>
          <w:p>
            <w:pPr>
              <w:adjustRightInd w:val="0"/>
              <w:snapToGrid w:val="0"/>
              <w:spacing w:before="100" w:beforeAutospacing="1" w:after="100" w:afterAutospacing="1"/>
              <w:rPr>
                <w:rFonts w:ascii="宋体" w:hAnsi="宋体"/>
                <w:color w:val="auto"/>
                <w:sz w:val="24"/>
                <w:highlight w:val="none"/>
              </w:rPr>
            </w:pPr>
            <w:r>
              <w:rPr>
                <w:rFonts w:hint="eastAsia"/>
                <w:color w:val="auto"/>
                <w:highlight w:val="none"/>
              </w:rPr>
              <w:t>投标总报价应是招标文件所确定的招标范围内全部工作内容的价格表现。</w:t>
            </w:r>
          </w:p>
        </w:tc>
        <w:tc>
          <w:tcPr>
            <w:tcW w:w="681" w:type="pct"/>
            <w:vAlign w:val="center"/>
          </w:tcPr>
          <w:p>
            <w:pPr>
              <w:adjustRightInd w:val="0"/>
              <w:snapToGrid w:val="0"/>
              <w:spacing w:before="100" w:beforeAutospacing="1" w:after="100" w:afterAutospacing="1"/>
              <w:jc w:val="center"/>
              <w:rPr>
                <w:rFonts w:ascii="宋体" w:hAnsi="宋体"/>
                <w:color w:val="auto"/>
                <w:sz w:val="24"/>
                <w:highlight w:val="none"/>
              </w:rPr>
            </w:pPr>
          </w:p>
        </w:tc>
        <w:tc>
          <w:tcPr>
            <w:tcW w:w="765" w:type="pct"/>
            <w:vAlign w:val="center"/>
          </w:tcPr>
          <w:p>
            <w:pPr>
              <w:adjustRightInd w:val="0"/>
              <w:snapToGrid w:val="0"/>
              <w:spacing w:before="100" w:beforeAutospacing="1" w:after="100" w:afterAutospacing="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99"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3</w:t>
            </w:r>
          </w:p>
        </w:tc>
        <w:tc>
          <w:tcPr>
            <w:tcW w:w="1235" w:type="pct"/>
          </w:tcPr>
          <w:p>
            <w:pPr>
              <w:adjustRightInd w:val="0"/>
              <w:snapToGrid w:val="0"/>
              <w:spacing w:before="100" w:beforeAutospacing="1" w:after="100" w:afterAutospacing="1"/>
              <w:jc w:val="center"/>
              <w:rPr>
                <w:rFonts w:ascii="宋体" w:hAnsi="宋体"/>
                <w:color w:val="auto"/>
                <w:sz w:val="24"/>
                <w:highlight w:val="none"/>
              </w:rPr>
            </w:pPr>
            <w:r>
              <w:rPr>
                <w:rFonts w:hint="eastAsia"/>
                <w:color w:val="auto"/>
                <w:highlight w:val="none"/>
              </w:rPr>
              <w:t>招标范围</w:t>
            </w:r>
          </w:p>
        </w:tc>
        <w:tc>
          <w:tcPr>
            <w:tcW w:w="1820" w:type="pct"/>
          </w:tcPr>
          <w:p>
            <w:pPr>
              <w:adjustRightInd w:val="0"/>
              <w:snapToGrid w:val="0"/>
              <w:spacing w:before="100" w:beforeAutospacing="1" w:after="100" w:afterAutospacing="1"/>
              <w:rPr>
                <w:rFonts w:ascii="宋体" w:hAnsi="宋体"/>
                <w:color w:val="auto"/>
                <w:sz w:val="24"/>
                <w:highlight w:val="none"/>
              </w:rPr>
            </w:pPr>
            <w:r>
              <w:rPr>
                <w:rFonts w:hint="eastAsia"/>
                <w:color w:val="auto"/>
                <w:highlight w:val="none"/>
              </w:rPr>
              <w:t>招标范围为招标人提供的技术规格书中所包含的（台州循环经济发展有限公司及其下属子公司补充医疗保险服务采购项目）所有内容。</w:t>
            </w:r>
          </w:p>
        </w:tc>
        <w:tc>
          <w:tcPr>
            <w:tcW w:w="681" w:type="pct"/>
            <w:vAlign w:val="center"/>
          </w:tcPr>
          <w:p>
            <w:pPr>
              <w:adjustRightInd w:val="0"/>
              <w:snapToGrid w:val="0"/>
              <w:spacing w:before="100" w:beforeAutospacing="1" w:after="100" w:afterAutospacing="1"/>
              <w:rPr>
                <w:rFonts w:ascii="宋体" w:hAnsi="宋体"/>
                <w:color w:val="auto"/>
                <w:sz w:val="24"/>
                <w:highlight w:val="none"/>
              </w:rPr>
            </w:pPr>
          </w:p>
        </w:tc>
        <w:tc>
          <w:tcPr>
            <w:tcW w:w="765" w:type="pct"/>
            <w:vAlign w:val="center"/>
          </w:tcPr>
          <w:p>
            <w:pPr>
              <w:adjustRightInd w:val="0"/>
              <w:snapToGrid w:val="0"/>
              <w:spacing w:before="100" w:beforeAutospacing="1" w:after="100" w:afterAutospacing="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99"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4</w:t>
            </w:r>
          </w:p>
        </w:tc>
        <w:tc>
          <w:tcPr>
            <w:tcW w:w="1235" w:type="pct"/>
          </w:tcPr>
          <w:p>
            <w:pPr>
              <w:adjustRightInd w:val="0"/>
              <w:snapToGrid w:val="0"/>
              <w:spacing w:before="100" w:beforeAutospacing="1" w:after="100" w:afterAutospacing="1"/>
              <w:jc w:val="center"/>
              <w:rPr>
                <w:rFonts w:ascii="宋体" w:hAnsi="宋体"/>
                <w:color w:val="auto"/>
                <w:sz w:val="24"/>
                <w:highlight w:val="none"/>
              </w:rPr>
            </w:pPr>
            <w:r>
              <w:rPr>
                <w:rFonts w:hint="eastAsia"/>
                <w:color w:val="auto"/>
                <w:highlight w:val="none"/>
              </w:rPr>
              <w:t>服务要求</w:t>
            </w:r>
          </w:p>
        </w:tc>
        <w:tc>
          <w:tcPr>
            <w:tcW w:w="1820" w:type="pct"/>
          </w:tcPr>
          <w:p>
            <w:pPr>
              <w:adjustRightInd w:val="0"/>
              <w:snapToGrid w:val="0"/>
              <w:spacing w:before="100" w:beforeAutospacing="1" w:after="100" w:afterAutospacing="1"/>
              <w:rPr>
                <w:rFonts w:ascii="宋体" w:hAnsi="宋体"/>
                <w:color w:val="auto"/>
                <w:sz w:val="24"/>
                <w:highlight w:val="none"/>
              </w:rPr>
            </w:pPr>
            <w:r>
              <w:rPr>
                <w:rFonts w:hint="eastAsia"/>
                <w:color w:val="auto"/>
                <w:highlight w:val="none"/>
              </w:rPr>
              <w:t>详见本章“招标需求”</w:t>
            </w:r>
          </w:p>
        </w:tc>
        <w:tc>
          <w:tcPr>
            <w:tcW w:w="681" w:type="pct"/>
            <w:vAlign w:val="center"/>
          </w:tcPr>
          <w:p>
            <w:pPr>
              <w:adjustRightInd w:val="0"/>
              <w:snapToGrid w:val="0"/>
              <w:spacing w:before="100" w:beforeAutospacing="1" w:after="100" w:afterAutospacing="1"/>
              <w:rPr>
                <w:rFonts w:ascii="宋体" w:hAnsi="宋体"/>
                <w:color w:val="auto"/>
                <w:sz w:val="24"/>
                <w:highlight w:val="none"/>
              </w:rPr>
            </w:pPr>
          </w:p>
        </w:tc>
        <w:tc>
          <w:tcPr>
            <w:tcW w:w="765" w:type="pct"/>
            <w:vAlign w:val="center"/>
          </w:tcPr>
          <w:p>
            <w:pPr>
              <w:adjustRightInd w:val="0"/>
              <w:snapToGrid w:val="0"/>
              <w:spacing w:before="100" w:beforeAutospacing="1" w:after="100" w:afterAutospacing="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99"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5</w:t>
            </w:r>
          </w:p>
        </w:tc>
        <w:tc>
          <w:tcPr>
            <w:tcW w:w="1235" w:type="pct"/>
          </w:tcPr>
          <w:p>
            <w:pPr>
              <w:adjustRightInd w:val="0"/>
              <w:snapToGrid w:val="0"/>
              <w:spacing w:before="100" w:beforeAutospacing="1" w:after="100" w:afterAutospacing="1"/>
              <w:jc w:val="center"/>
              <w:rPr>
                <w:rFonts w:ascii="宋体" w:hAnsi="宋体"/>
                <w:color w:val="auto"/>
                <w:sz w:val="24"/>
                <w:highlight w:val="none"/>
              </w:rPr>
            </w:pPr>
            <w:r>
              <w:rPr>
                <w:rFonts w:hint="eastAsia"/>
                <w:color w:val="auto"/>
                <w:highlight w:val="none"/>
              </w:rPr>
              <w:t>时间及地点</w:t>
            </w:r>
          </w:p>
        </w:tc>
        <w:tc>
          <w:tcPr>
            <w:tcW w:w="1820" w:type="pct"/>
          </w:tcPr>
          <w:p>
            <w:pPr>
              <w:adjustRightInd w:val="0"/>
              <w:snapToGrid w:val="0"/>
              <w:spacing w:before="100" w:beforeAutospacing="1" w:after="100" w:afterAutospacing="1"/>
              <w:rPr>
                <w:rFonts w:ascii="宋体" w:hAnsi="宋体"/>
                <w:color w:val="auto"/>
                <w:sz w:val="24"/>
                <w:highlight w:val="none"/>
              </w:rPr>
            </w:pPr>
            <w:r>
              <w:rPr>
                <w:rFonts w:hint="eastAsia"/>
                <w:color w:val="auto"/>
                <w:highlight w:val="none"/>
              </w:rPr>
              <w:t xml:space="preserve">时间要求：自合同签订之日起三年； </w:t>
            </w:r>
          </w:p>
        </w:tc>
        <w:tc>
          <w:tcPr>
            <w:tcW w:w="681" w:type="pct"/>
            <w:vAlign w:val="center"/>
          </w:tcPr>
          <w:p>
            <w:pPr>
              <w:adjustRightInd w:val="0"/>
              <w:snapToGrid w:val="0"/>
              <w:spacing w:before="100" w:beforeAutospacing="1" w:after="100" w:afterAutospacing="1"/>
              <w:rPr>
                <w:rFonts w:ascii="宋体" w:hAnsi="宋体"/>
                <w:color w:val="auto"/>
                <w:sz w:val="24"/>
                <w:highlight w:val="none"/>
              </w:rPr>
            </w:pPr>
          </w:p>
        </w:tc>
        <w:tc>
          <w:tcPr>
            <w:tcW w:w="765" w:type="pct"/>
            <w:vAlign w:val="center"/>
          </w:tcPr>
          <w:p>
            <w:pPr>
              <w:adjustRightInd w:val="0"/>
              <w:snapToGrid w:val="0"/>
              <w:spacing w:before="100" w:beforeAutospacing="1" w:after="100" w:afterAutospacing="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99"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6</w:t>
            </w:r>
          </w:p>
        </w:tc>
        <w:tc>
          <w:tcPr>
            <w:tcW w:w="1235" w:type="pct"/>
          </w:tcPr>
          <w:p>
            <w:pPr>
              <w:adjustRightInd w:val="0"/>
              <w:snapToGrid w:val="0"/>
              <w:spacing w:before="100" w:beforeAutospacing="1" w:after="100" w:afterAutospacing="1"/>
              <w:jc w:val="center"/>
              <w:rPr>
                <w:rFonts w:ascii="宋体" w:hAnsi="宋体"/>
                <w:color w:val="auto"/>
                <w:sz w:val="24"/>
                <w:highlight w:val="none"/>
              </w:rPr>
            </w:pPr>
            <w:r>
              <w:rPr>
                <w:rFonts w:hint="eastAsia"/>
                <w:color w:val="auto"/>
                <w:highlight w:val="none"/>
              </w:rPr>
              <w:t>付款条件</w:t>
            </w:r>
          </w:p>
        </w:tc>
        <w:tc>
          <w:tcPr>
            <w:tcW w:w="1820" w:type="pct"/>
          </w:tcPr>
          <w:p>
            <w:pPr>
              <w:adjustRightInd w:val="0"/>
              <w:snapToGrid w:val="0"/>
              <w:spacing w:before="100" w:beforeAutospacing="1" w:after="100" w:afterAutospacing="1"/>
              <w:rPr>
                <w:rFonts w:ascii="宋体" w:hAnsi="宋体"/>
                <w:color w:val="auto"/>
                <w:sz w:val="24"/>
                <w:highlight w:val="none"/>
              </w:rPr>
            </w:pPr>
            <w:r>
              <w:rPr>
                <w:rFonts w:hint="eastAsia"/>
                <w:color w:val="auto"/>
                <w:highlight w:val="none"/>
              </w:rPr>
              <w:t>合同签订后十个工作日内一次性支付当年一年期消费型补充医疗保险费用，其余费用待公司上一年度工资总额清算完毕后一周内支付。中标价款为报价一览表上各类型人员的投保单价与投保时提交的人员清单实际人数相乘所得的金额确定为合同的成交金额。</w:t>
            </w:r>
          </w:p>
        </w:tc>
        <w:tc>
          <w:tcPr>
            <w:tcW w:w="681" w:type="pct"/>
            <w:vAlign w:val="center"/>
          </w:tcPr>
          <w:p>
            <w:pPr>
              <w:adjustRightInd w:val="0"/>
              <w:snapToGrid w:val="0"/>
              <w:spacing w:before="100" w:beforeAutospacing="1" w:after="100" w:afterAutospacing="1"/>
              <w:rPr>
                <w:rFonts w:ascii="宋体" w:hAnsi="宋体"/>
                <w:color w:val="auto"/>
                <w:sz w:val="24"/>
                <w:highlight w:val="none"/>
              </w:rPr>
            </w:pPr>
          </w:p>
        </w:tc>
        <w:tc>
          <w:tcPr>
            <w:tcW w:w="765" w:type="pct"/>
            <w:vAlign w:val="center"/>
          </w:tcPr>
          <w:p>
            <w:pPr>
              <w:adjustRightInd w:val="0"/>
              <w:snapToGrid w:val="0"/>
              <w:spacing w:before="100" w:beforeAutospacing="1" w:after="100" w:afterAutospacing="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99"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7</w:t>
            </w:r>
          </w:p>
        </w:tc>
        <w:tc>
          <w:tcPr>
            <w:tcW w:w="1235"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一年期消费型补充医疗保险责任</w:t>
            </w:r>
          </w:p>
        </w:tc>
        <w:tc>
          <w:tcPr>
            <w:tcW w:w="1820" w:type="pct"/>
            <w:vAlign w:val="center"/>
          </w:tcPr>
          <w:p>
            <w:pPr>
              <w:adjustRightInd w:val="0"/>
              <w:snapToGrid w:val="0"/>
              <w:spacing w:before="100" w:beforeAutospacing="1" w:after="100" w:afterAutospacing="1"/>
              <w:rPr>
                <w:rFonts w:ascii="宋体" w:hAnsi="宋体"/>
                <w:color w:val="auto"/>
                <w:sz w:val="24"/>
                <w:highlight w:val="none"/>
              </w:rPr>
            </w:pPr>
            <w:r>
              <w:rPr>
                <w:rFonts w:ascii="宋体" w:hAnsi="宋体"/>
                <w:color w:val="auto"/>
                <w:sz w:val="24"/>
                <w:highlight w:val="none"/>
              </w:rPr>
              <w:t>是否完全响应保障方案对应的责任及条款</w:t>
            </w:r>
          </w:p>
        </w:tc>
        <w:tc>
          <w:tcPr>
            <w:tcW w:w="681" w:type="pct"/>
            <w:vAlign w:val="center"/>
          </w:tcPr>
          <w:p>
            <w:pPr>
              <w:adjustRightInd w:val="0"/>
              <w:snapToGrid w:val="0"/>
              <w:spacing w:before="100" w:beforeAutospacing="1" w:after="100" w:afterAutospacing="1"/>
              <w:rPr>
                <w:rFonts w:ascii="宋体" w:hAnsi="宋体"/>
                <w:color w:val="auto"/>
                <w:sz w:val="24"/>
                <w:highlight w:val="none"/>
              </w:rPr>
            </w:pPr>
          </w:p>
        </w:tc>
        <w:tc>
          <w:tcPr>
            <w:tcW w:w="765" w:type="pct"/>
            <w:vAlign w:val="center"/>
          </w:tcPr>
          <w:p>
            <w:pPr>
              <w:adjustRightInd w:val="0"/>
              <w:snapToGrid w:val="0"/>
              <w:spacing w:before="100" w:beforeAutospacing="1" w:after="100" w:afterAutospacing="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99" w:type="pct"/>
            <w:vAlign w:val="center"/>
          </w:tcPr>
          <w:p>
            <w:pPr>
              <w:adjustRightInd w:val="0"/>
              <w:snapToGrid w:val="0"/>
              <w:spacing w:before="100" w:beforeAutospacing="1" w:after="100" w:afterAutospacing="1"/>
              <w:jc w:val="center"/>
              <w:rPr>
                <w:rFonts w:ascii="宋体" w:hAnsi="宋体"/>
                <w:color w:val="auto"/>
                <w:sz w:val="24"/>
                <w:highlight w:val="none"/>
              </w:rPr>
            </w:pPr>
          </w:p>
        </w:tc>
        <w:tc>
          <w:tcPr>
            <w:tcW w:w="1235"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w:t>
            </w:r>
          </w:p>
        </w:tc>
        <w:tc>
          <w:tcPr>
            <w:tcW w:w="1820" w:type="pct"/>
            <w:vAlign w:val="center"/>
          </w:tcPr>
          <w:p>
            <w:pPr>
              <w:adjustRightInd w:val="0"/>
              <w:snapToGrid w:val="0"/>
              <w:spacing w:before="100" w:beforeAutospacing="1" w:after="100" w:afterAutospacing="1"/>
              <w:rPr>
                <w:rFonts w:ascii="宋体" w:hAnsi="宋体"/>
                <w:color w:val="auto"/>
                <w:sz w:val="24"/>
                <w:highlight w:val="none"/>
              </w:rPr>
            </w:pPr>
          </w:p>
        </w:tc>
        <w:tc>
          <w:tcPr>
            <w:tcW w:w="681" w:type="pct"/>
            <w:vAlign w:val="center"/>
          </w:tcPr>
          <w:p>
            <w:pPr>
              <w:adjustRightInd w:val="0"/>
              <w:snapToGrid w:val="0"/>
              <w:spacing w:before="100" w:beforeAutospacing="1" w:after="100" w:afterAutospacing="1"/>
              <w:rPr>
                <w:rFonts w:ascii="宋体" w:hAnsi="宋体"/>
                <w:color w:val="auto"/>
                <w:sz w:val="24"/>
                <w:highlight w:val="none"/>
              </w:rPr>
            </w:pPr>
          </w:p>
        </w:tc>
        <w:tc>
          <w:tcPr>
            <w:tcW w:w="765" w:type="pct"/>
            <w:vAlign w:val="center"/>
          </w:tcPr>
          <w:p>
            <w:pPr>
              <w:adjustRightInd w:val="0"/>
              <w:snapToGrid w:val="0"/>
              <w:spacing w:before="100" w:beforeAutospacing="1" w:after="100" w:afterAutospacing="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99" w:type="pct"/>
            <w:vAlign w:val="center"/>
          </w:tcPr>
          <w:p>
            <w:pPr>
              <w:adjustRightInd w:val="0"/>
              <w:snapToGrid w:val="0"/>
              <w:spacing w:before="100" w:beforeAutospacing="1" w:after="100" w:afterAutospacing="1"/>
              <w:jc w:val="center"/>
              <w:rPr>
                <w:rFonts w:ascii="宋体" w:hAnsi="宋体"/>
                <w:color w:val="auto"/>
                <w:sz w:val="24"/>
                <w:highlight w:val="none"/>
              </w:rPr>
            </w:pPr>
          </w:p>
        </w:tc>
        <w:tc>
          <w:tcPr>
            <w:tcW w:w="1235" w:type="pct"/>
            <w:vAlign w:val="center"/>
          </w:tcPr>
          <w:p>
            <w:pPr>
              <w:adjustRightInd w:val="0"/>
              <w:snapToGrid w:val="0"/>
              <w:spacing w:before="100" w:beforeAutospacing="1" w:after="100" w:afterAutospacing="1"/>
              <w:rPr>
                <w:rFonts w:ascii="宋体" w:hAnsi="宋体"/>
                <w:color w:val="auto"/>
                <w:sz w:val="24"/>
                <w:highlight w:val="none"/>
              </w:rPr>
            </w:pPr>
          </w:p>
        </w:tc>
        <w:tc>
          <w:tcPr>
            <w:tcW w:w="1820" w:type="pct"/>
            <w:vAlign w:val="center"/>
          </w:tcPr>
          <w:p>
            <w:pPr>
              <w:adjustRightInd w:val="0"/>
              <w:snapToGrid w:val="0"/>
              <w:spacing w:before="100" w:beforeAutospacing="1" w:after="100" w:afterAutospacing="1"/>
              <w:rPr>
                <w:rFonts w:ascii="宋体" w:hAnsi="宋体"/>
                <w:color w:val="auto"/>
                <w:sz w:val="24"/>
                <w:highlight w:val="none"/>
              </w:rPr>
            </w:pPr>
          </w:p>
        </w:tc>
        <w:tc>
          <w:tcPr>
            <w:tcW w:w="681" w:type="pct"/>
            <w:vAlign w:val="center"/>
          </w:tcPr>
          <w:p>
            <w:pPr>
              <w:adjustRightInd w:val="0"/>
              <w:snapToGrid w:val="0"/>
              <w:spacing w:before="100" w:beforeAutospacing="1" w:after="100" w:afterAutospacing="1"/>
              <w:rPr>
                <w:rFonts w:ascii="宋体" w:hAnsi="宋体"/>
                <w:color w:val="auto"/>
                <w:sz w:val="24"/>
                <w:highlight w:val="none"/>
              </w:rPr>
            </w:pPr>
          </w:p>
        </w:tc>
        <w:tc>
          <w:tcPr>
            <w:tcW w:w="765" w:type="pct"/>
            <w:vAlign w:val="center"/>
          </w:tcPr>
          <w:p>
            <w:pPr>
              <w:adjustRightInd w:val="0"/>
              <w:snapToGrid w:val="0"/>
              <w:spacing w:before="100" w:beforeAutospacing="1" w:after="100" w:afterAutospacing="1"/>
              <w:rPr>
                <w:rFonts w:ascii="宋体" w:hAnsi="宋体"/>
                <w:color w:val="auto"/>
                <w:sz w:val="24"/>
                <w:highlight w:val="none"/>
              </w:rPr>
            </w:pPr>
          </w:p>
        </w:tc>
      </w:tr>
    </w:tbl>
    <w:p>
      <w:pPr>
        <w:pStyle w:val="13"/>
        <w:adjustRightInd w:val="0"/>
        <w:snapToGrid w:val="0"/>
        <w:rPr>
          <w:rFonts w:hAnsi="宋体"/>
          <w:b/>
          <w:color w:val="auto"/>
          <w:szCs w:val="21"/>
          <w:highlight w:val="none"/>
        </w:rPr>
      </w:pPr>
      <w:r>
        <w:rPr>
          <w:rFonts w:hAnsi="宋体"/>
          <w:b/>
          <w:color w:val="auto"/>
          <w:szCs w:val="21"/>
          <w:highlight w:val="none"/>
        </w:rPr>
        <w:t>说明：1</w:t>
      </w:r>
      <w:r>
        <w:rPr>
          <w:rFonts w:hint="eastAsia" w:hAnsi="宋体"/>
          <w:b/>
          <w:color w:val="auto"/>
          <w:szCs w:val="21"/>
          <w:highlight w:val="none"/>
        </w:rPr>
        <w:t>、</w:t>
      </w:r>
      <w:r>
        <w:rPr>
          <w:rFonts w:hAnsi="宋体"/>
          <w:b/>
          <w:color w:val="auto"/>
          <w:szCs w:val="21"/>
          <w:highlight w:val="none"/>
        </w:rPr>
        <w:t>投标人若不填写</w:t>
      </w:r>
      <w:r>
        <w:rPr>
          <w:rFonts w:hint="eastAsia" w:hAnsi="宋体"/>
          <w:b/>
          <w:color w:val="auto"/>
          <w:szCs w:val="21"/>
          <w:highlight w:val="none"/>
        </w:rPr>
        <w:t>此表</w:t>
      </w:r>
      <w:r>
        <w:rPr>
          <w:rFonts w:hAnsi="宋体"/>
          <w:b/>
          <w:color w:val="auto"/>
          <w:szCs w:val="21"/>
          <w:highlight w:val="none"/>
        </w:rPr>
        <w:t>，则视为完全响应</w:t>
      </w:r>
      <w:r>
        <w:rPr>
          <w:rFonts w:hint="eastAsia" w:hAnsi="宋体"/>
          <w:b/>
          <w:color w:val="auto"/>
          <w:szCs w:val="21"/>
          <w:highlight w:val="none"/>
        </w:rPr>
        <w:t>招标</w:t>
      </w:r>
      <w:r>
        <w:rPr>
          <w:rFonts w:hAnsi="宋体"/>
          <w:b/>
          <w:color w:val="auto"/>
          <w:szCs w:val="21"/>
          <w:highlight w:val="none"/>
        </w:rPr>
        <w:t>文件要求</w:t>
      </w:r>
      <w:r>
        <w:rPr>
          <w:rFonts w:hint="eastAsia" w:hAnsi="宋体"/>
          <w:b/>
          <w:color w:val="auto"/>
          <w:szCs w:val="21"/>
          <w:highlight w:val="none"/>
        </w:rPr>
        <w:t>。</w:t>
      </w:r>
    </w:p>
    <w:p>
      <w:pPr>
        <w:pStyle w:val="13"/>
        <w:adjustRightInd w:val="0"/>
        <w:snapToGrid w:val="0"/>
        <w:rPr>
          <w:rFonts w:hAnsi="宋体"/>
          <w:b/>
          <w:color w:val="auto"/>
          <w:szCs w:val="21"/>
          <w:highlight w:val="none"/>
        </w:rPr>
      </w:pPr>
      <w:r>
        <w:rPr>
          <w:rFonts w:hint="eastAsia" w:hAnsi="宋体"/>
          <w:b/>
          <w:color w:val="auto"/>
          <w:szCs w:val="21"/>
          <w:highlight w:val="none"/>
        </w:rPr>
        <w:t xml:space="preserve">       2、</w:t>
      </w:r>
      <w:r>
        <w:rPr>
          <w:rFonts w:hAnsi="宋体"/>
          <w:b/>
          <w:color w:val="auto"/>
          <w:szCs w:val="21"/>
          <w:highlight w:val="none"/>
        </w:rPr>
        <w:t xml:space="preserve">投标人拟提供的服务承诺与招标文件中的要求不一致时，则必须在技术标《服务条款响应表》中予以明确。 </w:t>
      </w:r>
    </w:p>
    <w:p>
      <w:pPr>
        <w:adjustRightInd w:val="0"/>
        <w:snapToGrid w:val="0"/>
        <w:jc w:val="left"/>
        <w:rPr>
          <w:rFonts w:ascii="宋体" w:hAnsi="宋体"/>
          <w:b/>
          <w:color w:val="auto"/>
          <w:kern w:val="0"/>
          <w:szCs w:val="21"/>
          <w:highlight w:val="none"/>
        </w:rPr>
      </w:pPr>
      <w:r>
        <w:rPr>
          <w:rFonts w:hint="eastAsia" w:ascii="宋体" w:hAnsi="宋体"/>
          <w:b/>
          <w:color w:val="auto"/>
          <w:szCs w:val="21"/>
          <w:highlight w:val="none"/>
        </w:rPr>
        <w:t xml:space="preserve">       3</w:t>
      </w:r>
      <w:r>
        <w:rPr>
          <w:rFonts w:ascii="宋体" w:hAnsi="宋体"/>
          <w:b/>
          <w:color w:val="auto"/>
          <w:szCs w:val="21"/>
          <w:highlight w:val="none"/>
        </w:rPr>
        <w:t>、响应情况分别为：正偏离、响应或负偏离。投标人可在备注栏内就偏离原因进行简要说明。</w:t>
      </w:r>
    </w:p>
    <w:bookmarkEnd w:id="55"/>
    <w:bookmarkEnd w:id="56"/>
    <w:p>
      <w:pPr>
        <w:spacing w:line="360" w:lineRule="auto"/>
        <w:rPr>
          <w:rFonts w:ascii="宋体" w:hAnsi="宋体"/>
          <w:color w:val="auto"/>
          <w:sz w:val="24"/>
          <w:highlight w:val="none"/>
        </w:rPr>
      </w:pPr>
    </w:p>
    <w:p>
      <w:pPr>
        <w:pStyle w:val="25"/>
        <w:rPr>
          <w:color w:val="auto"/>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pPr>
        <w:spacing w:line="360" w:lineRule="auto"/>
        <w:ind w:firstLine="435"/>
        <w:rPr>
          <w:rFonts w:ascii="宋体" w:hAnsi="宋体"/>
          <w:color w:val="auto"/>
          <w:sz w:val="24"/>
          <w:highlight w:val="none"/>
        </w:rPr>
      </w:pPr>
      <w:r>
        <w:rPr>
          <w:rFonts w:hint="eastAsia" w:ascii="宋体" w:hAnsi="宋体"/>
          <w:color w:val="auto"/>
          <w:sz w:val="24"/>
          <w:highlight w:val="none"/>
        </w:rPr>
        <w:t>法定代表人（负责人）或授权委托人（签字或盖章）：</w:t>
      </w: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spacing w:line="360" w:lineRule="auto"/>
        <w:rPr>
          <w:rFonts w:ascii="宋体" w:hAnsi="宋体"/>
          <w:b/>
          <w:color w:val="auto"/>
          <w:sz w:val="28"/>
          <w:highlight w:val="none"/>
        </w:rPr>
      </w:pPr>
    </w:p>
    <w:p>
      <w:pPr>
        <w:rPr>
          <w:rFonts w:ascii="宋体" w:hAnsi="宋体"/>
          <w:b/>
          <w:color w:val="auto"/>
          <w:sz w:val="28"/>
          <w:highlight w:val="none"/>
        </w:rPr>
      </w:pPr>
      <w:r>
        <w:rPr>
          <w:rFonts w:hint="eastAsia" w:ascii="宋体" w:hAnsi="宋体"/>
          <w:b/>
          <w:color w:val="auto"/>
          <w:sz w:val="28"/>
          <w:highlight w:val="none"/>
        </w:rPr>
        <w:br w:type="page"/>
      </w: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pStyle w:val="25"/>
        <w:ind w:left="0" w:leftChars="0" w:firstLine="0"/>
        <w:rPr>
          <w:rFonts w:ascii="宋体" w:hAnsi="宋体"/>
          <w:b/>
          <w:color w:val="auto"/>
          <w:sz w:val="28"/>
          <w:highlight w:val="none"/>
        </w:rPr>
      </w:pPr>
    </w:p>
    <w:p>
      <w:pPr>
        <w:spacing w:line="360" w:lineRule="auto"/>
        <w:rPr>
          <w:rFonts w:ascii="宋体" w:hAnsi="宋体"/>
          <w:b/>
          <w:color w:val="auto"/>
          <w:sz w:val="28"/>
          <w:highlight w:val="none"/>
        </w:rPr>
      </w:pPr>
      <w:r>
        <w:rPr>
          <w:rFonts w:hint="eastAsia" w:ascii="宋体" w:hAnsi="宋体"/>
          <w:b/>
          <w:color w:val="auto"/>
          <w:sz w:val="28"/>
          <w:highlight w:val="none"/>
        </w:rPr>
        <w:t>附件8</w:t>
      </w:r>
    </w:p>
    <w:p>
      <w:pPr>
        <w:spacing w:line="360" w:lineRule="auto"/>
        <w:jc w:val="center"/>
        <w:rPr>
          <w:rFonts w:ascii="宋体" w:hAnsi="宋体"/>
          <w:b/>
          <w:bCs/>
          <w:color w:val="auto"/>
          <w:kern w:val="0"/>
          <w:sz w:val="32"/>
          <w:szCs w:val="32"/>
          <w:highlight w:val="none"/>
        </w:rPr>
      </w:pPr>
      <w:r>
        <w:rPr>
          <w:rFonts w:hint="eastAsia" w:ascii="宋体" w:hAnsi="宋体"/>
          <w:b/>
          <w:bCs/>
          <w:color w:val="auto"/>
          <w:kern w:val="0"/>
          <w:sz w:val="32"/>
          <w:szCs w:val="32"/>
          <w:highlight w:val="none"/>
        </w:rPr>
        <w:t>同类业绩证明</w:t>
      </w:r>
    </w:p>
    <w:tbl>
      <w:tblPr>
        <w:tblStyle w:val="26"/>
        <w:tblpPr w:leftFromText="181" w:rightFromText="181" w:bottomFromText="170" w:vertAnchor="text" w:tblpXSpec="center" w:tblpY="1"/>
        <w:tblOverlap w:val="never"/>
        <w:tblW w:w="75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260"/>
        <w:gridCol w:w="135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1"/>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1"/>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项目名称</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1"/>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1"/>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1"/>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证明材料名称</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1"/>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color w:val="auto"/>
                <w:szCs w:val="21"/>
                <w:highlight w:val="none"/>
              </w:rPr>
            </w:pPr>
          </w:p>
        </w:tc>
      </w:tr>
    </w:tbl>
    <w:p>
      <w:pPr>
        <w:autoSpaceDE w:val="0"/>
        <w:autoSpaceDN w:val="0"/>
        <w:adjustRightInd w:val="0"/>
        <w:spacing w:before="156"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pPr>
        <w:pStyle w:val="2"/>
        <w:rPr>
          <w:color w:val="auto"/>
          <w:highlight w:val="none"/>
        </w:rPr>
      </w:pPr>
      <w:r>
        <w:rPr>
          <w:rFonts w:hint="eastAsia"/>
          <w:color w:val="auto"/>
          <w:highlight w:val="none"/>
        </w:rPr>
        <w:t>（1）以上内容填写必须完整、真实。</w:t>
      </w:r>
    </w:p>
    <w:p>
      <w:pPr>
        <w:pStyle w:val="2"/>
        <w:rPr>
          <w:color w:val="auto"/>
          <w:highlight w:val="none"/>
        </w:rPr>
      </w:pPr>
      <w:r>
        <w:rPr>
          <w:rFonts w:hint="eastAsia"/>
          <w:color w:val="auto"/>
          <w:highlight w:val="none"/>
        </w:rPr>
        <w:t>（2）评分以评标办法约定的合格证明材料为准。</w:t>
      </w:r>
    </w:p>
    <w:p>
      <w:pPr>
        <w:pStyle w:val="2"/>
        <w:rPr>
          <w:rFonts w:ascii="宋体" w:hAnsi="宋体" w:cs="Arial"/>
          <w:color w:val="auto"/>
          <w:szCs w:val="21"/>
          <w:highlight w:val="none"/>
        </w:rPr>
      </w:pPr>
      <w:r>
        <w:rPr>
          <w:rFonts w:hint="eastAsia"/>
          <w:color w:val="auto"/>
          <w:highlight w:val="none"/>
        </w:rPr>
        <w:t>（3）后附证明材料复印件。</w:t>
      </w:r>
    </w:p>
    <w:p>
      <w:pPr>
        <w:spacing w:line="360" w:lineRule="auto"/>
        <w:rPr>
          <w:rFonts w:ascii="宋体" w:hAnsi="宋体"/>
          <w:color w:val="auto"/>
          <w:sz w:val="22"/>
          <w:szCs w:val="22"/>
          <w:highlight w:val="none"/>
        </w:rPr>
      </w:pPr>
    </w:p>
    <w:p>
      <w:pPr>
        <w:pStyle w:val="25"/>
        <w:rPr>
          <w:color w:val="auto"/>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法定代表人（负责人）或授权委托人（签字或盖章）：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rPr>
          <w:color w:val="auto"/>
          <w:sz w:val="52"/>
          <w:szCs w:val="52"/>
          <w:highlight w:val="none"/>
        </w:rPr>
      </w:pPr>
      <w:bookmarkStart w:id="57" w:name="_Toc4615_WPSOffice_Level1"/>
      <w:bookmarkStart w:id="58" w:name="_Toc30468_WPSOffice_Level1"/>
      <w:bookmarkStart w:id="59" w:name="_Toc21322_WPSOffice_Level1"/>
    </w:p>
    <w:bookmarkEnd w:id="57"/>
    <w:bookmarkEnd w:id="58"/>
    <w:bookmarkEnd w:id="59"/>
    <w:p>
      <w:pPr>
        <w:jc w:val="center"/>
        <w:rPr>
          <w:color w:val="auto"/>
          <w:sz w:val="44"/>
          <w:szCs w:val="44"/>
          <w:highlight w:val="none"/>
        </w:rPr>
      </w:pPr>
    </w:p>
    <w:p>
      <w:pPr>
        <w:jc w:val="center"/>
        <w:rPr>
          <w:color w:val="auto"/>
          <w:sz w:val="44"/>
          <w:szCs w:val="44"/>
          <w:highlight w:val="none"/>
        </w:rPr>
      </w:pPr>
      <w:r>
        <w:rPr>
          <w:rFonts w:hint="eastAsia"/>
          <w:color w:val="auto"/>
          <w:sz w:val="44"/>
          <w:szCs w:val="44"/>
          <w:highlight w:val="none"/>
        </w:rPr>
        <w:t>台州循环经济发展有限公司及其下属子公司补充医疗保险服务采购项目</w:t>
      </w:r>
    </w:p>
    <w:p>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  ）</w:t>
      </w:r>
    </w:p>
    <w:p>
      <w:pPr>
        <w:pStyle w:val="25"/>
        <w:rPr>
          <w:color w:val="auto"/>
          <w:highlight w:val="none"/>
        </w:rPr>
      </w:pPr>
    </w:p>
    <w:p>
      <w:pPr>
        <w:jc w:val="center"/>
        <w:rPr>
          <w:color w:val="auto"/>
          <w:sz w:val="84"/>
          <w:szCs w:val="84"/>
          <w:highlight w:val="none"/>
        </w:rPr>
      </w:pPr>
      <w:bookmarkStart w:id="60" w:name="_Toc3932_WPSOffice_Level1"/>
      <w:bookmarkStart w:id="61" w:name="_Toc14572_WPSOffice_Level1"/>
      <w:r>
        <w:rPr>
          <w:rFonts w:hint="eastAsia"/>
          <w:color w:val="auto"/>
          <w:sz w:val="84"/>
          <w:szCs w:val="84"/>
          <w:highlight w:val="none"/>
        </w:rPr>
        <w:t>商</w:t>
      </w:r>
    </w:p>
    <w:p>
      <w:pPr>
        <w:jc w:val="center"/>
        <w:rPr>
          <w:color w:val="auto"/>
          <w:sz w:val="84"/>
          <w:szCs w:val="84"/>
          <w:highlight w:val="none"/>
        </w:rPr>
      </w:pPr>
      <w:r>
        <w:rPr>
          <w:rFonts w:hint="eastAsia"/>
          <w:color w:val="auto"/>
          <w:sz w:val="84"/>
          <w:szCs w:val="84"/>
          <w:highlight w:val="none"/>
        </w:rPr>
        <w:t>务</w:t>
      </w:r>
    </w:p>
    <w:p>
      <w:pPr>
        <w:jc w:val="center"/>
        <w:rPr>
          <w:color w:val="auto"/>
          <w:sz w:val="84"/>
          <w:szCs w:val="84"/>
          <w:highlight w:val="none"/>
        </w:rPr>
      </w:pPr>
      <w:r>
        <w:rPr>
          <w:rFonts w:hint="eastAsia"/>
          <w:color w:val="auto"/>
          <w:sz w:val="84"/>
          <w:szCs w:val="84"/>
          <w:highlight w:val="none"/>
        </w:rPr>
        <w:t>文</w:t>
      </w:r>
      <w:bookmarkEnd w:id="60"/>
      <w:bookmarkEnd w:id="61"/>
    </w:p>
    <w:p>
      <w:pPr>
        <w:jc w:val="center"/>
        <w:rPr>
          <w:color w:val="auto"/>
          <w:sz w:val="84"/>
          <w:szCs w:val="84"/>
          <w:highlight w:val="none"/>
        </w:rPr>
      </w:pPr>
      <w:bookmarkStart w:id="62" w:name="_Toc16973_WPSOffice_Level1"/>
      <w:bookmarkStart w:id="63" w:name="_Toc7562_WPSOffice_Level1"/>
      <w:r>
        <w:rPr>
          <w:rFonts w:hint="eastAsia"/>
          <w:color w:val="auto"/>
          <w:sz w:val="84"/>
          <w:szCs w:val="84"/>
          <w:highlight w:val="none"/>
        </w:rPr>
        <w:t>件</w:t>
      </w:r>
      <w:bookmarkEnd w:id="62"/>
      <w:bookmarkEnd w:id="63"/>
    </w:p>
    <w:p>
      <w:pPr>
        <w:spacing w:line="360" w:lineRule="auto"/>
        <w:ind w:right="532"/>
        <w:rPr>
          <w:rFonts w:ascii="宋体" w:hAnsi="宋体"/>
          <w:color w:val="auto"/>
          <w:sz w:val="36"/>
          <w:szCs w:val="36"/>
          <w:highlight w:val="none"/>
        </w:rPr>
      </w:pPr>
    </w:p>
    <w:p>
      <w:pPr>
        <w:spacing w:line="360" w:lineRule="auto"/>
        <w:ind w:right="532"/>
        <w:jc w:val="center"/>
        <w:rPr>
          <w:rFonts w:ascii="宋体" w:hAnsi="宋体"/>
          <w:color w:val="auto"/>
          <w:sz w:val="36"/>
          <w:szCs w:val="36"/>
          <w:highlight w:val="none"/>
        </w:rPr>
      </w:pPr>
    </w:p>
    <w:p>
      <w:pPr>
        <w:spacing w:line="360" w:lineRule="auto"/>
        <w:ind w:right="532" w:firstLine="720" w:firstLineChars="200"/>
        <w:rPr>
          <w:rFonts w:ascii="宋体" w:hAnsi="宋体"/>
          <w:color w:val="auto"/>
          <w:sz w:val="36"/>
          <w:szCs w:val="36"/>
          <w:highlight w:val="none"/>
        </w:rPr>
      </w:pPr>
      <w:bookmarkStart w:id="64" w:name="_Toc26700_WPSOffice_Level1"/>
      <w:bookmarkStart w:id="65" w:name="_Toc4603_WPSOffice_Level1"/>
      <w:r>
        <w:rPr>
          <w:rFonts w:hint="eastAsia" w:ascii="宋体" w:hAnsi="宋体"/>
          <w:color w:val="auto"/>
          <w:sz w:val="36"/>
          <w:szCs w:val="36"/>
          <w:highlight w:val="none"/>
        </w:rPr>
        <w:t>投标人全称（公章）：</w:t>
      </w:r>
      <w:bookmarkEnd w:id="64"/>
      <w:bookmarkEnd w:id="65"/>
    </w:p>
    <w:p>
      <w:pPr>
        <w:spacing w:line="360" w:lineRule="auto"/>
        <w:ind w:right="-108" w:firstLine="720" w:firstLineChars="200"/>
        <w:rPr>
          <w:rFonts w:ascii="宋体" w:hAnsi="宋体"/>
          <w:color w:val="auto"/>
          <w:sz w:val="36"/>
          <w:szCs w:val="36"/>
          <w:highlight w:val="none"/>
        </w:rPr>
      </w:pPr>
      <w:bookmarkStart w:id="66" w:name="_Toc1391_WPSOffice_Level1"/>
      <w:bookmarkStart w:id="67" w:name="_Toc32593_WPSOffice_Level1"/>
      <w:r>
        <w:rPr>
          <w:rFonts w:hint="eastAsia" w:ascii="宋体" w:hAnsi="宋体"/>
          <w:color w:val="auto"/>
          <w:sz w:val="36"/>
          <w:szCs w:val="36"/>
          <w:highlight w:val="none"/>
        </w:rPr>
        <w:t>地    址：</w:t>
      </w:r>
      <w:bookmarkEnd w:id="66"/>
      <w:bookmarkEnd w:id="67"/>
    </w:p>
    <w:p>
      <w:pPr>
        <w:spacing w:line="360" w:lineRule="auto"/>
        <w:ind w:right="-108" w:firstLine="720" w:firstLineChars="200"/>
        <w:rPr>
          <w:rFonts w:ascii="宋体" w:hAnsi="宋体"/>
          <w:color w:val="auto"/>
          <w:sz w:val="36"/>
          <w:szCs w:val="36"/>
          <w:highlight w:val="none"/>
        </w:rPr>
      </w:pPr>
      <w:bookmarkStart w:id="68" w:name="_Toc3791_WPSOffice_Level1"/>
      <w:bookmarkStart w:id="69" w:name="_Toc20938_WPSOffice_Level1"/>
      <w:r>
        <w:rPr>
          <w:rFonts w:hint="eastAsia" w:ascii="宋体" w:hAnsi="宋体"/>
          <w:color w:val="auto"/>
          <w:sz w:val="36"/>
          <w:szCs w:val="36"/>
          <w:highlight w:val="none"/>
        </w:rPr>
        <w:t>时    间：</w:t>
      </w:r>
      <w:bookmarkEnd w:id="68"/>
      <w:bookmarkEnd w:id="69"/>
    </w:p>
    <w:p>
      <w:pPr>
        <w:spacing w:line="360" w:lineRule="auto"/>
        <w:ind w:right="-108"/>
        <w:jc w:val="center"/>
        <w:rPr>
          <w:rFonts w:ascii="仿宋_GB2312" w:hAnsi="宋体" w:eastAsia="仿宋_GB2312"/>
          <w:b/>
          <w:color w:val="auto"/>
          <w:sz w:val="36"/>
          <w:szCs w:val="36"/>
          <w:highlight w:val="none"/>
        </w:rPr>
      </w:pPr>
    </w:p>
    <w:p>
      <w:pPr>
        <w:pStyle w:val="25"/>
        <w:rPr>
          <w:color w:val="auto"/>
          <w:highlight w:val="none"/>
        </w:rPr>
      </w:pPr>
    </w:p>
    <w:p>
      <w:pPr>
        <w:pStyle w:val="25"/>
        <w:rPr>
          <w:color w:val="auto"/>
          <w:highlight w:val="none"/>
        </w:rPr>
      </w:pPr>
    </w:p>
    <w:p>
      <w:pPr>
        <w:pStyle w:val="25"/>
        <w:rPr>
          <w:color w:val="auto"/>
          <w:highlight w:val="none"/>
        </w:rPr>
      </w:pPr>
    </w:p>
    <w:p>
      <w:pPr>
        <w:rPr>
          <w:color w:val="auto"/>
          <w:highlight w:val="none"/>
        </w:rPr>
      </w:pPr>
    </w:p>
    <w:p>
      <w:pPr>
        <w:pStyle w:val="2"/>
        <w:rPr>
          <w:color w:val="auto"/>
          <w:highlight w:val="none"/>
        </w:rPr>
      </w:pPr>
    </w:p>
    <w:p>
      <w:pPr>
        <w:pStyle w:val="25"/>
        <w:rPr>
          <w:color w:val="auto"/>
          <w:highlight w:val="none"/>
        </w:rPr>
      </w:pPr>
    </w:p>
    <w:p>
      <w:pPr>
        <w:spacing w:line="360" w:lineRule="auto"/>
        <w:rPr>
          <w:rFonts w:ascii="宋体" w:hAnsi="宋体"/>
          <w:b/>
          <w:color w:val="auto"/>
          <w:sz w:val="28"/>
          <w:highlight w:val="none"/>
        </w:rPr>
      </w:pPr>
      <w:r>
        <w:rPr>
          <w:rFonts w:hint="eastAsia" w:ascii="宋体" w:hAnsi="宋体"/>
          <w:b/>
          <w:color w:val="auto"/>
          <w:sz w:val="28"/>
          <w:highlight w:val="none"/>
        </w:rPr>
        <w:t>附件9</w:t>
      </w:r>
    </w:p>
    <w:p>
      <w:pPr>
        <w:spacing w:line="360" w:lineRule="auto"/>
        <w:ind w:left="-2" w:hanging="2"/>
        <w:jc w:val="center"/>
        <w:rPr>
          <w:rFonts w:ascii="宋体" w:hAnsi="宋体"/>
          <w:b/>
          <w:color w:val="auto"/>
          <w:sz w:val="32"/>
          <w:szCs w:val="32"/>
          <w:highlight w:val="none"/>
        </w:rPr>
      </w:pPr>
      <w:bookmarkStart w:id="70" w:name="_Toc30363_WPSOffice_Level1"/>
      <w:bookmarkStart w:id="71" w:name="_Toc16144_WPSOffice_Level1"/>
      <w:r>
        <w:rPr>
          <w:rFonts w:hint="eastAsia" w:ascii="宋体" w:hAnsi="宋体"/>
          <w:b/>
          <w:color w:val="auto"/>
          <w:sz w:val="32"/>
          <w:szCs w:val="32"/>
          <w:highlight w:val="none"/>
        </w:rPr>
        <w:t xml:space="preserve">开标一览表 </w:t>
      </w:r>
      <w:bookmarkEnd w:id="70"/>
      <w:bookmarkEnd w:id="71"/>
    </w:p>
    <w:p>
      <w:pPr>
        <w:snapToGrid w:val="0"/>
        <w:spacing w:before="50" w:after="50"/>
        <w:jc w:val="left"/>
        <w:rPr>
          <w:rFonts w:ascii="Arial" w:hAnsi="Arial" w:cs="Arial"/>
          <w:color w:val="auto"/>
          <w:sz w:val="22"/>
          <w:szCs w:val="22"/>
          <w:highlight w:val="none"/>
        </w:rPr>
      </w:pPr>
      <w:r>
        <w:rPr>
          <w:rFonts w:hint="eastAsia" w:ascii="Arial" w:hAnsi="Arial" w:cs="宋体"/>
          <w:color w:val="auto"/>
          <w:sz w:val="22"/>
          <w:szCs w:val="22"/>
          <w:highlight w:val="none"/>
        </w:rPr>
        <w:t>致：台州循环经济发展有限公司</w:t>
      </w:r>
    </w:p>
    <w:p>
      <w:pPr>
        <w:snapToGrid w:val="0"/>
        <w:ind w:firstLine="440" w:firstLineChars="200"/>
        <w:jc w:val="left"/>
        <w:rPr>
          <w:rFonts w:ascii="新宋体" w:hAnsi="新宋体" w:eastAsia="新宋体"/>
          <w:color w:val="auto"/>
          <w:szCs w:val="21"/>
          <w:highlight w:val="none"/>
        </w:rPr>
      </w:pPr>
      <w:r>
        <w:rPr>
          <w:rFonts w:ascii="Arial" w:hAnsi="Arial" w:cs="Arial"/>
          <w:color w:val="auto"/>
          <w:sz w:val="22"/>
          <w:szCs w:val="22"/>
          <w:highlight w:val="none"/>
        </w:rPr>
        <w:t>经研究，我们决定参加</w:t>
      </w:r>
      <w:r>
        <w:rPr>
          <w:rFonts w:hint="eastAsia" w:ascii="Arial" w:hAnsi="Arial" w:cs="Arial"/>
          <w:color w:val="auto"/>
          <w:sz w:val="22"/>
          <w:szCs w:val="22"/>
          <w:highlight w:val="none"/>
        </w:rPr>
        <w:t>你单位的</w:t>
      </w:r>
      <w:r>
        <w:rPr>
          <w:rFonts w:hint="eastAsia" w:ascii="宋体" w:hAnsi="宋体"/>
          <w:color w:val="auto"/>
          <w:sz w:val="22"/>
          <w:szCs w:val="22"/>
          <w:highlight w:val="none"/>
          <w:u w:val="single"/>
        </w:rPr>
        <w:t>台州循环经济发展有限公司及其下属子公司补充医疗保险服务采购项目</w:t>
      </w:r>
      <w:r>
        <w:rPr>
          <w:rFonts w:ascii="Arial" w:hAnsi="Arial" w:cs="Arial"/>
          <w:color w:val="auto"/>
          <w:sz w:val="22"/>
          <w:szCs w:val="22"/>
          <w:highlight w:val="none"/>
        </w:rPr>
        <w:t>的</w:t>
      </w:r>
      <w:r>
        <w:rPr>
          <w:rFonts w:hint="eastAsia" w:ascii="Arial" w:hAnsi="Arial" w:cs="Arial"/>
          <w:color w:val="auto"/>
          <w:sz w:val="22"/>
          <w:highlight w:val="none"/>
        </w:rPr>
        <w:t>招标</w:t>
      </w:r>
      <w:r>
        <w:rPr>
          <w:rFonts w:ascii="Arial" w:hAnsi="Arial" w:cs="Arial"/>
          <w:color w:val="auto"/>
          <w:sz w:val="22"/>
          <w:highlight w:val="none"/>
        </w:rPr>
        <w:t>采购活动并提交</w:t>
      </w:r>
      <w:r>
        <w:rPr>
          <w:rFonts w:hint="eastAsia" w:ascii="Arial" w:hAnsi="Arial" w:cs="Arial"/>
          <w:color w:val="auto"/>
          <w:sz w:val="22"/>
          <w:highlight w:val="none"/>
        </w:rPr>
        <w:t>投标</w:t>
      </w:r>
      <w:r>
        <w:rPr>
          <w:rFonts w:ascii="Arial" w:hAnsi="Arial" w:cs="Arial"/>
          <w:color w:val="auto"/>
          <w:sz w:val="22"/>
          <w:highlight w:val="none"/>
        </w:rPr>
        <w:t>文件。为此，我方郑重声明以下诸点，并负法律责任。</w:t>
      </w:r>
    </w:p>
    <w:p>
      <w:pPr>
        <w:pStyle w:val="11"/>
        <w:adjustRightInd w:val="0"/>
        <w:snapToGrid w:val="0"/>
        <w:rPr>
          <w:rFonts w:ascii="Arial" w:hAnsi="Arial" w:cs="Arial"/>
          <w:color w:val="auto"/>
          <w:sz w:val="22"/>
          <w:szCs w:val="22"/>
          <w:highlight w:val="none"/>
        </w:rPr>
      </w:pPr>
      <w:r>
        <w:rPr>
          <w:rFonts w:ascii="Arial" w:hAnsi="Arial" w:cs="Arial"/>
          <w:color w:val="auto"/>
          <w:sz w:val="22"/>
          <w:szCs w:val="22"/>
          <w:highlight w:val="none"/>
        </w:rPr>
        <w:t>1、如果我们的招标文件被接受，我们将履行招标文件中规定的每一项要求，并按我们投标文件中的承诺按期、按质、按量提供服务。</w:t>
      </w:r>
    </w:p>
    <w:p>
      <w:pPr>
        <w:pStyle w:val="11"/>
        <w:adjustRightInd w:val="0"/>
        <w:snapToGrid w:val="0"/>
        <w:rPr>
          <w:rFonts w:ascii="Arial" w:hAnsi="Arial" w:cs="Arial"/>
          <w:color w:val="auto"/>
          <w:sz w:val="22"/>
          <w:szCs w:val="22"/>
          <w:highlight w:val="none"/>
        </w:rPr>
      </w:pPr>
      <w:r>
        <w:rPr>
          <w:rFonts w:ascii="Arial" w:hAnsi="Arial" w:cs="Arial"/>
          <w:color w:val="auto"/>
          <w:sz w:val="22"/>
          <w:szCs w:val="22"/>
          <w:highlight w:val="none"/>
        </w:rPr>
        <w:t>2、我们同意按采购文件规定遵守采购人有关采购的各项规定。</w:t>
      </w:r>
    </w:p>
    <w:p>
      <w:pPr>
        <w:pStyle w:val="11"/>
        <w:adjustRightInd w:val="0"/>
        <w:snapToGrid w:val="0"/>
        <w:rPr>
          <w:rFonts w:ascii="Arial" w:hAnsi="Arial" w:cs="Arial"/>
          <w:color w:val="auto"/>
          <w:sz w:val="22"/>
          <w:szCs w:val="22"/>
          <w:highlight w:val="none"/>
        </w:rPr>
      </w:pPr>
      <w:r>
        <w:rPr>
          <w:rFonts w:ascii="Arial" w:hAnsi="Arial" w:cs="Arial"/>
          <w:color w:val="auto"/>
          <w:sz w:val="22"/>
          <w:szCs w:val="22"/>
          <w:highlight w:val="none"/>
        </w:rPr>
        <w:t>3、我方同意提供按照贵方可能要求的与投标有关的一切数据或资料，我方若未成为成交投标人，采购人有权不做任何解释。</w:t>
      </w:r>
    </w:p>
    <w:p>
      <w:pPr>
        <w:ind w:firstLine="330" w:firstLineChars="150"/>
        <w:rPr>
          <w:rFonts w:ascii="宋体" w:hAnsi="宋体"/>
          <w:color w:val="auto"/>
          <w:sz w:val="22"/>
          <w:szCs w:val="22"/>
          <w:highlight w:val="none"/>
        </w:rPr>
      </w:pPr>
      <w:r>
        <w:rPr>
          <w:rFonts w:hint="eastAsia" w:ascii="Arial" w:hAnsi="Arial" w:cs="Arial"/>
          <w:color w:val="auto"/>
          <w:sz w:val="22"/>
          <w:szCs w:val="22"/>
          <w:highlight w:val="none"/>
        </w:rPr>
        <w:t>4、我方如果中标，将保证履行招标文件以及招标文件修改书（如有）中的全部责任和义务，按质、按量、按期完成《合同书》中的全部任务。</w:t>
      </w:r>
    </w:p>
    <w:tbl>
      <w:tblPr>
        <w:tblStyle w:val="26"/>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5"/>
        <w:gridCol w:w="6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vAlign w:val="center"/>
          </w:tcPr>
          <w:p>
            <w:pPr>
              <w:spacing w:line="360" w:lineRule="auto"/>
              <w:outlineLvl w:val="0"/>
              <w:rPr>
                <w:rFonts w:ascii="宋体" w:hAnsi="宋体"/>
                <w:color w:val="auto"/>
                <w:sz w:val="22"/>
                <w:szCs w:val="22"/>
                <w:highlight w:val="none"/>
              </w:rPr>
            </w:pPr>
            <w:r>
              <w:rPr>
                <w:rFonts w:hint="eastAsia" w:ascii="宋体" w:hAnsi="宋体"/>
                <w:color w:val="auto"/>
                <w:sz w:val="22"/>
                <w:szCs w:val="22"/>
                <w:highlight w:val="none"/>
              </w:rPr>
              <w:t>1、一年期消费型补充医疗保险投标报价</w:t>
            </w:r>
          </w:p>
        </w:tc>
        <w:tc>
          <w:tcPr>
            <w:tcW w:w="6338" w:type="dxa"/>
            <w:vAlign w:val="center"/>
          </w:tcPr>
          <w:p>
            <w:pPr>
              <w:wordWrap w:val="0"/>
              <w:spacing w:line="360" w:lineRule="auto"/>
              <w:ind w:right="420"/>
              <w:outlineLvl w:val="0"/>
              <w:rPr>
                <w:rFonts w:ascii="宋体" w:hAnsi="宋体"/>
                <w:bCs/>
                <w:color w:val="auto"/>
                <w:sz w:val="22"/>
                <w:szCs w:val="22"/>
                <w:highlight w:val="none"/>
              </w:rPr>
            </w:pPr>
            <w:r>
              <w:rPr>
                <w:rFonts w:hint="eastAsia" w:ascii="宋体" w:hAnsi="宋体"/>
                <w:bCs/>
                <w:color w:val="auto"/>
                <w:sz w:val="22"/>
                <w:szCs w:val="22"/>
                <w:highlight w:val="none"/>
              </w:rPr>
              <w:t>大写：</w:t>
            </w:r>
            <w:r>
              <w:rPr>
                <w:rFonts w:hint="eastAsia" w:ascii="宋体" w:hAnsi="宋体"/>
                <w:bCs/>
                <w:color w:val="auto"/>
                <w:sz w:val="22"/>
                <w:szCs w:val="22"/>
                <w:highlight w:val="none"/>
                <w:u w:val="single"/>
              </w:rPr>
              <w:t xml:space="preserve">               </w:t>
            </w:r>
            <w:r>
              <w:rPr>
                <w:rFonts w:hint="eastAsia" w:ascii="宋体" w:hAnsi="宋体"/>
                <w:bCs/>
                <w:color w:val="auto"/>
                <w:sz w:val="22"/>
                <w:szCs w:val="22"/>
                <w:highlight w:val="none"/>
              </w:rPr>
              <w:t xml:space="preserve"> 元/年；小写：</w:t>
            </w:r>
            <w:r>
              <w:rPr>
                <w:rFonts w:hint="eastAsia" w:ascii="宋体" w:hAnsi="宋体"/>
                <w:bCs/>
                <w:color w:val="auto"/>
                <w:sz w:val="22"/>
                <w:szCs w:val="22"/>
                <w:highlight w:val="none"/>
                <w:u w:val="single"/>
              </w:rPr>
              <w:t xml:space="preserve">            </w:t>
            </w:r>
            <w:r>
              <w:rPr>
                <w:rFonts w:hint="eastAsia" w:ascii="宋体" w:hAnsi="宋体"/>
                <w:bCs/>
                <w:color w:val="auto"/>
                <w:sz w:val="22"/>
                <w:szCs w:val="22"/>
                <w:highlight w:val="none"/>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vAlign w:val="center"/>
          </w:tcPr>
          <w:p>
            <w:pPr>
              <w:spacing w:line="360" w:lineRule="auto"/>
              <w:outlineLvl w:val="0"/>
              <w:rPr>
                <w:rFonts w:ascii="宋体" w:hAnsi="宋体"/>
                <w:color w:val="auto"/>
                <w:sz w:val="22"/>
                <w:szCs w:val="22"/>
                <w:highlight w:val="none"/>
              </w:rPr>
            </w:pPr>
            <w:r>
              <w:rPr>
                <w:rFonts w:hint="eastAsia" w:ascii="宋体" w:hAnsi="宋体"/>
                <w:color w:val="auto"/>
                <w:sz w:val="22"/>
                <w:szCs w:val="22"/>
                <w:highlight w:val="none"/>
              </w:rPr>
              <w:t>2、企业委托管理型医疗保险基金初始管理费报价</w:t>
            </w:r>
          </w:p>
        </w:tc>
        <w:tc>
          <w:tcPr>
            <w:tcW w:w="6338" w:type="dxa"/>
            <w:vAlign w:val="center"/>
          </w:tcPr>
          <w:p>
            <w:pPr>
              <w:spacing w:line="360" w:lineRule="auto"/>
              <w:ind w:right="420"/>
              <w:jc w:val="center"/>
              <w:outlineLvl w:val="0"/>
              <w:rPr>
                <w:rFonts w:ascii="宋体" w:hAnsi="宋体"/>
                <w:bCs/>
                <w:color w:val="auto"/>
                <w:sz w:val="22"/>
                <w:szCs w:val="22"/>
                <w:highlight w:val="none"/>
              </w:rPr>
            </w:pPr>
            <w:r>
              <w:rPr>
                <w:rFonts w:ascii="宋体" w:hAnsi="宋体"/>
                <w:color w:val="auto"/>
                <w:sz w:val="22"/>
                <w:szCs w:val="22"/>
                <w:highlight w:val="none"/>
                <w:u w:val="single"/>
              </w:rPr>
              <w:t xml:space="preserve">        </w:t>
            </w:r>
            <w:r>
              <w:rPr>
                <w:rFonts w:hint="eastAsia" w:ascii="宋体" w:hAnsi="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vAlign w:val="center"/>
          </w:tcPr>
          <w:p>
            <w:pPr>
              <w:snapToGrid w:val="0"/>
              <w:spacing w:before="50" w:after="50"/>
              <w:rPr>
                <w:rFonts w:ascii="宋体" w:hAnsi="宋体"/>
                <w:b/>
                <w:bCs/>
                <w:color w:val="auto"/>
                <w:sz w:val="22"/>
                <w:szCs w:val="22"/>
                <w:highlight w:val="none"/>
              </w:rPr>
            </w:pPr>
            <w:r>
              <w:rPr>
                <w:rFonts w:ascii="宋体" w:hAnsi="宋体"/>
                <w:color w:val="auto"/>
                <w:sz w:val="22"/>
                <w:szCs w:val="22"/>
                <w:highlight w:val="none"/>
              </w:rPr>
              <w:t>3</w:t>
            </w:r>
            <w:r>
              <w:rPr>
                <w:rFonts w:hint="eastAsia" w:ascii="宋体" w:hAnsi="宋体"/>
                <w:color w:val="auto"/>
                <w:sz w:val="22"/>
                <w:szCs w:val="22"/>
                <w:highlight w:val="none"/>
              </w:rPr>
              <w:t>、合作期限</w:t>
            </w:r>
          </w:p>
        </w:tc>
        <w:tc>
          <w:tcPr>
            <w:tcW w:w="6338" w:type="dxa"/>
            <w:vAlign w:val="center"/>
          </w:tcPr>
          <w:p>
            <w:pPr>
              <w:jc w:val="left"/>
              <w:rPr>
                <w:rFonts w:hAnsi="宋体"/>
                <w:color w:val="auto"/>
                <w:sz w:val="22"/>
                <w:szCs w:val="22"/>
                <w:highlight w:val="none"/>
              </w:rPr>
            </w:pPr>
            <w:r>
              <w:rPr>
                <w:rFonts w:hint="eastAsia" w:ascii="宋体" w:hAnsi="宋体"/>
                <w:color w:val="auto"/>
                <w:kern w:val="0"/>
                <w:sz w:val="22"/>
                <w:szCs w:val="22"/>
                <w:highlight w:val="none"/>
              </w:rPr>
              <w:t>自合同签订之日起3年</w:t>
            </w:r>
          </w:p>
        </w:tc>
      </w:tr>
    </w:tbl>
    <w:p>
      <w:pPr>
        <w:spacing w:line="360" w:lineRule="auto"/>
        <w:rPr>
          <w:rFonts w:ascii="宋体" w:hAnsi="宋体"/>
          <w:color w:val="auto"/>
          <w:sz w:val="22"/>
          <w:szCs w:val="22"/>
          <w:highlight w:val="none"/>
        </w:rPr>
      </w:pPr>
      <w:r>
        <w:rPr>
          <w:rFonts w:hint="eastAsia" w:ascii="宋体" w:hAnsi="宋体"/>
          <w:b/>
          <w:color w:val="auto"/>
          <w:sz w:val="22"/>
          <w:szCs w:val="22"/>
          <w:highlight w:val="none"/>
        </w:rPr>
        <w:t>填报要求：</w:t>
      </w:r>
      <w:r>
        <w:rPr>
          <w:rFonts w:hint="eastAsia" w:ascii="宋体" w:hAnsi="宋体"/>
          <w:color w:val="auto"/>
          <w:sz w:val="22"/>
          <w:szCs w:val="22"/>
          <w:highlight w:val="none"/>
        </w:rPr>
        <w:t>投标报价是履行合同的最终价格，包括现场踏勘、资料收集整理、数据调查分析、工作大纲编制、取样、试验、测试、检测、测量、模拟计算、组织评审费、会务费、餐费、住宿费、最终相关专题及报告的编制、印刷、报相关主管部门审批、咨询费、风险费、保险、利润、规费、税金、政策性文件规定及合同包含的所有风险、责任等所有费用。供应商须充分考虑实际服务内容和需求，针对自身实际情况，核算所需的成本及合理 的利润，自行报价，结算时由供应商开具正式发票。各投标人应根据招标人提供的技术资料、工程量清单，以及本工程实际情况和自身的综合实力，竞报投标报价。总报价以人民币元计。知识产权等由投标人在投标报价时综合考虑，以后不作任何调整。</w:t>
      </w:r>
    </w:p>
    <w:p>
      <w:pPr>
        <w:ind w:left="420"/>
        <w:rPr>
          <w:rFonts w:ascii="宋体" w:hAnsi="宋体"/>
          <w:color w:val="auto"/>
          <w:sz w:val="22"/>
          <w:szCs w:val="22"/>
          <w:highlight w:val="none"/>
        </w:rPr>
      </w:pPr>
      <w:r>
        <w:rPr>
          <w:rFonts w:hint="eastAsia" w:ascii="宋体" w:hAnsi="宋体"/>
          <w:color w:val="auto"/>
          <w:sz w:val="22"/>
          <w:szCs w:val="22"/>
          <w:highlight w:val="none"/>
        </w:rPr>
        <w:t>投标人名称（公章）：</w:t>
      </w:r>
    </w:p>
    <w:p>
      <w:pPr>
        <w:ind w:firstLine="435"/>
        <w:rPr>
          <w:rFonts w:ascii="宋体" w:hAnsi="宋体"/>
          <w:color w:val="auto"/>
          <w:sz w:val="22"/>
          <w:szCs w:val="22"/>
          <w:highlight w:val="none"/>
        </w:rPr>
      </w:pPr>
      <w:r>
        <w:rPr>
          <w:rFonts w:hint="eastAsia" w:ascii="宋体" w:hAnsi="宋体"/>
          <w:color w:val="auto"/>
          <w:sz w:val="22"/>
          <w:szCs w:val="22"/>
          <w:highlight w:val="none"/>
        </w:rPr>
        <w:t>法定代表人（负责人）或授权委托人（签字或盖章）：</w:t>
      </w:r>
    </w:p>
    <w:p>
      <w:pPr>
        <w:ind w:firstLine="435"/>
        <w:rPr>
          <w:rFonts w:ascii="宋体" w:hAnsi="宋体"/>
          <w:color w:val="auto"/>
          <w:sz w:val="22"/>
          <w:szCs w:val="22"/>
          <w:highlight w:val="none"/>
        </w:rPr>
      </w:pPr>
      <w:r>
        <w:rPr>
          <w:rFonts w:hint="eastAsia" w:ascii="宋体" w:hAnsi="宋体"/>
          <w:color w:val="auto"/>
          <w:sz w:val="22"/>
          <w:szCs w:val="22"/>
          <w:highlight w:val="none"/>
        </w:rPr>
        <w:t>职        务：</w:t>
      </w:r>
    </w:p>
    <w:p>
      <w:pPr>
        <w:ind w:firstLine="435"/>
        <w:rPr>
          <w:rFonts w:ascii="宋体" w:hAnsi="宋体"/>
          <w:color w:val="auto"/>
          <w:sz w:val="22"/>
          <w:szCs w:val="22"/>
          <w:highlight w:val="none"/>
        </w:rPr>
      </w:pPr>
      <w:r>
        <w:rPr>
          <w:rFonts w:hint="eastAsia" w:ascii="宋体" w:hAnsi="宋体"/>
          <w:color w:val="auto"/>
          <w:sz w:val="22"/>
          <w:szCs w:val="22"/>
          <w:highlight w:val="none"/>
        </w:rPr>
        <w:t>日        期：</w:t>
      </w:r>
    </w:p>
    <w:p>
      <w:pPr>
        <w:pStyle w:val="2"/>
        <w:rPr>
          <w:rFonts w:ascii="宋体" w:hAnsi="宋体"/>
          <w:color w:val="auto"/>
          <w:sz w:val="22"/>
          <w:szCs w:val="22"/>
          <w:highlight w:val="none"/>
        </w:rPr>
      </w:pPr>
    </w:p>
    <w:p>
      <w:pPr>
        <w:snapToGrid w:val="0"/>
        <w:spacing w:before="50" w:after="50"/>
        <w:rPr>
          <w:rFonts w:ascii="宋体" w:hAnsi="宋体"/>
          <w:b/>
          <w:color w:val="auto"/>
          <w:sz w:val="24"/>
          <w:highlight w:val="none"/>
        </w:rPr>
      </w:pPr>
      <w:r>
        <w:rPr>
          <w:rFonts w:hint="eastAsia" w:ascii="宋体" w:hAnsi="宋体"/>
          <w:b/>
          <w:color w:val="auto"/>
          <w:sz w:val="24"/>
          <w:highlight w:val="none"/>
        </w:rPr>
        <w:t>附件10、投标报价清单</w:t>
      </w:r>
    </w:p>
    <w:p>
      <w:pPr>
        <w:adjustRightInd w:val="0"/>
        <w:snapToGrid w:val="0"/>
        <w:spacing w:line="360" w:lineRule="auto"/>
        <w:jc w:val="center"/>
        <w:rPr>
          <w:rFonts w:ascii="宋体" w:hAnsi="宋体" w:eastAsia="黑体"/>
          <w:bCs/>
          <w:color w:val="auto"/>
          <w:sz w:val="24"/>
          <w:highlight w:val="none"/>
        </w:rPr>
      </w:pPr>
      <w:r>
        <w:rPr>
          <w:rFonts w:hint="eastAsia" w:ascii="宋体" w:hAnsi="宋体" w:eastAsia="黑体"/>
          <w:bCs/>
          <w:color w:val="auto"/>
          <w:sz w:val="24"/>
          <w:highlight w:val="none"/>
        </w:rPr>
        <w:t>台州循环经济发展有限公司及其下属子公司补充医疗保险服务采购项目</w:t>
      </w:r>
    </w:p>
    <w:p>
      <w:pPr>
        <w:adjustRightInd w:val="0"/>
        <w:snapToGrid w:val="0"/>
        <w:spacing w:line="360" w:lineRule="auto"/>
        <w:jc w:val="center"/>
        <w:rPr>
          <w:snapToGrid w:val="0"/>
          <w:color w:val="auto"/>
          <w:kern w:val="0"/>
          <w:szCs w:val="21"/>
          <w:highlight w:val="none"/>
          <w:u w:val="single"/>
        </w:rPr>
      </w:pPr>
      <w:r>
        <w:rPr>
          <w:rFonts w:hint="eastAsia" w:ascii="宋体" w:hAnsi="宋体"/>
          <w:b/>
          <w:snapToGrid w:val="0"/>
          <w:color w:val="auto"/>
          <w:kern w:val="0"/>
          <w:sz w:val="32"/>
          <w:szCs w:val="32"/>
          <w:highlight w:val="none"/>
        </w:rPr>
        <w:t>投标报价清单</w:t>
      </w:r>
    </w:p>
    <w:p>
      <w:pPr>
        <w:snapToGrid w:val="0"/>
        <w:spacing w:before="50" w:after="50"/>
        <w:jc w:val="left"/>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1、一年期消费型补充医疗保险：</w:t>
      </w:r>
    </w:p>
    <w:tbl>
      <w:tblPr>
        <w:tblStyle w:val="26"/>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
        <w:gridCol w:w="660"/>
        <w:gridCol w:w="2411"/>
        <w:gridCol w:w="1269"/>
        <w:gridCol w:w="2880"/>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407" w:type="dxa"/>
            <w:gridSpan w:val="3"/>
            <w:vAlign w:val="center"/>
          </w:tcPr>
          <w:p>
            <w:pPr>
              <w:snapToGrid w:val="0"/>
              <w:spacing w:before="50" w:after="50"/>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保障方案类型</w:t>
            </w:r>
          </w:p>
        </w:tc>
        <w:tc>
          <w:tcPr>
            <w:tcW w:w="1269" w:type="dxa"/>
            <w:vAlign w:val="center"/>
          </w:tcPr>
          <w:p>
            <w:pPr>
              <w:snapToGrid w:val="0"/>
              <w:spacing w:before="50" w:after="50"/>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（1）人数</w:t>
            </w:r>
          </w:p>
        </w:tc>
        <w:tc>
          <w:tcPr>
            <w:tcW w:w="2880" w:type="dxa"/>
            <w:vAlign w:val="center"/>
          </w:tcPr>
          <w:p>
            <w:pPr>
              <w:snapToGrid w:val="0"/>
              <w:spacing w:before="50" w:after="50"/>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（2）员工个人消费型补充医疗保险全费用综合单价</w:t>
            </w:r>
          </w:p>
          <w:p>
            <w:pPr>
              <w:snapToGrid w:val="0"/>
              <w:spacing w:before="50" w:after="50"/>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（元/人/年）</w:t>
            </w:r>
          </w:p>
        </w:tc>
        <w:tc>
          <w:tcPr>
            <w:tcW w:w="1686" w:type="dxa"/>
            <w:vAlign w:val="center"/>
          </w:tcPr>
          <w:p>
            <w:pPr>
              <w:snapToGrid w:val="0"/>
              <w:spacing w:before="50" w:after="50"/>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合价=（1）×（2）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336" w:type="dxa"/>
            <w:vAlign w:val="center"/>
          </w:tcPr>
          <w:p>
            <w:pPr>
              <w:snapToGrid w:val="0"/>
              <w:spacing w:before="50" w:after="50"/>
              <w:jc w:val="left"/>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w:t>
            </w:r>
          </w:p>
        </w:tc>
        <w:tc>
          <w:tcPr>
            <w:tcW w:w="660" w:type="dxa"/>
            <w:vMerge w:val="restart"/>
            <w:vAlign w:val="center"/>
          </w:tcPr>
          <w:p>
            <w:pPr>
              <w:snapToGrid w:val="0"/>
              <w:spacing w:before="50" w:after="50"/>
              <w:jc w:val="left"/>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在职职工</w:t>
            </w:r>
          </w:p>
        </w:tc>
        <w:tc>
          <w:tcPr>
            <w:tcW w:w="2411" w:type="dxa"/>
            <w:vAlign w:val="center"/>
          </w:tcPr>
          <w:p>
            <w:pPr>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层级一</w:t>
            </w:r>
          </w:p>
        </w:tc>
        <w:tc>
          <w:tcPr>
            <w:tcW w:w="1269" w:type="dxa"/>
            <w:vAlign w:val="center"/>
          </w:tcPr>
          <w:p>
            <w:pPr>
              <w:snapToGrid w:val="0"/>
              <w:spacing w:before="50" w:after="50"/>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5</w:t>
            </w:r>
          </w:p>
        </w:tc>
        <w:tc>
          <w:tcPr>
            <w:tcW w:w="2880" w:type="dxa"/>
            <w:vAlign w:val="center"/>
          </w:tcPr>
          <w:p>
            <w:pPr>
              <w:snapToGrid w:val="0"/>
              <w:spacing w:before="50" w:after="50"/>
              <w:jc w:val="left"/>
              <w:rPr>
                <w:rFonts w:asciiTheme="minorEastAsia" w:hAnsiTheme="minorEastAsia" w:eastAsiaTheme="minorEastAsia" w:cstheme="minorEastAsia"/>
                <w:color w:val="auto"/>
                <w:sz w:val="22"/>
                <w:szCs w:val="22"/>
                <w:highlight w:val="none"/>
              </w:rPr>
            </w:pPr>
          </w:p>
        </w:tc>
        <w:tc>
          <w:tcPr>
            <w:tcW w:w="1686" w:type="dxa"/>
            <w:vAlign w:val="center"/>
          </w:tcPr>
          <w:p>
            <w:pPr>
              <w:snapToGrid w:val="0"/>
              <w:spacing w:before="50" w:after="50"/>
              <w:jc w:val="left"/>
              <w:rPr>
                <w:rFonts w:asciiTheme="minorEastAsia" w:hAnsiTheme="minorEastAsia" w:eastAsiaTheme="minorEastAsia" w:cs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336" w:type="dxa"/>
            <w:vAlign w:val="center"/>
          </w:tcPr>
          <w:p>
            <w:pPr>
              <w:snapToGrid w:val="0"/>
              <w:spacing w:before="50" w:after="50"/>
              <w:jc w:val="left"/>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w:t>
            </w:r>
          </w:p>
        </w:tc>
        <w:tc>
          <w:tcPr>
            <w:tcW w:w="660" w:type="dxa"/>
            <w:vMerge w:val="continue"/>
            <w:vAlign w:val="center"/>
          </w:tcPr>
          <w:p>
            <w:pPr>
              <w:snapToGrid w:val="0"/>
              <w:spacing w:before="50" w:after="50"/>
              <w:jc w:val="left"/>
              <w:rPr>
                <w:rFonts w:asciiTheme="minorEastAsia" w:hAnsiTheme="minorEastAsia" w:eastAsiaTheme="minorEastAsia" w:cstheme="minorEastAsia"/>
                <w:color w:val="auto"/>
                <w:sz w:val="22"/>
                <w:szCs w:val="22"/>
                <w:highlight w:val="none"/>
              </w:rPr>
            </w:pPr>
          </w:p>
        </w:tc>
        <w:tc>
          <w:tcPr>
            <w:tcW w:w="2411" w:type="dxa"/>
            <w:vAlign w:val="center"/>
          </w:tcPr>
          <w:p>
            <w:pPr>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层级二</w:t>
            </w:r>
          </w:p>
        </w:tc>
        <w:tc>
          <w:tcPr>
            <w:tcW w:w="1269" w:type="dxa"/>
            <w:vAlign w:val="center"/>
          </w:tcPr>
          <w:p>
            <w:pPr>
              <w:snapToGrid w:val="0"/>
              <w:spacing w:before="50" w:after="50"/>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35</w:t>
            </w:r>
          </w:p>
        </w:tc>
        <w:tc>
          <w:tcPr>
            <w:tcW w:w="2880" w:type="dxa"/>
            <w:vAlign w:val="center"/>
          </w:tcPr>
          <w:p>
            <w:pPr>
              <w:snapToGrid w:val="0"/>
              <w:spacing w:before="50" w:after="50"/>
              <w:jc w:val="left"/>
              <w:rPr>
                <w:rFonts w:asciiTheme="minorEastAsia" w:hAnsiTheme="minorEastAsia" w:eastAsiaTheme="minorEastAsia" w:cstheme="minorEastAsia"/>
                <w:color w:val="auto"/>
                <w:sz w:val="22"/>
                <w:szCs w:val="22"/>
                <w:highlight w:val="none"/>
              </w:rPr>
            </w:pPr>
          </w:p>
        </w:tc>
        <w:tc>
          <w:tcPr>
            <w:tcW w:w="1686" w:type="dxa"/>
            <w:vAlign w:val="center"/>
          </w:tcPr>
          <w:p>
            <w:pPr>
              <w:snapToGrid w:val="0"/>
              <w:spacing w:before="50" w:after="50"/>
              <w:jc w:val="left"/>
              <w:rPr>
                <w:rFonts w:asciiTheme="minorEastAsia" w:hAnsiTheme="minorEastAsia" w:eastAsiaTheme="minorEastAsia" w:cs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336" w:type="dxa"/>
            <w:vAlign w:val="center"/>
          </w:tcPr>
          <w:p>
            <w:pPr>
              <w:snapToGrid w:val="0"/>
              <w:spacing w:before="50" w:after="50"/>
              <w:jc w:val="left"/>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w:t>
            </w:r>
          </w:p>
        </w:tc>
        <w:tc>
          <w:tcPr>
            <w:tcW w:w="660" w:type="dxa"/>
            <w:vMerge w:val="continue"/>
            <w:vAlign w:val="center"/>
          </w:tcPr>
          <w:p>
            <w:pPr>
              <w:snapToGrid w:val="0"/>
              <w:spacing w:before="50" w:after="50"/>
              <w:jc w:val="left"/>
              <w:rPr>
                <w:rFonts w:asciiTheme="minorEastAsia" w:hAnsiTheme="minorEastAsia" w:eastAsiaTheme="minorEastAsia" w:cstheme="minorEastAsia"/>
                <w:color w:val="auto"/>
                <w:sz w:val="22"/>
                <w:szCs w:val="22"/>
                <w:highlight w:val="none"/>
              </w:rPr>
            </w:pPr>
          </w:p>
        </w:tc>
        <w:tc>
          <w:tcPr>
            <w:tcW w:w="2411" w:type="dxa"/>
            <w:vAlign w:val="center"/>
          </w:tcPr>
          <w:p>
            <w:pPr>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层级三</w:t>
            </w:r>
          </w:p>
        </w:tc>
        <w:tc>
          <w:tcPr>
            <w:tcW w:w="1269" w:type="dxa"/>
            <w:vAlign w:val="center"/>
          </w:tcPr>
          <w:p>
            <w:pPr>
              <w:snapToGrid w:val="0"/>
              <w:spacing w:before="50" w:after="50"/>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107</w:t>
            </w:r>
          </w:p>
        </w:tc>
        <w:tc>
          <w:tcPr>
            <w:tcW w:w="2880" w:type="dxa"/>
            <w:vAlign w:val="center"/>
          </w:tcPr>
          <w:p>
            <w:pPr>
              <w:snapToGrid w:val="0"/>
              <w:spacing w:before="50" w:after="50"/>
              <w:jc w:val="left"/>
              <w:rPr>
                <w:rFonts w:asciiTheme="minorEastAsia" w:hAnsiTheme="minorEastAsia" w:eastAsiaTheme="minorEastAsia" w:cstheme="minorEastAsia"/>
                <w:color w:val="auto"/>
                <w:sz w:val="22"/>
                <w:szCs w:val="22"/>
                <w:highlight w:val="none"/>
              </w:rPr>
            </w:pPr>
          </w:p>
        </w:tc>
        <w:tc>
          <w:tcPr>
            <w:tcW w:w="1686" w:type="dxa"/>
            <w:vAlign w:val="center"/>
          </w:tcPr>
          <w:p>
            <w:pPr>
              <w:snapToGrid w:val="0"/>
              <w:spacing w:before="50" w:after="50"/>
              <w:jc w:val="left"/>
              <w:rPr>
                <w:rFonts w:asciiTheme="minorEastAsia" w:hAnsiTheme="minorEastAsia" w:eastAsiaTheme="minorEastAsia" w:cs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36" w:type="dxa"/>
            <w:vAlign w:val="center"/>
          </w:tcPr>
          <w:p>
            <w:pPr>
              <w:snapToGrid w:val="0"/>
              <w:spacing w:before="50" w:after="50"/>
              <w:jc w:val="left"/>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w:t>
            </w:r>
          </w:p>
        </w:tc>
        <w:tc>
          <w:tcPr>
            <w:tcW w:w="660" w:type="dxa"/>
            <w:vAlign w:val="center"/>
          </w:tcPr>
          <w:p>
            <w:pPr>
              <w:snapToGrid w:val="0"/>
              <w:spacing w:before="50" w:after="50"/>
              <w:jc w:val="left"/>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退休员工</w:t>
            </w:r>
          </w:p>
        </w:tc>
        <w:tc>
          <w:tcPr>
            <w:tcW w:w="2411" w:type="dxa"/>
            <w:vAlign w:val="center"/>
          </w:tcPr>
          <w:p>
            <w:pPr>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层级四</w:t>
            </w:r>
          </w:p>
        </w:tc>
        <w:tc>
          <w:tcPr>
            <w:tcW w:w="1269" w:type="dxa"/>
            <w:vAlign w:val="center"/>
          </w:tcPr>
          <w:p>
            <w:pPr>
              <w:snapToGrid w:val="0"/>
              <w:spacing w:before="50" w:after="50"/>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0</w:t>
            </w:r>
          </w:p>
        </w:tc>
        <w:tc>
          <w:tcPr>
            <w:tcW w:w="2880" w:type="dxa"/>
            <w:vAlign w:val="center"/>
          </w:tcPr>
          <w:p>
            <w:pPr>
              <w:snapToGrid w:val="0"/>
              <w:spacing w:before="50" w:after="50"/>
              <w:jc w:val="left"/>
              <w:rPr>
                <w:rFonts w:asciiTheme="minorEastAsia" w:hAnsiTheme="minorEastAsia" w:eastAsiaTheme="minorEastAsia" w:cstheme="minorEastAsia"/>
                <w:color w:val="auto"/>
                <w:sz w:val="22"/>
                <w:szCs w:val="22"/>
                <w:highlight w:val="none"/>
              </w:rPr>
            </w:pPr>
          </w:p>
        </w:tc>
        <w:tc>
          <w:tcPr>
            <w:tcW w:w="1686" w:type="dxa"/>
            <w:vAlign w:val="center"/>
          </w:tcPr>
          <w:p>
            <w:pPr>
              <w:snapToGrid w:val="0"/>
              <w:spacing w:before="50" w:after="50"/>
              <w:jc w:val="left"/>
              <w:rPr>
                <w:rFonts w:asciiTheme="minorEastAsia" w:hAnsiTheme="minorEastAsia" w:eastAsiaTheme="minorEastAsia" w:cs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242" w:type="dxa"/>
            <w:gridSpan w:val="6"/>
            <w:vAlign w:val="center"/>
          </w:tcPr>
          <w:p>
            <w:pPr>
              <w:snapToGrid w:val="0"/>
              <w:spacing w:before="50" w:after="50"/>
              <w:jc w:val="left"/>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一年期参保总保费合计（保险协议一年一签）=1+2+3+4=</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元（合计汇总至附件2开标一览表）</w:t>
            </w:r>
          </w:p>
        </w:tc>
      </w:tr>
    </w:tbl>
    <w:p>
      <w:pPr>
        <w:snapToGrid w:val="0"/>
        <w:spacing w:before="50" w:after="50"/>
        <w:jc w:val="left"/>
        <w:rPr>
          <w:rFonts w:asciiTheme="minorEastAsia" w:hAnsiTheme="minorEastAsia" w:eastAsiaTheme="minorEastAsia" w:cstheme="minorEastAsia"/>
          <w:color w:val="auto"/>
          <w:sz w:val="22"/>
          <w:szCs w:val="22"/>
          <w:highlight w:val="none"/>
        </w:rPr>
      </w:pPr>
    </w:p>
    <w:p>
      <w:pPr>
        <w:numPr>
          <w:ilvl w:val="0"/>
          <w:numId w:val="10"/>
        </w:numPr>
        <w:snapToGrid w:val="0"/>
        <w:spacing w:before="50" w:after="50"/>
        <w:jc w:val="left"/>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企业委托管理型医疗保险基金管理费：</w:t>
      </w:r>
    </w:p>
    <w:tbl>
      <w:tblPr>
        <w:tblStyle w:val="26"/>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8"/>
        <w:gridCol w:w="3954"/>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598" w:type="dxa"/>
            <w:vAlign w:val="center"/>
          </w:tcPr>
          <w:p>
            <w:pPr>
              <w:snapToGrid w:val="0"/>
              <w:spacing w:before="50" w:after="50"/>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项目</w:t>
            </w:r>
          </w:p>
        </w:tc>
        <w:tc>
          <w:tcPr>
            <w:tcW w:w="3954" w:type="dxa"/>
            <w:vAlign w:val="center"/>
          </w:tcPr>
          <w:p>
            <w:pPr>
              <w:snapToGrid w:val="0"/>
              <w:spacing w:before="50" w:after="50"/>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初始管理费报价</w:t>
            </w:r>
          </w:p>
        </w:tc>
        <w:tc>
          <w:tcPr>
            <w:tcW w:w="1726" w:type="dxa"/>
            <w:vAlign w:val="center"/>
          </w:tcPr>
          <w:p>
            <w:pPr>
              <w:snapToGrid w:val="0"/>
              <w:spacing w:before="50" w:after="50"/>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598" w:type="dxa"/>
            <w:vAlign w:val="center"/>
          </w:tcPr>
          <w:p>
            <w:pPr>
              <w:snapToGrid w:val="0"/>
              <w:spacing w:before="50" w:after="50"/>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企业委托管理型医疗保险基金</w:t>
            </w:r>
          </w:p>
        </w:tc>
        <w:tc>
          <w:tcPr>
            <w:tcW w:w="3954" w:type="dxa"/>
            <w:vAlign w:val="center"/>
          </w:tcPr>
          <w:p>
            <w:pPr>
              <w:snapToGrid w:val="0"/>
              <w:spacing w:before="50" w:after="50"/>
              <w:ind w:firstLine="2200" w:firstLineChars="1000"/>
              <w:jc w:val="left"/>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w:t>
            </w:r>
          </w:p>
        </w:tc>
        <w:tc>
          <w:tcPr>
            <w:tcW w:w="1726" w:type="dxa"/>
            <w:vAlign w:val="center"/>
          </w:tcPr>
          <w:p>
            <w:pPr>
              <w:snapToGrid w:val="0"/>
              <w:spacing w:before="50" w:after="50"/>
              <w:jc w:val="center"/>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不高于管理型补充医疗保险基金的1%</w:t>
            </w:r>
          </w:p>
        </w:tc>
      </w:tr>
    </w:tbl>
    <w:p>
      <w:pPr>
        <w:pStyle w:val="2"/>
        <w:rPr>
          <w:rFonts w:asciiTheme="minorEastAsia" w:hAnsiTheme="minorEastAsia" w:eastAsiaTheme="minorEastAsia" w:cstheme="minorEastAsia"/>
          <w:color w:val="auto"/>
          <w:sz w:val="22"/>
          <w:szCs w:val="22"/>
          <w:highlight w:val="none"/>
        </w:rPr>
      </w:pPr>
    </w:p>
    <w:p>
      <w:pPr>
        <w:snapToGrid w:val="0"/>
        <w:spacing w:before="50" w:after="50"/>
        <w:jc w:val="left"/>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注：1、各投标人应根据招标人的要求，在前附表规定的有效报价内,结合本项目实际情况和自身的综合实力，竞报投标报价。</w:t>
      </w:r>
    </w:p>
    <w:p>
      <w:pPr>
        <w:snapToGrid w:val="0"/>
        <w:spacing w:before="50" w:after="50"/>
        <w:ind w:firstLine="440" w:firstLineChars="200"/>
        <w:jc w:val="left"/>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2、第一年度（自合同签订之日起一年）综合单价按“投标报价清单”执行，不作任何调整。后续保单年度，如遇保险方案或费率变动，对变动部分双方可协商约定。</w:t>
      </w:r>
    </w:p>
    <w:p>
      <w:pPr>
        <w:snapToGrid w:val="0"/>
        <w:spacing w:before="50" w:after="50"/>
        <w:jc w:val="left"/>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b/>
          <w:color w:val="auto"/>
          <w:sz w:val="22"/>
          <w:szCs w:val="22"/>
          <w:highlight w:val="none"/>
        </w:rPr>
        <w:t xml:space="preserve">     </w:t>
      </w:r>
    </w:p>
    <w:p>
      <w:pPr>
        <w:pStyle w:val="2"/>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投标人(盖章)：</w:t>
      </w:r>
      <w:r>
        <w:rPr>
          <w:rFonts w:hint="eastAsia" w:asciiTheme="minorEastAsia" w:hAnsiTheme="minorEastAsia" w:eastAsiaTheme="minorEastAsia" w:cstheme="minorEastAsia"/>
          <w:color w:val="auto"/>
          <w:sz w:val="22"/>
          <w:szCs w:val="22"/>
          <w:highlight w:val="none"/>
        </w:rPr>
        <w:tab/>
      </w:r>
    </w:p>
    <w:p>
      <w:pPr>
        <w:spacing w:line="320" w:lineRule="exact"/>
        <w:ind w:firstLine="440" w:firstLineChars="200"/>
        <w:rPr>
          <w:rFonts w:asciiTheme="minorEastAsia" w:hAnsiTheme="minorEastAsia" w:eastAsiaTheme="minorEastAsia" w:cstheme="minorEastAsia"/>
          <w:color w:val="auto"/>
          <w:sz w:val="22"/>
          <w:szCs w:val="22"/>
          <w:highlight w:val="none"/>
        </w:rPr>
      </w:pPr>
    </w:p>
    <w:p>
      <w:pPr>
        <w:ind w:right="-296" w:rightChars="-141"/>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法定代表人（负责人）或授权委托人（签字或盖章）：          日期：   </w:t>
      </w:r>
    </w:p>
    <w:p>
      <w:pPr>
        <w:pStyle w:val="3"/>
        <w:rPr>
          <w:color w:val="auto"/>
          <w:highlight w:val="none"/>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numPr>
        <w:ilvl w:val="0"/>
        <w:numId w:val="0"/>
      </w:numPr>
      <w:tabs>
        <w:tab w:val="left" w:pos="454"/>
        <w:tab w:val="left" w:pos="720"/>
        <w:tab w:val="left" w:pos="1200"/>
        <w:tab w:val="clear" w:pos="360"/>
      </w:tabs>
      <w:spacing w:after="120"/>
      <w:ind w:left="480"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pPr>
                          <w:r>
                            <w:fldChar w:fldCharType="begin"/>
                          </w:r>
                          <w:r>
                            <w:instrText xml:space="preserve"> PAGE  \* MERGEFORMAT </w:instrText>
                          </w:r>
                          <w:r>
                            <w:fldChar w:fldCharType="separate"/>
                          </w:r>
                          <w:r>
                            <w:t>- 17 -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16"/>
                    </w:pPr>
                    <w:r>
                      <w:fldChar w:fldCharType="begin"/>
                    </w:r>
                    <w:r>
                      <w:instrText xml:space="preserve"> PAGE  \* MERGEFORMAT </w:instrText>
                    </w:r>
                    <w:r>
                      <w:fldChar w:fldCharType="separate"/>
                    </w:r>
                    <w:r>
                      <w:t>- 17 -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tabs>
        <w:tab w:val="left" w:pos="454"/>
        <w:tab w:val="left" w:pos="720"/>
        <w:tab w:val="left" w:pos="1200"/>
      </w:tabs>
      <w:spacing w:after="120"/>
      <w:rPr>
        <w:rStyle w:val="29"/>
      </w:rPr>
    </w:pPr>
    <w:r>
      <w:fldChar w:fldCharType="begin"/>
    </w:r>
    <w:r>
      <w:rPr>
        <w:rStyle w:val="29"/>
      </w:rPr>
      <w:instrText xml:space="preserve">PAGE  </w:instrText>
    </w:r>
    <w:r>
      <w:fldChar w:fldCharType="separate"/>
    </w:r>
    <w:r>
      <w:rPr>
        <w:rStyle w:val="29"/>
      </w:rPr>
      <w:t>10</w:t>
    </w:r>
    <w:r>
      <w:fldChar w:fldCharType="end"/>
    </w:r>
  </w:p>
  <w:p>
    <w:pPr>
      <w:pStyle w:val="8"/>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v:fill on="f" focussize="0,0"/>
              <v:stroke on="f" weight="1.2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B2B52"/>
    <w:multiLevelType w:val="singleLevel"/>
    <w:tmpl w:val="85DB2B52"/>
    <w:lvl w:ilvl="0" w:tentative="0">
      <w:start w:val="2"/>
      <w:numFmt w:val="decimal"/>
      <w:suff w:val="nothing"/>
      <w:lvlText w:val="%1、"/>
      <w:lvlJc w:val="left"/>
    </w:lvl>
  </w:abstractNum>
  <w:abstractNum w:abstractNumId="1">
    <w:nsid w:val="963CBFC0"/>
    <w:multiLevelType w:val="singleLevel"/>
    <w:tmpl w:val="963CBFC0"/>
    <w:lvl w:ilvl="0" w:tentative="0">
      <w:start w:val="1"/>
      <w:numFmt w:val="bullet"/>
      <w:pStyle w:val="12"/>
      <w:lvlText w:val=""/>
      <w:lvlJc w:val="left"/>
      <w:pPr>
        <w:tabs>
          <w:tab w:val="left" w:pos="780"/>
        </w:tabs>
        <w:ind w:left="780" w:hanging="360"/>
      </w:pPr>
      <w:rPr>
        <w:rFonts w:hint="default" w:ascii="Wingdings" w:hAnsi="Wingdings"/>
      </w:rPr>
    </w:lvl>
  </w:abstractNum>
  <w:abstractNum w:abstractNumId="2">
    <w:nsid w:val="DF48CB86"/>
    <w:multiLevelType w:val="singleLevel"/>
    <w:tmpl w:val="DF48CB86"/>
    <w:lvl w:ilvl="0" w:tentative="0">
      <w:start w:val="1"/>
      <w:numFmt w:val="chineseCounting"/>
      <w:suff w:val="nothing"/>
      <w:lvlText w:val="（%1）"/>
      <w:lvlJc w:val="left"/>
      <w:rPr>
        <w:rFonts w:hint="eastAsia"/>
      </w:rPr>
    </w:lvl>
  </w:abstractNum>
  <w:abstractNum w:abstractNumId="3">
    <w:nsid w:val="E7171C12"/>
    <w:multiLevelType w:val="singleLevel"/>
    <w:tmpl w:val="E7171C12"/>
    <w:lvl w:ilvl="0" w:tentative="0">
      <w:start w:val="1"/>
      <w:numFmt w:val="bullet"/>
      <w:pStyle w:val="9"/>
      <w:lvlText w:val=""/>
      <w:lvlJc w:val="left"/>
      <w:pPr>
        <w:tabs>
          <w:tab w:val="left" w:pos="360"/>
        </w:tabs>
        <w:ind w:left="360" w:hanging="360"/>
      </w:pPr>
      <w:rPr>
        <w:rFonts w:hint="default" w:ascii="Wingdings" w:hAnsi="Wingdings"/>
      </w:rPr>
    </w:lvl>
  </w:abstractNum>
  <w:abstractNum w:abstractNumId="4">
    <w:nsid w:val="0ED2C79B"/>
    <w:multiLevelType w:val="singleLevel"/>
    <w:tmpl w:val="0ED2C79B"/>
    <w:lvl w:ilvl="0" w:tentative="0">
      <w:start w:val="1"/>
      <w:numFmt w:val="decimal"/>
      <w:pStyle w:val="8"/>
      <w:lvlText w:val="%1."/>
      <w:lvlJc w:val="left"/>
      <w:pPr>
        <w:tabs>
          <w:tab w:val="left" w:pos="360"/>
        </w:tabs>
        <w:ind w:left="360" w:hanging="360"/>
      </w:pPr>
    </w:lvl>
  </w:abstractNum>
  <w:abstractNum w:abstractNumId="5">
    <w:nsid w:val="461E5E94"/>
    <w:multiLevelType w:val="singleLevel"/>
    <w:tmpl w:val="461E5E94"/>
    <w:lvl w:ilvl="0" w:tentative="0">
      <w:start w:val="2"/>
      <w:numFmt w:val="chineseCounting"/>
      <w:suff w:val="space"/>
      <w:lvlText w:val="第%1章"/>
      <w:lvlJc w:val="left"/>
      <w:rPr>
        <w:rFonts w:hint="eastAsia"/>
      </w:rPr>
    </w:lvl>
  </w:abstractNum>
  <w:abstractNum w:abstractNumId="6">
    <w:nsid w:val="5BE338C7"/>
    <w:multiLevelType w:val="singleLevel"/>
    <w:tmpl w:val="5BE338C7"/>
    <w:lvl w:ilvl="0" w:tentative="0">
      <w:start w:val="1"/>
      <w:numFmt w:val="decimal"/>
      <w:lvlText w:val="%1."/>
      <w:lvlJc w:val="left"/>
      <w:pPr>
        <w:ind w:left="425" w:hanging="425"/>
      </w:pPr>
      <w:rPr>
        <w:rFonts w:hint="default"/>
      </w:rPr>
    </w:lvl>
  </w:abstractNum>
  <w:abstractNum w:abstractNumId="7">
    <w:nsid w:val="636567A2"/>
    <w:multiLevelType w:val="multilevel"/>
    <w:tmpl w:val="636567A2"/>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8">
    <w:nsid w:val="66DDD653"/>
    <w:multiLevelType w:val="singleLevel"/>
    <w:tmpl w:val="66DDD653"/>
    <w:lvl w:ilvl="0" w:tentative="0">
      <w:start w:val="1"/>
      <w:numFmt w:val="chineseCounting"/>
      <w:suff w:val="space"/>
      <w:lvlText w:val="第%1章"/>
      <w:lvlJc w:val="left"/>
      <w:rPr>
        <w:rFonts w:hint="eastAsia"/>
      </w:rPr>
    </w:lvl>
  </w:abstractNum>
  <w:abstractNum w:abstractNumId="9">
    <w:nsid w:val="678CFB24"/>
    <w:multiLevelType w:val="singleLevel"/>
    <w:tmpl w:val="678CFB24"/>
    <w:lvl w:ilvl="0" w:tentative="0">
      <w:start w:val="1"/>
      <w:numFmt w:val="chineseCounting"/>
      <w:suff w:val="nothing"/>
      <w:lvlText w:val="%1、"/>
      <w:lvlJc w:val="left"/>
      <w:rPr>
        <w:rFonts w:hint="eastAsia"/>
      </w:rPr>
    </w:lvl>
  </w:abstractNum>
  <w:num w:numId="1">
    <w:abstractNumId w:val="7"/>
  </w:num>
  <w:num w:numId="2">
    <w:abstractNumId w:val="4"/>
  </w:num>
  <w:num w:numId="3">
    <w:abstractNumId w:val="3"/>
  </w:num>
  <w:num w:numId="4">
    <w:abstractNumId w:val="1"/>
  </w:num>
  <w:num w:numId="5">
    <w:abstractNumId w:val="8"/>
  </w:num>
  <w:num w:numId="6">
    <w:abstractNumId w:val="5"/>
  </w:num>
  <w:num w:numId="7">
    <w:abstractNumId w:val="9"/>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1YjI5NjI4ODRjMjczZTJlYTk2NTYyNTg3ZjMwZTYifQ=="/>
  </w:docVars>
  <w:rsids>
    <w:rsidRoot w:val="685F2B0C"/>
    <w:rsid w:val="00001822"/>
    <w:rsid w:val="000154B2"/>
    <w:rsid w:val="000220D4"/>
    <w:rsid w:val="000221EE"/>
    <w:rsid w:val="00030D77"/>
    <w:rsid w:val="00047C71"/>
    <w:rsid w:val="00063432"/>
    <w:rsid w:val="00067EBE"/>
    <w:rsid w:val="00071BA1"/>
    <w:rsid w:val="00077950"/>
    <w:rsid w:val="0008211B"/>
    <w:rsid w:val="000839F2"/>
    <w:rsid w:val="00085621"/>
    <w:rsid w:val="00096A85"/>
    <w:rsid w:val="000A2B60"/>
    <w:rsid w:val="000B40AC"/>
    <w:rsid w:val="000B5655"/>
    <w:rsid w:val="000E4514"/>
    <w:rsid w:val="000F3BA6"/>
    <w:rsid w:val="001018F6"/>
    <w:rsid w:val="00102B98"/>
    <w:rsid w:val="001146EF"/>
    <w:rsid w:val="0011667D"/>
    <w:rsid w:val="00117F4A"/>
    <w:rsid w:val="00145361"/>
    <w:rsid w:val="00147BA8"/>
    <w:rsid w:val="00153321"/>
    <w:rsid w:val="0015483F"/>
    <w:rsid w:val="00161CFF"/>
    <w:rsid w:val="00162814"/>
    <w:rsid w:val="00165EE9"/>
    <w:rsid w:val="0018393D"/>
    <w:rsid w:val="00184C82"/>
    <w:rsid w:val="00186236"/>
    <w:rsid w:val="00194429"/>
    <w:rsid w:val="001951CA"/>
    <w:rsid w:val="001A746E"/>
    <w:rsid w:val="001B0177"/>
    <w:rsid w:val="001C6E10"/>
    <w:rsid w:val="001E3609"/>
    <w:rsid w:val="00242E17"/>
    <w:rsid w:val="00255983"/>
    <w:rsid w:val="00291503"/>
    <w:rsid w:val="002A3D6E"/>
    <w:rsid w:val="002B0CFE"/>
    <w:rsid w:val="002B1FBA"/>
    <w:rsid w:val="002F332C"/>
    <w:rsid w:val="00313AA9"/>
    <w:rsid w:val="00315916"/>
    <w:rsid w:val="0033653F"/>
    <w:rsid w:val="00345785"/>
    <w:rsid w:val="00346D34"/>
    <w:rsid w:val="00394AF1"/>
    <w:rsid w:val="00397B4C"/>
    <w:rsid w:val="00397CA4"/>
    <w:rsid w:val="003E7E4B"/>
    <w:rsid w:val="003F7037"/>
    <w:rsid w:val="003F7B6C"/>
    <w:rsid w:val="00401BB4"/>
    <w:rsid w:val="0040416F"/>
    <w:rsid w:val="00414893"/>
    <w:rsid w:val="00492D29"/>
    <w:rsid w:val="0049548B"/>
    <w:rsid w:val="004C1DEC"/>
    <w:rsid w:val="004C66BE"/>
    <w:rsid w:val="004D0F07"/>
    <w:rsid w:val="004D1BD8"/>
    <w:rsid w:val="004D436F"/>
    <w:rsid w:val="004F3491"/>
    <w:rsid w:val="00520055"/>
    <w:rsid w:val="00555533"/>
    <w:rsid w:val="005617DF"/>
    <w:rsid w:val="005840B3"/>
    <w:rsid w:val="0059431D"/>
    <w:rsid w:val="005B07E9"/>
    <w:rsid w:val="005C58B3"/>
    <w:rsid w:val="005D0DD1"/>
    <w:rsid w:val="005E7F5A"/>
    <w:rsid w:val="005F2A0C"/>
    <w:rsid w:val="00605C1B"/>
    <w:rsid w:val="00635DA5"/>
    <w:rsid w:val="006620A8"/>
    <w:rsid w:val="00667357"/>
    <w:rsid w:val="0068223A"/>
    <w:rsid w:val="006825F8"/>
    <w:rsid w:val="00685525"/>
    <w:rsid w:val="006B119E"/>
    <w:rsid w:val="006D5C96"/>
    <w:rsid w:val="006D66AC"/>
    <w:rsid w:val="006F3843"/>
    <w:rsid w:val="00700776"/>
    <w:rsid w:val="00712BFA"/>
    <w:rsid w:val="00736F7D"/>
    <w:rsid w:val="0074420C"/>
    <w:rsid w:val="007477AD"/>
    <w:rsid w:val="00753AE0"/>
    <w:rsid w:val="00770A08"/>
    <w:rsid w:val="00794BBF"/>
    <w:rsid w:val="007B7BC7"/>
    <w:rsid w:val="007C5DB8"/>
    <w:rsid w:val="007D2F69"/>
    <w:rsid w:val="007E144D"/>
    <w:rsid w:val="007E2BA8"/>
    <w:rsid w:val="007E4849"/>
    <w:rsid w:val="007F2D17"/>
    <w:rsid w:val="007F6447"/>
    <w:rsid w:val="00801D0B"/>
    <w:rsid w:val="00817A3B"/>
    <w:rsid w:val="008248FA"/>
    <w:rsid w:val="0084648D"/>
    <w:rsid w:val="00850346"/>
    <w:rsid w:val="00855F76"/>
    <w:rsid w:val="00873EC4"/>
    <w:rsid w:val="008856B6"/>
    <w:rsid w:val="0089019B"/>
    <w:rsid w:val="008A3A13"/>
    <w:rsid w:val="008B21EF"/>
    <w:rsid w:val="008B2A98"/>
    <w:rsid w:val="008C4C8B"/>
    <w:rsid w:val="008C57E4"/>
    <w:rsid w:val="008F059D"/>
    <w:rsid w:val="008F6EB2"/>
    <w:rsid w:val="00905DA1"/>
    <w:rsid w:val="0091302F"/>
    <w:rsid w:val="009145F5"/>
    <w:rsid w:val="00945E5D"/>
    <w:rsid w:val="00962122"/>
    <w:rsid w:val="00987EDA"/>
    <w:rsid w:val="00990D69"/>
    <w:rsid w:val="00993BE7"/>
    <w:rsid w:val="009A0B24"/>
    <w:rsid w:val="009A1D63"/>
    <w:rsid w:val="009A44C5"/>
    <w:rsid w:val="009B5C47"/>
    <w:rsid w:val="009D46C4"/>
    <w:rsid w:val="009D6A9E"/>
    <w:rsid w:val="009E0B23"/>
    <w:rsid w:val="009E3FF8"/>
    <w:rsid w:val="009E4E54"/>
    <w:rsid w:val="009F3832"/>
    <w:rsid w:val="00A23355"/>
    <w:rsid w:val="00A24D72"/>
    <w:rsid w:val="00A40A0F"/>
    <w:rsid w:val="00A51E78"/>
    <w:rsid w:val="00A5256C"/>
    <w:rsid w:val="00A52936"/>
    <w:rsid w:val="00A77741"/>
    <w:rsid w:val="00A85AC9"/>
    <w:rsid w:val="00A921FD"/>
    <w:rsid w:val="00A95853"/>
    <w:rsid w:val="00AA14DC"/>
    <w:rsid w:val="00AA503A"/>
    <w:rsid w:val="00AB072A"/>
    <w:rsid w:val="00AB1596"/>
    <w:rsid w:val="00AB49B7"/>
    <w:rsid w:val="00AC6C12"/>
    <w:rsid w:val="00AD5F42"/>
    <w:rsid w:val="00AE66EB"/>
    <w:rsid w:val="00B020CF"/>
    <w:rsid w:val="00B03224"/>
    <w:rsid w:val="00B10199"/>
    <w:rsid w:val="00B12DF7"/>
    <w:rsid w:val="00B141B4"/>
    <w:rsid w:val="00B16FA7"/>
    <w:rsid w:val="00B2639F"/>
    <w:rsid w:val="00B3161E"/>
    <w:rsid w:val="00B34B47"/>
    <w:rsid w:val="00B47E53"/>
    <w:rsid w:val="00B72890"/>
    <w:rsid w:val="00BE26CA"/>
    <w:rsid w:val="00C010CD"/>
    <w:rsid w:val="00C061A0"/>
    <w:rsid w:val="00C124A2"/>
    <w:rsid w:val="00C21118"/>
    <w:rsid w:val="00C25A79"/>
    <w:rsid w:val="00C3129E"/>
    <w:rsid w:val="00C40128"/>
    <w:rsid w:val="00C50B60"/>
    <w:rsid w:val="00C51716"/>
    <w:rsid w:val="00C52A0D"/>
    <w:rsid w:val="00C55713"/>
    <w:rsid w:val="00C81C9D"/>
    <w:rsid w:val="00CA0697"/>
    <w:rsid w:val="00CA12F3"/>
    <w:rsid w:val="00CA2C6C"/>
    <w:rsid w:val="00CA728C"/>
    <w:rsid w:val="00CB5F1A"/>
    <w:rsid w:val="00CD0A72"/>
    <w:rsid w:val="00D0009A"/>
    <w:rsid w:val="00D14AD5"/>
    <w:rsid w:val="00D246D4"/>
    <w:rsid w:val="00D325EC"/>
    <w:rsid w:val="00D40771"/>
    <w:rsid w:val="00D64FC1"/>
    <w:rsid w:val="00D655A0"/>
    <w:rsid w:val="00D81728"/>
    <w:rsid w:val="00DB1553"/>
    <w:rsid w:val="00DB4DE5"/>
    <w:rsid w:val="00DE67A0"/>
    <w:rsid w:val="00DF0325"/>
    <w:rsid w:val="00E10F08"/>
    <w:rsid w:val="00E42018"/>
    <w:rsid w:val="00E45207"/>
    <w:rsid w:val="00E51C18"/>
    <w:rsid w:val="00EA3C27"/>
    <w:rsid w:val="00EA745F"/>
    <w:rsid w:val="00EB0323"/>
    <w:rsid w:val="00EC7618"/>
    <w:rsid w:val="00EE16CE"/>
    <w:rsid w:val="00EE453C"/>
    <w:rsid w:val="00EF66D6"/>
    <w:rsid w:val="00F1568D"/>
    <w:rsid w:val="00F21898"/>
    <w:rsid w:val="00F33C9E"/>
    <w:rsid w:val="00F447A7"/>
    <w:rsid w:val="00F543F9"/>
    <w:rsid w:val="00F548C4"/>
    <w:rsid w:val="00F7155E"/>
    <w:rsid w:val="00F8124B"/>
    <w:rsid w:val="00F86AB9"/>
    <w:rsid w:val="00F92A7E"/>
    <w:rsid w:val="00FA6B35"/>
    <w:rsid w:val="00FB14A1"/>
    <w:rsid w:val="00FC1E7F"/>
    <w:rsid w:val="00FC5C25"/>
    <w:rsid w:val="00FE5F42"/>
    <w:rsid w:val="00FF7A94"/>
    <w:rsid w:val="010742D5"/>
    <w:rsid w:val="010F7B98"/>
    <w:rsid w:val="01270A4D"/>
    <w:rsid w:val="016D3648"/>
    <w:rsid w:val="017E2A82"/>
    <w:rsid w:val="01851778"/>
    <w:rsid w:val="01966A3F"/>
    <w:rsid w:val="01A729ED"/>
    <w:rsid w:val="01AE11E6"/>
    <w:rsid w:val="01B729F0"/>
    <w:rsid w:val="01E96BCD"/>
    <w:rsid w:val="01F53A09"/>
    <w:rsid w:val="01FC105B"/>
    <w:rsid w:val="020A3DE7"/>
    <w:rsid w:val="020B511D"/>
    <w:rsid w:val="02222883"/>
    <w:rsid w:val="025657AD"/>
    <w:rsid w:val="02A01370"/>
    <w:rsid w:val="02A46519"/>
    <w:rsid w:val="02C62BA9"/>
    <w:rsid w:val="030A7540"/>
    <w:rsid w:val="034C79A8"/>
    <w:rsid w:val="035E327D"/>
    <w:rsid w:val="036247EA"/>
    <w:rsid w:val="03624C71"/>
    <w:rsid w:val="037171B2"/>
    <w:rsid w:val="03723D7D"/>
    <w:rsid w:val="03795BF7"/>
    <w:rsid w:val="038C592B"/>
    <w:rsid w:val="03A55E37"/>
    <w:rsid w:val="04071573"/>
    <w:rsid w:val="04357EE7"/>
    <w:rsid w:val="043E0AAC"/>
    <w:rsid w:val="044F2C90"/>
    <w:rsid w:val="04604D98"/>
    <w:rsid w:val="04762FE4"/>
    <w:rsid w:val="048361AE"/>
    <w:rsid w:val="048962DE"/>
    <w:rsid w:val="04C403D8"/>
    <w:rsid w:val="04DA625A"/>
    <w:rsid w:val="04EF476C"/>
    <w:rsid w:val="0528054A"/>
    <w:rsid w:val="05287815"/>
    <w:rsid w:val="052D2D41"/>
    <w:rsid w:val="0538232A"/>
    <w:rsid w:val="0552233D"/>
    <w:rsid w:val="056926FA"/>
    <w:rsid w:val="05782C43"/>
    <w:rsid w:val="057E335E"/>
    <w:rsid w:val="05903056"/>
    <w:rsid w:val="05B01B1D"/>
    <w:rsid w:val="05E17C80"/>
    <w:rsid w:val="05E55725"/>
    <w:rsid w:val="05E5760D"/>
    <w:rsid w:val="05F15F19"/>
    <w:rsid w:val="06066F04"/>
    <w:rsid w:val="06134407"/>
    <w:rsid w:val="06231BA7"/>
    <w:rsid w:val="0639353C"/>
    <w:rsid w:val="06474E34"/>
    <w:rsid w:val="06484055"/>
    <w:rsid w:val="065949DD"/>
    <w:rsid w:val="06653EC4"/>
    <w:rsid w:val="068A3C77"/>
    <w:rsid w:val="0699402C"/>
    <w:rsid w:val="069C64C8"/>
    <w:rsid w:val="06A0112C"/>
    <w:rsid w:val="06A81BEC"/>
    <w:rsid w:val="06D53145"/>
    <w:rsid w:val="06DC60DB"/>
    <w:rsid w:val="06F44F8B"/>
    <w:rsid w:val="06F84851"/>
    <w:rsid w:val="06FB0045"/>
    <w:rsid w:val="077360FE"/>
    <w:rsid w:val="077B362D"/>
    <w:rsid w:val="079A6E72"/>
    <w:rsid w:val="079F3EE7"/>
    <w:rsid w:val="07AA1AB7"/>
    <w:rsid w:val="07B7075F"/>
    <w:rsid w:val="07C51164"/>
    <w:rsid w:val="07DF5164"/>
    <w:rsid w:val="07E50580"/>
    <w:rsid w:val="07EE133F"/>
    <w:rsid w:val="08065B86"/>
    <w:rsid w:val="0818590C"/>
    <w:rsid w:val="08274ACF"/>
    <w:rsid w:val="08310251"/>
    <w:rsid w:val="084703F0"/>
    <w:rsid w:val="086230FE"/>
    <w:rsid w:val="08696EDC"/>
    <w:rsid w:val="08705B4A"/>
    <w:rsid w:val="087A7753"/>
    <w:rsid w:val="08814CE3"/>
    <w:rsid w:val="088811CB"/>
    <w:rsid w:val="08884C10"/>
    <w:rsid w:val="08986544"/>
    <w:rsid w:val="08BB6846"/>
    <w:rsid w:val="08CC7712"/>
    <w:rsid w:val="08D55A74"/>
    <w:rsid w:val="08DC3175"/>
    <w:rsid w:val="08E052CE"/>
    <w:rsid w:val="08FB2C0B"/>
    <w:rsid w:val="08FD3C48"/>
    <w:rsid w:val="08FF6B9F"/>
    <w:rsid w:val="09161D47"/>
    <w:rsid w:val="093D3ABC"/>
    <w:rsid w:val="09976943"/>
    <w:rsid w:val="09CE19BC"/>
    <w:rsid w:val="09DA71B4"/>
    <w:rsid w:val="09E70A54"/>
    <w:rsid w:val="09E84CCD"/>
    <w:rsid w:val="0A051115"/>
    <w:rsid w:val="0A1026E6"/>
    <w:rsid w:val="0A314B36"/>
    <w:rsid w:val="0A3A5C5D"/>
    <w:rsid w:val="0A8528D5"/>
    <w:rsid w:val="0A8A0A3A"/>
    <w:rsid w:val="0AB52BD8"/>
    <w:rsid w:val="0AD56F1F"/>
    <w:rsid w:val="0AEA3C8C"/>
    <w:rsid w:val="0AF50C72"/>
    <w:rsid w:val="0AF85654"/>
    <w:rsid w:val="0B1E0CF0"/>
    <w:rsid w:val="0B1E2894"/>
    <w:rsid w:val="0B3A637F"/>
    <w:rsid w:val="0B420671"/>
    <w:rsid w:val="0B651F10"/>
    <w:rsid w:val="0BCE1370"/>
    <w:rsid w:val="0BCF240A"/>
    <w:rsid w:val="0BD84E5C"/>
    <w:rsid w:val="0BE34CD8"/>
    <w:rsid w:val="0BE83010"/>
    <w:rsid w:val="0BF47D4E"/>
    <w:rsid w:val="0BF86799"/>
    <w:rsid w:val="0C377F1F"/>
    <w:rsid w:val="0C516743"/>
    <w:rsid w:val="0C5D1BDB"/>
    <w:rsid w:val="0C7E2237"/>
    <w:rsid w:val="0C9C3187"/>
    <w:rsid w:val="0CA34118"/>
    <w:rsid w:val="0CA758F8"/>
    <w:rsid w:val="0CCD457A"/>
    <w:rsid w:val="0CD50236"/>
    <w:rsid w:val="0CED2959"/>
    <w:rsid w:val="0CEF3BF8"/>
    <w:rsid w:val="0D000761"/>
    <w:rsid w:val="0D3F7F2E"/>
    <w:rsid w:val="0D6344EC"/>
    <w:rsid w:val="0D705EC6"/>
    <w:rsid w:val="0D7446FA"/>
    <w:rsid w:val="0D870C14"/>
    <w:rsid w:val="0D8D29CB"/>
    <w:rsid w:val="0DB14507"/>
    <w:rsid w:val="0DB757B9"/>
    <w:rsid w:val="0DE545F3"/>
    <w:rsid w:val="0DE7555E"/>
    <w:rsid w:val="0E0316BF"/>
    <w:rsid w:val="0E072513"/>
    <w:rsid w:val="0E6C5294"/>
    <w:rsid w:val="0E7007ED"/>
    <w:rsid w:val="0E8A515C"/>
    <w:rsid w:val="0E932086"/>
    <w:rsid w:val="0F0D0D2C"/>
    <w:rsid w:val="0F385060"/>
    <w:rsid w:val="0F4D0444"/>
    <w:rsid w:val="0F58781F"/>
    <w:rsid w:val="0F5D7625"/>
    <w:rsid w:val="0F6147A2"/>
    <w:rsid w:val="0F7554C5"/>
    <w:rsid w:val="0F86061B"/>
    <w:rsid w:val="0FA67D74"/>
    <w:rsid w:val="0FC27645"/>
    <w:rsid w:val="0FD4645C"/>
    <w:rsid w:val="1007199F"/>
    <w:rsid w:val="101A3630"/>
    <w:rsid w:val="102C199B"/>
    <w:rsid w:val="103927E7"/>
    <w:rsid w:val="104542C5"/>
    <w:rsid w:val="105576A8"/>
    <w:rsid w:val="107E65FB"/>
    <w:rsid w:val="10A735CE"/>
    <w:rsid w:val="10BE1B05"/>
    <w:rsid w:val="10C64B9C"/>
    <w:rsid w:val="10CB7C05"/>
    <w:rsid w:val="10CF3933"/>
    <w:rsid w:val="10FD1FE7"/>
    <w:rsid w:val="11344EBE"/>
    <w:rsid w:val="115B5C4F"/>
    <w:rsid w:val="117C20D6"/>
    <w:rsid w:val="118A244C"/>
    <w:rsid w:val="11A2124C"/>
    <w:rsid w:val="11C20C82"/>
    <w:rsid w:val="11C8536C"/>
    <w:rsid w:val="11D0460B"/>
    <w:rsid w:val="11DE5C79"/>
    <w:rsid w:val="120B2B1C"/>
    <w:rsid w:val="12101447"/>
    <w:rsid w:val="121E5D7B"/>
    <w:rsid w:val="12215961"/>
    <w:rsid w:val="125F1817"/>
    <w:rsid w:val="128D04EC"/>
    <w:rsid w:val="12AA2320"/>
    <w:rsid w:val="12DB53B1"/>
    <w:rsid w:val="12E32AA1"/>
    <w:rsid w:val="12E81B94"/>
    <w:rsid w:val="130E354D"/>
    <w:rsid w:val="13257C63"/>
    <w:rsid w:val="133707C2"/>
    <w:rsid w:val="13441C72"/>
    <w:rsid w:val="134C77A5"/>
    <w:rsid w:val="13731B39"/>
    <w:rsid w:val="13732205"/>
    <w:rsid w:val="137F0CE3"/>
    <w:rsid w:val="13B66833"/>
    <w:rsid w:val="13C30E6E"/>
    <w:rsid w:val="13C5138B"/>
    <w:rsid w:val="13FD01F3"/>
    <w:rsid w:val="140A0889"/>
    <w:rsid w:val="140C3E1C"/>
    <w:rsid w:val="141B13D5"/>
    <w:rsid w:val="141C741E"/>
    <w:rsid w:val="14234B06"/>
    <w:rsid w:val="145558C5"/>
    <w:rsid w:val="149D3DC9"/>
    <w:rsid w:val="149E1778"/>
    <w:rsid w:val="14AD4839"/>
    <w:rsid w:val="14DF5342"/>
    <w:rsid w:val="14EA3450"/>
    <w:rsid w:val="14F22EE3"/>
    <w:rsid w:val="14F767B6"/>
    <w:rsid w:val="14F905C9"/>
    <w:rsid w:val="151F76DA"/>
    <w:rsid w:val="15237771"/>
    <w:rsid w:val="15287486"/>
    <w:rsid w:val="15552317"/>
    <w:rsid w:val="15610299"/>
    <w:rsid w:val="15840A84"/>
    <w:rsid w:val="15AF033B"/>
    <w:rsid w:val="15C012BB"/>
    <w:rsid w:val="15EA61EF"/>
    <w:rsid w:val="16031113"/>
    <w:rsid w:val="160C1329"/>
    <w:rsid w:val="161B48EC"/>
    <w:rsid w:val="162D6F7D"/>
    <w:rsid w:val="16332D75"/>
    <w:rsid w:val="16502A53"/>
    <w:rsid w:val="16725D01"/>
    <w:rsid w:val="16777B9F"/>
    <w:rsid w:val="168F227C"/>
    <w:rsid w:val="169A575C"/>
    <w:rsid w:val="16AD5C51"/>
    <w:rsid w:val="16C11894"/>
    <w:rsid w:val="16C377D3"/>
    <w:rsid w:val="16E6609C"/>
    <w:rsid w:val="1711641B"/>
    <w:rsid w:val="171F0861"/>
    <w:rsid w:val="1731374B"/>
    <w:rsid w:val="173B1F0E"/>
    <w:rsid w:val="173D243C"/>
    <w:rsid w:val="17534ECF"/>
    <w:rsid w:val="17DC7BF0"/>
    <w:rsid w:val="180053F0"/>
    <w:rsid w:val="18011D29"/>
    <w:rsid w:val="181011F1"/>
    <w:rsid w:val="185F5F75"/>
    <w:rsid w:val="186F483E"/>
    <w:rsid w:val="1870253F"/>
    <w:rsid w:val="188227EF"/>
    <w:rsid w:val="189220EE"/>
    <w:rsid w:val="189E4B47"/>
    <w:rsid w:val="18D86AC4"/>
    <w:rsid w:val="18E36CFC"/>
    <w:rsid w:val="19000C71"/>
    <w:rsid w:val="19100701"/>
    <w:rsid w:val="192A06DB"/>
    <w:rsid w:val="193028F8"/>
    <w:rsid w:val="19800DAF"/>
    <w:rsid w:val="198218DD"/>
    <w:rsid w:val="198D1B84"/>
    <w:rsid w:val="198E4D52"/>
    <w:rsid w:val="19923F06"/>
    <w:rsid w:val="19AF2729"/>
    <w:rsid w:val="19E51688"/>
    <w:rsid w:val="19EE2A8B"/>
    <w:rsid w:val="19EE41FA"/>
    <w:rsid w:val="1A0A0EFF"/>
    <w:rsid w:val="1A1830B1"/>
    <w:rsid w:val="1A2F4589"/>
    <w:rsid w:val="1A4C1D4A"/>
    <w:rsid w:val="1A587B66"/>
    <w:rsid w:val="1A5A6066"/>
    <w:rsid w:val="1A5B78E2"/>
    <w:rsid w:val="1A6356F1"/>
    <w:rsid w:val="1A647FAE"/>
    <w:rsid w:val="1A777345"/>
    <w:rsid w:val="1A813E1F"/>
    <w:rsid w:val="1A8357FC"/>
    <w:rsid w:val="1A9F2503"/>
    <w:rsid w:val="1AA3486A"/>
    <w:rsid w:val="1ACE692C"/>
    <w:rsid w:val="1AE33064"/>
    <w:rsid w:val="1AF357C2"/>
    <w:rsid w:val="1AF7659E"/>
    <w:rsid w:val="1B3B15AA"/>
    <w:rsid w:val="1B6A3FBF"/>
    <w:rsid w:val="1B6E5D82"/>
    <w:rsid w:val="1B8C6B7B"/>
    <w:rsid w:val="1B9E29B4"/>
    <w:rsid w:val="1BB43FB4"/>
    <w:rsid w:val="1BBF65FB"/>
    <w:rsid w:val="1BC2281C"/>
    <w:rsid w:val="1BF657FB"/>
    <w:rsid w:val="1C374515"/>
    <w:rsid w:val="1C4235A6"/>
    <w:rsid w:val="1C4F222F"/>
    <w:rsid w:val="1CA4277D"/>
    <w:rsid w:val="1CA86A15"/>
    <w:rsid w:val="1CBB4247"/>
    <w:rsid w:val="1CFA7EEF"/>
    <w:rsid w:val="1CFB1146"/>
    <w:rsid w:val="1D1125A5"/>
    <w:rsid w:val="1D1338EC"/>
    <w:rsid w:val="1D1C1676"/>
    <w:rsid w:val="1D37062D"/>
    <w:rsid w:val="1D3B199E"/>
    <w:rsid w:val="1D5B6D2E"/>
    <w:rsid w:val="1DC84F72"/>
    <w:rsid w:val="1DEC270F"/>
    <w:rsid w:val="1DF10281"/>
    <w:rsid w:val="1E0672A1"/>
    <w:rsid w:val="1E0D3D46"/>
    <w:rsid w:val="1E206F43"/>
    <w:rsid w:val="1E331E3B"/>
    <w:rsid w:val="1E370C0B"/>
    <w:rsid w:val="1E4E212D"/>
    <w:rsid w:val="1E561B49"/>
    <w:rsid w:val="1E5A2895"/>
    <w:rsid w:val="1E5B5B74"/>
    <w:rsid w:val="1E847B39"/>
    <w:rsid w:val="1E860C88"/>
    <w:rsid w:val="1E870645"/>
    <w:rsid w:val="1E9F5B8B"/>
    <w:rsid w:val="1EAD27E8"/>
    <w:rsid w:val="1EC35424"/>
    <w:rsid w:val="1ED462A6"/>
    <w:rsid w:val="1ED734FA"/>
    <w:rsid w:val="1EDB21B2"/>
    <w:rsid w:val="1EE21D29"/>
    <w:rsid w:val="1EE72005"/>
    <w:rsid w:val="1EFD1033"/>
    <w:rsid w:val="1F2B54B6"/>
    <w:rsid w:val="1F2F246F"/>
    <w:rsid w:val="1F3E1D5D"/>
    <w:rsid w:val="1F6E3177"/>
    <w:rsid w:val="1F6F04BA"/>
    <w:rsid w:val="1F8129BD"/>
    <w:rsid w:val="1FC84808"/>
    <w:rsid w:val="20027E74"/>
    <w:rsid w:val="2024650C"/>
    <w:rsid w:val="20450EE3"/>
    <w:rsid w:val="204663FA"/>
    <w:rsid w:val="20624FA2"/>
    <w:rsid w:val="206A1137"/>
    <w:rsid w:val="20835E3C"/>
    <w:rsid w:val="2084196D"/>
    <w:rsid w:val="20AA1825"/>
    <w:rsid w:val="20BB1EB1"/>
    <w:rsid w:val="21144C23"/>
    <w:rsid w:val="212A75E7"/>
    <w:rsid w:val="214E67BA"/>
    <w:rsid w:val="21593740"/>
    <w:rsid w:val="215C6880"/>
    <w:rsid w:val="215E5736"/>
    <w:rsid w:val="2163612C"/>
    <w:rsid w:val="217039C6"/>
    <w:rsid w:val="21754AF5"/>
    <w:rsid w:val="217E7700"/>
    <w:rsid w:val="218158E0"/>
    <w:rsid w:val="218F0080"/>
    <w:rsid w:val="21BA53F5"/>
    <w:rsid w:val="21E169EA"/>
    <w:rsid w:val="21E5472C"/>
    <w:rsid w:val="220B781D"/>
    <w:rsid w:val="2220525E"/>
    <w:rsid w:val="2231758A"/>
    <w:rsid w:val="224449F5"/>
    <w:rsid w:val="225D16C1"/>
    <w:rsid w:val="2266010D"/>
    <w:rsid w:val="226E674C"/>
    <w:rsid w:val="226F619C"/>
    <w:rsid w:val="22712A0D"/>
    <w:rsid w:val="22734646"/>
    <w:rsid w:val="22B609EC"/>
    <w:rsid w:val="22C23296"/>
    <w:rsid w:val="22CF4727"/>
    <w:rsid w:val="22E35CB6"/>
    <w:rsid w:val="22EA1840"/>
    <w:rsid w:val="22F91025"/>
    <w:rsid w:val="231A5582"/>
    <w:rsid w:val="23280561"/>
    <w:rsid w:val="2330019D"/>
    <w:rsid w:val="233314C7"/>
    <w:rsid w:val="235E2799"/>
    <w:rsid w:val="23666663"/>
    <w:rsid w:val="23693289"/>
    <w:rsid w:val="23795972"/>
    <w:rsid w:val="239147E1"/>
    <w:rsid w:val="23BB34F7"/>
    <w:rsid w:val="23CB333E"/>
    <w:rsid w:val="23F91B39"/>
    <w:rsid w:val="242E5E97"/>
    <w:rsid w:val="243A5F83"/>
    <w:rsid w:val="244702BD"/>
    <w:rsid w:val="247E0687"/>
    <w:rsid w:val="24857B00"/>
    <w:rsid w:val="24A20628"/>
    <w:rsid w:val="24B45D14"/>
    <w:rsid w:val="24C90F76"/>
    <w:rsid w:val="24D557D5"/>
    <w:rsid w:val="24FE0E05"/>
    <w:rsid w:val="25025E1D"/>
    <w:rsid w:val="25171BA0"/>
    <w:rsid w:val="251B18C1"/>
    <w:rsid w:val="25222461"/>
    <w:rsid w:val="25501E67"/>
    <w:rsid w:val="25524FA6"/>
    <w:rsid w:val="25532EC3"/>
    <w:rsid w:val="25925077"/>
    <w:rsid w:val="25AF3989"/>
    <w:rsid w:val="25B24E51"/>
    <w:rsid w:val="25C73339"/>
    <w:rsid w:val="25C86149"/>
    <w:rsid w:val="25D62822"/>
    <w:rsid w:val="25F16B68"/>
    <w:rsid w:val="260663DB"/>
    <w:rsid w:val="262F0558"/>
    <w:rsid w:val="26546373"/>
    <w:rsid w:val="26841C6E"/>
    <w:rsid w:val="26934343"/>
    <w:rsid w:val="26B424FB"/>
    <w:rsid w:val="26B73D93"/>
    <w:rsid w:val="26E62133"/>
    <w:rsid w:val="277F68D2"/>
    <w:rsid w:val="27870FB2"/>
    <w:rsid w:val="278F0AAA"/>
    <w:rsid w:val="27B84345"/>
    <w:rsid w:val="27CB7A47"/>
    <w:rsid w:val="27CF31D6"/>
    <w:rsid w:val="27E53B63"/>
    <w:rsid w:val="27EC7E96"/>
    <w:rsid w:val="27F52A10"/>
    <w:rsid w:val="280E4470"/>
    <w:rsid w:val="283A36C6"/>
    <w:rsid w:val="283E405F"/>
    <w:rsid w:val="28D9203E"/>
    <w:rsid w:val="295B4620"/>
    <w:rsid w:val="295E1181"/>
    <w:rsid w:val="298330BD"/>
    <w:rsid w:val="29B00B02"/>
    <w:rsid w:val="29B661A7"/>
    <w:rsid w:val="29DB1483"/>
    <w:rsid w:val="29DC3277"/>
    <w:rsid w:val="29FA460F"/>
    <w:rsid w:val="2A057B9E"/>
    <w:rsid w:val="2A0B6D48"/>
    <w:rsid w:val="2A397DF9"/>
    <w:rsid w:val="2A4411C6"/>
    <w:rsid w:val="2A7C5019"/>
    <w:rsid w:val="2A8E3410"/>
    <w:rsid w:val="2A95425F"/>
    <w:rsid w:val="2ABE55CE"/>
    <w:rsid w:val="2AC017A8"/>
    <w:rsid w:val="2B127E2F"/>
    <w:rsid w:val="2B3677A4"/>
    <w:rsid w:val="2B620B9B"/>
    <w:rsid w:val="2B7F5D7B"/>
    <w:rsid w:val="2B830867"/>
    <w:rsid w:val="2B9073EB"/>
    <w:rsid w:val="2BAD682D"/>
    <w:rsid w:val="2BC41873"/>
    <w:rsid w:val="2BCC4267"/>
    <w:rsid w:val="2BEE5A9C"/>
    <w:rsid w:val="2C275720"/>
    <w:rsid w:val="2C3A7128"/>
    <w:rsid w:val="2C64232C"/>
    <w:rsid w:val="2C6B41B7"/>
    <w:rsid w:val="2CAF7AE9"/>
    <w:rsid w:val="2CB550EC"/>
    <w:rsid w:val="2CB90C8F"/>
    <w:rsid w:val="2CBB7012"/>
    <w:rsid w:val="2CDD6C94"/>
    <w:rsid w:val="2CF947D9"/>
    <w:rsid w:val="2CFA06CC"/>
    <w:rsid w:val="2D3F090C"/>
    <w:rsid w:val="2D473273"/>
    <w:rsid w:val="2D79041E"/>
    <w:rsid w:val="2D814A75"/>
    <w:rsid w:val="2D8167C0"/>
    <w:rsid w:val="2D9C1D44"/>
    <w:rsid w:val="2DAB174B"/>
    <w:rsid w:val="2DAC3053"/>
    <w:rsid w:val="2DB40F04"/>
    <w:rsid w:val="2DB55317"/>
    <w:rsid w:val="2DD04A2C"/>
    <w:rsid w:val="2E073EDF"/>
    <w:rsid w:val="2E1A2D69"/>
    <w:rsid w:val="2E1C2312"/>
    <w:rsid w:val="2E450C2F"/>
    <w:rsid w:val="2E617376"/>
    <w:rsid w:val="2E925B8D"/>
    <w:rsid w:val="2ED13170"/>
    <w:rsid w:val="2F011E82"/>
    <w:rsid w:val="2F415E64"/>
    <w:rsid w:val="2F60404A"/>
    <w:rsid w:val="2F6858EF"/>
    <w:rsid w:val="2F715851"/>
    <w:rsid w:val="2F7674B4"/>
    <w:rsid w:val="2FC51659"/>
    <w:rsid w:val="2FCB2DE8"/>
    <w:rsid w:val="30082C17"/>
    <w:rsid w:val="301A6B35"/>
    <w:rsid w:val="30385048"/>
    <w:rsid w:val="30400DE6"/>
    <w:rsid w:val="3046030C"/>
    <w:rsid w:val="30577166"/>
    <w:rsid w:val="307048B1"/>
    <w:rsid w:val="30A8450A"/>
    <w:rsid w:val="30B147B2"/>
    <w:rsid w:val="30FE64F4"/>
    <w:rsid w:val="310D00D7"/>
    <w:rsid w:val="311F12DD"/>
    <w:rsid w:val="314A5A0E"/>
    <w:rsid w:val="31673989"/>
    <w:rsid w:val="31682139"/>
    <w:rsid w:val="319957F6"/>
    <w:rsid w:val="31AD19D2"/>
    <w:rsid w:val="31C036D0"/>
    <w:rsid w:val="31C90302"/>
    <w:rsid w:val="31D953B1"/>
    <w:rsid w:val="31EC1741"/>
    <w:rsid w:val="31EF6CF0"/>
    <w:rsid w:val="31F7619B"/>
    <w:rsid w:val="321F0CAE"/>
    <w:rsid w:val="321F3505"/>
    <w:rsid w:val="322B0318"/>
    <w:rsid w:val="32494369"/>
    <w:rsid w:val="324C0B81"/>
    <w:rsid w:val="32507DBD"/>
    <w:rsid w:val="32517D1E"/>
    <w:rsid w:val="32586854"/>
    <w:rsid w:val="329B0438"/>
    <w:rsid w:val="32B261A3"/>
    <w:rsid w:val="32B53CA7"/>
    <w:rsid w:val="32B63AAA"/>
    <w:rsid w:val="32DC6B74"/>
    <w:rsid w:val="33091096"/>
    <w:rsid w:val="33232830"/>
    <w:rsid w:val="334023F0"/>
    <w:rsid w:val="3341533E"/>
    <w:rsid w:val="335D5C6D"/>
    <w:rsid w:val="33843CA1"/>
    <w:rsid w:val="33881ABE"/>
    <w:rsid w:val="33AF30E1"/>
    <w:rsid w:val="3443530F"/>
    <w:rsid w:val="344D764F"/>
    <w:rsid w:val="34690455"/>
    <w:rsid w:val="34886784"/>
    <w:rsid w:val="34A90E05"/>
    <w:rsid w:val="34AA1765"/>
    <w:rsid w:val="34AA6BD7"/>
    <w:rsid w:val="34D7618A"/>
    <w:rsid w:val="34FE589B"/>
    <w:rsid w:val="35246EC1"/>
    <w:rsid w:val="3529493E"/>
    <w:rsid w:val="35330B48"/>
    <w:rsid w:val="353B29E7"/>
    <w:rsid w:val="354E7EDA"/>
    <w:rsid w:val="355D4407"/>
    <w:rsid w:val="3562042D"/>
    <w:rsid w:val="35776DE5"/>
    <w:rsid w:val="35831E3A"/>
    <w:rsid w:val="35850AE6"/>
    <w:rsid w:val="35A74497"/>
    <w:rsid w:val="35A74E2B"/>
    <w:rsid w:val="35A94199"/>
    <w:rsid w:val="35B05630"/>
    <w:rsid w:val="35C33EC5"/>
    <w:rsid w:val="35C81BD5"/>
    <w:rsid w:val="35CF6801"/>
    <w:rsid w:val="35DE1818"/>
    <w:rsid w:val="35ED404E"/>
    <w:rsid w:val="36243C2B"/>
    <w:rsid w:val="363F2605"/>
    <w:rsid w:val="36475152"/>
    <w:rsid w:val="365674EF"/>
    <w:rsid w:val="366E5884"/>
    <w:rsid w:val="367134DE"/>
    <w:rsid w:val="367729D2"/>
    <w:rsid w:val="36787E34"/>
    <w:rsid w:val="3692435D"/>
    <w:rsid w:val="369E0EF6"/>
    <w:rsid w:val="36D16DB7"/>
    <w:rsid w:val="36F35ECC"/>
    <w:rsid w:val="36FC06E4"/>
    <w:rsid w:val="37092813"/>
    <w:rsid w:val="370B0055"/>
    <w:rsid w:val="373B5B82"/>
    <w:rsid w:val="374976F8"/>
    <w:rsid w:val="37533A9C"/>
    <w:rsid w:val="37821544"/>
    <w:rsid w:val="3787676D"/>
    <w:rsid w:val="37953793"/>
    <w:rsid w:val="37977E1F"/>
    <w:rsid w:val="37A53093"/>
    <w:rsid w:val="37E702EC"/>
    <w:rsid w:val="38727414"/>
    <w:rsid w:val="38AF4648"/>
    <w:rsid w:val="38B3392D"/>
    <w:rsid w:val="38B37C06"/>
    <w:rsid w:val="38CF5396"/>
    <w:rsid w:val="38E50A97"/>
    <w:rsid w:val="390A4620"/>
    <w:rsid w:val="391E370A"/>
    <w:rsid w:val="392F5095"/>
    <w:rsid w:val="393C7ED6"/>
    <w:rsid w:val="39465433"/>
    <w:rsid w:val="39581B4E"/>
    <w:rsid w:val="395B6912"/>
    <w:rsid w:val="395D29A2"/>
    <w:rsid w:val="396271DB"/>
    <w:rsid w:val="39A56F77"/>
    <w:rsid w:val="39BE4A11"/>
    <w:rsid w:val="3A27520A"/>
    <w:rsid w:val="3A3F6C87"/>
    <w:rsid w:val="3A40527C"/>
    <w:rsid w:val="3A465FD4"/>
    <w:rsid w:val="3A956A72"/>
    <w:rsid w:val="3AD70862"/>
    <w:rsid w:val="3AE76311"/>
    <w:rsid w:val="3AF4740A"/>
    <w:rsid w:val="3B1109C9"/>
    <w:rsid w:val="3B2552D7"/>
    <w:rsid w:val="3B3F7D03"/>
    <w:rsid w:val="3B714455"/>
    <w:rsid w:val="3B844B5E"/>
    <w:rsid w:val="3B970D6B"/>
    <w:rsid w:val="3BDD7DCA"/>
    <w:rsid w:val="3BE51125"/>
    <w:rsid w:val="3BE90506"/>
    <w:rsid w:val="3BEB6832"/>
    <w:rsid w:val="3BF178CC"/>
    <w:rsid w:val="3BFA2E9E"/>
    <w:rsid w:val="3C40766B"/>
    <w:rsid w:val="3C476B61"/>
    <w:rsid w:val="3C583A62"/>
    <w:rsid w:val="3C813EBD"/>
    <w:rsid w:val="3C92223A"/>
    <w:rsid w:val="3C925C0E"/>
    <w:rsid w:val="3CA24375"/>
    <w:rsid w:val="3CB702EA"/>
    <w:rsid w:val="3CBD35C8"/>
    <w:rsid w:val="3CC24029"/>
    <w:rsid w:val="3CCF0F73"/>
    <w:rsid w:val="3CE437F4"/>
    <w:rsid w:val="3D386985"/>
    <w:rsid w:val="3D3906B1"/>
    <w:rsid w:val="3D584E9B"/>
    <w:rsid w:val="3D880E45"/>
    <w:rsid w:val="3D9C69C1"/>
    <w:rsid w:val="3DA0424A"/>
    <w:rsid w:val="3DA419D7"/>
    <w:rsid w:val="3DB8289D"/>
    <w:rsid w:val="3DDA6370"/>
    <w:rsid w:val="3DDD2C1B"/>
    <w:rsid w:val="3DFF5060"/>
    <w:rsid w:val="3E136870"/>
    <w:rsid w:val="3E5D5F3B"/>
    <w:rsid w:val="3E615282"/>
    <w:rsid w:val="3E8429B9"/>
    <w:rsid w:val="3E886F46"/>
    <w:rsid w:val="3EBE7D18"/>
    <w:rsid w:val="3ECC547A"/>
    <w:rsid w:val="3EE01AD6"/>
    <w:rsid w:val="3F1A1718"/>
    <w:rsid w:val="3F2A2A20"/>
    <w:rsid w:val="3F4E5041"/>
    <w:rsid w:val="3F506818"/>
    <w:rsid w:val="3FE36C1C"/>
    <w:rsid w:val="3FEB19D5"/>
    <w:rsid w:val="3FF15ABF"/>
    <w:rsid w:val="40340044"/>
    <w:rsid w:val="404E6731"/>
    <w:rsid w:val="40661E5E"/>
    <w:rsid w:val="406E45AD"/>
    <w:rsid w:val="407C0CAD"/>
    <w:rsid w:val="40924D64"/>
    <w:rsid w:val="40963A57"/>
    <w:rsid w:val="40B652F6"/>
    <w:rsid w:val="40B947F9"/>
    <w:rsid w:val="40D16C5D"/>
    <w:rsid w:val="41016309"/>
    <w:rsid w:val="4105404B"/>
    <w:rsid w:val="410A3110"/>
    <w:rsid w:val="41310CA2"/>
    <w:rsid w:val="417E2272"/>
    <w:rsid w:val="41893506"/>
    <w:rsid w:val="419915A4"/>
    <w:rsid w:val="41A82FD1"/>
    <w:rsid w:val="41C35995"/>
    <w:rsid w:val="41CF7D38"/>
    <w:rsid w:val="41FC4A89"/>
    <w:rsid w:val="41FD742F"/>
    <w:rsid w:val="420F1D94"/>
    <w:rsid w:val="422C362E"/>
    <w:rsid w:val="423E5ED2"/>
    <w:rsid w:val="424441F1"/>
    <w:rsid w:val="425E0F00"/>
    <w:rsid w:val="426D5149"/>
    <w:rsid w:val="4277631F"/>
    <w:rsid w:val="427E3E3A"/>
    <w:rsid w:val="428917B7"/>
    <w:rsid w:val="42A73161"/>
    <w:rsid w:val="42B25AAB"/>
    <w:rsid w:val="42B93A3B"/>
    <w:rsid w:val="42D50618"/>
    <w:rsid w:val="42F1595A"/>
    <w:rsid w:val="42F45676"/>
    <w:rsid w:val="430B7DA4"/>
    <w:rsid w:val="430D4AC0"/>
    <w:rsid w:val="43121ED0"/>
    <w:rsid w:val="431E047F"/>
    <w:rsid w:val="431E65EF"/>
    <w:rsid w:val="43416FE9"/>
    <w:rsid w:val="435A4BBF"/>
    <w:rsid w:val="436A6565"/>
    <w:rsid w:val="437A019F"/>
    <w:rsid w:val="43891F34"/>
    <w:rsid w:val="43B21221"/>
    <w:rsid w:val="43C63987"/>
    <w:rsid w:val="43FB7AE7"/>
    <w:rsid w:val="4400649E"/>
    <w:rsid w:val="441426C6"/>
    <w:rsid w:val="441466E5"/>
    <w:rsid w:val="441E3A5B"/>
    <w:rsid w:val="4421734C"/>
    <w:rsid w:val="44437D45"/>
    <w:rsid w:val="44460A9F"/>
    <w:rsid w:val="4478624B"/>
    <w:rsid w:val="44906321"/>
    <w:rsid w:val="4493367B"/>
    <w:rsid w:val="44A72843"/>
    <w:rsid w:val="44AB74B4"/>
    <w:rsid w:val="44B2771E"/>
    <w:rsid w:val="44B8368E"/>
    <w:rsid w:val="452905F3"/>
    <w:rsid w:val="4531085A"/>
    <w:rsid w:val="456A35B3"/>
    <w:rsid w:val="457F1EF2"/>
    <w:rsid w:val="459E711B"/>
    <w:rsid w:val="45A45439"/>
    <w:rsid w:val="45B4675B"/>
    <w:rsid w:val="45CA7348"/>
    <w:rsid w:val="45CB72CE"/>
    <w:rsid w:val="461F4864"/>
    <w:rsid w:val="462B6DAB"/>
    <w:rsid w:val="46455F7A"/>
    <w:rsid w:val="468C0D6B"/>
    <w:rsid w:val="46977D08"/>
    <w:rsid w:val="469B5592"/>
    <w:rsid w:val="46A5400A"/>
    <w:rsid w:val="46C67C71"/>
    <w:rsid w:val="46DB6342"/>
    <w:rsid w:val="46F207EA"/>
    <w:rsid w:val="46F40267"/>
    <w:rsid w:val="46F87058"/>
    <w:rsid w:val="47283388"/>
    <w:rsid w:val="4750618B"/>
    <w:rsid w:val="477A20CD"/>
    <w:rsid w:val="47C35102"/>
    <w:rsid w:val="47C90408"/>
    <w:rsid w:val="47CA3491"/>
    <w:rsid w:val="47DE0285"/>
    <w:rsid w:val="47EA0372"/>
    <w:rsid w:val="47F77566"/>
    <w:rsid w:val="480D6AD1"/>
    <w:rsid w:val="48131737"/>
    <w:rsid w:val="481C1F20"/>
    <w:rsid w:val="482932B2"/>
    <w:rsid w:val="48353471"/>
    <w:rsid w:val="48452D6C"/>
    <w:rsid w:val="48490177"/>
    <w:rsid w:val="48547396"/>
    <w:rsid w:val="48734131"/>
    <w:rsid w:val="487B1A21"/>
    <w:rsid w:val="48801F0A"/>
    <w:rsid w:val="489C4879"/>
    <w:rsid w:val="489C7EA5"/>
    <w:rsid w:val="49276E58"/>
    <w:rsid w:val="494B4338"/>
    <w:rsid w:val="497C5511"/>
    <w:rsid w:val="49A779DD"/>
    <w:rsid w:val="49B20AE8"/>
    <w:rsid w:val="49B65DC9"/>
    <w:rsid w:val="49FF4E06"/>
    <w:rsid w:val="4A131AB1"/>
    <w:rsid w:val="4A200F8B"/>
    <w:rsid w:val="4A34760C"/>
    <w:rsid w:val="4A64259A"/>
    <w:rsid w:val="4AA4128B"/>
    <w:rsid w:val="4AA658AC"/>
    <w:rsid w:val="4AAA7028"/>
    <w:rsid w:val="4AD50D4A"/>
    <w:rsid w:val="4ADC75C4"/>
    <w:rsid w:val="4AF55130"/>
    <w:rsid w:val="4B2977E3"/>
    <w:rsid w:val="4B3A3263"/>
    <w:rsid w:val="4B404F96"/>
    <w:rsid w:val="4B4D6D80"/>
    <w:rsid w:val="4B5F395F"/>
    <w:rsid w:val="4B6C4CC7"/>
    <w:rsid w:val="4BB73A13"/>
    <w:rsid w:val="4BE22955"/>
    <w:rsid w:val="4C491FB6"/>
    <w:rsid w:val="4C60411D"/>
    <w:rsid w:val="4C673E0C"/>
    <w:rsid w:val="4C8E383F"/>
    <w:rsid w:val="4C9743B6"/>
    <w:rsid w:val="4CA56DBD"/>
    <w:rsid w:val="4CCD70EB"/>
    <w:rsid w:val="4CD15334"/>
    <w:rsid w:val="4CDC2AC2"/>
    <w:rsid w:val="4CEF194A"/>
    <w:rsid w:val="4D123D13"/>
    <w:rsid w:val="4D4473CA"/>
    <w:rsid w:val="4D45412E"/>
    <w:rsid w:val="4D594184"/>
    <w:rsid w:val="4D670A85"/>
    <w:rsid w:val="4D80617B"/>
    <w:rsid w:val="4D806473"/>
    <w:rsid w:val="4DB87F6B"/>
    <w:rsid w:val="4DC608A6"/>
    <w:rsid w:val="4DEC516B"/>
    <w:rsid w:val="4DF85FC0"/>
    <w:rsid w:val="4E1074C8"/>
    <w:rsid w:val="4E2B1D2E"/>
    <w:rsid w:val="4E527CB0"/>
    <w:rsid w:val="4E6F1EF6"/>
    <w:rsid w:val="4E7B029B"/>
    <w:rsid w:val="4E9C2A45"/>
    <w:rsid w:val="4EA03605"/>
    <w:rsid w:val="4ECB07EA"/>
    <w:rsid w:val="4EDA18B9"/>
    <w:rsid w:val="4F0403DF"/>
    <w:rsid w:val="4F216F20"/>
    <w:rsid w:val="4F486B2E"/>
    <w:rsid w:val="4F573543"/>
    <w:rsid w:val="4F6366D6"/>
    <w:rsid w:val="4F6D467A"/>
    <w:rsid w:val="4F6F04ED"/>
    <w:rsid w:val="4FA710E2"/>
    <w:rsid w:val="4FCB13E3"/>
    <w:rsid w:val="4FED507D"/>
    <w:rsid w:val="4FFB62E9"/>
    <w:rsid w:val="500D0826"/>
    <w:rsid w:val="501C4E89"/>
    <w:rsid w:val="502B325D"/>
    <w:rsid w:val="505D795E"/>
    <w:rsid w:val="50630959"/>
    <w:rsid w:val="50D37CC2"/>
    <w:rsid w:val="50DD3BA3"/>
    <w:rsid w:val="50E61CAB"/>
    <w:rsid w:val="50E8074E"/>
    <w:rsid w:val="5132754D"/>
    <w:rsid w:val="513564CC"/>
    <w:rsid w:val="514E3A09"/>
    <w:rsid w:val="517C3AF1"/>
    <w:rsid w:val="51915B3D"/>
    <w:rsid w:val="519F5121"/>
    <w:rsid w:val="5229273F"/>
    <w:rsid w:val="52547228"/>
    <w:rsid w:val="529432E6"/>
    <w:rsid w:val="52A8026E"/>
    <w:rsid w:val="52C56B9D"/>
    <w:rsid w:val="52E37F64"/>
    <w:rsid w:val="52EC7710"/>
    <w:rsid w:val="52F24D5C"/>
    <w:rsid w:val="532C197B"/>
    <w:rsid w:val="534C6115"/>
    <w:rsid w:val="53526154"/>
    <w:rsid w:val="53561F88"/>
    <w:rsid w:val="536B5C40"/>
    <w:rsid w:val="53A41C0C"/>
    <w:rsid w:val="53BC34C4"/>
    <w:rsid w:val="53CE29B7"/>
    <w:rsid w:val="53E93F16"/>
    <w:rsid w:val="53EE096F"/>
    <w:rsid w:val="53F04BF7"/>
    <w:rsid w:val="53F0606D"/>
    <w:rsid w:val="540337E7"/>
    <w:rsid w:val="54142032"/>
    <w:rsid w:val="54143B82"/>
    <w:rsid w:val="54451376"/>
    <w:rsid w:val="5445275B"/>
    <w:rsid w:val="54680986"/>
    <w:rsid w:val="54776BE8"/>
    <w:rsid w:val="547B2C44"/>
    <w:rsid w:val="547F7066"/>
    <w:rsid w:val="548C0083"/>
    <w:rsid w:val="54AB5420"/>
    <w:rsid w:val="54AE7C72"/>
    <w:rsid w:val="54BC10AE"/>
    <w:rsid w:val="54DE257B"/>
    <w:rsid w:val="54F82DE2"/>
    <w:rsid w:val="550146D2"/>
    <w:rsid w:val="55091415"/>
    <w:rsid w:val="55124B31"/>
    <w:rsid w:val="5533415E"/>
    <w:rsid w:val="553D5A1E"/>
    <w:rsid w:val="555B4C1C"/>
    <w:rsid w:val="55665E4B"/>
    <w:rsid w:val="557564F8"/>
    <w:rsid w:val="557C6AE7"/>
    <w:rsid w:val="55A0704C"/>
    <w:rsid w:val="55A923B9"/>
    <w:rsid w:val="55D37E92"/>
    <w:rsid w:val="55D70990"/>
    <w:rsid w:val="55DD38ED"/>
    <w:rsid w:val="55E72D6A"/>
    <w:rsid w:val="561A3EA2"/>
    <w:rsid w:val="56231E5E"/>
    <w:rsid w:val="56262642"/>
    <w:rsid w:val="56434C8D"/>
    <w:rsid w:val="56521689"/>
    <w:rsid w:val="568A68D9"/>
    <w:rsid w:val="56A438D4"/>
    <w:rsid w:val="56BA5C7F"/>
    <w:rsid w:val="56BD3534"/>
    <w:rsid w:val="56D50ABF"/>
    <w:rsid w:val="56EA1F97"/>
    <w:rsid w:val="57034731"/>
    <w:rsid w:val="570F0FFB"/>
    <w:rsid w:val="574E065D"/>
    <w:rsid w:val="575B7C13"/>
    <w:rsid w:val="576A0BB6"/>
    <w:rsid w:val="576E7E03"/>
    <w:rsid w:val="576F3950"/>
    <w:rsid w:val="578A5B09"/>
    <w:rsid w:val="579B0E0D"/>
    <w:rsid w:val="57AA49F3"/>
    <w:rsid w:val="57AA5D1A"/>
    <w:rsid w:val="57AD0DA8"/>
    <w:rsid w:val="57BE32DB"/>
    <w:rsid w:val="57D631F8"/>
    <w:rsid w:val="58082218"/>
    <w:rsid w:val="581028EA"/>
    <w:rsid w:val="58344161"/>
    <w:rsid w:val="585D0DF7"/>
    <w:rsid w:val="587316C8"/>
    <w:rsid w:val="58831FCD"/>
    <w:rsid w:val="589870FB"/>
    <w:rsid w:val="58AD641D"/>
    <w:rsid w:val="58B420E4"/>
    <w:rsid w:val="58F92391"/>
    <w:rsid w:val="59135C67"/>
    <w:rsid w:val="593C1329"/>
    <w:rsid w:val="595A34E9"/>
    <w:rsid w:val="595B7937"/>
    <w:rsid w:val="597C7365"/>
    <w:rsid w:val="597F7369"/>
    <w:rsid w:val="59997155"/>
    <w:rsid w:val="59A2414B"/>
    <w:rsid w:val="59ED3476"/>
    <w:rsid w:val="59FE08FA"/>
    <w:rsid w:val="5A060D86"/>
    <w:rsid w:val="5A886394"/>
    <w:rsid w:val="5A9F6060"/>
    <w:rsid w:val="5ACF7403"/>
    <w:rsid w:val="5B0F4E22"/>
    <w:rsid w:val="5B3C6463"/>
    <w:rsid w:val="5B46719F"/>
    <w:rsid w:val="5B5437AD"/>
    <w:rsid w:val="5B737DCF"/>
    <w:rsid w:val="5BA42A14"/>
    <w:rsid w:val="5BB47CCC"/>
    <w:rsid w:val="5BD05B9D"/>
    <w:rsid w:val="5BD343E6"/>
    <w:rsid w:val="5BD77F69"/>
    <w:rsid w:val="5BE00F61"/>
    <w:rsid w:val="5BFB5206"/>
    <w:rsid w:val="5CB61872"/>
    <w:rsid w:val="5CB65A64"/>
    <w:rsid w:val="5CD26BB3"/>
    <w:rsid w:val="5CEB063E"/>
    <w:rsid w:val="5D0B0214"/>
    <w:rsid w:val="5D1A0A42"/>
    <w:rsid w:val="5D4F1710"/>
    <w:rsid w:val="5D5F28DD"/>
    <w:rsid w:val="5D704C15"/>
    <w:rsid w:val="5D71045F"/>
    <w:rsid w:val="5D740167"/>
    <w:rsid w:val="5D7B7702"/>
    <w:rsid w:val="5DA55EAC"/>
    <w:rsid w:val="5DAC626B"/>
    <w:rsid w:val="5DB778E4"/>
    <w:rsid w:val="5DC133FE"/>
    <w:rsid w:val="5E146811"/>
    <w:rsid w:val="5E222CE7"/>
    <w:rsid w:val="5E257683"/>
    <w:rsid w:val="5E2A6A47"/>
    <w:rsid w:val="5E3F1622"/>
    <w:rsid w:val="5E3F1ED0"/>
    <w:rsid w:val="5E4A015A"/>
    <w:rsid w:val="5E4E1E2F"/>
    <w:rsid w:val="5E7E280E"/>
    <w:rsid w:val="5EA343F9"/>
    <w:rsid w:val="5EE34D8A"/>
    <w:rsid w:val="5EF332DD"/>
    <w:rsid w:val="5F164D5E"/>
    <w:rsid w:val="5F2D2E3D"/>
    <w:rsid w:val="5F417EF1"/>
    <w:rsid w:val="5F511649"/>
    <w:rsid w:val="5F741C71"/>
    <w:rsid w:val="5F884475"/>
    <w:rsid w:val="5F940261"/>
    <w:rsid w:val="5FAC17B4"/>
    <w:rsid w:val="5FBE713C"/>
    <w:rsid w:val="5FDA399F"/>
    <w:rsid w:val="5FFA79ED"/>
    <w:rsid w:val="60350249"/>
    <w:rsid w:val="603D79F1"/>
    <w:rsid w:val="606D0EF6"/>
    <w:rsid w:val="60806A99"/>
    <w:rsid w:val="60B442A8"/>
    <w:rsid w:val="60FD7810"/>
    <w:rsid w:val="61013040"/>
    <w:rsid w:val="61075284"/>
    <w:rsid w:val="610E310A"/>
    <w:rsid w:val="611C35B8"/>
    <w:rsid w:val="611D1C0E"/>
    <w:rsid w:val="614D09BF"/>
    <w:rsid w:val="617701F5"/>
    <w:rsid w:val="61826B9A"/>
    <w:rsid w:val="61A25580"/>
    <w:rsid w:val="61AE7556"/>
    <w:rsid w:val="61BA2A2C"/>
    <w:rsid w:val="61C55F7F"/>
    <w:rsid w:val="61CA3612"/>
    <w:rsid w:val="61D41854"/>
    <w:rsid w:val="61F46458"/>
    <w:rsid w:val="62282B27"/>
    <w:rsid w:val="623E360E"/>
    <w:rsid w:val="625A6442"/>
    <w:rsid w:val="62C31135"/>
    <w:rsid w:val="62C76106"/>
    <w:rsid w:val="62CC474C"/>
    <w:rsid w:val="62FF72FE"/>
    <w:rsid w:val="63491372"/>
    <w:rsid w:val="637B0B27"/>
    <w:rsid w:val="63874046"/>
    <w:rsid w:val="638B4892"/>
    <w:rsid w:val="639A766B"/>
    <w:rsid w:val="63A61BF3"/>
    <w:rsid w:val="63BB45AD"/>
    <w:rsid w:val="63C73E6D"/>
    <w:rsid w:val="63DD4529"/>
    <w:rsid w:val="63FC0611"/>
    <w:rsid w:val="64010633"/>
    <w:rsid w:val="641222ED"/>
    <w:rsid w:val="6425209E"/>
    <w:rsid w:val="642B5582"/>
    <w:rsid w:val="64326656"/>
    <w:rsid w:val="644878A5"/>
    <w:rsid w:val="64516BFF"/>
    <w:rsid w:val="64643953"/>
    <w:rsid w:val="647C5B23"/>
    <w:rsid w:val="64963CFA"/>
    <w:rsid w:val="649A62D1"/>
    <w:rsid w:val="64B31A3E"/>
    <w:rsid w:val="64BB7086"/>
    <w:rsid w:val="64C036C0"/>
    <w:rsid w:val="64DF720B"/>
    <w:rsid w:val="64FB2F8F"/>
    <w:rsid w:val="6502750F"/>
    <w:rsid w:val="655769D7"/>
    <w:rsid w:val="658C66C4"/>
    <w:rsid w:val="65B76CC0"/>
    <w:rsid w:val="65C86337"/>
    <w:rsid w:val="65DC6542"/>
    <w:rsid w:val="65FE3124"/>
    <w:rsid w:val="66407375"/>
    <w:rsid w:val="66475BEE"/>
    <w:rsid w:val="66921396"/>
    <w:rsid w:val="669A00A1"/>
    <w:rsid w:val="669A0A1D"/>
    <w:rsid w:val="66C77EC3"/>
    <w:rsid w:val="66CD32EE"/>
    <w:rsid w:val="66EF31C1"/>
    <w:rsid w:val="67286643"/>
    <w:rsid w:val="67340A1D"/>
    <w:rsid w:val="67415D12"/>
    <w:rsid w:val="674D37A6"/>
    <w:rsid w:val="674F0663"/>
    <w:rsid w:val="67645CC5"/>
    <w:rsid w:val="679D0438"/>
    <w:rsid w:val="679F14A6"/>
    <w:rsid w:val="67A7594A"/>
    <w:rsid w:val="67DA14DE"/>
    <w:rsid w:val="67F71CAA"/>
    <w:rsid w:val="6833136E"/>
    <w:rsid w:val="68374646"/>
    <w:rsid w:val="6851003F"/>
    <w:rsid w:val="68532F31"/>
    <w:rsid w:val="685D1197"/>
    <w:rsid w:val="685F2B0C"/>
    <w:rsid w:val="686A5890"/>
    <w:rsid w:val="686E4CA0"/>
    <w:rsid w:val="6870598D"/>
    <w:rsid w:val="68CD56D6"/>
    <w:rsid w:val="68CE0878"/>
    <w:rsid w:val="68DF3F07"/>
    <w:rsid w:val="68E14DD2"/>
    <w:rsid w:val="68FF17F8"/>
    <w:rsid w:val="691F6273"/>
    <w:rsid w:val="69316D4E"/>
    <w:rsid w:val="6938799E"/>
    <w:rsid w:val="697221B5"/>
    <w:rsid w:val="697A4875"/>
    <w:rsid w:val="69875626"/>
    <w:rsid w:val="69A773FE"/>
    <w:rsid w:val="69AC4EE2"/>
    <w:rsid w:val="69B15060"/>
    <w:rsid w:val="69B72806"/>
    <w:rsid w:val="69BB4E8B"/>
    <w:rsid w:val="69C21FC2"/>
    <w:rsid w:val="69CB7528"/>
    <w:rsid w:val="69CC031D"/>
    <w:rsid w:val="69CC0832"/>
    <w:rsid w:val="69CC5602"/>
    <w:rsid w:val="69DE1C53"/>
    <w:rsid w:val="69DF0F70"/>
    <w:rsid w:val="69F431E5"/>
    <w:rsid w:val="69FB05D9"/>
    <w:rsid w:val="6A21429B"/>
    <w:rsid w:val="6A2160EE"/>
    <w:rsid w:val="6A317FEC"/>
    <w:rsid w:val="6A395739"/>
    <w:rsid w:val="6A5D1615"/>
    <w:rsid w:val="6A6652AB"/>
    <w:rsid w:val="6A667351"/>
    <w:rsid w:val="6A690452"/>
    <w:rsid w:val="6AC36259"/>
    <w:rsid w:val="6AC86B5F"/>
    <w:rsid w:val="6AD5470C"/>
    <w:rsid w:val="6AF1512E"/>
    <w:rsid w:val="6B047BC0"/>
    <w:rsid w:val="6B372870"/>
    <w:rsid w:val="6B401962"/>
    <w:rsid w:val="6B4C78DC"/>
    <w:rsid w:val="6B623CC4"/>
    <w:rsid w:val="6B6D4BD4"/>
    <w:rsid w:val="6B736C65"/>
    <w:rsid w:val="6B884223"/>
    <w:rsid w:val="6BA37E39"/>
    <w:rsid w:val="6BAB5034"/>
    <w:rsid w:val="6BCC6A33"/>
    <w:rsid w:val="6BE94680"/>
    <w:rsid w:val="6C1648A2"/>
    <w:rsid w:val="6C2B5B56"/>
    <w:rsid w:val="6C405A24"/>
    <w:rsid w:val="6C4C1DDE"/>
    <w:rsid w:val="6C733663"/>
    <w:rsid w:val="6C7360A2"/>
    <w:rsid w:val="6C98271E"/>
    <w:rsid w:val="6CB357D4"/>
    <w:rsid w:val="6CB73B9C"/>
    <w:rsid w:val="6CD6095A"/>
    <w:rsid w:val="6CED0DFC"/>
    <w:rsid w:val="6D09664F"/>
    <w:rsid w:val="6D1A3ED2"/>
    <w:rsid w:val="6D1C5D45"/>
    <w:rsid w:val="6D2052F1"/>
    <w:rsid w:val="6D2A1AE4"/>
    <w:rsid w:val="6D2C0363"/>
    <w:rsid w:val="6D420584"/>
    <w:rsid w:val="6D4556BC"/>
    <w:rsid w:val="6D7C6B86"/>
    <w:rsid w:val="6D886D51"/>
    <w:rsid w:val="6D98425A"/>
    <w:rsid w:val="6D9C4CB2"/>
    <w:rsid w:val="6DAC52D8"/>
    <w:rsid w:val="6DCC4C0D"/>
    <w:rsid w:val="6DE52F24"/>
    <w:rsid w:val="6E0D5193"/>
    <w:rsid w:val="6E2B38B7"/>
    <w:rsid w:val="6E42100A"/>
    <w:rsid w:val="6E4341AC"/>
    <w:rsid w:val="6E647424"/>
    <w:rsid w:val="6E9D5BDB"/>
    <w:rsid w:val="6ED668E5"/>
    <w:rsid w:val="6F436F8F"/>
    <w:rsid w:val="6F4D5562"/>
    <w:rsid w:val="6F663712"/>
    <w:rsid w:val="6F69285A"/>
    <w:rsid w:val="6F6D69E8"/>
    <w:rsid w:val="6F7874E2"/>
    <w:rsid w:val="6F8B29B5"/>
    <w:rsid w:val="6F9B0752"/>
    <w:rsid w:val="6FD156E3"/>
    <w:rsid w:val="6FED75FB"/>
    <w:rsid w:val="6FF11ABB"/>
    <w:rsid w:val="6FFA27F6"/>
    <w:rsid w:val="70041560"/>
    <w:rsid w:val="702552C0"/>
    <w:rsid w:val="703467FC"/>
    <w:rsid w:val="7040732E"/>
    <w:rsid w:val="707123D3"/>
    <w:rsid w:val="7086364B"/>
    <w:rsid w:val="709A7A5C"/>
    <w:rsid w:val="70A42103"/>
    <w:rsid w:val="70C96594"/>
    <w:rsid w:val="70D6110F"/>
    <w:rsid w:val="70FA2DBF"/>
    <w:rsid w:val="710B27AB"/>
    <w:rsid w:val="712C6F85"/>
    <w:rsid w:val="712F2C7A"/>
    <w:rsid w:val="71320E55"/>
    <w:rsid w:val="71321C7C"/>
    <w:rsid w:val="71340B64"/>
    <w:rsid w:val="713C30E4"/>
    <w:rsid w:val="714D7437"/>
    <w:rsid w:val="71546F0E"/>
    <w:rsid w:val="7170146E"/>
    <w:rsid w:val="717268C8"/>
    <w:rsid w:val="71802D0E"/>
    <w:rsid w:val="71877C10"/>
    <w:rsid w:val="71895CF5"/>
    <w:rsid w:val="718F5890"/>
    <w:rsid w:val="719323BF"/>
    <w:rsid w:val="71BF5087"/>
    <w:rsid w:val="71C23C59"/>
    <w:rsid w:val="71C57971"/>
    <w:rsid w:val="71EA0570"/>
    <w:rsid w:val="71EC11CD"/>
    <w:rsid w:val="71EF3DD8"/>
    <w:rsid w:val="720506A4"/>
    <w:rsid w:val="721101F2"/>
    <w:rsid w:val="72111FA0"/>
    <w:rsid w:val="72143E26"/>
    <w:rsid w:val="722B6EAC"/>
    <w:rsid w:val="7235573F"/>
    <w:rsid w:val="723629FF"/>
    <w:rsid w:val="726C56B8"/>
    <w:rsid w:val="7288771C"/>
    <w:rsid w:val="728D4961"/>
    <w:rsid w:val="72911F34"/>
    <w:rsid w:val="729D380E"/>
    <w:rsid w:val="72A458E1"/>
    <w:rsid w:val="72CD1565"/>
    <w:rsid w:val="72CE592F"/>
    <w:rsid w:val="72F5541E"/>
    <w:rsid w:val="72F838AA"/>
    <w:rsid w:val="73134385"/>
    <w:rsid w:val="731726EC"/>
    <w:rsid w:val="73197AE0"/>
    <w:rsid w:val="73221860"/>
    <w:rsid w:val="73361EA0"/>
    <w:rsid w:val="7338174B"/>
    <w:rsid w:val="733A4EF6"/>
    <w:rsid w:val="733D0234"/>
    <w:rsid w:val="733E33D3"/>
    <w:rsid w:val="733F0360"/>
    <w:rsid w:val="73773239"/>
    <w:rsid w:val="73835DC4"/>
    <w:rsid w:val="73C761B5"/>
    <w:rsid w:val="73C97C37"/>
    <w:rsid w:val="73D872D7"/>
    <w:rsid w:val="73F956D4"/>
    <w:rsid w:val="73F97190"/>
    <w:rsid w:val="73FA14E3"/>
    <w:rsid w:val="740A7F35"/>
    <w:rsid w:val="742D4CA1"/>
    <w:rsid w:val="74336AF3"/>
    <w:rsid w:val="74613585"/>
    <w:rsid w:val="747D3462"/>
    <w:rsid w:val="74812030"/>
    <w:rsid w:val="74886161"/>
    <w:rsid w:val="74923E43"/>
    <w:rsid w:val="74A039B1"/>
    <w:rsid w:val="74E66F49"/>
    <w:rsid w:val="74EB245C"/>
    <w:rsid w:val="753C15BB"/>
    <w:rsid w:val="75585493"/>
    <w:rsid w:val="755E6626"/>
    <w:rsid w:val="75841DF5"/>
    <w:rsid w:val="758A071C"/>
    <w:rsid w:val="758C4CA2"/>
    <w:rsid w:val="75C45800"/>
    <w:rsid w:val="75D40046"/>
    <w:rsid w:val="75D96E3B"/>
    <w:rsid w:val="762F29E5"/>
    <w:rsid w:val="764374F1"/>
    <w:rsid w:val="76944E76"/>
    <w:rsid w:val="769A26CA"/>
    <w:rsid w:val="76AB3C70"/>
    <w:rsid w:val="76C34928"/>
    <w:rsid w:val="76D17FE1"/>
    <w:rsid w:val="76DF15B8"/>
    <w:rsid w:val="76FB601C"/>
    <w:rsid w:val="7708778F"/>
    <w:rsid w:val="770B7BD2"/>
    <w:rsid w:val="778364BE"/>
    <w:rsid w:val="7799548D"/>
    <w:rsid w:val="779E65C5"/>
    <w:rsid w:val="77B77D93"/>
    <w:rsid w:val="77ED1FBE"/>
    <w:rsid w:val="78023A5D"/>
    <w:rsid w:val="787764A6"/>
    <w:rsid w:val="78867CFB"/>
    <w:rsid w:val="78AE1EE3"/>
    <w:rsid w:val="78CE32F1"/>
    <w:rsid w:val="78CE3C30"/>
    <w:rsid w:val="78D06FA5"/>
    <w:rsid w:val="78F044C0"/>
    <w:rsid w:val="793D3D59"/>
    <w:rsid w:val="795F47C4"/>
    <w:rsid w:val="795F4B87"/>
    <w:rsid w:val="79633F2F"/>
    <w:rsid w:val="7964594B"/>
    <w:rsid w:val="797F5A41"/>
    <w:rsid w:val="799447B2"/>
    <w:rsid w:val="79993DEC"/>
    <w:rsid w:val="79CD1CC3"/>
    <w:rsid w:val="79D33A4B"/>
    <w:rsid w:val="79E02F00"/>
    <w:rsid w:val="79EA1578"/>
    <w:rsid w:val="79F9227E"/>
    <w:rsid w:val="7A03141B"/>
    <w:rsid w:val="7A2F68CB"/>
    <w:rsid w:val="7A532F6D"/>
    <w:rsid w:val="7A9E603E"/>
    <w:rsid w:val="7AA163B3"/>
    <w:rsid w:val="7AB01F3D"/>
    <w:rsid w:val="7ACE4950"/>
    <w:rsid w:val="7ADB04CF"/>
    <w:rsid w:val="7ADD1DF2"/>
    <w:rsid w:val="7AFE0D18"/>
    <w:rsid w:val="7B2A08CC"/>
    <w:rsid w:val="7B4909FD"/>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A503F5"/>
    <w:rsid w:val="7CB302CB"/>
    <w:rsid w:val="7CBB4389"/>
    <w:rsid w:val="7CCA1F6A"/>
    <w:rsid w:val="7CD349F7"/>
    <w:rsid w:val="7D133070"/>
    <w:rsid w:val="7D1948FD"/>
    <w:rsid w:val="7D2C6F9F"/>
    <w:rsid w:val="7D543264"/>
    <w:rsid w:val="7D5B2CA1"/>
    <w:rsid w:val="7D6D7156"/>
    <w:rsid w:val="7D7115AD"/>
    <w:rsid w:val="7DA168CE"/>
    <w:rsid w:val="7DAE4568"/>
    <w:rsid w:val="7DC85A4E"/>
    <w:rsid w:val="7DF033B2"/>
    <w:rsid w:val="7DF11E99"/>
    <w:rsid w:val="7DF550BA"/>
    <w:rsid w:val="7E0B01EB"/>
    <w:rsid w:val="7E531FFF"/>
    <w:rsid w:val="7E5E764B"/>
    <w:rsid w:val="7E617E0B"/>
    <w:rsid w:val="7EA44BEF"/>
    <w:rsid w:val="7ECB55B8"/>
    <w:rsid w:val="7EE626A2"/>
    <w:rsid w:val="7EEC63E7"/>
    <w:rsid w:val="7EF54C4F"/>
    <w:rsid w:val="7EFB3937"/>
    <w:rsid w:val="7F020EC4"/>
    <w:rsid w:val="7F1E0F62"/>
    <w:rsid w:val="7F1F3426"/>
    <w:rsid w:val="7F381A2F"/>
    <w:rsid w:val="7F5957B0"/>
    <w:rsid w:val="7F6F2116"/>
    <w:rsid w:val="7F9846AE"/>
    <w:rsid w:val="7F9962DF"/>
    <w:rsid w:val="7F9A7F46"/>
    <w:rsid w:val="7FAD0277"/>
    <w:rsid w:val="7FBD28C5"/>
    <w:rsid w:val="7FC16C32"/>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7"/>
    <w:semiHidden/>
    <w:unhideWhenUsed/>
    <w:qFormat/>
    <w:uiPriority w:val="0"/>
    <w:pPr>
      <w:keepNext/>
      <w:keepLines/>
      <w:tabs>
        <w:tab w:val="left" w:pos="8280"/>
      </w:tabs>
      <w:spacing w:before="260" w:after="260" w:line="416" w:lineRule="auto"/>
      <w:outlineLvl w:val="2"/>
    </w:pPr>
    <w:rPr>
      <w:bCs/>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exact"/>
    </w:pPr>
    <w:rPr>
      <w:sz w:val="24"/>
    </w:rPr>
  </w:style>
  <w:style w:type="paragraph" w:customStyle="1" w:styleId="3">
    <w:name w:val="目录 44"/>
    <w:next w:val="1"/>
    <w:qFormat/>
    <w:uiPriority w:val="0"/>
    <w:pPr>
      <w:wordWrap w:val="0"/>
      <w:ind w:left="850"/>
      <w:jc w:val="both"/>
    </w:pPr>
    <w:rPr>
      <w:rFonts w:ascii="Calibri" w:hAnsi="Calibri" w:eastAsia="宋体" w:cs="Times New Roman"/>
      <w:sz w:val="21"/>
      <w:lang w:val="en-US" w:eastAsia="zh-CN" w:bidi="ar-SA"/>
    </w:rPr>
  </w:style>
  <w:style w:type="paragraph" w:styleId="7">
    <w:name w:val="Normal Indent"/>
    <w:basedOn w:val="1"/>
    <w:qFormat/>
    <w:uiPriority w:val="0"/>
    <w:pPr>
      <w:ind w:firstLine="420"/>
    </w:pPr>
    <w:rPr>
      <w:szCs w:val="20"/>
    </w:rPr>
  </w:style>
  <w:style w:type="paragraph" w:styleId="8">
    <w:name w:val="List Number"/>
    <w:basedOn w:val="1"/>
    <w:qFormat/>
    <w:uiPriority w:val="0"/>
    <w:pPr>
      <w:numPr>
        <w:ilvl w:val="0"/>
        <w:numId w:val="2"/>
      </w:numPr>
    </w:pPr>
  </w:style>
  <w:style w:type="paragraph" w:styleId="9">
    <w:name w:val="List Bullet"/>
    <w:basedOn w:val="1"/>
    <w:next w:val="1"/>
    <w:qFormat/>
    <w:uiPriority w:val="0"/>
    <w:pPr>
      <w:numPr>
        <w:ilvl w:val="0"/>
        <w:numId w:val="3"/>
      </w:numPr>
    </w:pPr>
  </w:style>
  <w:style w:type="paragraph" w:styleId="10">
    <w:name w:val="annotation text"/>
    <w:basedOn w:val="1"/>
    <w:link w:val="75"/>
    <w:qFormat/>
    <w:uiPriority w:val="0"/>
    <w:pPr>
      <w:jc w:val="left"/>
    </w:pPr>
  </w:style>
  <w:style w:type="paragraph" w:styleId="11">
    <w:name w:val="Body Text Indent"/>
    <w:basedOn w:val="1"/>
    <w:qFormat/>
    <w:uiPriority w:val="0"/>
    <w:pPr>
      <w:spacing w:after="120"/>
      <w:ind w:left="420" w:leftChars="200"/>
    </w:pPr>
  </w:style>
  <w:style w:type="paragraph" w:styleId="12">
    <w:name w:val="List Bullet 2"/>
    <w:basedOn w:val="1"/>
    <w:next w:val="9"/>
    <w:qFormat/>
    <w:uiPriority w:val="0"/>
    <w:pPr>
      <w:numPr>
        <w:ilvl w:val="0"/>
        <w:numId w:val="4"/>
      </w:numPr>
    </w:pPr>
  </w:style>
  <w:style w:type="paragraph" w:styleId="13">
    <w:name w:val="Plain Text"/>
    <w:basedOn w:val="1"/>
    <w:next w:val="7"/>
    <w:link w:val="67"/>
    <w:qFormat/>
    <w:uiPriority w:val="0"/>
    <w:rPr>
      <w:rFonts w:ascii="宋体" w:hAnsi="Courier New" w:cstheme="minorBidi"/>
    </w:rPr>
  </w:style>
  <w:style w:type="paragraph" w:styleId="14">
    <w:name w:val="Date"/>
    <w:basedOn w:val="1"/>
    <w:next w:val="1"/>
    <w:qFormat/>
    <w:uiPriority w:val="0"/>
    <w:pPr>
      <w:ind w:left="2500" w:leftChars="2500"/>
    </w:pPr>
    <w:rPr>
      <w:rFonts w:eastAsia="楷体_GB2312" w:asciiTheme="minorHAnsi" w:hAnsiTheme="minorHAnsi" w:cstheme="minorBidi"/>
      <w:sz w:val="32"/>
      <w:szCs w:val="22"/>
    </w:rPr>
  </w:style>
  <w:style w:type="paragraph" w:styleId="15">
    <w:name w:val="Balloon Text"/>
    <w:basedOn w:val="1"/>
    <w:link w:val="57"/>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9">
    <w:name w:val="toc 6"/>
    <w:basedOn w:val="1"/>
    <w:next w:val="1"/>
    <w:unhideWhenUsed/>
    <w:qFormat/>
    <w:uiPriority w:val="39"/>
    <w:pPr>
      <w:ind w:left="2100" w:leftChars="1000"/>
    </w:pPr>
    <w:rPr>
      <w:rFonts w:ascii="Calibri" w:hAnsi="Calibri"/>
    </w:rPr>
  </w:style>
  <w:style w:type="paragraph" w:styleId="20">
    <w:name w:val="toc 2"/>
    <w:basedOn w:val="1"/>
    <w:next w:val="1"/>
    <w:qFormat/>
    <w:uiPriority w:val="39"/>
    <w:pPr>
      <w:ind w:left="420" w:leftChars="200"/>
    </w:pPr>
  </w:style>
  <w:style w:type="paragraph" w:styleId="21">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2">
    <w:name w:val="Title"/>
    <w:basedOn w:val="1"/>
    <w:next w:val="1"/>
    <w:qFormat/>
    <w:uiPriority w:val="0"/>
    <w:pPr>
      <w:spacing w:before="240" w:after="60"/>
      <w:jc w:val="center"/>
      <w:outlineLvl w:val="0"/>
    </w:pPr>
    <w:rPr>
      <w:rFonts w:ascii="Cambria" w:hAnsi="Cambria"/>
      <w:b/>
      <w:bCs/>
      <w:kern w:val="0"/>
      <w:sz w:val="32"/>
      <w:szCs w:val="32"/>
    </w:rPr>
  </w:style>
  <w:style w:type="paragraph" w:styleId="23">
    <w:name w:val="annotation subject"/>
    <w:basedOn w:val="10"/>
    <w:next w:val="10"/>
    <w:link w:val="76"/>
    <w:qFormat/>
    <w:uiPriority w:val="0"/>
    <w:rPr>
      <w:b/>
      <w:bCs/>
    </w:rPr>
  </w:style>
  <w:style w:type="paragraph" w:styleId="24">
    <w:name w:val="Body Text First Indent"/>
    <w:basedOn w:val="2"/>
    <w:next w:val="19"/>
    <w:link w:val="77"/>
    <w:qFormat/>
    <w:uiPriority w:val="0"/>
    <w:pPr>
      <w:ind w:firstLine="200" w:firstLineChars="200"/>
    </w:pPr>
  </w:style>
  <w:style w:type="paragraph" w:styleId="25">
    <w:name w:val="Body Text First Indent 2"/>
    <w:basedOn w:val="11"/>
    <w:next w:val="1"/>
    <w:qFormat/>
    <w:uiPriority w:val="0"/>
    <w:pPr>
      <w:ind w:firstLine="420"/>
    </w:pPr>
  </w:style>
  <w:style w:type="table" w:styleId="27">
    <w:name w:val="Table Grid"/>
    <w:basedOn w:val="26"/>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9">
    <w:name w:val="Hyperlink"/>
    <w:qFormat/>
    <w:uiPriority w:val="0"/>
    <w:rPr>
      <w:color w:val="0000FF"/>
      <w:u w:val="single"/>
    </w:rPr>
  </w:style>
  <w:style w:type="character" w:styleId="30">
    <w:name w:val="annotation reference"/>
    <w:basedOn w:val="28"/>
    <w:qFormat/>
    <w:uiPriority w:val="0"/>
    <w:rPr>
      <w:sz w:val="21"/>
      <w:szCs w:val="21"/>
    </w:rPr>
  </w:style>
  <w:style w:type="paragraph" w:customStyle="1" w:styleId="31">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
    <w:name w:val="4、正文"/>
    <w:basedOn w:val="1"/>
    <w:qFormat/>
    <w:uiPriority w:val="0"/>
    <w:pPr>
      <w:ind w:firstLine="200" w:firstLineChars="200"/>
    </w:pPr>
    <w:rPr>
      <w:rFonts w:ascii="宋体"/>
      <w:sz w:val="24"/>
      <w:szCs w:val="28"/>
    </w:rPr>
  </w:style>
  <w:style w:type="paragraph" w:customStyle="1" w:styleId="33">
    <w:name w:val="表格文字"/>
    <w:basedOn w:val="1"/>
    <w:next w:val="2"/>
    <w:qFormat/>
    <w:uiPriority w:val="0"/>
    <w:pPr>
      <w:jc w:val="left"/>
      <w:textAlignment w:val="top"/>
    </w:pPr>
    <w:rPr>
      <w:sz w:val="18"/>
    </w:rPr>
  </w:style>
  <w:style w:type="paragraph" w:customStyle="1" w:styleId="34">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5">
    <w:name w:val="List Paragraph"/>
    <w:basedOn w:val="1"/>
    <w:qFormat/>
    <w:uiPriority w:val="0"/>
    <w:pPr>
      <w:ind w:firstLine="420" w:firstLineChars="200"/>
    </w:pPr>
    <w:rPr>
      <w:rFonts w:ascii="Calibri" w:hAnsi="Calibri"/>
      <w:szCs w:val="22"/>
    </w:rPr>
  </w:style>
  <w:style w:type="paragraph" w:customStyle="1" w:styleId="36">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7">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4"/>
    <w:qFormat/>
    <w:uiPriority w:val="0"/>
    <w:rPr>
      <w:rFonts w:ascii="Times New Roman" w:hAnsi="Times New Roman" w:eastAsia="宋体" w:cs="Times New Roman"/>
      <w:sz w:val="21"/>
      <w:szCs w:val="22"/>
      <w:lang w:val="en-US" w:eastAsia="zh-CN" w:bidi="ar-SA"/>
    </w:rPr>
  </w:style>
  <w:style w:type="paragraph" w:customStyle="1" w:styleId="4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纯文本_3"/>
    <w:basedOn w:val="43"/>
    <w:qFormat/>
    <w:uiPriority w:val="0"/>
    <w:pPr>
      <w:widowControl/>
      <w:jc w:val="left"/>
    </w:pPr>
    <w:rPr>
      <w:rFonts w:ascii="宋体" w:hAnsi="Courier New" w:eastAsiaTheme="minorEastAsia" w:cstheme="minorBidi"/>
      <w:szCs w:val="21"/>
    </w:rPr>
  </w:style>
  <w:style w:type="paragraph" w:customStyle="1" w:styleId="45">
    <w:name w:val="纯文本_0_1"/>
    <w:basedOn w:val="1"/>
    <w:qFormat/>
    <w:uiPriority w:val="0"/>
    <w:pPr>
      <w:widowControl/>
      <w:jc w:val="left"/>
    </w:pPr>
    <w:rPr>
      <w:rFonts w:ascii="宋体" w:hAnsi="Courier New" w:eastAsiaTheme="minorEastAsia" w:cstheme="minorBidi"/>
      <w:szCs w:val="21"/>
    </w:rPr>
  </w:style>
  <w:style w:type="paragraph" w:customStyle="1" w:styleId="4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
    <w:name w:val="font21"/>
    <w:basedOn w:val="28"/>
    <w:qFormat/>
    <w:uiPriority w:val="0"/>
    <w:rPr>
      <w:rFonts w:hint="default" w:ascii="Arial" w:hAnsi="Arial" w:cs="Arial"/>
      <w:color w:val="000000"/>
      <w:sz w:val="20"/>
      <w:szCs w:val="20"/>
      <w:u w:val="none"/>
    </w:rPr>
  </w:style>
  <w:style w:type="character" w:customStyle="1" w:styleId="51">
    <w:name w:val="font01"/>
    <w:basedOn w:val="28"/>
    <w:qFormat/>
    <w:uiPriority w:val="0"/>
    <w:rPr>
      <w:rFonts w:hint="eastAsia" w:ascii="宋体" w:hAnsi="宋体" w:eastAsia="宋体" w:cs="宋体"/>
      <w:color w:val="000000"/>
      <w:sz w:val="20"/>
      <w:szCs w:val="20"/>
      <w:u w:val="none"/>
    </w:rPr>
  </w:style>
  <w:style w:type="paragraph" w:customStyle="1" w:styleId="52">
    <w:name w:val="纯文本1"/>
    <w:basedOn w:val="53"/>
    <w:qFormat/>
    <w:uiPriority w:val="0"/>
    <w:pPr>
      <w:widowControl/>
      <w:jc w:val="left"/>
    </w:pPr>
    <w:rPr>
      <w:rFonts w:ascii="宋体" w:hAnsi="Courier New"/>
    </w:rPr>
  </w:style>
  <w:style w:type="paragraph" w:customStyle="1" w:styleId="53">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4">
    <w:name w:val="Table Paragraph"/>
    <w:basedOn w:val="1"/>
    <w:qFormat/>
    <w:uiPriority w:val="1"/>
    <w:rPr>
      <w:rFonts w:ascii="宋体" w:hAnsi="宋体" w:cs="宋体"/>
    </w:rPr>
  </w:style>
  <w:style w:type="paragraph" w:customStyle="1" w:styleId="55">
    <w:name w:val="WPSOffice手动目录 1"/>
    <w:qFormat/>
    <w:uiPriority w:val="0"/>
    <w:rPr>
      <w:rFonts w:ascii="Times New Roman" w:hAnsi="Times New Roman" w:eastAsia="宋体" w:cs="Times New Roman"/>
      <w:lang w:val="en-US" w:eastAsia="zh-CN" w:bidi="ar-SA"/>
    </w:rPr>
  </w:style>
  <w:style w:type="paragraph" w:customStyle="1" w:styleId="56">
    <w:name w:val="默认段落字体 Para Char Char Char Char Char Char Char Char Char1 Char Char Char Char"/>
    <w:basedOn w:val="1"/>
    <w:qFormat/>
    <w:uiPriority w:val="0"/>
    <w:rPr>
      <w:rFonts w:ascii="Tahoma" w:hAnsi="Tahoma"/>
      <w:sz w:val="24"/>
      <w:szCs w:val="20"/>
    </w:rPr>
  </w:style>
  <w:style w:type="character" w:customStyle="1" w:styleId="57">
    <w:name w:val="批注框文本 Char"/>
    <w:basedOn w:val="28"/>
    <w:link w:val="15"/>
    <w:qFormat/>
    <w:uiPriority w:val="0"/>
    <w:rPr>
      <w:kern w:val="2"/>
      <w:sz w:val="18"/>
      <w:szCs w:val="18"/>
    </w:rPr>
  </w:style>
  <w:style w:type="paragraph" w:customStyle="1" w:styleId="58">
    <w:name w:val="英文"/>
    <w:basedOn w:val="1"/>
    <w:link w:val="60"/>
    <w:qFormat/>
    <w:uiPriority w:val="0"/>
    <w:pPr>
      <w:adjustRightInd w:val="0"/>
      <w:snapToGrid w:val="0"/>
      <w:spacing w:line="360" w:lineRule="auto"/>
      <w:ind w:firstLine="480" w:firstLineChars="200"/>
    </w:pPr>
    <w:rPr>
      <w:rFonts w:ascii="Arial" w:hAnsi="Arial" w:cs="Arial"/>
      <w:sz w:val="24"/>
    </w:rPr>
  </w:style>
  <w:style w:type="paragraph" w:customStyle="1" w:styleId="59">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60">
    <w:name w:val="英文 Char"/>
    <w:link w:val="58"/>
    <w:qFormat/>
    <w:uiPriority w:val="0"/>
    <w:rPr>
      <w:rFonts w:ascii="Arial" w:hAnsi="Arial" w:cs="Arial"/>
      <w:sz w:val="24"/>
    </w:rPr>
  </w:style>
  <w:style w:type="paragraph" w:customStyle="1" w:styleId="61">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2">
    <w:name w:val="正文段落"/>
    <w:basedOn w:val="1"/>
    <w:qFormat/>
    <w:uiPriority w:val="0"/>
    <w:pPr>
      <w:spacing w:line="360" w:lineRule="auto"/>
      <w:ind w:firstLine="200" w:firstLineChars="200"/>
    </w:pPr>
    <w:rPr>
      <w:rFonts w:eastAsia="仿宋"/>
      <w:sz w:val="28"/>
    </w:rPr>
  </w:style>
  <w:style w:type="paragraph" w:customStyle="1" w:styleId="63">
    <w:name w:val="Normal Indent1"/>
    <w:basedOn w:val="1"/>
    <w:qFormat/>
    <w:uiPriority w:val="0"/>
    <w:pPr>
      <w:ind w:firstLine="420" w:firstLineChars="200"/>
    </w:pPr>
  </w:style>
  <w:style w:type="paragraph" w:customStyle="1" w:styleId="6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5">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66">
    <w:name w:val="列表段落1"/>
    <w:basedOn w:val="1"/>
    <w:qFormat/>
    <w:uiPriority w:val="0"/>
    <w:pPr>
      <w:ind w:firstLine="420" w:firstLineChars="200"/>
    </w:pPr>
  </w:style>
  <w:style w:type="character" w:customStyle="1" w:styleId="67">
    <w:name w:val="纯文本 Char"/>
    <w:link w:val="13"/>
    <w:qFormat/>
    <w:uiPriority w:val="0"/>
    <w:rPr>
      <w:rFonts w:ascii="宋体" w:hAnsi="Courier New" w:cstheme="minorBidi"/>
      <w:kern w:val="2"/>
      <w:sz w:val="21"/>
      <w:szCs w:val="24"/>
    </w:rPr>
  </w:style>
  <w:style w:type="character" w:customStyle="1" w:styleId="68">
    <w:name w:val="NormalCharacter"/>
    <w:qFormat/>
    <w:uiPriority w:val="0"/>
  </w:style>
  <w:style w:type="paragraph" w:customStyle="1" w:styleId="69">
    <w:name w:val="UserStyle_4"/>
    <w:basedOn w:val="1"/>
    <w:qFormat/>
    <w:uiPriority w:val="0"/>
    <w:pPr>
      <w:ind w:firstLine="420" w:firstLineChars="200"/>
    </w:pPr>
    <w:rPr>
      <w:sz w:val="24"/>
    </w:rPr>
  </w:style>
  <w:style w:type="paragraph" w:customStyle="1" w:styleId="70">
    <w:name w:val="HtmlNormal"/>
    <w:basedOn w:val="1"/>
    <w:qFormat/>
    <w:uiPriority w:val="0"/>
    <w:pPr>
      <w:spacing w:before="100" w:beforeAutospacing="1" w:after="100" w:afterAutospacing="1"/>
      <w:jc w:val="left"/>
    </w:pPr>
    <w:rPr>
      <w:rFonts w:ascii="宋体" w:hAnsi="宋体"/>
      <w:color w:val="000000"/>
      <w:kern w:val="0"/>
      <w:sz w:val="24"/>
      <w:szCs w:val="21"/>
    </w:rPr>
  </w:style>
  <w:style w:type="paragraph" w:customStyle="1" w:styleId="71">
    <w:name w:val="UserStyle_48"/>
    <w:basedOn w:val="1"/>
    <w:qFormat/>
    <w:uiPriority w:val="0"/>
    <w:pPr>
      <w:ind w:firstLine="420" w:firstLineChars="200"/>
    </w:pPr>
    <w:rPr>
      <w:szCs w:val="21"/>
    </w:rPr>
  </w:style>
  <w:style w:type="paragraph" w:customStyle="1" w:styleId="72">
    <w:name w:val="PlainText"/>
    <w:basedOn w:val="1"/>
    <w:qFormat/>
    <w:uiPriority w:val="0"/>
    <w:pPr>
      <w:spacing w:before="156" w:after="156" w:line="400" w:lineRule="atLeast"/>
    </w:pPr>
    <w:rPr>
      <w:rFonts w:ascii="宋体" w:hAnsi="Courier New"/>
      <w:sz w:val="24"/>
    </w:rPr>
  </w:style>
  <w:style w:type="paragraph" w:customStyle="1" w:styleId="73">
    <w:name w:val="UserStyle_29"/>
    <w:basedOn w:val="1"/>
    <w:qFormat/>
    <w:uiPriority w:val="0"/>
    <w:pPr>
      <w:ind w:firstLine="420" w:firstLineChars="200"/>
    </w:pPr>
    <w:rPr>
      <w:szCs w:val="22"/>
    </w:rPr>
  </w:style>
  <w:style w:type="table" w:customStyle="1" w:styleId="74">
    <w:name w:val="Table Normal"/>
    <w:unhideWhenUsed/>
    <w:qFormat/>
    <w:uiPriority w:val="0"/>
    <w:tblPr>
      <w:tblCellMar>
        <w:top w:w="0" w:type="dxa"/>
        <w:left w:w="0" w:type="dxa"/>
        <w:bottom w:w="0" w:type="dxa"/>
        <w:right w:w="0" w:type="dxa"/>
      </w:tblCellMar>
    </w:tblPr>
  </w:style>
  <w:style w:type="character" w:customStyle="1" w:styleId="75">
    <w:name w:val="批注文字 Char"/>
    <w:basedOn w:val="28"/>
    <w:link w:val="10"/>
    <w:qFormat/>
    <w:uiPriority w:val="0"/>
    <w:rPr>
      <w:kern w:val="2"/>
      <w:sz w:val="21"/>
      <w:szCs w:val="24"/>
    </w:rPr>
  </w:style>
  <w:style w:type="character" w:customStyle="1" w:styleId="76">
    <w:name w:val="批注主题 Char"/>
    <w:basedOn w:val="75"/>
    <w:link w:val="23"/>
    <w:qFormat/>
    <w:uiPriority w:val="0"/>
    <w:rPr>
      <w:b/>
      <w:bCs/>
      <w:kern w:val="2"/>
      <w:sz w:val="21"/>
      <w:szCs w:val="24"/>
    </w:rPr>
  </w:style>
  <w:style w:type="character" w:customStyle="1" w:styleId="77">
    <w:name w:val="正文首行缩进 Char"/>
    <w:basedOn w:val="28"/>
    <w:link w:val="24"/>
    <w:qFormat/>
    <w:uiPriority w:val="0"/>
    <w:rPr>
      <w:kern w:val="2"/>
      <w:sz w:val="24"/>
      <w:szCs w:val="24"/>
    </w:rPr>
  </w:style>
  <w:style w:type="paragraph" w:customStyle="1" w:styleId="78">
    <w:name w:val="_Style 3"/>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中国平安保险(集团)股份有限公司</Company>
  <Pages>49</Pages>
  <Words>3811</Words>
  <Characters>21729</Characters>
  <Lines>181</Lines>
  <Paragraphs>50</Paragraphs>
  <TotalTime>16</TotalTime>
  <ScaleCrop>false</ScaleCrop>
  <LinksUpToDate>false</LinksUpToDate>
  <CharactersWithSpaces>25490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2023-10-11T01:28:00Z</dcterms:created>
  <dc:creator>Thorpe521</dc:creator>
  <cp:lastModifiedBy>葛俊</cp:lastModifiedBy>
  <cp:lastPrinted>2023-09-06T06:59:00Z</cp:lastPrinted>
  <dcterms:modified xsi:type="dcterms:W3CDTF">2023-10-26T07:53:09Z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6B552987D4EB49D986CFB9B0F8DAAB68_13</vt:lpwstr>
  </property>
  <property fmtid="{D5CDD505-2E9C-101B-9397-08002B2CF9AE}" pid="4" name="commondata">
    <vt:lpwstr>eyJoZGlkIjoiZWM5NTczMTg4N2ExZWZmMDU0MmIxMDc2NTJiZjIxOTMifQ==</vt:lpwstr>
  </property>
</Properties>
</file>