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hAnsi="宋体" w:eastAsia="黑体"/>
          <w:b/>
          <w:sz w:val="44"/>
        </w:rPr>
      </w:pPr>
    </w:p>
    <w:p>
      <w:pPr>
        <w:spacing w:line="600" w:lineRule="exact"/>
        <w:jc w:val="center"/>
        <w:rPr>
          <w:rFonts w:hint="eastAsia" w:ascii="黑体" w:hAnsi="宋体" w:eastAsia="黑体"/>
          <w:b/>
          <w:sz w:val="44"/>
        </w:rPr>
      </w:pPr>
    </w:p>
    <w:p>
      <w:pPr>
        <w:spacing w:line="600" w:lineRule="exact"/>
        <w:jc w:val="center"/>
        <w:rPr>
          <w:rFonts w:ascii="宋体" w:hAnsi="宋体"/>
          <w:b/>
          <w:sz w:val="52"/>
          <w:szCs w:val="52"/>
        </w:rPr>
      </w:pPr>
      <w:r>
        <w:rPr>
          <w:rFonts w:hint="eastAsia" w:ascii="宋体" w:hAnsi="宋体"/>
          <w:b/>
          <w:sz w:val="52"/>
          <w:szCs w:val="52"/>
        </w:rPr>
        <w:t>招标文件</w:t>
      </w:r>
    </w:p>
    <w:p>
      <w:pPr>
        <w:spacing w:line="600" w:lineRule="exact"/>
        <w:jc w:val="center"/>
        <w:rPr>
          <w:rFonts w:hint="eastAsia" w:ascii="黑体" w:hAnsi="宋体" w:eastAsia="黑体"/>
          <w:b/>
          <w:sz w:val="52"/>
          <w:szCs w:val="52"/>
        </w:rPr>
      </w:pPr>
    </w:p>
    <w:p>
      <w:pPr>
        <w:jc w:val="center"/>
        <w:rPr>
          <w:rFonts w:hint="eastAsia" w:ascii="宋体" w:hAnsi="宋体"/>
          <w:sz w:val="44"/>
          <w:szCs w:val="20"/>
        </w:rPr>
      </w:pPr>
    </w:p>
    <w:p>
      <w:pPr>
        <w:spacing w:before="156" w:beforeLines="50"/>
        <w:jc w:val="center"/>
        <w:rPr>
          <w:rFonts w:ascii="宋体" w:hAnsi="宋体"/>
          <w:b/>
          <w:sz w:val="48"/>
          <w:szCs w:val="48"/>
        </w:rPr>
      </w:pPr>
    </w:p>
    <w:p>
      <w:pPr>
        <w:snapToGrid w:val="0"/>
        <w:spacing w:before="156" w:beforeLines="50" w:line="360" w:lineRule="auto"/>
        <w:rPr>
          <w:rFonts w:hint="eastAsia" w:ascii="宋体" w:hAnsi="宋体" w:eastAsia="宋体"/>
          <w:sz w:val="30"/>
          <w:szCs w:val="72"/>
          <w:lang w:eastAsia="zh-CN"/>
        </w:rPr>
      </w:pPr>
      <w:r>
        <w:rPr>
          <w:rFonts w:hint="eastAsia" w:ascii="宋体" w:hAnsi="宋体"/>
          <w:b/>
          <w:sz w:val="72"/>
          <w:szCs w:val="72"/>
        </w:rPr>
        <w:t xml:space="preserve">   </w:t>
      </w:r>
      <w:r>
        <w:rPr>
          <w:rFonts w:hint="eastAsia" w:ascii="宋体" w:hAnsi="宋体"/>
          <w:b/>
          <w:bCs/>
        </w:rPr>
        <w:t>项目编号</w:t>
      </w:r>
      <w:r>
        <w:rPr>
          <w:rFonts w:hint="eastAsia" w:ascii="宋体" w:hAnsi="宋体" w:eastAsia="宋体" w:cs="Times New Roman"/>
          <w:b/>
          <w:bCs/>
        </w:rPr>
        <w:t>：QBJ2023214</w:t>
      </w:r>
      <w:bookmarkStart w:id="6" w:name="_GoBack"/>
      <w:bookmarkEnd w:id="6"/>
    </w:p>
    <w:p>
      <w:pPr>
        <w:pStyle w:val="28"/>
        <w:tabs>
          <w:tab w:val="left" w:pos="1620"/>
        </w:tabs>
        <w:snapToGrid w:val="0"/>
        <w:ind w:firstLine="1175" w:firstLineChars="418"/>
        <w:rPr>
          <w:rFonts w:hint="eastAsia" w:hAnsi="宋体" w:eastAsia="宋体"/>
          <w:b/>
          <w:bCs/>
          <w:color w:val="0D0D0D"/>
          <w:sz w:val="28"/>
          <w:lang w:eastAsia="zh-CN"/>
        </w:rPr>
      </w:pPr>
      <w:r>
        <w:rPr>
          <w:rFonts w:hAnsi="宋体"/>
          <w:b/>
          <w:bCs/>
          <w:sz w:val="28"/>
        </w:rPr>
        <w:t>项目名称：</w:t>
      </w:r>
      <w:r>
        <w:rPr>
          <w:rFonts w:hint="eastAsia" w:hAnsi="宋体"/>
          <w:b/>
          <w:bCs/>
          <w:sz w:val="28"/>
          <w:lang w:eastAsia="zh-CN"/>
        </w:rPr>
        <w:t>台州湾新区初昕街（鲍浦大道-滨富东路）、启泰街（鲍浦大道-滨富东路）道路工程（普通硅酸盐水泥）</w:t>
      </w:r>
    </w:p>
    <w:p>
      <w:pPr>
        <w:pStyle w:val="28"/>
        <w:tabs>
          <w:tab w:val="left" w:pos="1620"/>
        </w:tabs>
        <w:snapToGrid w:val="0"/>
        <w:ind w:firstLine="1175" w:firstLineChars="418"/>
        <w:rPr>
          <w:rFonts w:hAnsi="宋体"/>
          <w:b/>
          <w:bCs/>
          <w:color w:val="0D0D0D"/>
          <w:sz w:val="28"/>
        </w:rPr>
      </w:pPr>
      <w:r>
        <w:rPr>
          <w:rFonts w:hAnsi="宋体"/>
          <w:b/>
          <w:bCs/>
          <w:color w:val="0D0D0D"/>
          <w:sz w:val="28"/>
        </w:rPr>
        <w:t>采购单位：</w:t>
      </w:r>
      <w:r>
        <w:rPr>
          <w:rFonts w:hint="eastAsia" w:hAnsi="宋体"/>
          <w:b/>
          <w:bCs/>
          <w:color w:val="0D0D0D"/>
          <w:sz w:val="28"/>
        </w:rPr>
        <w:t>台州东发建设投资有限公司</w:t>
      </w:r>
      <w:r>
        <w:rPr>
          <w:rFonts w:hAnsi="宋体"/>
          <w:b/>
          <w:bCs/>
          <w:color w:val="0D0D0D"/>
          <w:sz w:val="28"/>
        </w:rPr>
        <w:t>（盖章）</w:t>
      </w:r>
    </w:p>
    <w:p>
      <w:pPr>
        <w:pStyle w:val="28"/>
        <w:tabs>
          <w:tab w:val="left" w:pos="1620"/>
        </w:tabs>
        <w:snapToGrid w:val="0"/>
        <w:ind w:firstLine="1175" w:firstLineChars="418"/>
        <w:rPr>
          <w:rFonts w:hint="eastAsia" w:hAnsi="宋体"/>
          <w:b/>
          <w:bCs/>
          <w:color w:val="auto"/>
          <w:sz w:val="28"/>
          <w:highlight w:val="none"/>
          <w:lang w:val="en-US" w:eastAsia="zh-CN"/>
        </w:rPr>
      </w:pPr>
      <w:r>
        <w:rPr>
          <w:rFonts w:hAnsi="宋体"/>
          <w:b/>
          <w:bCs/>
          <w:color w:val="0D0D0D"/>
          <w:sz w:val="28"/>
        </w:rPr>
        <w:t>联 系 人：</w:t>
      </w:r>
      <w:r>
        <w:rPr>
          <w:rFonts w:hint="eastAsia" w:hAnsi="宋体"/>
          <w:b/>
          <w:bCs/>
          <w:color w:val="0D0D0D"/>
          <w:sz w:val="28"/>
          <w:lang w:val="en-US" w:eastAsia="zh-CN"/>
        </w:rPr>
        <w:t>朱女士</w:t>
      </w:r>
      <w:r>
        <w:rPr>
          <w:rFonts w:hAnsi="宋体"/>
          <w:b/>
          <w:bCs/>
          <w:color w:val="0D0D0D"/>
          <w:sz w:val="28"/>
        </w:rPr>
        <w:t xml:space="preserve">        联系电话：</w:t>
      </w:r>
      <w:r>
        <w:rPr>
          <w:rFonts w:hint="eastAsia" w:hAnsi="宋体"/>
          <w:b/>
          <w:bCs/>
          <w:color w:val="auto"/>
          <w:sz w:val="28"/>
          <w:highlight w:val="none"/>
        </w:rPr>
        <w:t>0576-8890</w:t>
      </w:r>
      <w:r>
        <w:rPr>
          <w:rFonts w:hint="eastAsia" w:hAnsi="宋体"/>
          <w:b/>
          <w:bCs/>
          <w:color w:val="auto"/>
          <w:sz w:val="28"/>
          <w:highlight w:val="none"/>
          <w:lang w:val="en-US" w:eastAsia="zh-CN"/>
        </w:rPr>
        <w:t>3253</w:t>
      </w:r>
    </w:p>
    <w:p>
      <w:pPr>
        <w:pStyle w:val="28"/>
        <w:tabs>
          <w:tab w:val="left" w:pos="1620"/>
        </w:tabs>
        <w:snapToGrid w:val="0"/>
        <w:ind w:firstLine="1175" w:firstLineChars="418"/>
        <w:rPr>
          <w:rFonts w:hAnsi="宋体"/>
          <w:b/>
          <w:bCs/>
          <w:color w:val="0D0D0D"/>
          <w:sz w:val="28"/>
        </w:rPr>
      </w:pPr>
      <w:r>
        <w:rPr>
          <w:rFonts w:hAnsi="宋体"/>
          <w:b/>
          <w:bCs/>
          <w:color w:val="0D0D0D"/>
          <w:sz w:val="28"/>
        </w:rPr>
        <w:t>代理机构：台州市建设咨询有限公司（盖章）</w:t>
      </w:r>
    </w:p>
    <w:p>
      <w:pPr>
        <w:pStyle w:val="28"/>
        <w:snapToGrid w:val="0"/>
        <w:spacing w:line="360" w:lineRule="auto"/>
        <w:ind w:firstLine="1105" w:firstLineChars="393"/>
        <w:rPr>
          <w:rFonts w:hint="default" w:hAnsi="宋体" w:eastAsia="宋体"/>
          <w:b/>
          <w:bCs/>
          <w:color w:val="0D0D0D"/>
          <w:sz w:val="30"/>
          <w:szCs w:val="30"/>
          <w:lang w:val="en-US" w:eastAsia="zh-CN"/>
        </w:rPr>
      </w:pPr>
      <w:r>
        <w:rPr>
          <w:rFonts w:hAnsi="宋体"/>
          <w:b/>
          <w:bCs/>
          <w:color w:val="0D0D0D"/>
          <w:sz w:val="28"/>
        </w:rPr>
        <w:t>代理项目负责人：</w:t>
      </w:r>
      <w:r>
        <w:rPr>
          <w:rFonts w:hint="eastAsia" w:hAnsi="宋体"/>
          <w:b/>
          <w:bCs/>
          <w:color w:val="0D0D0D"/>
          <w:sz w:val="28"/>
          <w:lang w:val="en-US" w:eastAsia="zh-CN"/>
        </w:rPr>
        <w:t xml:space="preserve">李灵芝、李洪林  </w:t>
      </w:r>
      <w:r>
        <w:rPr>
          <w:rFonts w:hAnsi="宋体"/>
          <w:b/>
          <w:bCs/>
          <w:color w:val="0D0D0D"/>
          <w:sz w:val="28"/>
        </w:rPr>
        <w:t xml:space="preserve"> 联系电话：0576-885177</w:t>
      </w:r>
      <w:r>
        <w:rPr>
          <w:rFonts w:hint="eastAsia" w:hAnsi="宋体"/>
          <w:b/>
          <w:bCs/>
          <w:color w:val="0D0D0D"/>
          <w:sz w:val="28"/>
          <w:lang w:val="en-US" w:eastAsia="zh-CN"/>
        </w:rPr>
        <w:t>83</w:t>
      </w: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snapToGrid w:val="0"/>
        <w:spacing w:before="156" w:beforeLines="50" w:line="360" w:lineRule="auto"/>
        <w:ind w:left="384" w:leftChars="1" w:hanging="381" w:hangingChars="133"/>
        <w:jc w:val="center"/>
        <w:rPr>
          <w:rFonts w:ascii="宋体" w:hAnsi="宋体"/>
          <w:b/>
          <w:bCs/>
          <w:color w:val="0D0D0D"/>
          <w:w w:val="95"/>
          <w:sz w:val="30"/>
          <w:szCs w:val="30"/>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rPr>
        <w:t>二〇二</w:t>
      </w:r>
      <w:r>
        <w:rPr>
          <w:rFonts w:hint="eastAsia" w:ascii="宋体" w:hAnsi="宋体"/>
          <w:b/>
          <w:bCs/>
          <w:color w:val="0D0D0D"/>
          <w:w w:val="95"/>
          <w:sz w:val="30"/>
          <w:szCs w:val="30"/>
          <w:lang w:val="en-US" w:eastAsia="zh-CN"/>
        </w:rPr>
        <w:t>三</w:t>
      </w:r>
      <w:r>
        <w:rPr>
          <w:rFonts w:hint="eastAsia" w:ascii="宋体" w:hAnsi="宋体"/>
          <w:b/>
          <w:bCs/>
          <w:color w:val="0D0D0D"/>
          <w:w w:val="95"/>
          <w:sz w:val="30"/>
          <w:szCs w:val="30"/>
        </w:rPr>
        <w:t>年</w:t>
      </w:r>
      <w:r>
        <w:rPr>
          <w:rFonts w:hint="eastAsia" w:ascii="宋体" w:hAnsi="宋体"/>
          <w:b/>
          <w:bCs/>
          <w:color w:val="0D0D0D"/>
          <w:w w:val="95"/>
          <w:sz w:val="30"/>
          <w:szCs w:val="30"/>
          <w:lang w:val="en-US" w:eastAsia="zh-CN"/>
        </w:rPr>
        <w:t>十一</w:t>
      </w:r>
      <w:r>
        <w:rPr>
          <w:rFonts w:hint="eastAsia" w:ascii="宋体" w:hAnsi="宋体"/>
          <w:b/>
          <w:bCs/>
          <w:color w:val="0D0D0D"/>
          <w:w w:val="95"/>
          <w:sz w:val="30"/>
          <w:szCs w:val="30"/>
        </w:rPr>
        <w:t xml:space="preserve">月 </w:t>
      </w:r>
    </w:p>
    <w:p>
      <w:pPr>
        <w:pStyle w:val="28"/>
        <w:spacing w:before="120" w:beforeLines="0" w:after="120" w:afterLines="0" w:line="360" w:lineRule="auto"/>
        <w:jc w:val="center"/>
        <w:rPr>
          <w:rFonts w:ascii="创艺简标宋" w:hAnsi="宋体" w:eastAsia="创艺简标宋"/>
          <w:color w:val="0D0D0D"/>
          <w:sz w:val="44"/>
          <w:szCs w:val="44"/>
        </w:rPr>
      </w:pPr>
      <w:r>
        <w:rPr>
          <w:rFonts w:ascii="创艺简标宋" w:hAnsi="宋体" w:eastAsia="创艺简标宋"/>
          <w:color w:val="0D0D0D"/>
          <w:sz w:val="44"/>
          <w:szCs w:val="44"/>
        </w:rPr>
        <w:t>目    录</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招标采购公告</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招标需求</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投标人须知</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评标办法及评分标准</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合同主要条款</w:t>
      </w:r>
    </w:p>
    <w:p>
      <w:pPr>
        <w:numPr>
          <w:ilvl w:val="0"/>
          <w:numId w:val="5"/>
        </w:numPr>
        <w:spacing w:before="120" w:beforeLines="50" w:line="480" w:lineRule="exact"/>
        <w:rPr>
          <w:rFonts w:hint="eastAsia" w:ascii="宋体" w:hAnsi="宋体"/>
          <w:color w:val="0D0D0D"/>
          <w:sz w:val="30"/>
        </w:rPr>
      </w:pPr>
      <w:r>
        <w:rPr>
          <w:rFonts w:hint="eastAsia" w:ascii="宋体" w:hAnsi="宋体"/>
          <w:color w:val="0D0D0D"/>
          <w:sz w:val="30"/>
        </w:rPr>
        <w:t>报价文件格式</w:t>
      </w:r>
    </w:p>
    <w:p>
      <w:pPr>
        <w:pStyle w:val="28"/>
        <w:snapToGrid w:val="0"/>
        <w:spacing w:before="120" w:after="120" w:line="240" w:lineRule="auto"/>
        <w:jc w:val="center"/>
        <w:outlineLvl w:val="0"/>
        <w:rPr>
          <w:rFonts w:ascii="黑体" w:hAnsi="宋体" w:eastAsia="黑体"/>
          <w:color w:val="0D0D0D"/>
          <w:sz w:val="30"/>
          <w:szCs w:val="30"/>
        </w:rPr>
      </w:pPr>
      <w:r>
        <w:rPr>
          <w:rFonts w:hAnsi="宋体"/>
          <w:color w:val="0D0D0D"/>
        </w:rPr>
        <w:br w:type="page"/>
      </w:r>
      <w:r>
        <w:rPr>
          <w:rFonts w:ascii="黑体" w:hAnsi="宋体" w:eastAsia="黑体"/>
          <w:color w:val="0D0D0D"/>
          <w:sz w:val="30"/>
          <w:szCs w:val="30"/>
        </w:rPr>
        <w:t xml:space="preserve">第一章  </w:t>
      </w:r>
      <w:r>
        <w:rPr>
          <w:rFonts w:hint="eastAsia" w:ascii="黑体" w:hAnsi="宋体" w:eastAsia="黑体"/>
          <w:color w:val="0D0D0D"/>
          <w:sz w:val="30"/>
          <w:szCs w:val="30"/>
        </w:rPr>
        <w:t>招标采购公告</w:t>
      </w:r>
    </w:p>
    <w:p>
      <w:pPr>
        <w:pStyle w:val="111"/>
        <w:widowControl w:val="0"/>
        <w:spacing w:afterLines="0" w:line="360" w:lineRule="auto"/>
        <w:ind w:firstLine="480"/>
        <w:rPr>
          <w:rFonts w:ascii="宋体" w:hAnsi="宋体"/>
          <w:color w:val="0D0D0D"/>
          <w:szCs w:val="24"/>
        </w:rPr>
      </w:pPr>
      <w:r>
        <w:rPr>
          <w:rFonts w:hint="eastAsia" w:ascii="宋体" w:hAnsi="宋体"/>
          <w:color w:val="0D0D0D"/>
          <w:szCs w:val="24"/>
        </w:rPr>
        <w:t>台州市建设咨询有限公司受台州东发建设投资有限公司委托，现就</w:t>
      </w:r>
      <w:r>
        <w:rPr>
          <w:rFonts w:hint="eastAsia" w:ascii="宋体" w:hAnsi="宋体"/>
          <w:b/>
          <w:bCs/>
          <w:color w:val="0D0D0D"/>
          <w:szCs w:val="24"/>
          <w:u w:val="single"/>
          <w:lang w:eastAsia="zh-CN"/>
        </w:rPr>
        <w:t>台州湾新区初昕街（鲍浦大道-滨富东路）、启泰街（鲍浦大道-滨富东路）道路工程（普通硅酸盐水泥）</w:t>
      </w:r>
      <w:r>
        <w:rPr>
          <w:rFonts w:hint="eastAsia" w:ascii="宋体" w:hAnsi="宋体"/>
          <w:color w:val="0D0D0D"/>
          <w:szCs w:val="24"/>
          <w:u w:val="single"/>
        </w:rPr>
        <w:t>进行公开招标。凡具备本项目投标资格要求且能够及时提供本项目服务的供应商均可参加。</w:t>
      </w:r>
    </w:p>
    <w:p>
      <w:pPr>
        <w:numPr>
          <w:ilvl w:val="0"/>
          <w:numId w:val="6"/>
        </w:numPr>
        <w:snapToGrid w:val="0"/>
        <w:spacing w:line="360" w:lineRule="auto"/>
        <w:ind w:firstLine="482" w:firstLineChars="200"/>
        <w:rPr>
          <w:rFonts w:hint="eastAsia" w:ascii="宋体" w:hAnsi="宋体" w:cs="Arial"/>
          <w:b/>
          <w:color w:val="0D0D0D"/>
          <w:sz w:val="24"/>
        </w:rPr>
      </w:pPr>
      <w:r>
        <w:rPr>
          <w:rFonts w:hint="eastAsia" w:ascii="宋体" w:hAnsi="宋体" w:cs="Arial"/>
          <w:b/>
          <w:color w:val="0D0D0D"/>
          <w:sz w:val="24"/>
        </w:rPr>
        <w:t>项目编号：QBJ2023214</w:t>
      </w:r>
    </w:p>
    <w:p>
      <w:pPr>
        <w:numPr>
          <w:ilvl w:val="0"/>
          <w:numId w:val="0"/>
        </w:numPr>
        <w:snapToGrid w:val="0"/>
        <w:spacing w:line="360" w:lineRule="auto"/>
        <w:ind w:firstLine="482" w:firstLineChars="200"/>
        <w:rPr>
          <w:rFonts w:hint="eastAsia" w:ascii="宋体" w:hAnsi="宋体" w:eastAsia="宋体" w:cs="Arial"/>
          <w:b/>
          <w:color w:val="0D0D0D"/>
          <w:sz w:val="24"/>
          <w:lang w:eastAsia="zh-CN"/>
        </w:rPr>
      </w:pPr>
      <w:r>
        <w:rPr>
          <w:rFonts w:hint="eastAsia" w:ascii="宋体" w:hAnsi="宋体" w:cs="Arial"/>
          <w:b/>
          <w:color w:val="auto"/>
          <w:sz w:val="24"/>
          <w:highlight w:val="none"/>
        </w:rPr>
        <w:t>二、采购方式：</w:t>
      </w:r>
      <w:r>
        <w:rPr>
          <w:rFonts w:hint="eastAsia" w:ascii="宋体" w:hAnsi="宋体" w:cs="Arial"/>
          <w:color w:val="auto"/>
          <w:sz w:val="24"/>
          <w:highlight w:val="none"/>
        </w:rPr>
        <w:t>公开招标</w:t>
      </w:r>
    </w:p>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三</w:t>
      </w:r>
      <w:r>
        <w:rPr>
          <w:rFonts w:hint="eastAsia" w:ascii="宋体" w:hAnsi="宋体" w:cs="Arial"/>
          <w:b/>
          <w:color w:val="0D0D0D"/>
          <w:sz w:val="24"/>
        </w:rPr>
        <w:t>、</w:t>
      </w:r>
      <w:r>
        <w:rPr>
          <w:rFonts w:hint="eastAsia" w:ascii="宋体" w:hAnsi="宋体" w:cs="Arial"/>
          <w:b/>
          <w:bCs/>
          <w:color w:val="0D0D0D"/>
          <w:sz w:val="24"/>
        </w:rPr>
        <w:t>采购内容及数量</w:t>
      </w:r>
    </w:p>
    <w:tbl>
      <w:tblPr>
        <w:tblStyle w:val="46"/>
        <w:tblW w:w="8892"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2542"/>
        <w:gridCol w:w="2919"/>
        <w:gridCol w:w="1134"/>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序号</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sz w:val="21"/>
                <w:szCs w:val="21"/>
                <w:highlight w:val="none"/>
                <w:lang w:val="en-US" w:eastAsia="zh-CN"/>
              </w:rPr>
            </w:pPr>
            <w:r>
              <w:rPr>
                <w:rFonts w:hint="eastAsia" w:ascii="宋体" w:hAnsi="宋体" w:cs="Arial"/>
                <w:bCs/>
                <w:color w:val="0C0C0C"/>
                <w:sz w:val="21"/>
                <w:szCs w:val="21"/>
                <w:highlight w:val="none"/>
              </w:rPr>
              <w:t>采购内容</w:t>
            </w:r>
          </w:p>
        </w:tc>
        <w:tc>
          <w:tcPr>
            <w:tcW w:w="29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i w:val="0"/>
                <w:color w:val="171A1D"/>
                <w:kern w:val="0"/>
                <w:sz w:val="21"/>
                <w:szCs w:val="21"/>
                <w:highlight w:val="none"/>
                <w:u w:val="none"/>
                <w:lang w:val="en-US" w:eastAsia="zh-CN" w:bidi="ar"/>
              </w:rPr>
            </w:pPr>
            <w:r>
              <w:rPr>
                <w:rFonts w:hint="eastAsia" w:ascii="宋体" w:hAnsi="宋体" w:cs="Arial"/>
                <w:bCs/>
                <w:color w:val="0C0C0C"/>
                <w:sz w:val="21"/>
                <w:szCs w:val="21"/>
                <w:highlight w:val="none"/>
              </w:rPr>
              <w:t>规格</w:t>
            </w:r>
            <w:r>
              <w:rPr>
                <w:rFonts w:hint="eastAsia" w:ascii="宋体" w:hAnsi="宋体" w:cs="Arial"/>
                <w:bCs/>
                <w:color w:val="0C0C0C"/>
                <w:sz w:val="21"/>
                <w:szCs w:val="21"/>
                <w:highlight w:val="none"/>
                <w:lang w:val="en-US" w:eastAsia="zh-CN"/>
              </w:rPr>
              <w:t>型号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Arial"/>
                <w:bCs/>
                <w:color w:val="0C0C0C"/>
                <w:sz w:val="21"/>
                <w:szCs w:val="21"/>
                <w:highlight w:val="none"/>
              </w:rPr>
              <w:t>单位及数量</w:t>
            </w:r>
            <w:r>
              <w:rPr>
                <w:rFonts w:hint="eastAsia" w:ascii="宋体" w:hAnsi="宋体" w:cs="Arial"/>
                <w:bCs/>
                <w:color w:val="0C0C0C"/>
                <w:sz w:val="21"/>
                <w:szCs w:val="21"/>
                <w:highlight w:val="none"/>
                <w:lang w:eastAsia="zh-CN"/>
              </w:rPr>
              <w:t>（</w:t>
            </w:r>
            <w:r>
              <w:rPr>
                <w:rFonts w:hint="eastAsia" w:ascii="宋体" w:hAnsi="宋体" w:cs="Arial"/>
                <w:bCs/>
                <w:color w:val="0C0C0C"/>
                <w:sz w:val="21"/>
                <w:szCs w:val="21"/>
                <w:highlight w:val="none"/>
                <w:lang w:val="en-US" w:eastAsia="zh-CN"/>
              </w:rPr>
              <w:t>吨</w:t>
            </w:r>
            <w:r>
              <w:rPr>
                <w:rFonts w:hint="eastAsia" w:ascii="宋体" w:hAnsi="宋体" w:cs="Arial"/>
                <w:bCs/>
                <w:color w:val="0C0C0C"/>
                <w:sz w:val="21"/>
                <w:szCs w:val="21"/>
                <w:highlight w:val="none"/>
                <w:lang w:eastAsia="zh-CN"/>
              </w:rPr>
              <w:t>）</w:t>
            </w:r>
          </w:p>
        </w:tc>
        <w:tc>
          <w:tcPr>
            <w:tcW w:w="1559"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lang w:val="en-US" w:eastAsia="zh-CN"/>
              </w:rPr>
            </w:pPr>
            <w:r>
              <w:rPr>
                <w:rFonts w:hint="eastAsia" w:ascii="宋体" w:hAnsi="宋体" w:eastAsia="宋体" w:cs="宋体"/>
                <w:i w:val="0"/>
                <w:color w:val="171A1D"/>
                <w:kern w:val="0"/>
                <w:sz w:val="21"/>
                <w:szCs w:val="21"/>
                <w:u w:val="none"/>
                <w:lang w:val="en-US" w:eastAsia="zh-CN" w:bidi="ar"/>
              </w:rPr>
              <w:t>1</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auto"/>
                <w:sz w:val="21"/>
                <w:szCs w:val="21"/>
                <w:highlight w:val="none"/>
                <w:lang w:val="en-US" w:eastAsia="zh-CN"/>
              </w:rPr>
            </w:pPr>
            <w:r>
              <w:rPr>
                <w:rFonts w:hint="eastAsia" w:ascii="宋体" w:hAnsi="宋体" w:eastAsia="宋体" w:cs="宋体"/>
                <w:i w:val="0"/>
                <w:color w:val="171A1D"/>
                <w:kern w:val="0"/>
                <w:sz w:val="21"/>
                <w:szCs w:val="21"/>
                <w:u w:val="none"/>
                <w:lang w:val="en-US" w:eastAsia="zh-CN" w:bidi="ar"/>
              </w:rPr>
              <w:t>普通硅酸</w:t>
            </w:r>
            <w:r>
              <w:rPr>
                <w:rFonts w:hint="eastAsia" w:ascii="宋体" w:hAnsi="宋体" w:eastAsia="宋体" w:cs="宋体"/>
                <w:i w:val="0"/>
                <w:color w:val="171A1D"/>
                <w:kern w:val="0"/>
                <w:sz w:val="21"/>
                <w:szCs w:val="21"/>
                <w:u w:val="none"/>
                <w:lang w:val="en-US" w:eastAsia="zh-CN" w:bidi="ar"/>
              </w:rPr>
              <w:br w:type="textWrapping"/>
            </w:r>
            <w:r>
              <w:rPr>
                <w:rFonts w:hint="eastAsia" w:ascii="宋体" w:hAnsi="宋体" w:eastAsia="宋体" w:cs="宋体"/>
                <w:i w:val="0"/>
                <w:color w:val="171A1D"/>
                <w:kern w:val="0"/>
                <w:sz w:val="21"/>
                <w:szCs w:val="21"/>
                <w:u w:val="none"/>
                <w:lang w:val="en-US" w:eastAsia="zh-CN" w:bidi="ar"/>
              </w:rPr>
              <w:t>盐水泥</w:t>
            </w:r>
          </w:p>
        </w:tc>
        <w:tc>
          <w:tcPr>
            <w:tcW w:w="2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PO 42.5袋装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559"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182805元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171A1D"/>
                <w:kern w:val="0"/>
                <w:sz w:val="21"/>
                <w:szCs w:val="21"/>
                <w:u w:val="none"/>
                <w:lang w:val="en-US" w:eastAsia="zh-CN" w:bidi="ar"/>
              </w:rPr>
            </w:pPr>
            <w:r>
              <w:rPr>
                <w:rFonts w:hint="eastAsia" w:ascii="宋体" w:hAnsi="宋体" w:eastAsia="宋体" w:cs="宋体"/>
                <w:i w:val="0"/>
                <w:color w:val="171A1D"/>
                <w:kern w:val="0"/>
                <w:sz w:val="21"/>
                <w:szCs w:val="21"/>
                <w:u w:val="none"/>
                <w:lang w:val="en-US" w:eastAsia="zh-CN" w:bidi="ar"/>
              </w:rPr>
              <w:t>2</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171A1D"/>
                <w:kern w:val="0"/>
                <w:sz w:val="21"/>
                <w:szCs w:val="21"/>
                <w:u w:val="none"/>
                <w:lang w:val="en-US" w:eastAsia="zh-CN" w:bidi="ar"/>
              </w:rPr>
            </w:pPr>
            <w:r>
              <w:rPr>
                <w:rFonts w:hint="eastAsia" w:ascii="宋体" w:hAnsi="宋体" w:eastAsia="宋体" w:cs="宋体"/>
                <w:i w:val="0"/>
                <w:color w:val="171A1D"/>
                <w:kern w:val="0"/>
                <w:sz w:val="21"/>
                <w:szCs w:val="21"/>
                <w:u w:val="none"/>
                <w:lang w:val="en-US" w:eastAsia="zh-CN" w:bidi="ar"/>
              </w:rPr>
              <w:t>普通硅酸</w:t>
            </w:r>
            <w:r>
              <w:rPr>
                <w:rFonts w:hint="eastAsia" w:ascii="宋体" w:hAnsi="宋体" w:eastAsia="宋体" w:cs="宋体"/>
                <w:i w:val="0"/>
                <w:color w:val="171A1D"/>
                <w:kern w:val="0"/>
                <w:sz w:val="21"/>
                <w:szCs w:val="21"/>
                <w:u w:val="none"/>
                <w:lang w:val="en-US" w:eastAsia="zh-CN" w:bidi="ar"/>
              </w:rPr>
              <w:br w:type="textWrapping"/>
            </w:r>
            <w:r>
              <w:rPr>
                <w:rFonts w:hint="eastAsia" w:ascii="宋体" w:hAnsi="宋体" w:eastAsia="宋体" w:cs="宋体"/>
                <w:i w:val="0"/>
                <w:color w:val="171A1D"/>
                <w:kern w:val="0"/>
                <w:sz w:val="21"/>
                <w:szCs w:val="21"/>
                <w:u w:val="none"/>
                <w:lang w:val="en-US" w:eastAsia="zh-CN" w:bidi="ar"/>
              </w:rPr>
              <w:t>盐水泥</w:t>
            </w:r>
          </w:p>
        </w:tc>
        <w:tc>
          <w:tcPr>
            <w:tcW w:w="2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PO 42.5散装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559"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p>
        </w:tc>
      </w:tr>
    </w:tbl>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四</w:t>
      </w:r>
      <w:r>
        <w:rPr>
          <w:rFonts w:hint="eastAsia" w:ascii="宋体" w:hAnsi="宋体" w:cs="Arial"/>
          <w:color w:val="0D0D0D"/>
          <w:sz w:val="24"/>
        </w:rPr>
        <w:t>、</w:t>
      </w:r>
      <w:r>
        <w:rPr>
          <w:rFonts w:hint="eastAsia" w:ascii="宋体" w:hAnsi="宋体" w:cs="Arial"/>
          <w:b/>
          <w:bCs/>
          <w:color w:val="0D0D0D"/>
          <w:sz w:val="24"/>
        </w:rPr>
        <w:t>合格投标人的资格要求</w:t>
      </w:r>
    </w:p>
    <w:p>
      <w:pPr>
        <w:snapToGrid w:val="0"/>
        <w:spacing w:line="360" w:lineRule="auto"/>
        <w:ind w:firstLine="542" w:firstLineChars="225"/>
        <w:rPr>
          <w:rFonts w:hint="eastAsia" w:ascii="宋体" w:hAnsi="宋体" w:eastAsia="宋体" w:cs="Arial"/>
          <w:color w:val="0D0D0D"/>
          <w:sz w:val="24"/>
          <w:lang w:eastAsia="zh-CN"/>
        </w:rPr>
      </w:pPr>
      <w:r>
        <w:rPr>
          <w:rFonts w:hint="eastAsia" w:ascii="宋体" w:hAnsi="宋体" w:cs="Arial"/>
          <w:b/>
          <w:color w:val="0D0D0D"/>
          <w:sz w:val="24"/>
        </w:rPr>
        <w:t>1、</w:t>
      </w:r>
      <w:r>
        <w:rPr>
          <w:rFonts w:hint="eastAsia" w:ascii="宋体" w:hAnsi="宋体" w:cs="Arial"/>
          <w:b/>
          <w:color w:val="0C0C0C"/>
          <w:sz w:val="24"/>
          <w:highlight w:val="none"/>
        </w:rPr>
        <w:t>具备提供</w:t>
      </w:r>
      <w:r>
        <w:rPr>
          <w:rFonts w:hint="eastAsia" w:ascii="宋体" w:hAnsi="宋体" w:cs="Arial"/>
          <w:b/>
          <w:color w:val="0C0C0C"/>
          <w:sz w:val="24"/>
          <w:highlight w:val="none"/>
          <w:lang w:val="en-US" w:eastAsia="zh-CN"/>
        </w:rPr>
        <w:t>本项目</w:t>
      </w:r>
      <w:r>
        <w:rPr>
          <w:rFonts w:hint="eastAsia" w:ascii="宋体" w:hAnsi="宋体" w:cs="Arial"/>
          <w:b/>
          <w:color w:val="0C0C0C"/>
          <w:sz w:val="24"/>
          <w:highlight w:val="none"/>
        </w:rPr>
        <w:t>材料供应能力的</w:t>
      </w:r>
      <w:r>
        <w:rPr>
          <w:rFonts w:hint="eastAsia" w:ascii="宋体" w:hAnsi="宋体" w:cs="Arial"/>
          <w:b/>
          <w:color w:val="0C0C0C"/>
          <w:sz w:val="24"/>
          <w:highlight w:val="none"/>
          <w:lang w:val="en-US" w:eastAsia="zh-CN"/>
        </w:rPr>
        <w:t>投标供应商</w:t>
      </w:r>
      <w:r>
        <w:rPr>
          <w:rFonts w:hint="eastAsia" w:ascii="宋体" w:hAnsi="宋体" w:cs="Arial"/>
          <w:b/>
          <w:color w:val="0C0C0C"/>
          <w:sz w:val="24"/>
          <w:highlight w:val="none"/>
          <w:lang w:eastAsia="zh-CN"/>
        </w:rPr>
        <w:t>；</w:t>
      </w:r>
    </w:p>
    <w:p>
      <w:pPr>
        <w:snapToGrid w:val="0"/>
        <w:spacing w:line="360" w:lineRule="auto"/>
        <w:ind w:firstLine="540" w:firstLineChars="225"/>
        <w:rPr>
          <w:rFonts w:hint="eastAsia" w:ascii="宋体" w:hAnsi="宋体" w:cs="Arial"/>
          <w:color w:val="0D0D0D"/>
          <w:sz w:val="24"/>
        </w:rPr>
      </w:pPr>
      <w:r>
        <w:rPr>
          <w:rFonts w:hint="eastAsia" w:ascii="宋体" w:hAnsi="宋体" w:cs="Arial"/>
          <w:color w:val="0D0D0D"/>
          <w:sz w:val="24"/>
        </w:rPr>
        <w:t>2、本项目不接受联合体投标。</w:t>
      </w:r>
    </w:p>
    <w:p>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rPr>
        <w:t>五、招标文件的获取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rPr>
        <w:t>本次招标文件的获取由各投标人自行到</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六、投标截止时间和地点</w:t>
      </w:r>
      <w:r>
        <w:rPr>
          <w:rFonts w:hint="eastAsia" w:ascii="宋体" w:hAnsi="宋体" w:cs="Arial"/>
          <w:color w:val="auto"/>
          <w:sz w:val="24"/>
          <w:highlight w:val="none"/>
        </w:rPr>
        <w:t>：</w:t>
      </w:r>
    </w:p>
    <w:p>
      <w:pPr>
        <w:spacing w:line="360" w:lineRule="auto"/>
        <w:ind w:firstLine="480" w:firstLineChars="200"/>
        <w:jc w:val="left"/>
        <w:rPr>
          <w:rFonts w:ascii="宋体" w:hAnsi="宋体" w:cs="宋体"/>
          <w:sz w:val="24"/>
        </w:rPr>
      </w:pPr>
      <w:bookmarkStart w:id="0" w:name="_Toc35393625"/>
      <w:bookmarkStart w:id="1" w:name="_Toc35393794"/>
      <w:bookmarkStart w:id="2" w:name="_Toc28359084"/>
      <w:bookmarkStart w:id="3" w:name="_Toc28359007"/>
      <w:r>
        <w:rPr>
          <w:rFonts w:hint="eastAsia" w:ascii="宋体" w:hAnsi="宋体" w:cs="宋体"/>
          <w:sz w:val="24"/>
        </w:rPr>
        <w:t>（一）截止时间（开标时间）</w:t>
      </w:r>
      <w:r>
        <w:rPr>
          <w:rFonts w:hint="eastAsia" w:ascii="宋体" w:hAnsi="宋体" w:cs="宋体"/>
          <w:sz w:val="24"/>
          <w:highlight w:val="none"/>
        </w:rPr>
        <w:t>：</w:t>
      </w:r>
      <w:r>
        <w:rPr>
          <w:rFonts w:hint="eastAsia" w:ascii="宋体" w:hAnsi="宋体" w:cs="宋体"/>
          <w:bCs/>
          <w:sz w:val="24"/>
          <w:highlight w:val="none"/>
          <w:u w:val="single"/>
        </w:rPr>
        <w:t>2023年</w:t>
      </w:r>
      <w:r>
        <w:rPr>
          <w:rFonts w:hint="eastAsia" w:ascii="宋体" w:hAnsi="宋体" w:cs="宋体"/>
          <w:sz w:val="24"/>
          <w:highlight w:val="none"/>
          <w:u w:val="single"/>
          <w:lang w:val="en-US" w:eastAsia="zh-CN"/>
        </w:rPr>
        <w:t>11</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22</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15</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00</w:t>
      </w:r>
      <w:r>
        <w:rPr>
          <w:rFonts w:hint="eastAsia" w:ascii="宋体" w:hAnsi="宋体" w:cs="宋体"/>
          <w:bCs/>
          <w:sz w:val="24"/>
          <w:highlight w:val="none"/>
          <w:u w:val="single"/>
        </w:rPr>
        <w:t>分</w:t>
      </w:r>
      <w:r>
        <w:rPr>
          <w:rFonts w:hint="eastAsia" w:ascii="宋体" w:hAnsi="宋体" w:cs="宋体"/>
          <w:sz w:val="24"/>
          <w:highlight w:val="none"/>
        </w:rPr>
        <w:t>（</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p>
    <w:bookmarkEnd w:id="0"/>
    <w:bookmarkEnd w:id="1"/>
    <w:bookmarkEnd w:id="2"/>
    <w:bookmarkEnd w:id="3"/>
    <w:p>
      <w:pPr>
        <w:tabs>
          <w:tab w:val="left" w:pos="8280"/>
        </w:tabs>
        <w:snapToGrid w:val="0"/>
        <w:spacing w:line="360" w:lineRule="auto"/>
        <w:rPr>
          <w:rFonts w:hint="eastAsia" w:ascii="宋体" w:hAnsi="宋体" w:eastAsia="宋体" w:cs="Arial"/>
          <w:b/>
          <w:bCs/>
          <w:color w:val="auto"/>
          <w:sz w:val="24"/>
          <w:szCs w:val="24"/>
          <w:highlight w:val="none"/>
        </w:rPr>
      </w:pPr>
      <w:r>
        <w:rPr>
          <w:rFonts w:hint="eastAsia" w:ascii="宋体" w:hAnsi="宋体" w:eastAsia="宋体" w:cs="Arial"/>
          <w:b/>
          <w:bCs/>
          <w:color w:val="auto"/>
          <w:sz w:val="24"/>
          <w:highlight w:val="none"/>
          <w:lang w:val="en-US" w:eastAsia="zh-CN"/>
        </w:rPr>
        <w:t>七</w:t>
      </w:r>
      <w:r>
        <w:rPr>
          <w:rFonts w:hint="eastAsia" w:ascii="宋体" w:hAnsi="宋体" w:eastAsia="宋体" w:cs="Arial"/>
          <w:b/>
          <w:bCs/>
          <w:color w:val="auto"/>
          <w:sz w:val="24"/>
          <w:highlight w:val="none"/>
        </w:rPr>
        <w:t>、</w:t>
      </w:r>
      <w:r>
        <w:rPr>
          <w:rFonts w:hint="eastAsia" w:ascii="宋体" w:hAnsi="宋体" w:eastAsia="宋体" w:cs="Arial"/>
          <w:b/>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napToGrid w:val="0"/>
        <w:spacing w:line="360" w:lineRule="auto"/>
        <w:ind w:firstLine="480" w:firstLineChars="200"/>
        <w:rPr>
          <w:rFonts w:hint="eastAsia" w:ascii="宋体" w:hAnsi="宋体" w:cs="Arial"/>
          <w:color w:val="auto"/>
          <w:sz w:val="24"/>
          <w:szCs w:val="20"/>
          <w:highlight w:val="none"/>
        </w:rPr>
      </w:pPr>
    </w:p>
    <w:p>
      <w:pPr>
        <w:snapToGrid w:val="0"/>
        <w:spacing w:line="360" w:lineRule="auto"/>
        <w:ind w:firstLine="482" w:firstLineChars="200"/>
        <w:rPr>
          <w:rFonts w:ascii="宋体" w:hAnsi="宋体" w:cs="Arial"/>
          <w:color w:val="auto"/>
          <w:sz w:val="24"/>
          <w:szCs w:val="20"/>
          <w:highlight w:val="none"/>
        </w:rPr>
      </w:pPr>
      <w:r>
        <w:rPr>
          <w:rFonts w:hint="eastAsia" w:ascii="宋体" w:hAnsi="宋体" w:cs="Arial"/>
          <w:b/>
          <w:bCs/>
          <w:color w:val="auto"/>
          <w:sz w:val="24"/>
          <w:highlight w:val="none"/>
        </w:rPr>
        <w:t>九、投标保证金</w:t>
      </w:r>
      <w:r>
        <w:rPr>
          <w:rFonts w:hint="eastAsia" w:ascii="宋体" w:hAnsi="宋体" w:cs="Arial"/>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1.投标保证金金额</w:t>
      </w:r>
      <w:r>
        <w:rPr>
          <w:rFonts w:hint="eastAsia" w:ascii="宋体" w:hAnsi="宋体" w:cs="宋体"/>
          <w:bCs/>
          <w:kern w:val="0"/>
          <w:sz w:val="24"/>
          <w:u w:val="single"/>
        </w:rPr>
        <w:t>：</w:t>
      </w:r>
      <w:r>
        <w:rPr>
          <w:rFonts w:hint="eastAsia" w:ascii="宋体" w:hAnsi="宋体" w:cs="宋体"/>
          <w:bCs/>
          <w:kern w:val="0"/>
          <w:sz w:val="24"/>
          <w:u w:val="single"/>
          <w:lang w:val="en-US" w:eastAsia="zh-CN"/>
        </w:rPr>
        <w:t>0.3万</w:t>
      </w:r>
      <w:r>
        <w:rPr>
          <w:rFonts w:hint="eastAsia" w:ascii="宋体" w:hAnsi="宋体" w:cs="宋体"/>
          <w:bCs/>
          <w:kern w:val="0"/>
          <w:sz w:val="24"/>
        </w:rPr>
        <w:t>元。</w:t>
      </w:r>
    </w:p>
    <w:p>
      <w:pPr>
        <w:pStyle w:val="45"/>
        <w:ind w:left="0" w:leftChars="0" w:firstLine="480"/>
        <w:jc w:val="left"/>
        <w:rPr>
          <w:rFonts w:hint="eastAsia" w:ascii="宋体" w:hAnsi="宋体" w:eastAsia="宋体" w:cs="宋体"/>
          <w:bCs/>
          <w:kern w:val="0"/>
          <w:sz w:val="24"/>
        </w:rPr>
      </w:pPr>
      <w:r>
        <w:rPr>
          <w:rFonts w:hint="eastAsia" w:ascii="宋体" w:hAnsi="宋体" w:eastAsia="宋体" w:cs="宋体"/>
          <w:bCs/>
          <w:kern w:val="0"/>
          <w:sz w:val="24"/>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u w:val="single"/>
          <w:lang w:eastAsia="zh-CN"/>
        </w:rPr>
      </w:pPr>
      <w:r>
        <w:rPr>
          <w:rFonts w:hint="eastAsia" w:ascii="宋体" w:hAnsi="宋体" w:cs="宋体"/>
          <w:bCs/>
          <w:kern w:val="0"/>
          <w:sz w:val="24"/>
        </w:rPr>
        <w:t>①工程保函的受益人</w:t>
      </w:r>
      <w:r>
        <w:rPr>
          <w:rFonts w:hint="eastAsia" w:ascii="宋体" w:hAnsi="宋体" w:eastAsia="宋体" w:cs="宋体"/>
          <w:bCs/>
          <w:kern w:val="0"/>
          <w:sz w:val="24"/>
          <w:u w:val="single"/>
        </w:rPr>
        <w:t>：</w:t>
      </w:r>
      <w:r>
        <w:rPr>
          <w:rFonts w:hint="eastAsia" w:ascii="宋体" w:hAnsi="宋体" w:eastAsia="宋体" w:cs="宋体"/>
          <w:bCs/>
          <w:kern w:val="0"/>
          <w:sz w:val="24"/>
          <w:u w:val="single"/>
          <w:lang w:eastAsia="zh-CN"/>
        </w:rPr>
        <w:t>台州东发建设投资有限公司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（1）若是投标人的法定代表人递交工程保函的，应持法定代表人身份证明原件（姓名须与全国建设市场监管与诚信信息发布平台查询的相一致），否则工程保函不予签收。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（2）若是投标人委托代理人递交工程保函的，应持针对本工程的法定代表人授权委托书原件（投标文件格式</w:t>
      </w:r>
      <w:r>
        <w:rPr>
          <w:rFonts w:hint="eastAsia" w:ascii="宋体" w:hAnsi="宋体" w:cs="宋体"/>
          <w:bCs/>
          <w:kern w:val="0"/>
          <w:sz w:val="24"/>
          <w:lang w:val="en-US" w:eastAsia="zh-CN"/>
        </w:rPr>
        <w:t>附件1</w:t>
      </w:r>
      <w:r>
        <w:rPr>
          <w:rFonts w:hint="eastAsia" w:ascii="宋体" w:hAnsi="宋体" w:cs="宋体"/>
          <w:bCs/>
          <w:kern w:val="0"/>
          <w:sz w:val="24"/>
        </w:rPr>
        <w:t>）及身份证原件，否则工程保函不予签收。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（3）递交工程保函时所要求提供的法定代表人授权委托书或法定代表人身份证明中的人员须与投标文件组成中提供的人员一致，若提供的不一致则以无效标处理。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提交地点：</w:t>
      </w:r>
      <w:r>
        <w:rPr>
          <w:rFonts w:hint="eastAsia" w:ascii="宋体" w:hAnsi="宋体" w:cs="宋体"/>
          <w:bCs/>
          <w:kern w:val="0"/>
          <w:sz w:val="24"/>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cs="宋体"/>
          <w:bCs/>
          <w:kern w:val="0"/>
          <w:sz w:val="24"/>
          <w:lang w:val="en-US"/>
        </w:rPr>
      </w:pPr>
      <w:r>
        <w:rPr>
          <w:rFonts w:hint="eastAsia" w:ascii="宋体" w:hAnsi="宋体" w:cs="宋体"/>
          <w:bCs/>
          <w:kern w:val="0"/>
          <w:sz w:val="24"/>
        </w:rPr>
        <w:t>提交时间：</w:t>
      </w:r>
      <w:r>
        <w:rPr>
          <w:rFonts w:ascii="宋体" w:hAnsi="宋体" w:cs="宋体"/>
          <w:bCs/>
          <w:kern w:val="0"/>
          <w:sz w:val="24"/>
          <w:u w:val="single"/>
        </w:rPr>
        <w:t>2023年</w:t>
      </w:r>
      <w:r>
        <w:rPr>
          <w:rFonts w:hint="eastAsia" w:ascii="宋体" w:hAnsi="宋体" w:cs="宋体"/>
          <w:bCs/>
          <w:kern w:val="0"/>
          <w:sz w:val="24"/>
          <w:u w:val="single"/>
          <w:lang w:val="en-US" w:eastAsia="zh-CN"/>
        </w:rPr>
        <w:t>11</w:t>
      </w:r>
      <w:r>
        <w:rPr>
          <w:rFonts w:ascii="宋体" w:hAnsi="宋体" w:cs="宋体"/>
          <w:bCs/>
          <w:kern w:val="0"/>
          <w:sz w:val="24"/>
          <w:u w:val="single"/>
        </w:rPr>
        <w:t>月</w:t>
      </w:r>
      <w:r>
        <w:rPr>
          <w:rFonts w:hint="eastAsia" w:ascii="宋体" w:hAnsi="宋体" w:cs="宋体"/>
          <w:bCs/>
          <w:kern w:val="0"/>
          <w:sz w:val="24"/>
          <w:u w:val="single"/>
          <w:lang w:val="en-US" w:eastAsia="zh-CN"/>
        </w:rPr>
        <w:t>22</w:t>
      </w:r>
      <w:r>
        <w:rPr>
          <w:rFonts w:ascii="宋体" w:hAnsi="宋体" w:cs="宋体"/>
          <w:bCs/>
          <w:kern w:val="0"/>
          <w:sz w:val="24"/>
          <w:u w:val="single"/>
        </w:rPr>
        <w:t>日</w:t>
      </w:r>
      <w:r>
        <w:rPr>
          <w:rFonts w:hint="eastAsia" w:ascii="宋体" w:hAnsi="宋体" w:cs="宋体"/>
          <w:bCs/>
          <w:kern w:val="0"/>
          <w:sz w:val="24"/>
          <w:u w:val="single"/>
          <w:lang w:val="en-US" w:eastAsia="zh-CN"/>
        </w:rPr>
        <w:t>14</w:t>
      </w:r>
      <w:r>
        <w:rPr>
          <w:rFonts w:ascii="宋体" w:hAnsi="宋体" w:cs="宋体"/>
          <w:bCs/>
          <w:kern w:val="0"/>
          <w:sz w:val="24"/>
          <w:u w:val="single"/>
        </w:rPr>
        <w:t>：</w:t>
      </w:r>
      <w:r>
        <w:rPr>
          <w:rFonts w:hint="eastAsia" w:ascii="宋体" w:hAnsi="宋体" w:cs="宋体"/>
          <w:bCs/>
          <w:kern w:val="0"/>
          <w:sz w:val="24"/>
          <w:u w:val="single"/>
          <w:lang w:val="en-US" w:eastAsia="zh-CN"/>
        </w:rPr>
        <w:t>30</w:t>
      </w:r>
      <w:r>
        <w:rPr>
          <w:rFonts w:hint="eastAsia" w:ascii="宋体" w:hAnsi="宋体" w:cs="宋体"/>
          <w:bCs/>
          <w:kern w:val="0"/>
          <w:sz w:val="24"/>
          <w:u w:val="single"/>
        </w:rPr>
        <w:t>-</w:t>
      </w:r>
      <w:r>
        <w:rPr>
          <w:rFonts w:hint="eastAsia" w:ascii="宋体" w:hAnsi="宋体" w:cs="宋体"/>
          <w:bCs/>
          <w:kern w:val="0"/>
          <w:sz w:val="24"/>
          <w:u w:val="single"/>
          <w:lang w:val="en-US" w:eastAsia="zh-CN"/>
        </w:rPr>
        <w:t>15</w:t>
      </w:r>
      <w:r>
        <w:rPr>
          <w:rFonts w:hint="eastAsia" w:ascii="宋体" w:hAnsi="宋体" w:cs="宋体"/>
          <w:bCs/>
          <w:kern w:val="0"/>
          <w:sz w:val="24"/>
          <w:u w:val="single"/>
        </w:rPr>
        <w:t>：</w:t>
      </w:r>
      <w:r>
        <w:rPr>
          <w:rFonts w:hint="eastAsia" w:ascii="宋体" w:hAnsi="宋体" w:cs="宋体"/>
          <w:bCs/>
          <w:kern w:val="0"/>
          <w:sz w:val="24"/>
          <w:u w:val="single"/>
          <w:lang w:val="en-US" w:eastAsia="zh-CN"/>
        </w:rPr>
        <w:t>00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w:t>
      </w:r>
      <w:r>
        <w:rPr>
          <w:rFonts w:hint="eastAsia" w:ascii="宋体" w:hAnsi="宋体" w:cs="宋体"/>
          <w:bCs/>
          <w:kern w:val="0"/>
          <w:sz w:val="24"/>
          <w:u w:val="single"/>
        </w:rPr>
        <w:t>台州市建设咨询有限公司</w:t>
      </w:r>
      <w:r>
        <w:rPr>
          <w:rFonts w:hint="eastAsia" w:ascii="宋体" w:hAnsi="宋体" w:cs="宋体"/>
          <w:bCs/>
          <w:kern w:val="0"/>
          <w:sz w:val="24"/>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接收人联系方式：</w:t>
      </w:r>
      <w:r>
        <w:rPr>
          <w:rFonts w:hint="eastAsia" w:ascii="宋体" w:hAnsi="宋体" w:cs="宋体"/>
          <w:bCs/>
          <w:kern w:val="0"/>
          <w:sz w:val="24"/>
          <w:u w:val="single"/>
        </w:rPr>
        <w:t>0576-</w:t>
      </w:r>
      <w:r>
        <w:rPr>
          <w:rFonts w:hint="eastAsia" w:ascii="宋体" w:hAnsi="宋体" w:cs="宋体"/>
          <w:bCs/>
          <w:kern w:val="0"/>
          <w:sz w:val="24"/>
          <w:u w:val="single"/>
          <w:lang w:val="en-US" w:eastAsia="zh-CN"/>
        </w:rPr>
        <w:t>88517783</w:t>
      </w:r>
      <w:r>
        <w:rPr>
          <w:rFonts w:ascii="宋体" w:hAnsi="宋体" w:cs="宋体"/>
          <w:bCs/>
          <w:kern w:val="0"/>
          <w:sz w:val="24"/>
          <w:u w:val="single"/>
        </w:rPr>
        <w:t xml:space="preserve">          </w:t>
      </w:r>
      <w:r>
        <w:rPr>
          <w:rFonts w:hint="eastAsia" w:ascii="宋体" w:hAnsi="宋体" w:cs="宋体"/>
          <w:bCs/>
          <w:kern w:val="0"/>
          <w:sz w:val="24"/>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rPr>
        <w:t>4、</w:t>
      </w:r>
      <w:r>
        <w:rPr>
          <w:rFonts w:hint="eastAsia" w:ascii="宋体" w:hAnsi="宋体" w:cs="宋体"/>
          <w:bCs/>
          <w:kern w:val="0"/>
          <w:sz w:val="24"/>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3</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u w:val="single"/>
          <w:lang w:val="en-US" w:eastAsia="zh-CN"/>
        </w:rPr>
        <w:t>11</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21日</w:t>
      </w:r>
      <w:r>
        <w:rPr>
          <w:rFonts w:hint="eastAsia" w:ascii="宋体" w:hAnsi="宋体" w:cs="宋体"/>
          <w:b/>
          <w:bCs/>
          <w:color w:val="000000"/>
          <w:kern w:val="0"/>
          <w:sz w:val="24"/>
          <w:highlight w:val="none"/>
        </w:rPr>
        <w:t>下午16点前</w:t>
      </w:r>
    </w:p>
    <w:p>
      <w:pPr>
        <w:snapToGrid w:val="0"/>
        <w:spacing w:line="336"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rPr>
        <w:t>十、</w:t>
      </w:r>
      <w:r>
        <w:rPr>
          <w:rFonts w:hint="eastAsia" w:ascii="宋体" w:hAnsi="宋体" w:cs="宋体"/>
          <w:b/>
          <w:bCs/>
          <w:color w:val="auto"/>
          <w:sz w:val="24"/>
          <w:highlight w:val="none"/>
        </w:rPr>
        <w:t>公告、公示媒体：</w:t>
      </w:r>
    </w:p>
    <w:p>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sz w:val="24"/>
          <w:lang w:eastAsia="zh-CN"/>
        </w:rPr>
        <w:t>、</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color w:val="auto"/>
          <w:sz w:val="24"/>
          <w:highlight w:val="none"/>
        </w:rPr>
        <w:t>。</w:t>
      </w:r>
    </w:p>
    <w:p>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rPr>
        <w:t>十一、联系方式：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采购</w:t>
      </w:r>
      <w:r>
        <w:rPr>
          <w:rFonts w:hint="eastAsia" w:ascii="宋体" w:hAnsi="宋体" w:cs="宋体"/>
          <w:color w:val="auto"/>
          <w:kern w:val="0"/>
          <w:sz w:val="24"/>
          <w:highlight w:val="none"/>
        </w:rPr>
        <w:t>单位：</w:t>
      </w:r>
      <w:r>
        <w:rPr>
          <w:rFonts w:hint="eastAsia" w:ascii="宋体" w:hAnsi="宋体" w:cs="宋体"/>
          <w:color w:val="auto"/>
          <w:kern w:val="0"/>
          <w:sz w:val="24"/>
          <w:highlight w:val="none"/>
          <w:u w:val="single"/>
        </w:rPr>
        <w:t>台州东发建设投资有限公司</w:t>
      </w:r>
      <w:r>
        <w:rPr>
          <w:rFonts w:hint="eastAsia" w:hAnsi="宋体" w:cs="宋体"/>
          <w:b/>
          <w:bCs/>
          <w:color w:val="auto"/>
          <w:highlight w:val="none"/>
          <w:u w:val="single"/>
        </w:rPr>
        <w:t xml:space="preserve">  </w:t>
      </w:r>
      <w:r>
        <w:rPr>
          <w:rFonts w:hint="eastAsia" w:hAnsi="宋体" w:cs="宋体"/>
          <w:b/>
          <w:bCs/>
          <w:color w:val="auto"/>
          <w:highlight w:val="none"/>
        </w:rPr>
        <w:t xml:space="preserve">   </w:t>
      </w:r>
    </w:p>
    <w:p>
      <w:pPr>
        <w:spacing w:line="336"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朱女士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rPr>
        <w:t>0576-88</w:t>
      </w:r>
      <w:r>
        <w:rPr>
          <w:rFonts w:hint="eastAsia" w:ascii="宋体" w:hAnsi="宋体" w:cs="宋体"/>
          <w:bCs/>
          <w:color w:val="auto"/>
          <w:sz w:val="24"/>
          <w:highlight w:val="none"/>
          <w:u w:val="single"/>
          <w:lang w:val="en-US" w:eastAsia="zh-CN"/>
        </w:rPr>
        <w:t>903253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sz w:val="24"/>
        </w:rPr>
        <w:t>（二）采购组织机构</w:t>
      </w:r>
    </w:p>
    <w:p>
      <w:pPr>
        <w:widowControl/>
        <w:spacing w:line="336"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李洪林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83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传  真：</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91</w:t>
      </w:r>
    </w:p>
    <w:p>
      <w:pPr>
        <w:spacing w:line="360" w:lineRule="auto"/>
        <w:ind w:firstLine="482" w:firstLineChars="200"/>
        <w:rPr>
          <w:rFonts w:hint="eastAsia" w:ascii="宋体" w:hAnsi="宋体" w:eastAsia="宋体" w:cs="宋体"/>
          <w:sz w:val="24"/>
          <w:u w:val="single"/>
          <w:lang w:val="en-US" w:eastAsia="zh-CN"/>
        </w:rPr>
      </w:pPr>
      <w:r>
        <w:rPr>
          <w:rFonts w:hint="eastAsia" w:ascii="宋体" w:hAnsi="宋体" w:cs="宋体"/>
          <w:b/>
          <w:sz w:val="24"/>
        </w:rPr>
        <w:t>（三）同级政府采购监管机构</w:t>
      </w:r>
    </w:p>
    <w:p>
      <w:pPr>
        <w:widowControl/>
        <w:spacing w:line="336" w:lineRule="auto"/>
        <w:ind w:firstLine="600" w:firstLineChars="250"/>
        <w:jc w:val="left"/>
        <w:rPr>
          <w:rFonts w:hint="eastAsia" w:ascii="宋体" w:hAnsi="宋体" w:cs="宋体"/>
          <w:color w:val="auto"/>
          <w:kern w:val="0"/>
          <w:sz w:val="24"/>
          <w:highlight w:val="none"/>
          <w:u w:val="single"/>
        </w:rPr>
      </w:pPr>
      <w:r>
        <w:rPr>
          <w:rFonts w:hint="eastAsia" w:ascii="宋体" w:hAnsi="宋体" w:cs="宋体"/>
          <w:sz w:val="24"/>
        </w:rPr>
        <w:t>名 称：</w:t>
      </w:r>
      <w:r>
        <w:rPr>
          <w:rFonts w:hint="eastAsia" w:ascii="宋体" w:hAnsi="宋体" w:eastAsia="宋体" w:cs="宋体"/>
          <w:sz w:val="24"/>
          <w:u w:val="single"/>
          <w:lang w:val="en-US" w:eastAsia="zh-CN"/>
        </w:rPr>
        <w:t>台州湾新区审计司法局</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w:t>
      </w:r>
      <w:r>
        <w:rPr>
          <w:rFonts w:hint="eastAsia" w:ascii="宋体" w:hAnsi="宋体" w:cs="宋体"/>
          <w:sz w:val="24"/>
          <w:u w:val="single"/>
        </w:rPr>
        <w:t>台州市甲南大道东段9号</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lang w:val="en-US" w:eastAsia="zh-CN"/>
        </w:rPr>
        <w:t>徐先生</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sz w:val="24"/>
          <w:u w:val="single"/>
        </w:rPr>
        <w:t>0576-</w:t>
      </w:r>
      <w:r>
        <w:rPr>
          <w:rFonts w:hint="eastAsia" w:ascii="宋体" w:hAnsi="宋体" w:cs="宋体"/>
          <w:sz w:val="24"/>
          <w:u w:val="single"/>
          <w:lang w:val="en-US" w:eastAsia="zh-CN"/>
        </w:rPr>
        <w:t>88538849</w:t>
      </w:r>
    </w:p>
    <w:p>
      <w:pPr>
        <w:pStyle w:val="124"/>
        <w:rPr>
          <w:rFonts w:hint="eastAsia" w:ascii="宋体" w:hAnsi="宋体" w:cs="宋体"/>
          <w:b/>
          <w:sz w:val="24"/>
        </w:rPr>
      </w:pPr>
      <w:r>
        <w:rPr>
          <w:rFonts w:hint="eastAsia" w:ascii="宋体" w:hAnsi="宋体" w:cs="宋体"/>
          <w:color w:val="auto"/>
          <w:sz w:val="24"/>
          <w:highlight w:val="none"/>
          <w:lang w:val="en-US" w:eastAsia="zh-CN"/>
        </w:rPr>
        <w:t xml:space="preserve">     </w:t>
      </w:r>
      <w:r>
        <w:rPr>
          <w:rFonts w:hint="eastAsia" w:ascii="宋体" w:hAnsi="宋体" w:cs="宋体"/>
          <w:b/>
          <w:sz w:val="24"/>
        </w:rPr>
        <w:t>（四）台州湾新区小额工程电子交易平台</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联系人：</w:t>
      </w:r>
      <w:r>
        <w:rPr>
          <w:rFonts w:hint="eastAsia" w:ascii="宋体" w:hAnsi="宋体" w:cs="宋体"/>
          <w:sz w:val="24"/>
          <w:u w:val="single"/>
          <w:lang w:val="en-US" w:eastAsia="zh-CN"/>
        </w:rPr>
        <w:t>蔡永正、王明月</w:t>
      </w:r>
    </w:p>
    <w:p>
      <w:pPr>
        <w:spacing w:line="360" w:lineRule="auto"/>
        <w:ind w:firstLine="480" w:firstLineChars="200"/>
        <w:rPr>
          <w:rFonts w:hint="eastAsia" w:ascii="宋体" w:hAnsi="宋体" w:eastAsia="宋体" w:cs="宋体"/>
          <w:sz w:val="24"/>
          <w:shd w:val="clear" w:color="auto" w:fill="FFFFFF"/>
          <w:lang w:eastAsia="zh-CN"/>
        </w:rPr>
      </w:pPr>
      <w:r>
        <w:rPr>
          <w:rFonts w:hint="eastAsia" w:ascii="宋体" w:hAnsi="宋体" w:cs="宋体"/>
          <w:sz w:val="24"/>
        </w:rPr>
        <w:t>联系电话：</w:t>
      </w:r>
      <w:r>
        <w:rPr>
          <w:rFonts w:hint="eastAsia" w:ascii="宋体" w:hAnsi="宋体" w:cs="宋体"/>
          <w:sz w:val="24"/>
          <w:szCs w:val="24"/>
          <w:u w:val="single"/>
        </w:rPr>
        <w:t>13454667697</w:t>
      </w:r>
      <w:r>
        <w:rPr>
          <w:rFonts w:hint="eastAsia" w:ascii="宋体" w:hAnsi="宋体" w:cs="宋体"/>
          <w:sz w:val="24"/>
          <w:szCs w:val="24"/>
          <w:u w:val="single"/>
          <w:lang w:eastAsia="zh-CN"/>
        </w:rPr>
        <w:t>、</w:t>
      </w:r>
      <w:r>
        <w:rPr>
          <w:rFonts w:hint="eastAsia" w:ascii="宋体" w:hAnsi="宋体" w:cs="宋体"/>
          <w:sz w:val="24"/>
          <w:szCs w:val="24"/>
          <w:u w:val="single"/>
        </w:rPr>
        <w:t>13757680207</w:t>
      </w:r>
    </w:p>
    <w:p>
      <w:pPr>
        <w:spacing w:line="360" w:lineRule="auto"/>
        <w:ind w:firstLine="560" w:firstLineChars="200"/>
        <w:rPr>
          <w:rFonts w:hint="eastAsia"/>
        </w:rPr>
      </w:pPr>
    </w:p>
    <w:p>
      <w:pPr>
        <w:pStyle w:val="2"/>
        <w:rPr>
          <w:rFonts w:hint="eastAsia"/>
        </w:rPr>
      </w:pPr>
    </w:p>
    <w:p>
      <w:pPr>
        <w:snapToGrid w:val="0"/>
        <w:spacing w:line="360" w:lineRule="auto"/>
        <w:ind w:firstLine="723" w:firstLineChars="300"/>
        <w:rPr>
          <w:rFonts w:ascii="宋体" w:hAnsi="宋体" w:cs="Arial"/>
          <w:color w:val="auto"/>
          <w:sz w:val="24"/>
          <w:highlight w:val="none"/>
        </w:rPr>
      </w:pPr>
      <w:r>
        <w:rPr>
          <w:rFonts w:hint="eastAsia" w:ascii="宋体" w:hAnsi="宋体" w:eastAsia="宋体" w:cs="Arial"/>
          <w:b/>
          <w:bCs/>
          <w:kern w:val="2"/>
          <w:sz w:val="24"/>
          <w:szCs w:val="24"/>
          <w:lang w:val="en-US" w:eastAsia="zh-CN" w:bidi="ar-SA"/>
        </w:rPr>
        <w:t xml:space="preserve"> </w:t>
      </w:r>
      <w:r>
        <w:rPr>
          <w:rFonts w:hint="eastAsia" w:ascii="宋体" w:hAnsi="宋体" w:cs="Arial"/>
          <w:b/>
          <w:bCs/>
          <w:sz w:val="24"/>
        </w:rPr>
        <w:t xml:space="preserve">    </w:t>
      </w:r>
    </w:p>
    <w:p>
      <w:pPr>
        <w:snapToGrid w:val="0"/>
        <w:spacing w:line="360" w:lineRule="auto"/>
        <w:ind w:firstLine="420"/>
        <w:rPr>
          <w:rFonts w:hint="eastAsia" w:ascii="宋体" w:hAnsi="宋体" w:cs="Arial"/>
          <w:color w:val="0D0D0D"/>
          <w:sz w:val="24"/>
          <w:szCs w:val="20"/>
        </w:rPr>
      </w:pPr>
    </w:p>
    <w:p>
      <w:pPr>
        <w:snapToGrid w:val="0"/>
        <w:spacing w:line="360" w:lineRule="auto"/>
        <w:ind w:left="238"/>
        <w:jc w:val="center"/>
        <w:rPr>
          <w:rFonts w:ascii="宋体" w:hAnsi="宋体"/>
          <w:color w:val="0D0D0D"/>
          <w:sz w:val="24"/>
          <w:szCs w:val="20"/>
        </w:rPr>
      </w:pPr>
      <w:r>
        <w:rPr>
          <w:rFonts w:ascii="宋体" w:hAnsi="宋体"/>
          <w:color w:val="0D0D0D"/>
          <w:sz w:val="24"/>
        </w:rPr>
        <w:t xml:space="preserve">                                    </w:t>
      </w:r>
      <w:r>
        <w:rPr>
          <w:rFonts w:hint="eastAsia" w:ascii="宋体" w:hAnsi="宋体" w:cs="Arial"/>
          <w:color w:val="0D0D0D"/>
          <w:sz w:val="24"/>
        </w:rPr>
        <w:t>台州市建设咨询有限公司</w:t>
      </w:r>
    </w:p>
    <w:p>
      <w:pPr>
        <w:snapToGrid w:val="0"/>
        <w:spacing w:line="360" w:lineRule="auto"/>
        <w:ind w:left="238" w:firstLine="4980" w:firstLineChars="2075"/>
        <w:jc w:val="center"/>
        <w:rPr>
          <w:rFonts w:hint="eastAsia" w:ascii="黑体" w:hAnsi="宋体" w:eastAsia="黑体"/>
          <w:color w:val="0D0D0D"/>
          <w:sz w:val="30"/>
          <w:szCs w:val="30"/>
        </w:rPr>
      </w:pPr>
      <w:r>
        <w:rPr>
          <w:rFonts w:ascii="宋体" w:hAnsi="宋体" w:cs="Arial"/>
          <w:color w:val="0D0D0D"/>
          <w:sz w:val="24"/>
        </w:rPr>
        <w:t>202</w:t>
      </w:r>
      <w:r>
        <w:rPr>
          <w:rFonts w:hint="eastAsia" w:ascii="宋体" w:hAnsi="宋体" w:cs="Arial"/>
          <w:color w:val="0D0D0D"/>
          <w:sz w:val="24"/>
          <w:lang w:val="en-US" w:eastAsia="zh-CN"/>
        </w:rPr>
        <w:t>3</w:t>
      </w:r>
      <w:r>
        <w:rPr>
          <w:rFonts w:ascii="宋体" w:hAnsi="宋体" w:cs="Arial"/>
          <w:color w:val="0D0D0D"/>
          <w:sz w:val="24"/>
        </w:rPr>
        <w:t>年</w:t>
      </w:r>
      <w:r>
        <w:rPr>
          <w:rFonts w:hint="eastAsia" w:ascii="宋体" w:hAnsi="宋体" w:cs="Arial"/>
          <w:color w:val="0D0D0D"/>
          <w:sz w:val="24"/>
          <w:lang w:val="en-US" w:eastAsia="zh-CN"/>
        </w:rPr>
        <w:t>11</w:t>
      </w:r>
      <w:r>
        <w:rPr>
          <w:rFonts w:ascii="宋体" w:hAnsi="宋体" w:cs="Arial"/>
          <w:color w:val="0D0D0D"/>
          <w:sz w:val="24"/>
        </w:rPr>
        <w:t>月</w:t>
      </w:r>
      <w:r>
        <w:rPr>
          <w:rFonts w:hint="eastAsia" w:ascii="宋体" w:hAnsi="宋体" w:cs="Arial"/>
          <w:color w:val="0D0D0D"/>
          <w:sz w:val="24"/>
        </w:rPr>
        <w:t xml:space="preserve"> </w:t>
      </w:r>
      <w:r>
        <w:rPr>
          <w:rFonts w:ascii="宋体" w:hAnsi="宋体"/>
          <w:color w:val="0D0D0D"/>
        </w:rPr>
        <w:br w:type="page"/>
      </w:r>
      <w:r>
        <w:rPr>
          <w:rFonts w:hint="eastAsia" w:ascii="黑体" w:hAnsi="宋体" w:eastAsia="黑体"/>
          <w:color w:val="0D0D0D"/>
          <w:sz w:val="30"/>
          <w:szCs w:val="30"/>
        </w:rPr>
        <w:t xml:space="preserve">第二章  </w:t>
      </w:r>
      <w:r>
        <w:rPr>
          <w:rFonts w:hint="eastAsia" w:ascii="黑体" w:hAnsi="宋体" w:eastAsia="黑体"/>
          <w:bCs/>
          <w:color w:val="0D0D0D"/>
          <w:sz w:val="30"/>
          <w:szCs w:val="30"/>
        </w:rPr>
        <w:t>招</w:t>
      </w:r>
      <w:r>
        <w:rPr>
          <w:rFonts w:hint="eastAsia" w:ascii="黑体" w:hAnsi="宋体" w:eastAsia="黑体"/>
          <w:color w:val="0D0D0D"/>
          <w:sz w:val="30"/>
          <w:szCs w:val="30"/>
        </w:rPr>
        <w:t>标需求</w:t>
      </w:r>
    </w:p>
    <w:p>
      <w:pPr>
        <w:pStyle w:val="28"/>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一、项目要求</w:t>
      </w:r>
    </w:p>
    <w:tbl>
      <w:tblPr>
        <w:tblStyle w:val="46"/>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台州湾新区初昕街（鲍浦大道-滨富东路）、启泰街（鲍浦大道-滨富东路）道路工程（普通硅酸盐水泥）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用途</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台州湾新区初昕街（鲍浦大道-滨富东路）、启泰街（鲍浦大道-滨富东路）道路工程（普通硅酸盐水泥）</w:t>
            </w:r>
          </w:p>
        </w:tc>
      </w:tr>
    </w:tbl>
    <w:p>
      <w:pPr>
        <w:pStyle w:val="28"/>
        <w:numPr>
          <w:ilvl w:val="0"/>
          <w:numId w:val="7"/>
        </w:numPr>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主要技术规格及要求：</w:t>
      </w:r>
    </w:p>
    <w:tbl>
      <w:tblPr>
        <w:tblStyle w:val="46"/>
        <w:tblW w:w="500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96"/>
        <w:gridCol w:w="2734"/>
        <w:gridCol w:w="3363"/>
        <w:gridCol w:w="25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i w:val="0"/>
                <w:lang w:val="en-US" w:eastAsia="zh-CN" w:bidi="ar"/>
              </w:rPr>
            </w:pPr>
            <w:r>
              <w:rPr>
                <w:rStyle w:val="87"/>
                <w:rFonts w:hint="eastAsia"/>
                <w:i w:val="0"/>
                <w:lang w:val="en-US" w:eastAsia="zh-CN" w:bidi="ar"/>
              </w:rPr>
              <w:t>标项</w:t>
            </w: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i w:val="0"/>
                <w:lang w:val="en-US" w:eastAsia="zh-CN" w:bidi="ar"/>
              </w:rPr>
            </w:pPr>
            <w:r>
              <w:rPr>
                <w:rStyle w:val="87"/>
                <w:rFonts w:hint="eastAsia"/>
                <w:i w:val="0"/>
                <w:lang w:val="en-US" w:eastAsia="zh-CN" w:bidi="ar"/>
              </w:rPr>
              <w:t>采购内容</w:t>
            </w:r>
          </w:p>
        </w:tc>
        <w:tc>
          <w:tcPr>
            <w:tcW w:w="1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rFonts w:hint="eastAsia"/>
                <w:i w:val="0"/>
                <w:lang w:val="en-US" w:eastAsia="zh-CN" w:bidi="ar"/>
              </w:rPr>
            </w:pPr>
            <w:r>
              <w:rPr>
                <w:rStyle w:val="87"/>
                <w:rFonts w:hint="eastAsia"/>
                <w:i w:val="0"/>
                <w:lang w:val="en-US" w:eastAsia="zh-CN" w:bidi="ar"/>
              </w:rPr>
              <w:t>规格型号</w:t>
            </w:r>
          </w:p>
        </w:tc>
        <w:tc>
          <w:tcPr>
            <w:tcW w:w="1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rFonts w:hint="default"/>
                <w:i w:val="0"/>
                <w:lang w:val="en-US" w:eastAsia="zh-CN" w:bidi="ar"/>
              </w:rPr>
            </w:pPr>
            <w:r>
              <w:rPr>
                <w:rStyle w:val="87"/>
                <w:rFonts w:hint="eastAsia"/>
                <w:i w:val="0"/>
                <w:lang w:val="en-US" w:eastAsia="zh-CN" w:bidi="ar"/>
              </w:rPr>
              <w:t>单位及数量(t)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i w:val="0"/>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2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rFonts w:hint="eastAsia"/>
                <w:i w:val="0"/>
                <w:color w:val="auto"/>
                <w:lang w:val="en-US" w:eastAsia="zh-CN" w:bidi="ar"/>
              </w:rPr>
            </w:pPr>
            <w:r>
              <w:rPr>
                <w:rFonts w:hint="eastAsia" w:ascii="宋体" w:hAnsi="宋体" w:eastAsia="宋体" w:cs="宋体"/>
                <w:i w:val="0"/>
                <w:color w:val="171A1D"/>
                <w:kern w:val="0"/>
                <w:sz w:val="21"/>
                <w:szCs w:val="21"/>
                <w:u w:val="none"/>
                <w:lang w:val="en-US" w:eastAsia="zh-CN" w:bidi="ar"/>
              </w:rPr>
              <w:t>普通硅酸</w:t>
            </w:r>
            <w:r>
              <w:rPr>
                <w:rFonts w:hint="eastAsia" w:ascii="宋体" w:hAnsi="宋体" w:eastAsia="宋体" w:cs="宋体"/>
                <w:i w:val="0"/>
                <w:color w:val="171A1D"/>
                <w:kern w:val="0"/>
                <w:sz w:val="21"/>
                <w:szCs w:val="21"/>
                <w:u w:val="none"/>
                <w:lang w:val="en-US" w:eastAsia="zh-CN" w:bidi="ar"/>
              </w:rPr>
              <w:br w:type="textWrapping"/>
            </w:r>
            <w:r>
              <w:rPr>
                <w:rFonts w:hint="eastAsia" w:ascii="宋体" w:hAnsi="宋体" w:eastAsia="宋体" w:cs="宋体"/>
                <w:i w:val="0"/>
                <w:color w:val="171A1D"/>
                <w:kern w:val="0"/>
                <w:sz w:val="21"/>
                <w:szCs w:val="21"/>
                <w:u w:val="none"/>
                <w:lang w:val="en-US" w:eastAsia="zh-CN" w:bidi="ar"/>
              </w:rPr>
              <w:t>盐水泥</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rFonts w:hint="default"/>
                <w:i w:val="0"/>
                <w:color w:val="auto"/>
                <w:lang w:val="en-US" w:eastAsia="zh-CN" w:bidi="ar"/>
              </w:rPr>
            </w:pPr>
            <w:r>
              <w:rPr>
                <w:rFonts w:hint="eastAsia" w:ascii="宋体" w:hAnsi="宋体" w:eastAsia="宋体" w:cs="宋体"/>
                <w:i w:val="0"/>
                <w:color w:val="000000"/>
                <w:kern w:val="0"/>
                <w:sz w:val="22"/>
                <w:szCs w:val="22"/>
                <w:u w:val="none"/>
                <w:lang w:val="en-US" w:eastAsia="zh-CN" w:bidi="ar"/>
              </w:rPr>
              <w:t>PO 42.5袋装</w:t>
            </w:r>
          </w:p>
        </w:tc>
        <w:tc>
          <w:tcPr>
            <w:tcW w:w="2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rFonts w:hint="default"/>
                <w:i w:val="0"/>
                <w:color w:val="auto"/>
                <w:lang w:val="en-US" w:eastAsia="zh-CN" w:bidi="ar"/>
              </w:rPr>
            </w:pPr>
            <w:r>
              <w:rPr>
                <w:rFonts w:hint="eastAsia" w:ascii="宋体" w:hAnsi="宋体" w:eastAsia="宋体" w:cs="宋体"/>
                <w:i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2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171A1D"/>
                <w:kern w:val="0"/>
                <w:sz w:val="21"/>
                <w:szCs w:val="21"/>
                <w:u w:val="none"/>
                <w:lang w:val="en-US" w:eastAsia="zh-CN" w:bidi="ar"/>
              </w:rPr>
            </w:pPr>
            <w:r>
              <w:rPr>
                <w:rFonts w:hint="eastAsia" w:ascii="宋体" w:hAnsi="宋体" w:eastAsia="宋体" w:cs="宋体"/>
                <w:i w:val="0"/>
                <w:color w:val="171A1D"/>
                <w:kern w:val="0"/>
                <w:sz w:val="21"/>
                <w:szCs w:val="21"/>
                <w:u w:val="none"/>
                <w:lang w:val="en-US" w:eastAsia="zh-CN" w:bidi="ar"/>
              </w:rPr>
              <w:t>普通硅酸</w:t>
            </w:r>
            <w:r>
              <w:rPr>
                <w:rFonts w:hint="eastAsia" w:ascii="宋体" w:hAnsi="宋体" w:eastAsia="宋体" w:cs="宋体"/>
                <w:i w:val="0"/>
                <w:color w:val="171A1D"/>
                <w:kern w:val="0"/>
                <w:sz w:val="21"/>
                <w:szCs w:val="21"/>
                <w:u w:val="none"/>
                <w:lang w:val="en-US" w:eastAsia="zh-CN" w:bidi="ar"/>
              </w:rPr>
              <w:br w:type="textWrapping"/>
            </w:r>
            <w:r>
              <w:rPr>
                <w:rFonts w:hint="eastAsia" w:ascii="宋体" w:hAnsi="宋体" w:eastAsia="宋体" w:cs="宋体"/>
                <w:i w:val="0"/>
                <w:color w:val="171A1D"/>
                <w:kern w:val="0"/>
                <w:sz w:val="21"/>
                <w:szCs w:val="21"/>
                <w:u w:val="none"/>
                <w:lang w:val="en-US" w:eastAsia="zh-CN" w:bidi="ar"/>
              </w:rPr>
              <w:t>盐水泥</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PO 42.5散装</w:t>
            </w:r>
          </w:p>
        </w:tc>
        <w:tc>
          <w:tcPr>
            <w:tcW w:w="2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w:t>
            </w:r>
          </w:p>
        </w:tc>
      </w:tr>
    </w:tbl>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注：</w:t>
      </w:r>
    </w:p>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1、其余未详事宜，按国家现行有关规范、规定执行。</w:t>
      </w:r>
    </w:p>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2、工程量暂估，按实结算。</w:t>
      </w:r>
    </w:p>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3、合同期内，如市场价格有波动调整合同结算综合单价，采用以下造价信息对合同结算综合单价进行调整：</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（1）关于基准价格的约定：</w:t>
      </w:r>
      <w:r>
        <w:rPr>
          <w:rFonts w:hint="eastAsia" w:hAnsi="宋体"/>
          <w:color w:val="auto"/>
          <w:szCs w:val="21"/>
          <w:highlight w:val="none"/>
          <w:lang w:val="en-US" w:eastAsia="zh-CN"/>
        </w:rPr>
        <w:t>A1=采用《台州造价》（正刊）（工程所在地2023年第10期）</w:t>
      </w:r>
      <w:r>
        <w:rPr>
          <w:rFonts w:hint="eastAsia" w:hAnsi="宋体"/>
          <w:color w:val="0C0C0C"/>
          <w:szCs w:val="21"/>
          <w:highlight w:val="none"/>
          <w:lang w:val="en-US" w:eastAsia="zh-CN"/>
        </w:rPr>
        <w:t>对应材料信息价（含税）</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（2）市场价格约定：A2=每批次材料供应时，《台州造价》（正刊）（工程所在地）对应材料信息价（含税）；（具体时间以每批次材料供应清单时间为准）</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（3）调整方法</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a、当A2＞A1时，结算综合单价按超出的金额调增，即该材料结算综合单价=中标综合单价+（A2-A1)；</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b、当A2＜A1时，结算综合单价按低于的金额调减，即该材料结算综合单价=中标综合单价-（A1-A2)；</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c、当A2=A1时，结算单价不作调整；</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（4）如因中标人原因引起的供货延期，延期期间的材料价格上涨时（与合同工期价格比较），价格不予调整；下跌时，按下跌后的价格调整。</w:t>
      </w:r>
    </w:p>
    <w:p>
      <w:pPr>
        <w:pStyle w:val="28"/>
        <w:snapToGrid w:val="0"/>
        <w:spacing w:before="120" w:beforeLines="0" w:after="120" w:afterLines="0" w:line="240" w:lineRule="auto"/>
        <w:outlineLvl w:val="0"/>
        <w:rPr>
          <w:rFonts w:hAnsi="宋体"/>
          <w:color w:val="0D0D0D"/>
          <w:szCs w:val="21"/>
        </w:rPr>
      </w:pPr>
      <w:r>
        <w:rPr>
          <w:rFonts w:hint="eastAsia" w:hAnsi="宋体"/>
          <w:color w:val="0C0C0C"/>
          <w:szCs w:val="21"/>
          <w:highlight w:val="none"/>
          <w:lang w:val="en-US" w:eastAsia="zh-CN"/>
        </w:rPr>
        <w:t>结算单价均保留整数，小数点前取整数。</w:t>
      </w:r>
    </w:p>
    <w:p>
      <w:pPr>
        <w:pStyle w:val="28"/>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三、商务需求表</w:t>
      </w:r>
    </w:p>
    <w:tbl>
      <w:tblPr>
        <w:tblStyle w:val="46"/>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8"/>
        <w:gridCol w:w="7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总体要求</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eastAsia="宋体" w:cs="Times New Roman"/>
                <w:color w:val="0D0D0D"/>
                <w:sz w:val="21"/>
                <w:lang w:eastAsia="zh-CN"/>
              </w:rPr>
              <w:t>供应商</w:t>
            </w:r>
            <w:r>
              <w:rPr>
                <w:rFonts w:hint="eastAsia" w:ascii="宋体" w:hAnsi="宋体"/>
                <w:color w:val="0D0D0D"/>
                <w:sz w:val="21"/>
                <w:szCs w:val="21"/>
              </w:rPr>
              <w:t>需按本技术规格书的要求完成材料采购、运输、装车等工作，按工作顺序提交所需的资料，所有资料必须符合本技术规格书的要求。费用应全部包含在总报价中。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投标总报价</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color w:val="0D0D0D"/>
                <w:sz w:val="21"/>
                <w:szCs w:val="21"/>
              </w:rPr>
              <w:t>投标总报价应是招标文件所确定的招标范围内全部工作内容的价格表现。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rPr>
              <w:t>招标范围</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rPr>
              <w:t>招标范围为招标人提供的</w:t>
            </w:r>
            <w:r>
              <w:rPr>
                <w:rFonts w:hint="eastAsia" w:ascii="宋体" w:hAnsi="宋体"/>
                <w:color w:val="0D0D0D"/>
                <w:sz w:val="21"/>
                <w:lang w:eastAsia="zh-CN"/>
              </w:rPr>
              <w:t>台州湾新区初昕街（鲍浦大道-滨富东路）、启泰街（鲍浦大道-滨富东路）道路工程（普通硅酸盐水泥）</w:t>
            </w:r>
            <w:r>
              <w:rPr>
                <w:rFonts w:hint="eastAsia" w:ascii="宋体" w:hAnsi="宋体"/>
                <w:color w:val="0D0D0D"/>
                <w:sz w:val="21"/>
              </w:rPr>
              <w:t>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rPr>
            </w:pPr>
            <w:r>
              <w:rPr>
                <w:rFonts w:hint="eastAsia" w:ascii="宋体" w:hAnsi="宋体"/>
                <w:color w:val="0D0D0D"/>
                <w:sz w:val="21"/>
              </w:rPr>
              <w:t>交货时间及地点</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rPr>
            </w:pPr>
            <w:r>
              <w:rPr>
                <w:rFonts w:hint="eastAsia" w:ascii="宋体" w:hAnsi="宋体"/>
                <w:color w:val="0D0D0D"/>
                <w:sz w:val="21"/>
              </w:rPr>
              <w:t>完成时间：</w:t>
            </w:r>
            <w:r>
              <w:rPr>
                <w:rFonts w:hint="eastAsia" w:ascii="宋体" w:hAnsi="宋体"/>
                <w:color w:val="0D0D0D"/>
                <w:sz w:val="21"/>
                <w:lang w:eastAsia="zh-CN"/>
              </w:rPr>
              <w:t>自收到中标通知书后5个工作日内完成供货；如因项目需要分批次供货的，则每批次货物自接到买方通知后3个工作日内完成供货</w:t>
            </w:r>
            <w:r>
              <w:rPr>
                <w:rFonts w:hint="eastAsia" w:ascii="宋体" w:hAnsi="宋体"/>
                <w:color w:val="0D0D0D"/>
                <w:sz w:val="21"/>
              </w:rPr>
              <w:t xml:space="preserve">； </w:t>
            </w:r>
          </w:p>
          <w:p>
            <w:pPr>
              <w:snapToGrid w:val="0"/>
              <w:rPr>
                <w:rFonts w:ascii="宋体" w:hAnsi="宋体"/>
                <w:color w:val="0D0D0D"/>
                <w:sz w:val="21"/>
              </w:rPr>
            </w:pPr>
            <w:r>
              <w:rPr>
                <w:rFonts w:hint="eastAsia" w:ascii="宋体" w:hAnsi="宋体"/>
                <w:color w:val="0D0D0D"/>
                <w:sz w:val="21"/>
              </w:rPr>
              <w:t>交货地点：</w:t>
            </w:r>
            <w:r>
              <w:rPr>
                <w:rFonts w:hint="eastAsia" w:ascii="宋体" w:hAnsi="宋体"/>
                <w:color w:val="0D0D0D"/>
                <w:sz w:val="21"/>
                <w:lang w:eastAsia="zh-CN"/>
              </w:rPr>
              <w:t>台州湾新区</w:t>
            </w:r>
            <w:r>
              <w:rPr>
                <w:rFonts w:hint="eastAsia" w:ascii="宋体" w:hAnsi="宋体"/>
                <w:color w:val="0D0D0D"/>
                <w:sz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付款条件</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color w:val="0D0D0D"/>
                <w:sz w:val="21"/>
                <w:szCs w:val="21"/>
              </w:rPr>
            </w:pPr>
            <w:r>
              <w:rPr>
                <w:rFonts w:hint="eastAsia" w:ascii="宋体" w:hAnsi="宋体"/>
                <w:color w:val="0D0D0D"/>
                <w:sz w:val="21"/>
                <w:szCs w:val="21"/>
              </w:rPr>
              <w:t>见合同条款</w:t>
            </w:r>
          </w:p>
        </w:tc>
      </w:tr>
    </w:tbl>
    <w:p>
      <w:pPr>
        <w:snapToGrid w:val="0"/>
        <w:spacing w:before="120" w:beforeLines="50" w:after="120" w:afterLines="50"/>
        <w:ind w:left="238"/>
        <w:jc w:val="center"/>
        <w:rPr>
          <w:b/>
          <w:color w:val="0D0D0D"/>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snapToGrid w:val="0"/>
        <w:spacing w:before="120" w:beforeLines="50" w:after="120" w:afterLines="50"/>
        <w:ind w:left="238"/>
        <w:jc w:val="center"/>
        <w:rPr>
          <w:rFonts w:eastAsia="仿宋_GB2312"/>
          <w:b/>
          <w:color w:val="0D0D0D"/>
          <w:sz w:val="32"/>
          <w:szCs w:val="20"/>
        </w:rPr>
      </w:pPr>
      <w:r>
        <w:rPr>
          <w:b/>
          <w:color w:val="0D0D0D"/>
        </w:rPr>
        <w:t>第三章  投标人须知</w:t>
      </w:r>
    </w:p>
    <w:p>
      <w:pPr>
        <w:snapToGrid w:val="0"/>
        <w:spacing w:before="120" w:beforeLines="50" w:after="120" w:afterLines="50"/>
        <w:ind w:left="238"/>
        <w:jc w:val="center"/>
        <w:outlineLvl w:val="1"/>
        <w:rPr>
          <w:rFonts w:ascii="宋体" w:hAnsi="宋体" w:eastAsia="仿宋_GB2312"/>
          <w:b/>
          <w:color w:val="0D0D0D"/>
          <w:szCs w:val="28"/>
        </w:rPr>
      </w:pPr>
      <w:r>
        <w:rPr>
          <w:rFonts w:hint="eastAsia" w:ascii="宋体" w:hAnsi="宋体"/>
          <w:b/>
          <w:color w:val="0D0D0D"/>
          <w:szCs w:val="28"/>
        </w:rPr>
        <w:t>前 附 表</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ind w:left="1050" w:hanging="1050" w:hangingChars="500"/>
              <w:rPr>
                <w:rFonts w:hint="eastAsia" w:ascii="宋体" w:hAnsi="宋体" w:eastAsia="宋体"/>
                <w:color w:val="0D0D0D"/>
                <w:sz w:val="21"/>
                <w:szCs w:val="21"/>
                <w:lang w:eastAsia="zh-CN"/>
              </w:rPr>
            </w:pPr>
            <w:r>
              <w:rPr>
                <w:rFonts w:hint="eastAsia" w:ascii="宋体" w:hAnsi="宋体"/>
                <w:color w:val="0D0D0D"/>
                <w:sz w:val="21"/>
                <w:szCs w:val="21"/>
              </w:rPr>
              <w:t>项目名称：</w:t>
            </w:r>
            <w:r>
              <w:rPr>
                <w:rFonts w:hint="eastAsia" w:ascii="宋体" w:hAnsi="宋体"/>
                <w:bCs/>
                <w:color w:val="0D0D0D"/>
                <w:sz w:val="21"/>
                <w:szCs w:val="21"/>
                <w:lang w:eastAsia="zh-CN"/>
              </w:rPr>
              <w:t>台州湾新区初昕街（鲍浦大道-滨富东路）、启泰街（鲍浦大道-滨富东路）道路工程（普通硅酸盐水泥）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采购单位：</w:t>
            </w:r>
            <w:r>
              <w:rPr>
                <w:rFonts w:hint="eastAsia" w:ascii="宋体" w:hAnsi="宋体"/>
                <w:bCs/>
                <w:color w:val="0D0D0D"/>
                <w:sz w:val="21"/>
                <w:szCs w:val="21"/>
              </w:rPr>
              <w:t>台州东发建设投资有限公司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投标报价及费用：</w:t>
            </w:r>
            <w:r>
              <w:rPr>
                <w:rFonts w:ascii="宋体" w:hAnsi="宋体"/>
                <w:color w:val="0D0D0D"/>
                <w:sz w:val="21"/>
                <w:szCs w:val="21"/>
              </w:rPr>
              <w:t>1</w:t>
            </w:r>
            <w:r>
              <w:rPr>
                <w:rFonts w:hint="eastAsia" w:ascii="宋体" w:hAnsi="宋体"/>
                <w:color w:val="0D0D0D"/>
                <w:sz w:val="21"/>
                <w:szCs w:val="21"/>
              </w:rPr>
              <w:t>、本项目投标应以人民币报价；</w:t>
            </w:r>
            <w:r>
              <w:rPr>
                <w:rFonts w:ascii="宋体" w:hAnsi="宋体"/>
                <w:color w:val="0D0D0D"/>
                <w:sz w:val="21"/>
                <w:szCs w:val="21"/>
              </w:rPr>
              <w:t>2</w:t>
            </w:r>
            <w:r>
              <w:rPr>
                <w:rFonts w:hint="eastAsia" w:ascii="宋体" w:hAnsi="宋体"/>
                <w:color w:val="0D0D0D"/>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C0C0C"/>
                <w:sz w:val="21"/>
                <w:szCs w:val="21"/>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招标文件的澄清：投标人获取招标文件后，若有问题需要澄清，应自招标文件发布在交易场所（发布招标公告的媒体上）3日内，通过台州湾新区小额工程电子交易平台（http://www.tzwztb.com)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D0D0D"/>
                <w:sz w:val="21"/>
                <w:szCs w:val="21"/>
                <w:lang w:eastAsia="zh-CN"/>
              </w:rPr>
            </w:pPr>
            <w:r>
              <w:rPr>
                <w:rFonts w:hint="eastAsia" w:ascii="宋体" w:hAnsi="宋体" w:eastAsia="宋体" w:cs="Times New Roman"/>
                <w:color w:val="0D0D0D"/>
                <w:sz w:val="21"/>
                <w:szCs w:val="21"/>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w:t>
            </w:r>
            <w:r>
              <w:rPr>
                <w:rFonts w:hint="eastAsia" w:ascii="宋体" w:hAnsi="宋体" w:eastAsia="宋体" w:cs="Times New Roman"/>
                <w:color w:val="0D0D0D"/>
                <w:sz w:val="21"/>
                <w:szCs w:val="21"/>
                <w:highlight w:val="none"/>
              </w:rPr>
              <w:t>金：人民币</w:t>
            </w:r>
            <w:r>
              <w:rPr>
                <w:rFonts w:hint="eastAsia" w:ascii="宋体" w:hAnsi="宋体" w:eastAsia="宋体" w:cs="Times New Roman"/>
                <w:color w:val="0D0D0D"/>
                <w:sz w:val="21"/>
                <w:szCs w:val="21"/>
                <w:highlight w:val="none"/>
                <w:lang w:val="en-US" w:eastAsia="zh-CN"/>
              </w:rPr>
              <w:t>0.3万</w:t>
            </w:r>
            <w:r>
              <w:rPr>
                <w:rFonts w:hint="eastAsia" w:ascii="宋体" w:hAnsi="宋体" w:eastAsia="宋体" w:cs="Times New Roman"/>
                <w:color w:val="0D0D0D"/>
                <w:sz w:val="21"/>
                <w:szCs w:val="21"/>
                <w:highlight w:val="none"/>
              </w:rPr>
              <w:t>元</w:t>
            </w:r>
          </w:p>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投标保证金缴纳方式：现金转账、银行保函、保险机构保证保险保单、融资担保公司保函。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Times New Roman"/>
                <w:color w:val="0D0D0D"/>
                <w:sz w:val="21"/>
                <w:szCs w:val="21"/>
                <w:lang w:val="en-US" w:eastAsia="zh-CN"/>
              </w:rPr>
            </w:pPr>
            <w:r>
              <w:rPr>
                <w:rFonts w:hint="eastAsia" w:ascii="宋体" w:hAnsi="宋体"/>
                <w:color w:val="0C0C0C"/>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lang w:val="en-US" w:eastAsia="zh-CN"/>
              </w:rPr>
            </w:pPr>
            <w:r>
              <w:rPr>
                <w:rFonts w:hint="eastAsia" w:ascii="宋体" w:hAnsi="宋体" w:eastAsia="宋体" w:cs="Times New Roman"/>
                <w:color w:val="0D0D0D"/>
                <w:sz w:val="21"/>
                <w:szCs w:val="21"/>
                <w:lang w:val="en-US" w:eastAsia="zh-CN"/>
              </w:rPr>
              <w:t>投标文件组成：</w:t>
            </w:r>
          </w:p>
          <w:p>
            <w:pPr>
              <w:snapToGrid w:val="0"/>
              <w:rPr>
                <w:rFonts w:hint="eastAsia" w:ascii="宋体" w:hAnsi="宋体" w:eastAsia="宋体" w:cs="Times New Roman"/>
                <w:b/>
                <w:bCs/>
                <w:color w:val="0D0D0D"/>
                <w:sz w:val="21"/>
                <w:szCs w:val="21"/>
                <w:lang w:val="en-US" w:eastAsia="zh-CN"/>
              </w:rPr>
            </w:pPr>
            <w:r>
              <w:rPr>
                <w:rFonts w:hint="eastAsia" w:ascii="宋体" w:hAnsi="宋体" w:eastAsia="宋体" w:cs="Times New Roman"/>
                <w:color w:val="0D0D0D"/>
                <w:sz w:val="21"/>
                <w:szCs w:val="21"/>
                <w:lang w:val="en-US" w:eastAsia="zh-CN"/>
              </w:rPr>
              <w:t>电子投标文件：商务标（上传至交易平台）。</w:t>
            </w:r>
            <w:r>
              <w:rPr>
                <w:rFonts w:hint="eastAsia" w:ascii="宋体" w:hAnsi="宋体" w:eastAsia="宋体" w:cs="Times New Roman"/>
                <w:b/>
                <w:bCs/>
                <w:color w:val="0D0D0D"/>
                <w:sz w:val="21"/>
                <w:szCs w:val="21"/>
                <w:lang w:val="en-US" w:eastAsia="zh-CN"/>
              </w:rPr>
              <w:t>（电子文件应签章齐全，办理CA证书的投标人可采用单位电子公章代替单位公章，法定代表人电子章代替法定代表人签字，在投标文件编制工具中签章）；</w:t>
            </w:r>
          </w:p>
          <w:p>
            <w:pPr>
              <w:snapToGrid w:val="0"/>
              <w:rPr>
                <w:rFonts w:hint="default" w:ascii="宋体" w:hAnsi="宋体" w:eastAsia="宋体" w:cs="Times New Roman"/>
                <w:color w:val="0D0D0D"/>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投标截止时间及地点：</w:t>
            </w:r>
            <w:r>
              <w:rPr>
                <w:rFonts w:hint="eastAsia" w:ascii="宋体" w:hAnsi="宋体" w:cs="Arial"/>
                <w:color w:val="0D0D0D"/>
                <w:sz w:val="21"/>
                <w:szCs w:val="21"/>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开标时间及地点：</w:t>
            </w:r>
            <w:r>
              <w:rPr>
                <w:rFonts w:hint="eastAsia" w:ascii="宋体" w:hAnsi="宋体" w:cs="Arial"/>
                <w:color w:val="0D0D0D"/>
                <w:sz w:val="21"/>
                <w:szCs w:val="21"/>
                <w:u w:val="single"/>
              </w:rPr>
              <w:t>见招标公告；</w:t>
            </w:r>
            <w:r>
              <w:rPr>
                <w:rFonts w:ascii="宋体" w:hAnsi="宋体"/>
                <w:color w:val="0D0D0D"/>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评标结果公示：评标结束后</w:t>
            </w:r>
            <w:r>
              <w:rPr>
                <w:rFonts w:ascii="宋体" w:hAnsi="宋体"/>
                <w:color w:val="0D0D0D"/>
                <w:sz w:val="21"/>
                <w:szCs w:val="21"/>
              </w:rPr>
              <w:t>2</w:t>
            </w:r>
            <w:r>
              <w:rPr>
                <w:rFonts w:hint="eastAsia" w:ascii="宋体" w:hAnsi="宋体"/>
                <w:color w:val="0D0D0D"/>
                <w:sz w:val="21"/>
                <w:szCs w:val="21"/>
              </w:rPr>
              <w:t>天内，评标结果公示于发布公告的网站上。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C0C0C"/>
                <w:sz w:val="21"/>
                <w:szCs w:val="21"/>
                <w:highlight w:val="none"/>
                <w:lang w:val="en-US" w:eastAsia="zh-CN"/>
              </w:rPr>
            </w:pPr>
            <w:r>
              <w:rPr>
                <w:rFonts w:hint="eastAsia" w:ascii="宋体" w:hAnsi="宋体"/>
                <w:color w:val="0C0C0C"/>
                <w:sz w:val="21"/>
                <w:szCs w:val="21"/>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olor w:val="0D0D0D"/>
                <w:sz w:val="21"/>
                <w:szCs w:val="21"/>
              </w:rPr>
            </w:pPr>
            <w:r>
              <w:rPr>
                <w:rFonts w:hint="eastAsia" w:ascii="宋体" w:hAnsi="宋体"/>
                <w:color w:val="0C0C0C"/>
                <w:sz w:val="21"/>
                <w:szCs w:val="21"/>
                <w:highlight w:val="none"/>
              </w:rPr>
              <w:t>投标保证金退还（不计息）：除招标文件规定不予退还保证金的情形外，未中标人的投标保证金在中标通知书发出后5个工作日内退还，中标人的投标保证金在合同签订后</w:t>
            </w:r>
            <w:r>
              <w:rPr>
                <w:rFonts w:hint="eastAsia" w:ascii="宋体" w:hAnsi="宋体"/>
                <w:color w:val="0C0C0C"/>
                <w:sz w:val="21"/>
                <w:szCs w:val="21"/>
                <w:highlight w:val="none"/>
                <w:lang w:val="en-US" w:eastAsia="zh-CN"/>
              </w:rPr>
              <w:t>5</w:t>
            </w:r>
            <w:r>
              <w:rPr>
                <w:rFonts w:hint="eastAsia" w:ascii="宋体" w:hAnsi="宋体"/>
                <w:color w:val="0C0C0C"/>
                <w:sz w:val="21"/>
                <w:szCs w:val="21"/>
                <w:highlight w:val="none"/>
              </w:rPr>
              <w:t>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签订合同时间：</w:t>
            </w:r>
            <w:r>
              <w:rPr>
                <w:rFonts w:hint="eastAsia" w:ascii="宋体" w:hAnsi="宋体"/>
                <w:color w:val="0C0C0C"/>
                <w:sz w:val="21"/>
                <w:szCs w:val="21"/>
                <w:highlight w:val="none"/>
              </w:rPr>
              <w:t>中标通知书发出后</w:t>
            </w:r>
            <w:r>
              <w:rPr>
                <w:rFonts w:hint="eastAsia" w:ascii="宋体" w:hAnsi="宋体"/>
                <w:color w:val="0C0C0C"/>
                <w:sz w:val="21"/>
                <w:szCs w:val="21"/>
                <w:highlight w:val="none"/>
                <w:lang w:val="en-US" w:eastAsia="zh-CN"/>
              </w:rPr>
              <w:t>10个工作</w:t>
            </w:r>
            <w:r>
              <w:rPr>
                <w:rFonts w:hint="eastAsia" w:ascii="宋体" w:hAnsi="宋体"/>
                <w:color w:val="0C0C0C"/>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履约保证金的收取及退还</w:t>
            </w:r>
            <w:r>
              <w:rPr>
                <w:rFonts w:ascii="宋体" w:hAnsi="宋体"/>
                <w:color w:val="0D0D0D"/>
                <w:sz w:val="21"/>
                <w:szCs w:val="21"/>
              </w:rPr>
              <w:t>:</w:t>
            </w:r>
            <w:r>
              <w:rPr>
                <w:rFonts w:hint="eastAsia" w:ascii="宋体" w:hAnsi="宋体"/>
                <w:color w:val="0C0C0C"/>
                <w:sz w:val="21"/>
                <w:szCs w:val="21"/>
                <w:highlight w:val="none"/>
              </w:rPr>
              <w:t>成交供应商在合同签订前向采购人交纳中标价5%的履约保证金，在合同履行完毕（验收合格且付清全部货款）后10个工作日内无息退还。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210" w:firstLineChars="100"/>
              <w:rPr>
                <w:rFonts w:hint="eastAsia" w:ascii="宋体" w:hAnsi="宋体"/>
                <w:color w:val="0D0D0D"/>
                <w:sz w:val="21"/>
                <w:szCs w:val="21"/>
              </w:rPr>
            </w:pPr>
            <w:r>
              <w:rPr>
                <w:rFonts w:hint="eastAsia" w:ascii="宋体" w:hAnsi="宋体" w:eastAsia="宋体" w:cs="Times New Roman"/>
                <w:color w:val="0C0C0C"/>
                <w:kern w:val="2"/>
                <w:sz w:val="21"/>
                <w:szCs w:val="21"/>
                <w:highlight w:val="none"/>
                <w:lang w:val="en-US" w:eastAsia="zh-CN" w:bidi="ar-SA"/>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0"/>
              <w:rPr>
                <w:rFonts w:hint="eastAsia" w:ascii="宋体" w:hAnsi="宋体"/>
                <w:color w:val="0D0D0D"/>
                <w:szCs w:val="21"/>
              </w:rPr>
            </w:pPr>
            <w:r>
              <w:rPr>
                <w:rFonts w:hint="eastAsia" w:ascii="宋体" w:hAnsi="宋体"/>
                <w:color w:val="0D0D0D"/>
                <w:szCs w:val="21"/>
              </w:rPr>
              <w:t>投标文件递交要求：</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1、投标人无需到开标现场，电子投标文件上传至台州湾新区小额工程电子交易平台。如遇有问题的请联系蔡先生，13454667697；王女士，13757680207。</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2、电子投标文件上传步骤：</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 台州湾新区小额工程电子交易平台（网址：http://www.tzwztb.com/）；</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 投标人应提前办好ca锁（办理网址：http://www.tseal.cn/tcloud/common.xhtml?projId=295），绑定平台账户。</w:t>
            </w:r>
          </w:p>
          <w:p>
            <w:pPr>
              <w:pStyle w:val="12"/>
              <w:adjustRightInd w:val="0"/>
              <w:snapToGrid w:val="0"/>
              <w:spacing w:line="288" w:lineRule="auto"/>
              <w:ind w:firstLine="0" w:firstLineChars="0"/>
              <w:rPr>
                <w:rFonts w:hint="eastAsia" w:ascii="宋体" w:hAnsi="宋体"/>
                <w:color w:val="0D0D0D"/>
                <w:szCs w:val="24"/>
              </w:rPr>
            </w:pPr>
            <w:r>
              <w:rPr>
                <w:rFonts w:hint="eastAsia" w:ascii="宋体" w:hAnsi="宋体"/>
                <w:color w:val="0D0D0D"/>
                <w:szCs w:val="24"/>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C0C0C"/>
                <w:kern w:val="2"/>
                <w:sz w:val="21"/>
                <w:szCs w:val="21"/>
                <w:highlight w:val="none"/>
                <w:lang w:val="en-US" w:eastAsia="zh-CN" w:bidi="ar-SA"/>
              </w:rPr>
            </w:pPr>
            <w:r>
              <w:rPr>
                <w:rFonts w:hint="eastAsia" w:ascii="宋体" w:hAnsi="宋体"/>
                <w:color w:val="0C0C0C"/>
                <w:sz w:val="21"/>
                <w:szCs w:val="21"/>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0" w:firstLineChars="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本工程为电子招投标，电子投标文件格式中注明盖章的，均应按要求使用CA锁加盖公章和法定代表人章。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报价文件有效期：90天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解释：本招标文件的解释权属于招标采购单位。</w:t>
            </w:r>
          </w:p>
        </w:tc>
      </w:tr>
    </w:tbl>
    <w:p>
      <w:pPr>
        <w:pStyle w:val="28"/>
        <w:snapToGrid w:val="0"/>
        <w:spacing w:before="120" w:beforeLines="0" w:after="120" w:afterLines="0"/>
        <w:rPr>
          <w:rFonts w:hAnsi="宋体"/>
          <w:b/>
          <w:color w:val="0D0D0D"/>
          <w:sz w:val="30"/>
          <w:szCs w:val="30"/>
        </w:rPr>
      </w:pPr>
      <w:r>
        <w:rPr>
          <w:color w:val="0D0D0D"/>
        </w:rPr>
        <w:br w:type="page"/>
      </w:r>
      <w:r>
        <w:rPr>
          <w:rFonts w:hAnsi="宋体"/>
          <w:b/>
          <w:color w:val="0D0D0D"/>
          <w:sz w:val="30"/>
          <w:szCs w:val="30"/>
        </w:rPr>
        <w:t>一   总  则</w:t>
      </w:r>
    </w:p>
    <w:p>
      <w:pPr>
        <w:snapToGrid w:val="0"/>
        <w:spacing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（一）</w:t>
      </w:r>
      <w:r>
        <w:rPr>
          <w:rFonts w:ascii="宋体" w:hAnsi="宋体"/>
          <w:b/>
          <w:color w:val="0D0D0D"/>
          <w:sz w:val="24"/>
        </w:rPr>
        <w:t xml:space="preserve"> 适用范围</w:t>
      </w:r>
    </w:p>
    <w:p>
      <w:pPr>
        <w:snapToGrid w:val="0"/>
        <w:spacing w:line="400" w:lineRule="atLeast"/>
        <w:ind w:firstLine="480" w:firstLineChars="200"/>
        <w:jc w:val="left"/>
        <w:rPr>
          <w:rFonts w:ascii="宋体" w:hAnsi="宋体"/>
          <w:color w:val="0D0D0D"/>
          <w:sz w:val="24"/>
        </w:rPr>
      </w:pPr>
      <w:r>
        <w:rPr>
          <w:rFonts w:hint="eastAsia" w:ascii="宋体" w:hAnsi="宋体"/>
          <w:color w:val="0D0D0D"/>
          <w:sz w:val="24"/>
        </w:rPr>
        <w:t>本招标文件适用于本项目的招标、投标、评标、定标、验收、合同履约、付款等行为（法律、法规另有规定的，从其规定）。</w:t>
      </w:r>
    </w:p>
    <w:p>
      <w:pPr>
        <w:snapToGrid w:val="0"/>
        <w:spacing w:before="120" w:beforeLines="50" w:line="400" w:lineRule="atLeast"/>
        <w:ind w:firstLine="354" w:firstLineChars="147"/>
        <w:jc w:val="left"/>
        <w:outlineLvl w:val="1"/>
        <w:rPr>
          <w:rFonts w:ascii="宋体" w:hAnsi="宋体"/>
          <w:b/>
          <w:color w:val="0D0D0D"/>
          <w:sz w:val="24"/>
          <w:szCs w:val="20"/>
        </w:rPr>
      </w:pPr>
      <w:r>
        <w:rPr>
          <w:rFonts w:hint="eastAsia" w:ascii="宋体" w:hAnsi="宋体"/>
          <w:b/>
          <w:color w:val="0D0D0D"/>
          <w:sz w:val="24"/>
        </w:rPr>
        <w:t>（二）定义</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ascii="宋体" w:hAnsi="宋体"/>
          <w:color w:val="0D0D0D"/>
          <w:sz w:val="24"/>
        </w:rPr>
        <w:t>招标采购单位系指组织本次招标的代理机构（“招标人”）和采购单位。</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投标人”系指向招标方提交报价文件的单位或个人。</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“产品”系指供方按</w:t>
      </w:r>
      <w:r>
        <w:rPr>
          <w:rFonts w:hint="eastAsia" w:ascii="宋体" w:hAnsi="宋体"/>
          <w:color w:val="0D0D0D"/>
          <w:sz w:val="24"/>
        </w:rPr>
        <w:t>招标文件</w:t>
      </w:r>
      <w:r>
        <w:rPr>
          <w:rFonts w:ascii="宋体" w:hAnsi="宋体"/>
          <w:color w:val="0D0D0D"/>
          <w:sz w:val="24"/>
        </w:rPr>
        <w:t>规定，须向采购人提供的一切材料采购、保险、税金、备品备件、工具、手册及其它有关技术资料和材料。</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“服务”系指</w:t>
      </w:r>
      <w:r>
        <w:rPr>
          <w:rFonts w:hint="eastAsia" w:ascii="宋体" w:hAnsi="宋体"/>
          <w:color w:val="0D0D0D"/>
          <w:sz w:val="24"/>
        </w:rPr>
        <w:t>招标文件</w:t>
      </w:r>
      <w:r>
        <w:rPr>
          <w:rFonts w:ascii="宋体" w:hAnsi="宋体"/>
          <w:color w:val="0D0D0D"/>
          <w:sz w:val="24"/>
        </w:rPr>
        <w:t>规定投标人须承担的安装、调试、技术协助、校准、培训、技术指导以及其他类似的义务。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“项目”系指投标人按</w:t>
      </w:r>
      <w:r>
        <w:rPr>
          <w:rFonts w:hint="eastAsia" w:ascii="宋体" w:hAnsi="宋体"/>
          <w:color w:val="0D0D0D"/>
          <w:sz w:val="24"/>
        </w:rPr>
        <w:t>招标文件</w:t>
      </w:r>
      <w:r>
        <w:rPr>
          <w:rFonts w:ascii="宋体" w:hAnsi="宋体"/>
          <w:color w:val="0D0D0D"/>
          <w:sz w:val="24"/>
        </w:rPr>
        <w:t>规定向采购人提供的产品和服务。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6</w:t>
      </w:r>
      <w:r>
        <w:rPr>
          <w:rFonts w:hint="eastAsia" w:ascii="宋体" w:hAnsi="宋体"/>
          <w:color w:val="0D0D0D"/>
          <w:sz w:val="24"/>
        </w:rPr>
        <w:t>.</w:t>
      </w:r>
      <w:r>
        <w:rPr>
          <w:rFonts w:ascii="宋体" w:hAnsi="宋体"/>
          <w:color w:val="0D0D0D"/>
          <w:sz w:val="24"/>
        </w:rPr>
        <w:t>“书面形式”包括信函、传真、电报等。</w:t>
      </w:r>
    </w:p>
    <w:p>
      <w:pPr>
        <w:snapToGrid w:val="0"/>
        <w:spacing w:line="400" w:lineRule="atLeast"/>
        <w:ind w:firstLine="480" w:firstLineChars="200"/>
        <w:jc w:val="left"/>
        <w:rPr>
          <w:rFonts w:hint="eastAsia" w:ascii="宋体" w:hAnsi="宋体"/>
          <w:color w:val="0D0D0D"/>
          <w:sz w:val="24"/>
          <w:szCs w:val="20"/>
        </w:rPr>
      </w:pPr>
      <w:r>
        <w:rPr>
          <w:rFonts w:ascii="宋体" w:hAnsi="宋体"/>
          <w:color w:val="0D0D0D"/>
          <w:sz w:val="24"/>
        </w:rPr>
        <w:t>7</w:t>
      </w:r>
      <w:r>
        <w:rPr>
          <w:rFonts w:hint="eastAsia" w:ascii="宋体" w:hAnsi="宋体"/>
          <w:color w:val="0D0D0D"/>
          <w:sz w:val="24"/>
        </w:rPr>
        <w:t>.</w:t>
      </w:r>
      <w:r>
        <w:rPr>
          <w:rFonts w:ascii="宋体" w:hAnsi="宋体"/>
          <w:color w:val="0D0D0D"/>
          <w:sz w:val="24"/>
        </w:rPr>
        <w:t>“▲”系指实质性要求条款。</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（三）招标方式</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本次招标采用</w:t>
      </w:r>
      <w:r>
        <w:rPr>
          <w:rFonts w:hint="eastAsia" w:ascii="宋体" w:hAnsi="宋体"/>
          <w:color w:val="0D0D0D"/>
          <w:sz w:val="24"/>
        </w:rPr>
        <w:t>公开招标的</w:t>
      </w:r>
      <w:r>
        <w:rPr>
          <w:rFonts w:ascii="宋体" w:hAnsi="宋体"/>
          <w:color w:val="0D0D0D"/>
          <w:sz w:val="24"/>
        </w:rPr>
        <w:t>方式进行。</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（四）投标委托</w:t>
      </w:r>
    </w:p>
    <w:p>
      <w:pPr>
        <w:snapToGrid w:val="0"/>
        <w:spacing w:line="400" w:lineRule="atLeast"/>
        <w:ind w:firstLine="480" w:firstLineChars="200"/>
        <w:jc w:val="left"/>
        <w:rPr>
          <w:rFonts w:hint="eastAsia" w:ascii="宋体" w:hAnsi="宋体" w:eastAsia="宋体" w:cs="Times New Roman"/>
          <w:color w:val="0D0D0D"/>
          <w:sz w:val="24"/>
        </w:rPr>
      </w:pPr>
      <w:r>
        <w:rPr>
          <w:rFonts w:ascii="宋体" w:hAnsi="宋体" w:eastAsia="宋体" w:cs="Times New Roman"/>
          <w:color w:val="0D0D0D"/>
          <w:sz w:val="24"/>
        </w:rPr>
        <w:t>投标人代表须</w:t>
      </w:r>
      <w:r>
        <w:rPr>
          <w:rFonts w:hint="eastAsia" w:ascii="宋体" w:hAnsi="宋体" w:eastAsia="宋体" w:cs="Times New Roman"/>
          <w:color w:val="0D0D0D"/>
          <w:sz w:val="24"/>
        </w:rPr>
        <w:t>提供</w:t>
      </w:r>
      <w:r>
        <w:rPr>
          <w:rFonts w:ascii="宋体" w:hAnsi="宋体" w:eastAsia="宋体" w:cs="Times New Roman"/>
          <w:color w:val="0D0D0D"/>
          <w:sz w:val="24"/>
        </w:rPr>
        <w:t>有效身份证件。如投标人代表不是法定代表人，须有法定代表人出具的授权委托书</w:t>
      </w:r>
      <w:r>
        <w:rPr>
          <w:rFonts w:hint="eastAsia" w:ascii="宋体" w:hAnsi="宋体" w:eastAsia="宋体" w:cs="Times New Roman"/>
          <w:color w:val="0D0D0D"/>
          <w:sz w:val="24"/>
        </w:rPr>
        <w:t>。</w:t>
      </w:r>
    </w:p>
    <w:p>
      <w:pPr>
        <w:snapToGrid w:val="0"/>
        <w:spacing w:before="120" w:beforeLines="50" w:line="400" w:lineRule="atLeast"/>
        <w:ind w:firstLine="472" w:firstLineChars="196"/>
        <w:jc w:val="left"/>
        <w:outlineLvl w:val="1"/>
        <w:rPr>
          <w:rFonts w:hint="eastAsia" w:ascii="宋体" w:hAnsi="宋体" w:eastAsia="宋体" w:cs="Times New Roman"/>
          <w:b/>
          <w:color w:val="0D0D0D"/>
          <w:sz w:val="24"/>
        </w:rPr>
      </w:pPr>
      <w:r>
        <w:rPr>
          <w:rFonts w:hint="eastAsia" w:ascii="宋体" w:hAnsi="宋体" w:eastAsia="宋体" w:cs="Times New Roman"/>
          <w:b/>
          <w:color w:val="0D0D0D"/>
          <w:sz w:val="24"/>
        </w:rPr>
        <w:t>（五）投标费用</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不论投标结果如何，投标人均应自行承担所有与投标有关的全部费用（招标文件有相反规定除外）。</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（六）联合体投标</w:t>
      </w:r>
    </w:p>
    <w:p>
      <w:pPr>
        <w:snapToGrid w:val="0"/>
        <w:spacing w:line="400" w:lineRule="atLeast"/>
        <w:ind w:firstLine="720" w:firstLineChars="300"/>
        <w:jc w:val="left"/>
        <w:rPr>
          <w:rFonts w:hint="eastAsia" w:ascii="宋体" w:hAnsi="宋体" w:cs="Arial"/>
          <w:color w:val="0D0D0D"/>
          <w:sz w:val="24"/>
        </w:rPr>
      </w:pPr>
      <w:r>
        <w:rPr>
          <w:rFonts w:hint="eastAsia" w:ascii="宋体" w:hAnsi="宋体" w:cs="Arial"/>
          <w:color w:val="0D0D0D"/>
          <w:sz w:val="24"/>
        </w:rPr>
        <w:t>本项目不接受联合体投标。</w:t>
      </w:r>
    </w:p>
    <w:p>
      <w:pPr>
        <w:snapToGrid w:val="0"/>
        <w:spacing w:before="120" w:beforeLines="50" w:line="400" w:lineRule="atLeast"/>
        <w:ind w:firstLine="472" w:firstLineChars="196"/>
        <w:rPr>
          <w:rFonts w:ascii="宋体" w:hAnsi="宋体" w:cs="宋体"/>
          <w:b/>
          <w:color w:val="0D0D0D"/>
          <w:kern w:val="0"/>
          <w:sz w:val="24"/>
          <w:szCs w:val="20"/>
        </w:rPr>
      </w:pPr>
      <w:r>
        <w:rPr>
          <w:rFonts w:hint="eastAsia" w:ascii="宋体" w:hAnsi="宋体"/>
          <w:b/>
          <w:color w:val="0D0D0D"/>
          <w:sz w:val="24"/>
        </w:rPr>
        <w:t>（七）</w:t>
      </w:r>
      <w:r>
        <w:rPr>
          <w:rFonts w:hint="eastAsia" w:ascii="宋体" w:hAnsi="宋体" w:cs="宋体"/>
          <w:b/>
          <w:color w:val="0D0D0D"/>
          <w:kern w:val="0"/>
          <w:sz w:val="24"/>
        </w:rPr>
        <w:t>转包与分包</w:t>
      </w:r>
    </w:p>
    <w:p>
      <w:pPr>
        <w:snapToGrid w:val="0"/>
        <w:spacing w:before="156" w:beforeLines="50"/>
        <w:ind w:firstLine="470" w:firstLineChars="196"/>
        <w:jc w:val="left"/>
        <w:outlineLvl w:val="1"/>
        <w:rPr>
          <w:rFonts w:hint="eastAsia" w:ascii="宋体" w:hAnsi="宋体" w:cs="宋体"/>
          <w:color w:val="0C0C0C"/>
          <w:kern w:val="0"/>
          <w:sz w:val="24"/>
        </w:rPr>
      </w:pPr>
      <w:r>
        <w:rPr>
          <w:rFonts w:hint="eastAsia" w:ascii="宋体" w:hAnsi="宋体" w:cs="宋体"/>
          <w:color w:val="0C0C0C"/>
          <w:kern w:val="0"/>
          <w:sz w:val="24"/>
        </w:rPr>
        <w:t>未经采购人同意，本项目不允许转包与分包。</w:t>
      </w:r>
    </w:p>
    <w:p>
      <w:pPr>
        <w:snapToGrid w:val="0"/>
        <w:spacing w:before="120" w:beforeLines="50" w:line="360" w:lineRule="auto"/>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1</w:t>
      </w:r>
      <w:r>
        <w:rPr>
          <w:rFonts w:hint="eastAsia" w:ascii="宋体" w:hAnsi="宋体" w:eastAsia="宋体" w:cs="Times New Roman"/>
          <w:bCs/>
          <w:color w:val="0D0D0D"/>
        </w:rPr>
        <w:t>、</w:t>
      </w:r>
      <w:r>
        <w:rPr>
          <w:rFonts w:ascii="宋体" w:hAnsi="宋体" w:eastAsia="宋体" w:cs="Times New Roman"/>
          <w:bCs/>
          <w:color w:val="0D0D0D"/>
        </w:rPr>
        <w:t>投标人投标所使用的资格、信誉、荣誉、业绩与企业认证必须为本法人所拥有。投标人投标所使用的采购项目实施人员必须为本法人员工（或必须为本法人或控股公司正式员工）。</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2</w:t>
      </w:r>
      <w:r>
        <w:rPr>
          <w:rFonts w:hint="eastAsia" w:ascii="宋体" w:hAnsi="宋体" w:eastAsia="宋体" w:cs="Times New Roman"/>
          <w:bCs/>
          <w:color w:val="0D0D0D"/>
        </w:rPr>
        <w:t>、</w:t>
      </w:r>
      <w:r>
        <w:rPr>
          <w:rFonts w:ascii="宋体" w:hAnsi="宋体" w:eastAsia="宋体" w:cs="Times New Roman"/>
          <w:bCs/>
          <w:color w:val="0D0D0D"/>
        </w:rPr>
        <w:t>投标人应仔细阅读招标文件的所有内容，按照招标文件的要求提交投标文件，并对所提供的全部资料的真实性承担法律责任。</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3</w:t>
      </w:r>
      <w:r>
        <w:rPr>
          <w:rFonts w:hint="eastAsia" w:ascii="宋体" w:hAnsi="宋体" w:eastAsia="宋体" w:cs="Times New Roman"/>
          <w:bCs/>
          <w:color w:val="0D0D0D"/>
        </w:rPr>
        <w:t>、</w:t>
      </w:r>
      <w:r>
        <w:rPr>
          <w:rFonts w:hint="eastAsia" w:ascii="宋体" w:hAnsi="宋体" w:eastAsia="宋体" w:cs="Times New Roman"/>
          <w:bCs/>
          <w:color w:val="0D0D0D"/>
          <w:lang w:eastAsia="zh-CN"/>
        </w:rPr>
        <w:t>供应商</w:t>
      </w:r>
      <w:r>
        <w:rPr>
          <w:rFonts w:ascii="宋体" w:hAnsi="宋体" w:eastAsia="宋体" w:cs="Times New Roman"/>
          <w:bCs/>
          <w:color w:val="0D0D0D"/>
        </w:rPr>
        <w:t xml:space="preserve">在投标活动中提供任何虚假材料,其投标无效，并报监管部门查处；中标后发现的, </w:t>
      </w:r>
      <w:r>
        <w:rPr>
          <w:rFonts w:hint="eastAsia" w:ascii="宋体" w:hAnsi="宋体" w:eastAsia="宋体" w:cs="Times New Roman"/>
          <w:bCs/>
          <w:color w:val="0D0D0D"/>
          <w:lang w:eastAsia="zh-CN"/>
        </w:rPr>
        <w:t>成交供应商</w:t>
      </w:r>
      <w:r>
        <w:rPr>
          <w:rFonts w:ascii="宋体" w:hAnsi="宋体" w:eastAsia="宋体" w:cs="Times New Roman"/>
          <w:bCs/>
          <w:color w:val="0D0D0D"/>
        </w:rPr>
        <w:t>须依照《</w:t>
      </w:r>
      <w:r>
        <w:rPr>
          <w:rFonts w:hint="eastAsia" w:ascii="宋体" w:hAnsi="宋体" w:eastAsia="宋体" w:cs="Times New Roman"/>
          <w:bCs/>
          <w:color w:val="0D0D0D"/>
        </w:rPr>
        <w:t>政府采购货物和服务招标投标管理办法</w:t>
      </w:r>
      <w:r>
        <w:rPr>
          <w:rFonts w:ascii="宋体" w:hAnsi="宋体" w:eastAsia="宋体" w:cs="Times New Roman"/>
          <w:bCs/>
          <w:color w:val="0D0D0D"/>
        </w:rPr>
        <w:t>》第</w:t>
      </w:r>
      <w:r>
        <w:rPr>
          <w:rFonts w:hint="eastAsia" w:ascii="宋体" w:hAnsi="宋体" w:eastAsia="宋体" w:cs="Times New Roman"/>
          <w:bCs/>
          <w:color w:val="0D0D0D"/>
        </w:rPr>
        <w:t>74</w:t>
      </w:r>
      <w:r>
        <w:rPr>
          <w:rFonts w:ascii="宋体" w:hAnsi="宋体" w:eastAsia="宋体" w:cs="Times New Roman"/>
          <w:bCs/>
          <w:color w:val="0D0D0D"/>
        </w:rPr>
        <w:t>条之规定</w:t>
      </w:r>
      <w:r>
        <w:rPr>
          <w:rFonts w:hint="eastAsia" w:ascii="宋体" w:hAnsi="宋体" w:eastAsia="宋体" w:cs="Times New Roman"/>
          <w:bCs/>
          <w:color w:val="0D0D0D"/>
        </w:rPr>
        <w:t>处以中标金额1%的罚款</w:t>
      </w:r>
      <w:r>
        <w:rPr>
          <w:rFonts w:ascii="宋体" w:hAnsi="宋体" w:eastAsia="宋体" w:cs="Times New Roman"/>
          <w:bCs/>
          <w:color w:val="0D0D0D"/>
        </w:rPr>
        <w:t>，且民事赔偿并不免除违法</w:t>
      </w:r>
      <w:r>
        <w:rPr>
          <w:rFonts w:hint="eastAsia" w:ascii="宋体" w:hAnsi="宋体" w:eastAsia="宋体" w:cs="Times New Roman"/>
          <w:bCs/>
          <w:color w:val="0D0D0D"/>
          <w:lang w:eastAsia="zh-CN"/>
        </w:rPr>
        <w:t>供应商</w:t>
      </w:r>
      <w:r>
        <w:rPr>
          <w:rFonts w:ascii="宋体" w:hAnsi="宋体" w:eastAsia="宋体" w:cs="Times New Roman"/>
          <w:bCs/>
          <w:color w:val="0D0D0D"/>
        </w:rPr>
        <w:t>的行政与刑事责任。</w:t>
      </w:r>
    </w:p>
    <w:p>
      <w:pPr>
        <w:pStyle w:val="28"/>
        <w:snapToGrid w:val="0"/>
        <w:spacing w:before="120" w:beforeLines="0" w:after="120" w:afterLines="0"/>
        <w:ind w:firstLine="472" w:firstLineChars="196"/>
        <w:outlineLvl w:val="1"/>
        <w:rPr>
          <w:rFonts w:hAnsi="宋体"/>
          <w:b/>
          <w:bCs/>
          <w:color w:val="0D0D0D"/>
        </w:rPr>
      </w:pPr>
      <w:r>
        <w:rPr>
          <w:rFonts w:hAnsi="宋体"/>
          <w:b/>
          <w:bCs/>
          <w:color w:val="0D0D0D"/>
        </w:rPr>
        <w:t>（</w:t>
      </w:r>
      <w:r>
        <w:rPr>
          <w:rFonts w:hint="eastAsia" w:hAnsi="宋体"/>
          <w:b/>
          <w:bCs/>
          <w:color w:val="0D0D0D"/>
          <w:lang w:val="en-US" w:eastAsia="zh-CN"/>
        </w:rPr>
        <w:t>九</w:t>
      </w:r>
      <w:r>
        <w:rPr>
          <w:rFonts w:hAnsi="宋体"/>
          <w:b/>
          <w:bCs/>
          <w:color w:val="0D0D0D"/>
        </w:rPr>
        <w:t>）质疑和投诉</w:t>
      </w:r>
    </w:p>
    <w:p>
      <w:pPr>
        <w:pStyle w:val="28"/>
        <w:snapToGrid w:val="0"/>
        <w:spacing w:before="120" w:beforeLines="0" w:after="120" w:afterLines="0"/>
        <w:ind w:firstLine="480" w:firstLineChars="200"/>
        <w:rPr>
          <w:rFonts w:hAnsi="宋体"/>
          <w:bCs/>
          <w:color w:val="0D0D0D"/>
        </w:rPr>
      </w:pPr>
      <w:r>
        <w:rPr>
          <w:rFonts w:hAnsi="宋体"/>
          <w:bCs/>
          <w:color w:val="0D0D0D"/>
        </w:rPr>
        <w:t>1.投标人认为</w:t>
      </w:r>
      <w:r>
        <w:rPr>
          <w:rFonts w:hint="eastAsia" w:hAnsi="宋体"/>
          <w:bCs/>
          <w:color w:val="0D0D0D"/>
        </w:rPr>
        <w:t>招标文件</w:t>
      </w:r>
      <w:r>
        <w:rPr>
          <w:rFonts w:hAnsi="宋体"/>
          <w:bCs/>
          <w:color w:val="0D0D0D"/>
        </w:rPr>
        <w:t>、谈判过程或中标结果使自己的合法权益受到损害的，应当在知道或者应知其权益受到损害之日起七个工作日内，以书面形式向采购人、采购代理机构提出质疑。</w:t>
      </w:r>
      <w:r>
        <w:rPr>
          <w:rFonts w:hAnsi="宋体"/>
          <w:color w:val="0D0D0D"/>
        </w:rPr>
        <w:t>投标人对招标采购单位的质疑答复不满意或者招标采购单位未在规定时间内作出答复的，可以在答复期满后</w:t>
      </w:r>
      <w:r>
        <w:rPr>
          <w:rFonts w:hAnsi="宋体"/>
          <w:color w:val="0C0C0C"/>
          <w:highlight w:val="none"/>
        </w:rPr>
        <w:t>十五个工作日</w:t>
      </w:r>
      <w:r>
        <w:rPr>
          <w:rFonts w:hAnsi="宋体"/>
          <w:color w:val="0D0D0D"/>
        </w:rPr>
        <w:t>内向同级采购监管部门投诉。</w:t>
      </w:r>
    </w:p>
    <w:p>
      <w:pPr>
        <w:pStyle w:val="28"/>
        <w:snapToGrid w:val="0"/>
        <w:spacing w:before="120" w:beforeLines="0" w:after="120" w:afterLines="0"/>
        <w:ind w:firstLine="480" w:firstLineChars="200"/>
        <w:rPr>
          <w:rFonts w:hAnsi="宋体"/>
          <w:bCs/>
          <w:color w:val="0D0D0D"/>
        </w:rPr>
      </w:pPr>
      <w:r>
        <w:rPr>
          <w:rFonts w:hAnsi="宋体"/>
          <w:bCs/>
          <w:color w:val="0D0D0D"/>
        </w:rPr>
        <w:t>2.质疑、投诉应当采用书面形式，质疑书、投诉书均应明确阐述</w:t>
      </w:r>
      <w:r>
        <w:rPr>
          <w:rFonts w:hint="eastAsia" w:hAnsi="宋体"/>
          <w:bCs/>
          <w:color w:val="0D0D0D"/>
        </w:rPr>
        <w:t>招标文件</w:t>
      </w:r>
      <w:r>
        <w:rPr>
          <w:rFonts w:hAnsi="宋体"/>
          <w:bCs/>
          <w:color w:val="0D0D0D"/>
        </w:rPr>
        <w:t>、招标过程或中标结果中使自己合法权益受到损害的实质性内容，提供相关事实、依据和证据及其来源或线索，便于有关单位调查、答复和处理。</w:t>
      </w:r>
    </w:p>
    <w:p>
      <w:pPr>
        <w:pStyle w:val="28"/>
        <w:snapToGrid w:val="0"/>
        <w:spacing w:before="120" w:beforeLines="0" w:after="120" w:afterLines="0"/>
        <w:ind w:firstLine="551" w:firstLineChars="196"/>
        <w:outlineLvl w:val="0"/>
        <w:rPr>
          <w:rFonts w:hAnsi="宋体"/>
          <w:b/>
          <w:color w:val="0D0D0D"/>
          <w:sz w:val="28"/>
          <w:szCs w:val="28"/>
        </w:rPr>
      </w:pPr>
      <w:r>
        <w:rPr>
          <w:rFonts w:hAnsi="宋体"/>
          <w:b/>
          <w:color w:val="0D0D0D"/>
          <w:sz w:val="28"/>
          <w:szCs w:val="28"/>
        </w:rPr>
        <w:t xml:space="preserve">二  </w:t>
      </w:r>
      <w:r>
        <w:rPr>
          <w:rFonts w:hint="eastAsia" w:hAnsi="宋体"/>
          <w:b/>
          <w:color w:val="0D0D0D"/>
          <w:sz w:val="28"/>
          <w:szCs w:val="28"/>
        </w:rPr>
        <w:t>招标文件</w:t>
      </w:r>
    </w:p>
    <w:p>
      <w:pPr>
        <w:snapToGrid w:val="0"/>
        <w:spacing w:line="400" w:lineRule="atLeast"/>
        <w:ind w:firstLine="472" w:firstLineChars="196"/>
        <w:jc w:val="left"/>
        <w:rPr>
          <w:rFonts w:ascii="宋体" w:hAnsi="宋体"/>
          <w:b/>
          <w:color w:val="0D0D0D"/>
          <w:sz w:val="24"/>
          <w:szCs w:val="20"/>
        </w:rPr>
      </w:pPr>
      <w:r>
        <w:rPr>
          <w:rFonts w:hint="eastAsia" w:ascii="宋体" w:hAnsi="宋体"/>
          <w:b/>
          <w:color w:val="0D0D0D"/>
          <w:sz w:val="24"/>
        </w:rPr>
        <w:t>（一）招标文件的构成。本招标文件由以下部份组成：</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.招标公告</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招标需求</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投标人须知</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评标办法及标准</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合同主要条款</w:t>
      </w:r>
    </w:p>
    <w:p>
      <w:pPr>
        <w:snapToGrid w:val="0"/>
        <w:spacing w:line="400" w:lineRule="atLeast"/>
        <w:ind w:firstLine="480" w:firstLineChars="200"/>
        <w:jc w:val="left"/>
        <w:rPr>
          <w:rFonts w:hint="eastAsia" w:ascii="宋体" w:hAnsi="宋体"/>
          <w:color w:val="0D0D0D"/>
          <w:sz w:val="24"/>
        </w:rPr>
      </w:pPr>
      <w:r>
        <w:rPr>
          <w:rFonts w:ascii="宋体" w:hAnsi="宋体"/>
          <w:color w:val="0D0D0D"/>
          <w:sz w:val="24"/>
        </w:rPr>
        <w:t>6</w:t>
      </w:r>
      <w:r>
        <w:rPr>
          <w:rFonts w:hint="eastAsia" w:ascii="宋体" w:hAnsi="宋体"/>
          <w:color w:val="0D0D0D"/>
          <w:sz w:val="24"/>
        </w:rPr>
        <w:t>.</w:t>
      </w:r>
      <w:r>
        <w:rPr>
          <w:rFonts w:ascii="宋体" w:hAnsi="宋体"/>
          <w:color w:val="0D0D0D"/>
          <w:sz w:val="24"/>
        </w:rPr>
        <w:t>报价文件格式</w:t>
      </w:r>
    </w:p>
    <w:p>
      <w:pPr>
        <w:snapToGrid w:val="0"/>
        <w:spacing w:line="400" w:lineRule="atLeast"/>
        <w:ind w:firstLine="480" w:firstLineChars="200"/>
        <w:jc w:val="left"/>
        <w:rPr>
          <w:rFonts w:hint="eastAsia" w:ascii="宋体" w:hAnsi="宋体"/>
          <w:color w:val="0D0D0D"/>
          <w:sz w:val="24"/>
          <w:szCs w:val="20"/>
        </w:rPr>
      </w:pPr>
      <w:r>
        <w:rPr>
          <w:rFonts w:hint="eastAsia" w:ascii="宋体" w:hAnsi="宋体"/>
          <w:color w:val="0D0D0D"/>
          <w:sz w:val="24"/>
        </w:rPr>
        <w:t>7.本项目招标文件的</w:t>
      </w:r>
      <w:r>
        <w:rPr>
          <w:rFonts w:ascii="宋体" w:hAnsi="宋体"/>
          <w:color w:val="0D0D0D"/>
          <w:sz w:val="24"/>
        </w:rPr>
        <w:t>澄清、答复、修改、补充的内容</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（二）投标人的风险</w:t>
      </w:r>
    </w:p>
    <w:p>
      <w:pPr>
        <w:snapToGrid w:val="0"/>
        <w:spacing w:line="400" w:lineRule="atLeast"/>
        <w:ind w:firstLine="480" w:firstLineChars="200"/>
        <w:jc w:val="left"/>
        <w:rPr>
          <w:rFonts w:ascii="宋体"/>
          <w:color w:val="0D0D0D"/>
          <w:szCs w:val="20"/>
        </w:rPr>
      </w:pPr>
      <w:r>
        <w:rPr>
          <w:rFonts w:hint="eastAsia" w:ascii="宋体" w:hAnsi="宋体"/>
          <w:color w:val="0D0D0D"/>
          <w:sz w:val="24"/>
        </w:rPr>
        <w:t>投标人没有按照招标文件要求提供全部资料，或者投标人没有对招标文件在各方面作出实质性响应是投标人的风险，并可能导致其投标被拒绝。</w:t>
      </w:r>
    </w:p>
    <w:p>
      <w:pPr>
        <w:pStyle w:val="11"/>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（三）招标文件的澄清与修改</w:t>
      </w:r>
      <w:r>
        <w:rPr>
          <w:rFonts w:ascii="宋体" w:hAnsi="宋体"/>
          <w:b/>
          <w:color w:val="0D0D0D"/>
          <w:szCs w:val="24"/>
        </w:rPr>
        <w:t xml:space="preserve"> </w:t>
      </w:r>
    </w:p>
    <w:p>
      <w:pPr>
        <w:pStyle w:val="28"/>
        <w:snapToGrid w:val="0"/>
        <w:spacing w:before="120" w:after="120" w:line="360" w:lineRule="auto"/>
        <w:ind w:firstLine="482" w:firstLineChars="200"/>
        <w:rPr>
          <w:rFonts w:hAnsi="宋体"/>
          <w:b/>
          <w:bCs/>
          <w:color w:val="auto"/>
          <w:highlight w:val="none"/>
        </w:rPr>
      </w:pPr>
      <w:r>
        <w:rPr>
          <w:rFonts w:hAnsi="宋体"/>
          <w:b/>
          <w:bCs/>
          <w:color w:val="auto"/>
          <w:highlight w:val="none"/>
        </w:rPr>
        <w:t>1.</w:t>
      </w:r>
      <w:r>
        <w:rPr>
          <w:b/>
          <w:bCs/>
          <w:color w:val="auto"/>
          <w:highlight w:val="none"/>
        </w:rPr>
        <w:t xml:space="preserve"> 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color w:val="auto"/>
          <w:highlight w:val="none"/>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pPr>
        <w:pStyle w:val="28"/>
        <w:snapToGrid w:val="0"/>
        <w:spacing w:before="120" w:beforeLines="0" w:after="120" w:afterLines="0"/>
        <w:ind w:firstLine="480" w:firstLineChars="200"/>
        <w:rPr>
          <w:rFonts w:hAnsi="宋体"/>
          <w:color w:val="0D0D0D"/>
        </w:rPr>
      </w:pPr>
      <w:r>
        <w:rPr>
          <w:rFonts w:hAnsi="宋体"/>
          <w:color w:val="0D0D0D"/>
        </w:rPr>
        <w:t>2.采购代理机构必须以书面形式答复投标人要求澄清的问题，并将不包含问题来源的答复书面通知所有购买</w:t>
      </w:r>
      <w:r>
        <w:rPr>
          <w:rFonts w:hint="eastAsia" w:hAnsi="宋体"/>
          <w:color w:val="0D0D0D"/>
        </w:rPr>
        <w:t>招标文件</w:t>
      </w:r>
      <w:r>
        <w:rPr>
          <w:rFonts w:hAnsi="宋体"/>
          <w:color w:val="0D0D0D"/>
        </w:rPr>
        <w:t>的投标人；除书面答复以外的其他澄清方式及澄清内容均无效。</w:t>
      </w:r>
    </w:p>
    <w:p>
      <w:pPr>
        <w:pStyle w:val="28"/>
        <w:snapToGrid w:val="0"/>
        <w:spacing w:before="120" w:beforeLines="0" w:after="120" w:afterLines="0"/>
        <w:ind w:firstLine="480" w:firstLineChars="200"/>
        <w:rPr>
          <w:rFonts w:hAnsi="宋体"/>
          <w:color w:val="0D0D0D"/>
        </w:rPr>
      </w:pPr>
      <w:r>
        <w:rPr>
          <w:rFonts w:hAnsi="宋体"/>
          <w:color w:val="0D0D0D"/>
        </w:rPr>
        <w:t>3.</w:t>
      </w:r>
      <w:r>
        <w:rPr>
          <w:rFonts w:hint="eastAsia" w:hAnsi="宋体"/>
          <w:color w:val="0D0D0D"/>
        </w:rPr>
        <w:t>招标文件</w:t>
      </w:r>
      <w:r>
        <w:rPr>
          <w:rFonts w:hAnsi="宋体"/>
          <w:color w:val="0D0D0D"/>
        </w:rPr>
        <w:t>澄清、答复、修改、补充的内容为</w:t>
      </w:r>
      <w:r>
        <w:rPr>
          <w:rFonts w:hint="eastAsia" w:hAnsi="宋体"/>
          <w:color w:val="0D0D0D"/>
        </w:rPr>
        <w:t>招标文件</w:t>
      </w:r>
      <w:r>
        <w:rPr>
          <w:rFonts w:hAnsi="宋体"/>
          <w:color w:val="0D0D0D"/>
        </w:rPr>
        <w:t>的组成部分。当</w:t>
      </w:r>
      <w:r>
        <w:rPr>
          <w:rFonts w:hint="eastAsia" w:hAnsi="宋体"/>
          <w:color w:val="0D0D0D"/>
        </w:rPr>
        <w:t>招标文件</w:t>
      </w:r>
      <w:r>
        <w:rPr>
          <w:rFonts w:hAnsi="宋体"/>
          <w:color w:val="0D0D0D"/>
        </w:rPr>
        <w:t>与</w:t>
      </w:r>
      <w:r>
        <w:rPr>
          <w:rFonts w:hint="eastAsia" w:hAnsi="宋体"/>
          <w:color w:val="0D0D0D"/>
        </w:rPr>
        <w:t>招标文件</w:t>
      </w:r>
      <w:r>
        <w:rPr>
          <w:rFonts w:hAnsi="宋体"/>
          <w:color w:val="0D0D0D"/>
        </w:rPr>
        <w:t>的答复、澄清、修改、补充通知就同一内容的表述不一致时，以最后发出的书面文件为准。</w:t>
      </w:r>
    </w:p>
    <w:p>
      <w:pPr>
        <w:pStyle w:val="28"/>
        <w:snapToGrid w:val="0"/>
        <w:spacing w:before="120" w:beforeLines="0" w:after="120" w:afterLines="0"/>
        <w:ind w:firstLine="480" w:firstLineChars="200"/>
        <w:rPr>
          <w:rFonts w:hAnsi="宋体"/>
          <w:color w:val="0D0D0D"/>
        </w:rPr>
      </w:pPr>
      <w:r>
        <w:rPr>
          <w:rFonts w:hAnsi="宋体"/>
          <w:color w:val="0D0D0D"/>
        </w:rPr>
        <w:t>4.</w:t>
      </w:r>
      <w:r>
        <w:rPr>
          <w:rFonts w:hint="eastAsia" w:hAnsi="宋体"/>
          <w:color w:val="0D0D0D"/>
        </w:rPr>
        <w:t>招标文件</w:t>
      </w:r>
      <w:r>
        <w:rPr>
          <w:rFonts w:hAnsi="宋体"/>
          <w:color w:val="0D0D0D"/>
        </w:rPr>
        <w:t>的澄清、答复、修改或补充都应该通过本代理机构以法定形式发布，采购人非通过本机构，不得擅自澄清、答复、修改或补充</w:t>
      </w:r>
      <w:r>
        <w:rPr>
          <w:rFonts w:hint="eastAsia" w:hAnsi="宋体"/>
          <w:color w:val="0D0D0D"/>
        </w:rPr>
        <w:t>招标文件</w:t>
      </w:r>
      <w:r>
        <w:rPr>
          <w:rFonts w:hAnsi="宋体"/>
          <w:color w:val="0D0D0D"/>
        </w:rPr>
        <w:t>。</w:t>
      </w:r>
    </w:p>
    <w:p>
      <w:pPr>
        <w:pStyle w:val="28"/>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三、报价文件的编制</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（一）报价文件的组成</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报价文件仅由商务文件组成。</w:t>
      </w:r>
    </w:p>
    <w:p>
      <w:pPr>
        <w:snapToGrid w:val="0"/>
        <w:spacing w:before="120" w:beforeLines="50" w:line="400" w:lineRule="atLeast"/>
        <w:ind w:firstLine="472" w:firstLineChars="196"/>
        <w:jc w:val="left"/>
        <w:rPr>
          <w:rFonts w:ascii="宋体" w:hAnsi="宋体"/>
          <w:b/>
          <w:color w:val="0D0D0D"/>
          <w:sz w:val="24"/>
          <w:szCs w:val="20"/>
        </w:rPr>
      </w:pPr>
      <w:r>
        <w:rPr>
          <w:rFonts w:ascii="宋体" w:hAnsi="宋体"/>
          <w:b/>
          <w:color w:val="0D0D0D"/>
          <w:sz w:val="24"/>
        </w:rPr>
        <w:t>1</w:t>
      </w:r>
      <w:r>
        <w:rPr>
          <w:rFonts w:hint="eastAsia" w:ascii="宋体" w:hAnsi="宋体"/>
          <w:b/>
          <w:color w:val="0D0D0D"/>
          <w:sz w:val="24"/>
        </w:rPr>
        <w:t>.</w:t>
      </w:r>
      <w:r>
        <w:rPr>
          <w:rFonts w:ascii="宋体" w:hAnsi="宋体"/>
          <w:b/>
          <w:color w:val="0D0D0D"/>
          <w:sz w:val="24"/>
        </w:rPr>
        <w:t>商务文件：</w:t>
      </w:r>
    </w:p>
    <w:p>
      <w:pPr>
        <w:autoSpaceDE w:val="0"/>
        <w:autoSpaceDN w:val="0"/>
        <w:adjustRightInd w:val="0"/>
        <w:spacing w:line="400" w:lineRule="atLeast"/>
        <w:ind w:firstLine="360" w:firstLineChars="150"/>
        <w:rPr>
          <w:rFonts w:hint="eastAsia" w:ascii="宋体"/>
          <w:color w:val="0D0D0D"/>
          <w:kern w:val="0"/>
          <w:sz w:val="24"/>
        </w:rPr>
      </w:pPr>
      <w:r>
        <w:rPr>
          <w:rFonts w:hint="eastAsia" w:ascii="宋体"/>
          <w:color w:val="0D0D0D"/>
          <w:kern w:val="0"/>
          <w:sz w:val="24"/>
        </w:rPr>
        <w:t>商务报价为投标人一次性报出包含全部内容的价格，包含其它一切所要涉及到的费用，有选择的报价将被拒绝。</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营业执照扫描件；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2</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法定代表人身份证明或法定代表人授权书（见附件）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3</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开标一览表（见附件）</w:t>
      </w:r>
      <w:r>
        <w:rPr>
          <w:rFonts w:hint="eastAsia" w:ascii="宋体" w:hAnsi="宋体" w:eastAsia="宋体" w:cs="Times New Roman"/>
          <w:b/>
          <w:color w:val="0C0C0C"/>
          <w:sz w:val="24"/>
          <w:szCs w:val="24"/>
          <w:highlight w:val="none"/>
          <w:lang w:eastAsia="zh-CN"/>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4</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投标报价清单（格式见附件</w:t>
      </w:r>
      <w:r>
        <w:rPr>
          <w:rFonts w:hint="eastAsia" w:ascii="宋体" w:hAnsi="宋体" w:cs="宋体"/>
          <w:b/>
          <w:bCs/>
          <w:color w:val="0C0C0C"/>
          <w:sz w:val="24"/>
          <w:szCs w:val="24"/>
          <w:highlight w:val="none"/>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b/>
          <w:color w:val="0C0C0C"/>
          <w:sz w:val="24"/>
          <w:szCs w:val="24"/>
          <w:highlight w:val="none"/>
          <w:lang w:eastAsia="zh-CN"/>
        </w:rPr>
        <w:t>（</w:t>
      </w:r>
      <w:r>
        <w:rPr>
          <w:rFonts w:hint="eastAsia" w:ascii="宋体" w:hAnsi="宋体"/>
          <w:b/>
          <w:color w:val="0C0C0C"/>
          <w:sz w:val="24"/>
          <w:szCs w:val="24"/>
          <w:highlight w:val="none"/>
          <w:lang w:val="en-US" w:eastAsia="zh-CN"/>
        </w:rPr>
        <w:t>5</w:t>
      </w:r>
      <w:r>
        <w:rPr>
          <w:rFonts w:hint="eastAsia" w:ascii="宋体" w:hAnsi="宋体"/>
          <w:b/>
          <w:color w:val="0C0C0C"/>
          <w:sz w:val="24"/>
          <w:szCs w:val="24"/>
          <w:highlight w:val="none"/>
          <w:lang w:eastAsia="zh-CN"/>
        </w:rPr>
        <w:t>）</w:t>
      </w:r>
      <w:r>
        <w:rPr>
          <w:rFonts w:hint="eastAsia" w:ascii="宋体" w:hAnsi="宋体"/>
          <w:b/>
          <w:color w:val="0C0C0C"/>
          <w:sz w:val="24"/>
          <w:szCs w:val="24"/>
          <w:highlight w:val="none"/>
        </w:rPr>
        <w:t>诚信投标承诺书（见附件）</w:t>
      </w:r>
      <w:r>
        <w:rPr>
          <w:rFonts w:hint="eastAsia" w:ascii="宋体" w:hAnsi="宋体"/>
          <w:b/>
          <w:color w:val="0C0C0C"/>
          <w:sz w:val="24"/>
          <w:szCs w:val="24"/>
          <w:highlight w:val="none"/>
          <w:lang w:eastAsia="zh-CN"/>
        </w:rPr>
        <w:t>。</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（二）报价文件的语言及计量</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w:t>
      </w:r>
      <w:r>
        <w:rPr>
          <w:rFonts w:ascii="宋体" w:hAnsi="宋体"/>
          <w:color w:val="0D0D0D"/>
          <w:sz w:val="24"/>
        </w:rPr>
        <w:t>报价文件以及投标方与招标方就有关投标事宜的所有来往函电，均应以中文汉语书写。除签名、盖章、专用名称等特殊情形外，以中文汉语以外的文字表述的报价文件视同未提供。</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w:t>
      </w:r>
      <w:r>
        <w:rPr>
          <w:rFonts w:ascii="宋体" w:hAnsi="宋体"/>
          <w:color w:val="0D0D0D"/>
          <w:sz w:val="24"/>
        </w:rPr>
        <w:t>投标计量单位，</w:t>
      </w:r>
      <w:r>
        <w:rPr>
          <w:rFonts w:hint="eastAsia" w:ascii="宋体" w:hAnsi="宋体"/>
          <w:color w:val="0D0D0D"/>
          <w:sz w:val="24"/>
        </w:rPr>
        <w:t>招标文件</w:t>
      </w:r>
      <w:r>
        <w:rPr>
          <w:rFonts w:ascii="宋体" w:hAnsi="宋体"/>
          <w:color w:val="0D0D0D"/>
          <w:sz w:val="24"/>
        </w:rPr>
        <w:t>已有明确规定的，使用</w:t>
      </w:r>
      <w:r>
        <w:rPr>
          <w:rFonts w:hint="eastAsia" w:ascii="宋体" w:hAnsi="宋体"/>
          <w:color w:val="0D0D0D"/>
          <w:sz w:val="24"/>
        </w:rPr>
        <w:t>招标文件</w:t>
      </w:r>
      <w:r>
        <w:rPr>
          <w:rFonts w:ascii="宋体" w:hAnsi="宋体"/>
          <w:color w:val="0D0D0D"/>
          <w:sz w:val="24"/>
        </w:rPr>
        <w:t>规定的计量单位；</w:t>
      </w:r>
      <w:r>
        <w:rPr>
          <w:rFonts w:hint="eastAsia" w:ascii="宋体" w:hAnsi="宋体"/>
          <w:color w:val="0D0D0D"/>
          <w:sz w:val="24"/>
        </w:rPr>
        <w:t>招标文件</w:t>
      </w:r>
      <w:r>
        <w:rPr>
          <w:rFonts w:ascii="宋体" w:hAnsi="宋体"/>
          <w:color w:val="0D0D0D"/>
          <w:sz w:val="24"/>
        </w:rPr>
        <w:t>没有规定的，应采用中华人民共和国法定计量单位（货币单位：人民币元），否则视同未响应。</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（三）投标报价</w:t>
      </w:r>
    </w:p>
    <w:p>
      <w:pPr>
        <w:pStyle w:val="28"/>
        <w:snapToGrid w:val="0"/>
        <w:spacing w:before="120" w:beforeLines="0" w:after="120" w:afterLines="0"/>
        <w:ind w:firstLine="720" w:firstLineChars="300"/>
        <w:jc w:val="left"/>
        <w:rPr>
          <w:rFonts w:hAnsi="宋体"/>
          <w:color w:val="0D0D0D"/>
        </w:rPr>
      </w:pPr>
      <w:r>
        <w:rPr>
          <w:rFonts w:hAnsi="宋体"/>
          <w:color w:val="0D0D0D"/>
        </w:rPr>
        <w:t>1.投标报价应按</w:t>
      </w:r>
      <w:r>
        <w:rPr>
          <w:rFonts w:hint="eastAsia" w:hAnsi="宋体"/>
          <w:color w:val="0D0D0D"/>
        </w:rPr>
        <w:t>招标文件</w:t>
      </w:r>
      <w:r>
        <w:rPr>
          <w:rFonts w:hAnsi="宋体"/>
          <w:color w:val="0D0D0D"/>
        </w:rPr>
        <w:t>中相关附表格式填写。</w:t>
      </w:r>
    </w:p>
    <w:p>
      <w:pPr>
        <w:pStyle w:val="11"/>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
          <w:color w:val="0D0D0D"/>
          <w:szCs w:val="24"/>
        </w:rPr>
      </w:pPr>
      <w:r>
        <w:rPr>
          <w:rFonts w:hint="eastAsia" w:ascii="宋体" w:hAnsi="宋体"/>
          <w:b/>
          <w:color w:val="0D0D0D"/>
          <w:szCs w:val="24"/>
        </w:rPr>
        <w:t xml:space="preserve">▲2. </w:t>
      </w:r>
      <w:r>
        <w:rPr>
          <w:rFonts w:hint="eastAsia" w:ascii="宋体" w:hAnsi="宋体"/>
          <w:color w:val="0D0D0D"/>
          <w:szCs w:val="24"/>
        </w:rPr>
        <w:t>本次招标完成合同签订后，根据采购人项目施工实际情况按实计量结算，投标人应充分考虑项目实际工作量的不确定因素，投标报价时结合实际情况及自身的综合实力填报投标报价。</w:t>
      </w:r>
      <w:r>
        <w:rPr>
          <w:rFonts w:hint="eastAsia" w:ascii="宋体" w:hAnsi="宋体"/>
          <w:b/>
          <w:bCs/>
          <w:color w:val="0D0D0D"/>
          <w:szCs w:val="24"/>
        </w:rPr>
        <w:t>其应包括货物的供货、包装、运输（货物运到采购人指定的施工现场，</w:t>
      </w:r>
      <w:r>
        <w:rPr>
          <w:rFonts w:hint="eastAsia" w:ascii="宋体" w:hAnsi="宋体"/>
          <w:b/>
          <w:bCs/>
          <w:color w:val="0D0D0D"/>
          <w:szCs w:val="24"/>
          <w:lang w:val="en-US" w:eastAsia="zh-CN"/>
        </w:rPr>
        <w:t>需提供水泥散装罐，供货结束后由供应商自行运回，</w:t>
      </w:r>
      <w:r>
        <w:rPr>
          <w:rFonts w:hint="eastAsia" w:ascii="宋体" w:hAnsi="宋体"/>
          <w:b/>
          <w:bCs/>
          <w:color w:val="0D0D0D"/>
          <w:szCs w:val="24"/>
        </w:rPr>
        <w:t>如因项目需要发生分批次采购的，相关运费由投标人承担）、保险、</w:t>
      </w:r>
      <w:r>
        <w:rPr>
          <w:rFonts w:hint="eastAsia" w:ascii="宋体" w:hAnsi="宋体"/>
          <w:b/>
          <w:bCs/>
          <w:color w:val="0D0D0D"/>
          <w:szCs w:val="24"/>
          <w:lang w:eastAsia="zh-CN"/>
        </w:rPr>
        <w:t>装卸</w:t>
      </w:r>
      <w:r>
        <w:rPr>
          <w:rFonts w:hint="eastAsia" w:ascii="宋体" w:hAnsi="宋体"/>
          <w:b/>
          <w:bCs/>
          <w:color w:val="0D0D0D"/>
          <w:szCs w:val="24"/>
        </w:rPr>
        <w:t>、损耗、材料、风险、利润</w:t>
      </w:r>
      <w:r>
        <w:rPr>
          <w:rFonts w:hint="eastAsia" w:ascii="宋体" w:hAnsi="宋体"/>
          <w:b/>
          <w:bCs/>
          <w:color w:val="0D0D0D"/>
          <w:szCs w:val="24"/>
          <w:lang w:val="en-US" w:eastAsia="zh-CN"/>
        </w:rPr>
        <w:t>和税金</w:t>
      </w:r>
      <w:r>
        <w:rPr>
          <w:rFonts w:hint="eastAsia" w:ascii="宋体" w:hAnsi="宋体"/>
          <w:b/>
          <w:bCs/>
          <w:color w:val="0D0D0D"/>
          <w:szCs w:val="24"/>
        </w:rPr>
        <w:t>等一切费用，</w:t>
      </w:r>
      <w:r>
        <w:rPr>
          <w:rFonts w:hint="eastAsia" w:ascii="宋体" w:hAnsi="宋体"/>
          <w:color w:val="0D0D0D"/>
          <w:szCs w:val="24"/>
        </w:rPr>
        <w:t>如有漏项，视同已包含在其总项目中。采购人可根据实际情况调整采购数量，</w:t>
      </w:r>
      <w:r>
        <w:rPr>
          <w:rFonts w:hint="eastAsia" w:ascii="宋体" w:hAnsi="宋体"/>
          <w:color w:val="0D0D0D"/>
          <w:szCs w:val="24"/>
          <w:lang w:val="en-US" w:eastAsia="zh-CN"/>
        </w:rPr>
        <w:t>各投标人应根据本项目实际情况和自身的综合实力，竞价投标报价</w:t>
      </w:r>
      <w:r>
        <w:rPr>
          <w:rFonts w:hint="eastAsia" w:ascii="宋体" w:hAnsi="宋体"/>
          <w:color w:val="0D0D0D"/>
          <w:szCs w:val="24"/>
        </w:rPr>
        <w:t>。</w:t>
      </w:r>
    </w:p>
    <w:p>
      <w:pPr>
        <w:pStyle w:val="11"/>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Cs/>
          <w:color w:val="0D0D0D"/>
          <w:szCs w:val="24"/>
        </w:rPr>
      </w:pPr>
      <w:r>
        <w:rPr>
          <w:rFonts w:hint="eastAsia" w:ascii="宋体" w:hAnsi="宋体"/>
          <w:b/>
          <w:color w:val="0D0D0D"/>
          <w:szCs w:val="24"/>
        </w:rPr>
        <w:t>▲</w:t>
      </w:r>
      <w:r>
        <w:rPr>
          <w:rFonts w:hint="eastAsia" w:ascii="宋体" w:hAnsi="宋体"/>
          <w:bCs/>
          <w:color w:val="0D0D0D"/>
          <w:szCs w:val="24"/>
        </w:rPr>
        <w:t>3、采购人不接受任何选择报价，对每一种货物只允许一个报价。</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4、采购人要求分项报价是为了方便评标，但在任何情况下不限制采购人以其认为最合适的条款、条件签订合同的权利。</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5、投标人所报的投标价在合同执行过程中是固定不变的，不得以任何理由予以变更。任何包含价格调整的要求，将被认为是非实质性响应投标而予以拒绝。</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6、相关报价单需打印或用不退色的墨水填写， 投标报价单不得涂改和增删，如有错漏必须修改，修改处须由同一签署人签字或盖章。由于字迹模糊或表达不清引起的后果由投标人负责。</w:t>
      </w:r>
    </w:p>
    <w:p>
      <w:pPr>
        <w:pStyle w:val="11"/>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（四）报价文件的有效期</w:t>
      </w:r>
    </w:p>
    <w:p>
      <w:pPr>
        <w:pStyle w:val="11"/>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hint="eastAsia" w:ascii="宋体" w:hAnsi="宋体"/>
          <w:color w:val="0D0D0D"/>
          <w:szCs w:val="24"/>
        </w:rPr>
        <w:t>▲</w:t>
      </w:r>
      <w:r>
        <w:rPr>
          <w:rFonts w:ascii="宋体" w:hAnsi="宋体"/>
          <w:color w:val="0D0D0D"/>
          <w:szCs w:val="24"/>
        </w:rPr>
        <w:t>1</w:t>
      </w:r>
      <w:r>
        <w:rPr>
          <w:rFonts w:hint="eastAsia" w:ascii="宋体" w:hAnsi="宋体"/>
          <w:color w:val="0D0D0D"/>
          <w:szCs w:val="24"/>
        </w:rPr>
        <w:t>.</w:t>
      </w:r>
      <w:r>
        <w:rPr>
          <w:rFonts w:ascii="宋体" w:hAnsi="宋体"/>
          <w:color w:val="0D0D0D"/>
          <w:szCs w:val="24"/>
        </w:rPr>
        <w:t>自投标截止日起</w:t>
      </w:r>
      <w:r>
        <w:rPr>
          <w:rFonts w:ascii="宋体" w:hAnsi="宋体"/>
          <w:color w:val="0D0D0D"/>
          <w:szCs w:val="24"/>
          <w:u w:val="single"/>
        </w:rPr>
        <w:t xml:space="preserve"> </w:t>
      </w:r>
      <w:r>
        <w:rPr>
          <w:rFonts w:hint="eastAsia" w:ascii="宋体" w:hAnsi="宋体"/>
          <w:color w:val="0D0D0D"/>
          <w:szCs w:val="24"/>
          <w:u w:val="single"/>
        </w:rPr>
        <w:t>90</w:t>
      </w:r>
      <w:r>
        <w:rPr>
          <w:rFonts w:ascii="宋体" w:hAnsi="宋体"/>
          <w:color w:val="0D0D0D"/>
          <w:szCs w:val="24"/>
        </w:rPr>
        <w:t>天报价文件应保持有效。</w:t>
      </w:r>
      <w:r>
        <w:rPr>
          <w:rFonts w:hint="eastAsia" w:ascii="宋体" w:hAnsi="宋体"/>
          <w:color w:val="0D0D0D"/>
          <w:szCs w:val="24"/>
        </w:rPr>
        <w:t>中标人报价文件有效期延长至合同有效期。</w:t>
      </w:r>
      <w:r>
        <w:rPr>
          <w:rFonts w:ascii="宋体" w:hAnsi="宋体"/>
          <w:color w:val="0D0D0D"/>
          <w:szCs w:val="24"/>
        </w:rPr>
        <w:t>有效期</w:t>
      </w:r>
      <w:r>
        <w:rPr>
          <w:rFonts w:hint="eastAsia" w:ascii="宋体" w:hAnsi="宋体"/>
          <w:color w:val="0D0D0D"/>
          <w:szCs w:val="24"/>
        </w:rPr>
        <w:t>不足</w:t>
      </w:r>
      <w:r>
        <w:rPr>
          <w:rFonts w:ascii="宋体" w:hAnsi="宋体"/>
          <w:color w:val="0D0D0D"/>
          <w:szCs w:val="24"/>
        </w:rPr>
        <w:t>的报价文件将被拒绝。</w:t>
      </w:r>
    </w:p>
    <w:p>
      <w:pPr>
        <w:pStyle w:val="11"/>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ascii="宋体" w:hAnsi="宋体"/>
          <w:color w:val="0D0D0D"/>
          <w:szCs w:val="24"/>
        </w:rPr>
        <w:t>2</w:t>
      </w:r>
      <w:r>
        <w:rPr>
          <w:rFonts w:hint="eastAsia" w:ascii="宋体" w:hAnsi="宋体"/>
          <w:color w:val="0D0D0D"/>
          <w:szCs w:val="24"/>
        </w:rPr>
        <w:t>.</w:t>
      </w:r>
      <w:r>
        <w:rPr>
          <w:rFonts w:ascii="宋体" w:hAnsi="宋体"/>
          <w:color w:val="0D0D0D"/>
          <w:szCs w:val="24"/>
        </w:rPr>
        <w:t>在特殊情况下，招标人可与投标人协商延长投标书的有效期，这种要求和答复均以书面形式进行。</w:t>
      </w:r>
    </w:p>
    <w:p>
      <w:pPr>
        <w:snapToGrid w:val="0"/>
        <w:spacing w:line="400" w:lineRule="atLeast"/>
        <w:ind w:firstLine="480" w:firstLineChars="200"/>
        <w:jc w:val="left"/>
        <w:outlineLvl w:val="0"/>
        <w:rPr>
          <w:rFonts w:ascii="宋体" w:hAnsi="宋体"/>
          <w:b/>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投标人可拒绝接受延期要求而不会导致投标保证金被没收。同意延长有效期的投标人需要相应延长投标保证金的有效期，但不能修改报价文件。</w:t>
      </w:r>
      <w:r>
        <w:rPr>
          <w:rFonts w:ascii="宋体" w:hAnsi="宋体"/>
          <w:b/>
          <w:color w:val="0D0D0D"/>
          <w:sz w:val="24"/>
        </w:rPr>
        <w:t xml:space="preserve"> </w:t>
      </w:r>
    </w:p>
    <w:p>
      <w:pPr>
        <w:snapToGrid w:val="0"/>
        <w:spacing w:line="400" w:lineRule="atLeast"/>
        <w:ind w:firstLine="480" w:firstLineChars="200"/>
        <w:jc w:val="left"/>
        <w:outlineLvl w:val="0"/>
        <w:rPr>
          <w:rFonts w:hint="eastAsia" w:ascii="宋体" w:hAnsi="宋体"/>
          <w:b/>
          <w:color w:val="0D0D0D"/>
          <w:sz w:val="24"/>
        </w:rPr>
      </w:pPr>
      <w:r>
        <w:rPr>
          <w:rFonts w:ascii="宋体" w:hAnsi="宋体"/>
          <w:color w:val="0D0D0D"/>
          <w:sz w:val="24"/>
        </w:rPr>
        <w:t>4</w:t>
      </w:r>
      <w:r>
        <w:rPr>
          <w:rFonts w:hint="eastAsia" w:ascii="宋体" w:hAnsi="宋体"/>
          <w:color w:val="0D0D0D"/>
          <w:sz w:val="24"/>
        </w:rPr>
        <w:t>.</w:t>
      </w:r>
      <w:r>
        <w:rPr>
          <w:rFonts w:ascii="宋体" w:hAnsi="宋体"/>
          <w:color w:val="0D0D0D"/>
          <w:sz w:val="24"/>
        </w:rPr>
        <w:t>中标人的报价文件自开标之日起至合同履行完毕止均应保持有效。</w:t>
      </w:r>
    </w:p>
    <w:p>
      <w:pPr>
        <w:pStyle w:val="11"/>
        <w:widowControl w:val="0"/>
        <w:tabs>
          <w:tab w:val="clear" w:pos="454"/>
          <w:tab w:val="clear" w:pos="900"/>
        </w:tabs>
        <w:snapToGrid w:val="0"/>
        <w:spacing w:after="0" w:afterLines="0" w:line="360" w:lineRule="auto"/>
        <w:ind w:left="0" w:firstLine="472" w:firstLineChars="196"/>
        <w:rPr>
          <w:rFonts w:hint="eastAsia"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五</w:t>
      </w:r>
      <w:r>
        <w:rPr>
          <w:rFonts w:hint="eastAsia" w:ascii="宋体" w:hAnsi="宋体"/>
          <w:b/>
          <w:color w:val="auto"/>
          <w:szCs w:val="24"/>
          <w:highlight w:val="none"/>
        </w:rPr>
        <w:t>）投标保证金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color w:val="auto"/>
          <w:sz w:val="24"/>
          <w:highlight w:val="none"/>
        </w:rPr>
        <w:t>2.保证金形式：</w:t>
      </w:r>
      <w:r>
        <w:rPr>
          <w:rFonts w:hint="eastAsia" w:ascii="宋体" w:hAnsi="宋体" w:eastAsia="宋体" w:cs="宋体"/>
          <w:bCs/>
          <w:kern w:val="0"/>
          <w:sz w:val="24"/>
        </w:rPr>
        <w:t>现金转账、银行保函、保险机构保证保险保单、融资担保公司保函。</w:t>
      </w:r>
      <w:r>
        <w:rPr>
          <w:rFonts w:hint="eastAsia" w:ascii="宋体" w:hAnsi="宋体" w:eastAsia="宋体" w:cs="Times New Roman"/>
          <w:color w:val="auto"/>
          <w:sz w:val="24"/>
          <w:highlight w:val="none"/>
        </w:rPr>
        <w:t>3.未中标人的投标保证金在中标通知书发出后5个工作日内退还。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4.中标人应在中标通知书发出后 30  日内与采购人签订合同，中标人的投标保证金在合同签订后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5.保证金不计息。</w:t>
      </w:r>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lang w:val="en-US" w:eastAsia="zh-CN"/>
        </w:rPr>
        <w:t>4</w:t>
      </w:r>
      <w:r>
        <w:rPr>
          <w:rFonts w:hint="eastAsia" w:ascii="宋体" w:hAnsi="宋体"/>
          <w:b/>
          <w:bCs/>
          <w:color w:val="auto"/>
          <w:sz w:val="24"/>
          <w:highlight w:val="none"/>
        </w:rPr>
        <w:t>.投标人有下列情形之一的，投标保证金将不予退还：</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（6）拒绝履行合同义务的；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（7）有《关于印发&lt;台州市工程建设投标保函管理规定&gt;的通知》（台公管办〔2022〕2号）第十一条规定情形的。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）其他严重扰乱招投标程序的；</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六</w:t>
      </w:r>
      <w:r>
        <w:rPr>
          <w:rFonts w:hint="eastAsia" w:ascii="宋体" w:hAnsi="宋体"/>
          <w:b/>
          <w:color w:val="0D0D0D"/>
          <w:sz w:val="24"/>
        </w:rPr>
        <w:t>）报价文件的签署和份数</w:t>
      </w:r>
    </w:p>
    <w:p>
      <w:pPr>
        <w:snapToGrid w:val="0"/>
        <w:spacing w:line="360" w:lineRule="auto"/>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hint="eastAsia" w:ascii="宋体" w:hAnsi="宋体"/>
          <w:bCs/>
          <w:color w:val="auto"/>
          <w:sz w:val="24"/>
          <w:highlight w:val="none"/>
        </w:rPr>
        <w:t>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投标文件须由投标人在规定位置盖章并由法定代表人或法定代表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rPr>
        <w:t>或盖章</w:t>
      </w:r>
      <w:r>
        <w:rPr>
          <w:rFonts w:ascii="宋体" w:hAnsi="宋体"/>
          <w:color w:val="auto"/>
          <w:sz w:val="24"/>
          <w:highlight w:val="none"/>
        </w:rPr>
        <w:t>，投标人应写全称。</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00" w:lineRule="atLeast"/>
        <w:ind w:firstLine="354" w:firstLineChars="147"/>
        <w:jc w:val="left"/>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七</w:t>
      </w:r>
      <w:r>
        <w:rPr>
          <w:rFonts w:hint="eastAsia" w:ascii="宋体" w:hAnsi="宋体"/>
          <w:b/>
          <w:color w:val="0D0D0D"/>
          <w:sz w:val="24"/>
        </w:rPr>
        <w:t>）报价文件的包装、递交、修改和撤回</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1.本工程采用电子投标，无需纸质投标文件；</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2.投标人应在投标截止时间前上传投标文件。逾期上传的或者未上传指定系统的，视为投标文件未送达。</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3.在规定的投标截止时间前，投标人可以修改或撤回已递交的电子投标文件；修改好后重新上传加密电子投标文件。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4.在投标截止时间至投标有效期满之前，投标人不得撤回其投标文件，否则其投标担保将被没收。</w:t>
      </w:r>
    </w:p>
    <w:p>
      <w:pPr>
        <w:snapToGrid w:val="0"/>
        <w:spacing w:before="120" w:beforeLines="50" w:line="400" w:lineRule="atLeast"/>
        <w:ind w:firstLine="472" w:firstLineChars="196"/>
        <w:outlineLvl w:val="2"/>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八</w:t>
      </w:r>
      <w:r>
        <w:rPr>
          <w:rFonts w:hint="eastAsia" w:ascii="宋体" w:hAnsi="宋体"/>
          <w:b/>
          <w:color w:val="0D0D0D"/>
          <w:sz w:val="24"/>
        </w:rPr>
        <w:t>）投标无效的情形</w:t>
      </w:r>
    </w:p>
    <w:p>
      <w:pPr>
        <w:snapToGrid w:val="0"/>
        <w:spacing w:line="400" w:lineRule="atLeast"/>
        <w:ind w:firstLine="480" w:firstLineChars="200"/>
        <w:rPr>
          <w:rFonts w:ascii="宋体" w:hAnsi="宋体"/>
          <w:bCs/>
          <w:color w:val="0D0D0D"/>
          <w:sz w:val="24"/>
          <w:szCs w:val="20"/>
        </w:rPr>
      </w:pPr>
      <w:r>
        <w:rPr>
          <w:rFonts w:hint="eastAsia" w:ascii="宋体" w:hAnsi="宋体"/>
          <w:bCs/>
          <w:color w:val="0D0D0D"/>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不补正或经补正后仍不符合招标文件要求的，应认定其投标无效。投标人修改、补正报价文件后，不影响评标委员会对其报价文件所作的评价和评分结果。</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在符合性审查和商务评审时，如发现下列情形之一的，报价文件将被视为无效：</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（4）投标代表人未能出具身份证明或与法定代表人授权委托人身份不符的； </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7</w:t>
      </w:r>
      <w:r>
        <w:rPr>
          <w:rFonts w:hint="eastAsia" w:ascii="宋体" w:hAnsi="宋体" w:eastAsia="宋体" w:cs="Times New Roman"/>
          <w:bCs/>
          <w:color w:val="auto"/>
          <w:sz w:val="24"/>
          <w:highlight w:val="none"/>
        </w:rPr>
        <w:t>）投标有效期、服务时间等条款不能满足招标文件要求的；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8</w:t>
      </w:r>
      <w:r>
        <w:rPr>
          <w:rFonts w:hint="eastAsia" w:ascii="宋体" w:hAnsi="宋体" w:eastAsia="宋体" w:cs="Times New Roman"/>
          <w:bCs/>
          <w:color w:val="auto"/>
          <w:sz w:val="24"/>
          <w:highlight w:val="none"/>
        </w:rPr>
        <w:t>）未实质性响应招标文件要求或者投标文件有采购人不能接受的附加条件的；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9</w:t>
      </w:r>
      <w:r>
        <w:rPr>
          <w:rFonts w:hint="eastAsia" w:ascii="宋体" w:hAnsi="宋体" w:eastAsia="宋体" w:cs="Times New Roman"/>
          <w:bCs/>
          <w:color w:val="auto"/>
          <w:sz w:val="24"/>
          <w:highlight w:val="none"/>
        </w:rPr>
        <w:t>）两家或两家以上投标单位上传投标文件的ip地址（或工程清单锁地址）相同，视为串标行为，取消评标资格。</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10</w:t>
      </w:r>
      <w:r>
        <w:rPr>
          <w:rFonts w:hint="eastAsia" w:ascii="宋体" w:hAnsi="宋体" w:eastAsia="宋体" w:cs="Times New Roman"/>
          <w:bCs/>
          <w:color w:val="auto"/>
          <w:sz w:val="24"/>
          <w:highlight w:val="none"/>
        </w:rPr>
        <w:t>）法律法规或规章规定属无效标情形的。</w:t>
      </w:r>
    </w:p>
    <w:p>
      <w:pPr>
        <w:pStyle w:val="21"/>
        <w:snapToGrid w:val="0"/>
        <w:spacing w:line="400" w:lineRule="atLeast"/>
        <w:ind w:firstLine="457" w:firstLineChars="196"/>
        <w:rPr>
          <w:rFonts w:hAnsi="宋体"/>
          <w:b/>
          <w:bCs/>
          <w:color w:val="0D0D0D"/>
          <w:sz w:val="24"/>
        </w:rPr>
      </w:pPr>
      <w:r>
        <w:rPr>
          <w:rFonts w:hAnsi="宋体"/>
          <w:b/>
          <w:bCs/>
          <w:color w:val="0D0D0D"/>
          <w:sz w:val="24"/>
        </w:rPr>
        <w:t>2.在报价评审时，如发现下列情形之一的，报价文件将被视为无效：</w:t>
      </w:r>
    </w:p>
    <w:p>
      <w:pPr>
        <w:pStyle w:val="21"/>
        <w:snapToGrid w:val="0"/>
        <w:spacing w:line="400" w:lineRule="atLeast"/>
        <w:ind w:firstLine="454" w:firstLineChars="196"/>
        <w:rPr>
          <w:rFonts w:hAnsi="宋体"/>
          <w:color w:val="0D0D0D"/>
          <w:sz w:val="24"/>
        </w:rPr>
      </w:pPr>
      <w:r>
        <w:rPr>
          <w:rFonts w:hAnsi="宋体"/>
          <w:color w:val="0D0D0D"/>
          <w:sz w:val="24"/>
        </w:rPr>
        <w:t>（1）未采用人民币报价或者未按照招标文件标明的币种报价的；</w:t>
      </w:r>
    </w:p>
    <w:p>
      <w:pPr>
        <w:pStyle w:val="21"/>
        <w:snapToGrid w:val="0"/>
        <w:spacing w:line="400" w:lineRule="atLeast"/>
        <w:ind w:firstLine="464" w:firstLineChars="200"/>
        <w:rPr>
          <w:rFonts w:hAnsi="宋体"/>
          <w:color w:val="0D0D0D"/>
          <w:sz w:val="24"/>
        </w:rPr>
      </w:pPr>
      <w:r>
        <w:rPr>
          <w:rFonts w:hAnsi="宋体"/>
          <w:color w:val="0D0D0D"/>
          <w:sz w:val="24"/>
        </w:rPr>
        <w:t>（2）投标报价具有选择性，或者开标价格与投标文件承诺的优惠（折扣）价格不一致的；</w:t>
      </w:r>
    </w:p>
    <w:p>
      <w:pPr>
        <w:pStyle w:val="21"/>
        <w:snapToGrid w:val="0"/>
        <w:spacing w:line="240" w:lineRule="auto"/>
        <w:ind w:firstLine="464" w:firstLineChars="200"/>
        <w:rPr>
          <w:rFonts w:hAnsi="宋体"/>
          <w:color w:val="auto"/>
          <w:sz w:val="24"/>
          <w:highlight w:val="none"/>
        </w:rPr>
      </w:pPr>
      <w:r>
        <w:rPr>
          <w:rFonts w:hAnsi="宋体"/>
          <w:color w:val="auto"/>
          <w:sz w:val="24"/>
          <w:highlight w:val="none"/>
        </w:rPr>
        <w:t>（3）投标报价不得超过单价最高限价</w:t>
      </w:r>
      <w:r>
        <w:rPr>
          <w:rFonts w:hint="eastAsia" w:hAnsi="宋体"/>
          <w:color w:val="auto"/>
          <w:sz w:val="24"/>
          <w:highlight w:val="none"/>
          <w:lang w:val="en-US" w:eastAsia="zh-CN"/>
        </w:rPr>
        <w:t>或</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p>
    <w:p>
      <w:pPr>
        <w:pStyle w:val="21"/>
        <w:snapToGrid w:val="0"/>
        <w:spacing w:line="400" w:lineRule="atLeast"/>
        <w:ind w:firstLine="466" w:firstLineChars="200"/>
        <w:rPr>
          <w:rFonts w:hAnsi="宋体"/>
          <w:color w:val="0D0D0D"/>
          <w:sz w:val="24"/>
        </w:rPr>
      </w:pPr>
      <w:r>
        <w:rPr>
          <w:rFonts w:ascii="宋体" w:hAnsi="宋体" w:eastAsia="宋体" w:cs="Times New Roman"/>
          <w:b/>
          <w:bCs/>
          <w:color w:val="0D0D0D"/>
          <w:sz w:val="24"/>
        </w:rPr>
        <w:t>（</w:t>
      </w:r>
      <w:r>
        <w:rPr>
          <w:rFonts w:hint="eastAsia" w:hAnsi="宋体" w:cs="Times New Roman"/>
          <w:b/>
          <w:bCs/>
          <w:color w:val="0D0D0D"/>
          <w:sz w:val="24"/>
          <w:lang w:val="en-US" w:eastAsia="zh-CN"/>
        </w:rPr>
        <w:t>4</w:t>
      </w:r>
      <w:r>
        <w:rPr>
          <w:rFonts w:ascii="宋体" w:hAnsi="宋体" w:eastAsia="宋体" w:cs="Times New Roman"/>
          <w:b/>
          <w:bCs/>
          <w:color w:val="0D0D0D"/>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Ansi="宋体"/>
          <w:b/>
          <w:bCs/>
          <w:color w:val="0D0D0D"/>
          <w:sz w:val="24"/>
        </w:rPr>
        <w:t xml:space="preserve">  </w:t>
      </w:r>
      <w:r>
        <w:rPr>
          <w:rFonts w:hAnsi="宋体"/>
          <w:color w:val="0D0D0D"/>
          <w:sz w:val="24"/>
        </w:rPr>
        <w:t xml:space="preserve">                                                                                                         </w:t>
      </w:r>
    </w:p>
    <w:p>
      <w:pPr>
        <w:pStyle w:val="21"/>
        <w:snapToGrid w:val="0"/>
        <w:spacing w:line="400" w:lineRule="atLeast"/>
        <w:ind w:firstLine="466" w:firstLineChars="200"/>
        <w:rPr>
          <w:rFonts w:hAnsi="宋体"/>
          <w:b/>
          <w:color w:val="0D0D0D"/>
          <w:sz w:val="24"/>
        </w:rPr>
      </w:pPr>
      <w:r>
        <w:rPr>
          <w:rFonts w:hAnsi="宋体"/>
          <w:b/>
          <w:color w:val="0D0D0D"/>
          <w:sz w:val="24"/>
        </w:rPr>
        <w:t>3.被拒绝的报价文件为无效。</w:t>
      </w:r>
    </w:p>
    <w:p>
      <w:pPr>
        <w:pStyle w:val="21"/>
        <w:snapToGrid w:val="0"/>
        <w:spacing w:line="400" w:lineRule="atLeast"/>
        <w:ind w:firstLine="535" w:firstLineChars="196"/>
        <w:outlineLvl w:val="1"/>
        <w:rPr>
          <w:rFonts w:hAnsi="宋体"/>
          <w:b/>
          <w:snapToGrid w:val="0"/>
          <w:color w:val="0D0D0D"/>
          <w:sz w:val="28"/>
          <w:szCs w:val="28"/>
        </w:rPr>
      </w:pPr>
      <w:r>
        <w:rPr>
          <w:rFonts w:hAnsi="宋体"/>
          <w:b/>
          <w:color w:val="0D0D0D"/>
          <w:sz w:val="28"/>
          <w:szCs w:val="28"/>
        </w:rPr>
        <w:t>四、开标</w:t>
      </w:r>
    </w:p>
    <w:p>
      <w:pPr>
        <w:pStyle w:val="28"/>
        <w:snapToGrid w:val="0"/>
        <w:spacing w:beforeLines="0" w:afterLines="0"/>
        <w:ind w:firstLine="472" w:firstLineChars="196"/>
        <w:rPr>
          <w:rFonts w:hAnsi="宋体"/>
          <w:b/>
          <w:color w:val="0D0D0D"/>
        </w:rPr>
      </w:pPr>
      <w:r>
        <w:rPr>
          <w:rFonts w:hAnsi="宋体"/>
          <w:b/>
          <w:color w:val="0D0D0D"/>
        </w:rPr>
        <w:t>（一）开标准备</w:t>
      </w:r>
    </w:p>
    <w:p>
      <w:pPr>
        <w:pStyle w:val="42"/>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51"/>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pPr>
        <w:pStyle w:val="28"/>
        <w:snapToGrid w:val="0"/>
        <w:spacing w:beforeLines="0" w:afterLines="0"/>
        <w:ind w:firstLine="472" w:firstLineChars="196"/>
        <w:rPr>
          <w:rFonts w:hAnsi="宋体"/>
          <w:b/>
          <w:color w:val="0D0D0D"/>
        </w:rPr>
      </w:pPr>
      <w:r>
        <w:rPr>
          <w:rFonts w:hAnsi="宋体"/>
          <w:b/>
          <w:color w:val="0D0D0D"/>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、评标结束后，主持人公布投标报价得分、综合得分以及推荐中标候选人排序名单。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pPr>
        <w:pStyle w:val="28"/>
        <w:spacing w:before="120" w:after="120" w:line="360" w:lineRule="auto"/>
        <w:ind w:firstLine="540" w:firstLineChars="225"/>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right="-14" w:firstLine="480" w:firstLineChars="200"/>
        <w:jc w:val="left"/>
        <w:rPr>
          <w:rFonts w:ascii="宋体" w:hAnsi="宋体"/>
          <w:b/>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（2）若投标人已申请多把CA锁，请注意使用差别。因ca锁使用错误引发的问题，由投标人自己负责。</w:t>
      </w:r>
    </w:p>
    <w:p>
      <w:pPr>
        <w:pStyle w:val="28"/>
        <w:spacing w:before="120" w:after="120" w:line="360" w:lineRule="auto"/>
        <w:ind w:firstLine="240" w:firstLineChars="100"/>
        <w:rPr>
          <w:rFonts w:hAnsi="宋体"/>
          <w:b w:val="0"/>
          <w:bCs/>
          <w:color w:val="auto"/>
          <w:highlight w:val="none"/>
        </w:rPr>
      </w:pPr>
      <w:r>
        <w:rPr>
          <w:rFonts w:hAnsi="宋体"/>
          <w:b w:val="0"/>
          <w:bCs/>
          <w:color w:val="auto"/>
          <w:highlight w:val="none"/>
        </w:rPr>
        <w:t>（3）如有疑问，请咨询平台技术服务电话：</w:t>
      </w:r>
      <w:r>
        <w:rPr>
          <w:rFonts w:hAnsi="宋体"/>
          <w:b w:val="0"/>
          <w:color w:val="auto"/>
          <w:highlight w:val="none"/>
        </w:rPr>
        <w:t>蔡先生，13454667697；王女士，13757680207</w:t>
      </w:r>
      <w:r>
        <w:rPr>
          <w:rFonts w:hAnsi="宋体"/>
          <w:b w:val="0"/>
          <w:bCs/>
          <w:color w:val="auto"/>
          <w:highlight w:val="none"/>
        </w:rPr>
        <w:t>。QQ “台州湾新区小额工程交易平台交流”（群号：435057190），进行业务咨询。此群也作为不见面开标的备用远程交互群。</w:t>
      </w:r>
    </w:p>
    <w:p>
      <w:pPr>
        <w:pStyle w:val="28"/>
        <w:snapToGrid w:val="0"/>
        <w:spacing w:beforeLines="0" w:afterLines="0"/>
        <w:ind w:left="1029" w:leftChars="193" w:hanging="489" w:hangingChars="174"/>
        <w:outlineLvl w:val="1"/>
        <w:rPr>
          <w:rFonts w:hAnsi="宋体"/>
          <w:b/>
          <w:color w:val="0D0D0D"/>
          <w:sz w:val="28"/>
          <w:szCs w:val="28"/>
        </w:rPr>
      </w:pPr>
      <w:r>
        <w:rPr>
          <w:rFonts w:hAnsi="宋体"/>
          <w:b/>
          <w:color w:val="0D0D0D"/>
          <w:sz w:val="28"/>
          <w:szCs w:val="28"/>
        </w:rPr>
        <w:t>五、评标</w:t>
      </w:r>
    </w:p>
    <w:p>
      <w:pPr>
        <w:pStyle w:val="28"/>
        <w:snapToGrid w:val="0"/>
        <w:spacing w:beforeLines="0" w:afterLines="0"/>
        <w:ind w:left="876" w:leftChars="128" w:hanging="518" w:hangingChars="215"/>
        <w:rPr>
          <w:rFonts w:hAnsi="宋体"/>
          <w:b/>
          <w:color w:val="0D0D0D"/>
        </w:rPr>
      </w:pPr>
      <w:r>
        <w:rPr>
          <w:rFonts w:hAnsi="宋体"/>
          <w:b/>
          <w:color w:val="0D0D0D"/>
        </w:rPr>
        <w:t>（一）组建</w:t>
      </w:r>
      <w:r>
        <w:rPr>
          <w:rFonts w:hint="eastAsia" w:hAnsi="宋体"/>
          <w:b/>
          <w:color w:val="0D0D0D"/>
        </w:rPr>
        <w:t>评标委员会</w:t>
      </w:r>
    </w:p>
    <w:p>
      <w:pPr>
        <w:pStyle w:val="28"/>
        <w:snapToGrid w:val="0"/>
        <w:spacing w:beforeLines="0" w:afterLines="0"/>
        <w:ind w:firstLine="480" w:firstLineChars="200"/>
        <w:rPr>
          <w:rFonts w:hAnsi="宋体"/>
          <w:color w:val="0D0D0D"/>
        </w:rPr>
      </w:pPr>
      <w:r>
        <w:rPr>
          <w:rFonts w:hAnsi="宋体"/>
          <w:color w:val="0D0D0D"/>
        </w:rPr>
        <w:t>本项目</w:t>
      </w:r>
      <w:r>
        <w:rPr>
          <w:rFonts w:hint="eastAsia" w:hAnsi="宋体"/>
          <w:color w:val="0D0D0D"/>
        </w:rPr>
        <w:t>评标委员会</w:t>
      </w:r>
      <w:r>
        <w:rPr>
          <w:rFonts w:hAnsi="宋体"/>
          <w:color w:val="0D0D0D"/>
        </w:rPr>
        <w:t>由评审专家和采购人代表组成。</w:t>
      </w:r>
    </w:p>
    <w:p>
      <w:pPr>
        <w:pStyle w:val="28"/>
        <w:snapToGrid w:val="0"/>
        <w:spacing w:beforeLines="0" w:afterLines="0"/>
        <w:ind w:left="879" w:leftChars="129" w:hanging="518" w:hangingChars="215"/>
        <w:rPr>
          <w:rFonts w:hAnsi="宋体"/>
          <w:b/>
          <w:color w:val="0D0D0D"/>
        </w:rPr>
      </w:pPr>
      <w:r>
        <w:rPr>
          <w:rFonts w:hAnsi="宋体"/>
          <w:b/>
          <w:color w:val="0D0D0D"/>
        </w:rPr>
        <w:t>（二）评标的方式</w:t>
      </w:r>
    </w:p>
    <w:p>
      <w:pPr>
        <w:pStyle w:val="28"/>
        <w:snapToGrid w:val="0"/>
        <w:spacing w:beforeLines="0" w:afterLines="0"/>
        <w:ind w:left="878" w:leftChars="228" w:hanging="240" w:hangingChars="100"/>
        <w:rPr>
          <w:rFonts w:hAnsi="宋体"/>
          <w:color w:val="0D0D0D"/>
        </w:rPr>
      </w:pPr>
      <w:r>
        <w:rPr>
          <w:rFonts w:hAnsi="宋体"/>
          <w:color w:val="0D0D0D"/>
        </w:rPr>
        <w:t>本项目采用不公开方式评标，评标的依据为</w:t>
      </w:r>
      <w:r>
        <w:rPr>
          <w:rFonts w:hint="eastAsia" w:hAnsi="宋体"/>
          <w:color w:val="0D0D0D"/>
        </w:rPr>
        <w:t>招标文件</w:t>
      </w:r>
      <w:r>
        <w:rPr>
          <w:rFonts w:hAnsi="宋体"/>
          <w:color w:val="0D0D0D"/>
        </w:rPr>
        <w:t>和报价文件。</w:t>
      </w:r>
    </w:p>
    <w:p>
      <w:pPr>
        <w:pStyle w:val="28"/>
        <w:snapToGrid w:val="0"/>
        <w:spacing w:beforeLines="0" w:afterLines="0"/>
        <w:ind w:left="879" w:leftChars="129" w:hanging="518" w:hangingChars="215"/>
        <w:rPr>
          <w:rFonts w:hAnsi="宋体"/>
          <w:b/>
          <w:color w:val="0D0D0D"/>
        </w:rPr>
      </w:pPr>
      <w:r>
        <w:rPr>
          <w:rFonts w:hAnsi="宋体"/>
          <w:b/>
          <w:color w:val="0D0D0D"/>
        </w:rPr>
        <w:t>（三）</w:t>
      </w:r>
      <w:r>
        <w:rPr>
          <w:rFonts w:hAnsi="宋体"/>
          <w:b/>
          <w:bCs/>
          <w:color w:val="0D0D0D"/>
        </w:rPr>
        <w:t>评标程序</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pPr>
        <w:snapToGrid w:val="0"/>
        <w:spacing w:line="400" w:lineRule="atLeast"/>
        <w:ind w:firstLine="480" w:firstLineChars="200"/>
        <w:rPr>
          <w:rFonts w:hint="eastAsia" w:ascii="宋体" w:hAnsi="宋体"/>
          <w:b/>
          <w:color w:val="0D0D0D"/>
          <w:sz w:val="24"/>
          <w:szCs w:val="20"/>
        </w:rPr>
      </w:pPr>
      <w:r>
        <w:rPr>
          <w:rFonts w:hint="eastAsia" w:ascii="宋体" w:hAnsi="宋体"/>
          <w:color w:val="0D0D0D"/>
          <w:sz w:val="24"/>
        </w:rPr>
        <w:t>采购人代表和代理机构工作人员协助评标委员会对投标人的资格</w:t>
      </w:r>
      <w:r>
        <w:rPr>
          <w:rFonts w:ascii="宋体" w:hAnsi="宋体"/>
          <w:color w:val="0D0D0D"/>
          <w:sz w:val="24"/>
        </w:rPr>
        <w:t>和报价文件的完整性、合法性等进行审查。</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rPr>
        <w:t>.</w:t>
      </w:r>
      <w:r>
        <w:rPr>
          <w:rFonts w:ascii="宋体" w:hAnsi="宋体"/>
          <w:b/>
          <w:bCs/>
          <w:color w:val="0D0D0D"/>
          <w:sz w:val="24"/>
        </w:rPr>
        <w:t>实质审查与比较</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投标人代表未到场或者拒绝澄清或者澄清的内容改变了报价文件的实质性内容的，评标委员会有权对该报价文件作出不利于投标人的评判。</w:t>
      </w:r>
    </w:p>
    <w:p>
      <w:pPr>
        <w:snapToGrid w:val="0"/>
        <w:spacing w:line="400" w:lineRule="atLeast"/>
        <w:ind w:firstLine="480" w:firstLineChars="200"/>
        <w:rPr>
          <w:rFonts w:hint="eastAsia"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pPr>
        <w:snapToGrid w:val="0"/>
        <w:spacing w:line="400" w:lineRule="atLeast"/>
        <w:ind w:firstLine="359" w:firstLineChars="149"/>
        <w:rPr>
          <w:rFonts w:ascii="宋体" w:hAnsi="宋体"/>
          <w:b/>
          <w:color w:val="0D0D0D"/>
          <w:sz w:val="24"/>
          <w:szCs w:val="20"/>
        </w:rPr>
      </w:pPr>
      <w:r>
        <w:rPr>
          <w:rFonts w:hint="eastAsia" w:ascii="宋体" w:hAnsi="宋体"/>
          <w:b/>
          <w:color w:val="0D0D0D"/>
          <w:sz w:val="24"/>
        </w:rPr>
        <w:t>（四）澄清问题的形式</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pPr>
        <w:pStyle w:val="28"/>
        <w:snapToGrid w:val="0"/>
        <w:spacing w:beforeLines="0" w:afterLines="0"/>
        <w:ind w:left="877" w:leftChars="129" w:hanging="516" w:hangingChars="214"/>
        <w:rPr>
          <w:rFonts w:hAnsi="宋体"/>
          <w:b/>
          <w:color w:val="0D0D0D"/>
        </w:rPr>
      </w:pPr>
      <w:r>
        <w:rPr>
          <w:rFonts w:hAnsi="宋体"/>
          <w:b/>
          <w:color w:val="0D0D0D"/>
        </w:rPr>
        <w:t>（五）错误修正</w:t>
      </w:r>
    </w:p>
    <w:p>
      <w:pPr>
        <w:pStyle w:val="28"/>
        <w:snapToGrid w:val="0"/>
        <w:spacing w:beforeLines="0" w:afterLines="0"/>
        <w:ind w:firstLine="480" w:firstLineChars="200"/>
        <w:rPr>
          <w:rFonts w:hAnsi="宋体"/>
          <w:color w:val="0D0D0D"/>
        </w:rPr>
      </w:pPr>
      <w:r>
        <w:rPr>
          <w:rFonts w:hAnsi="宋体"/>
          <w:color w:val="0D0D0D"/>
        </w:rPr>
        <w:t>报价文件如果出现计算或表达上的错误，修正错误的原则如下：</w:t>
      </w:r>
    </w:p>
    <w:p>
      <w:pPr>
        <w:pStyle w:val="28"/>
        <w:snapToGrid w:val="0"/>
        <w:spacing w:before="120" w:after="120"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1、“台州湾新区小额工程电子交易平台”上开启的投标报价或工期与电子投标文件中开标一览表（报价表）内容不一致的，以电子投标文件中开标一览表（报价表）为准；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2、投标文件中开标一览表(报价表)内容与投标文件中相应内容不一致的，以开标一览表(报价表)为准；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3、大写金额和小写金额不一致的，以大写金额为准；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4、单价金额小数点或者百分比有明显错位的，以开标一览表的总价为准，并修改单价；</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5、总价金额与按单价汇总金额不一致的，以总价金额为准，合理调整单价。</w:t>
      </w:r>
    </w:p>
    <w:p>
      <w:pPr>
        <w:pStyle w:val="28"/>
        <w:snapToGrid w:val="0"/>
        <w:spacing w:beforeLines="0" w:afterLines="0"/>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6、对不同文字文本报价文件的解释发生异议的，以中文文本为准。</w:t>
      </w:r>
    </w:p>
    <w:p>
      <w:pPr>
        <w:pStyle w:val="28"/>
        <w:snapToGrid w:val="0"/>
        <w:spacing w:beforeLines="0" w:afterLines="0"/>
        <w:ind w:firstLine="482" w:firstLineChars="200"/>
        <w:rPr>
          <w:rFonts w:hAnsi="宋体"/>
          <w:b/>
          <w:bCs/>
          <w:color w:val="0D0D0D"/>
        </w:rPr>
      </w:pPr>
      <w:r>
        <w:rPr>
          <w:rFonts w:hAnsi="宋体"/>
          <w:b/>
          <w:bCs/>
          <w:color w:val="0D0D0D"/>
        </w:rPr>
        <w:t>按上述修正错误的原则及方法调整或修正报价文件的投标报价，投标人同意并签字确认后，调整后的投标报价对投标人具有约束作用。如果投标人不接受修正后的报价，则其投标将作为无效投标处理。</w:t>
      </w:r>
    </w:p>
    <w:p>
      <w:pPr>
        <w:autoSpaceDE w:val="0"/>
        <w:autoSpaceDN w:val="0"/>
        <w:adjustRightInd w:val="0"/>
        <w:spacing w:line="400" w:lineRule="atLeast"/>
        <w:ind w:firstLine="359" w:firstLineChars="149"/>
        <w:rPr>
          <w:rFonts w:ascii="宋体"/>
          <w:b/>
          <w:color w:val="0D0D0D"/>
          <w:kern w:val="0"/>
          <w:sz w:val="24"/>
        </w:rPr>
      </w:pPr>
      <w:r>
        <w:rPr>
          <w:rFonts w:hint="eastAsia" w:ascii="宋体"/>
          <w:b/>
          <w:color w:val="0D0D0D"/>
          <w:kern w:val="0"/>
          <w:sz w:val="24"/>
        </w:rPr>
        <w:t>（六）有下列情况之一的，本次招标作为废标处理，除采购任务取消外，由采购人重新组织招标：</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1、符合专业条件的投标人或者对招标文件作实质响应的投标人不足3家；</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2、出现影响采购公正的违法、违规行为的；</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3、投标人的报价均超过了采购预算，采购人不能支付的；</w:t>
      </w:r>
    </w:p>
    <w:p>
      <w:pPr>
        <w:snapToGrid w:val="0"/>
        <w:spacing w:line="360" w:lineRule="auto"/>
        <w:ind w:firstLine="480" w:firstLineChars="200"/>
        <w:rPr>
          <w:rFonts w:ascii="宋体" w:hAnsi="宋体" w:eastAsia="宋体" w:cs="Times New Roman"/>
          <w:color w:val="0C0C0C"/>
          <w:kern w:val="2"/>
          <w:sz w:val="24"/>
          <w:szCs w:val="24"/>
          <w:highlight w:val="none"/>
          <w:lang w:val="en-US" w:eastAsia="zh-CN" w:bidi="ar-SA"/>
        </w:rPr>
      </w:pPr>
      <w:r>
        <w:rPr>
          <w:rFonts w:ascii="宋体" w:hAnsi="宋体" w:eastAsia="宋体" w:cs="Times New Roman"/>
          <w:color w:val="0C0C0C"/>
          <w:kern w:val="2"/>
          <w:sz w:val="24"/>
          <w:szCs w:val="24"/>
          <w:highlight w:val="none"/>
          <w:lang w:val="en-US" w:eastAsia="zh-CN" w:bidi="ar-SA"/>
        </w:rPr>
        <w:t>4、因重大变故，采购任务取消的。</w:t>
      </w:r>
    </w:p>
    <w:p>
      <w:pPr>
        <w:pStyle w:val="28"/>
        <w:tabs>
          <w:tab w:val="left" w:pos="630"/>
        </w:tabs>
        <w:snapToGrid w:val="0"/>
        <w:spacing w:beforeLines="0" w:afterLines="0"/>
        <w:ind w:firstLine="359" w:firstLineChars="149"/>
        <w:rPr>
          <w:rFonts w:hAnsi="宋体"/>
          <w:b/>
          <w:color w:val="0D0D0D"/>
        </w:rPr>
      </w:pPr>
      <w:r>
        <w:rPr>
          <w:rFonts w:hAnsi="宋体"/>
          <w:b/>
          <w:color w:val="0D0D0D"/>
        </w:rPr>
        <w:t>（七）评标原则和评标办法</w:t>
      </w:r>
    </w:p>
    <w:p>
      <w:pPr>
        <w:pStyle w:val="28"/>
        <w:snapToGrid w:val="0"/>
        <w:spacing w:beforeLines="0" w:afterLines="0"/>
        <w:ind w:firstLine="480" w:firstLineChars="200"/>
        <w:rPr>
          <w:rFonts w:hAnsi="宋体"/>
          <w:color w:val="0D0D0D"/>
        </w:rPr>
      </w:pPr>
      <w:r>
        <w:rPr>
          <w:rFonts w:hAnsi="宋体"/>
          <w:color w:val="0D0D0D"/>
        </w:rPr>
        <w:t>1、评标原则。</w:t>
      </w:r>
      <w:r>
        <w:rPr>
          <w:rFonts w:hint="eastAsia" w:hAnsi="宋体"/>
          <w:color w:val="0D0D0D"/>
        </w:rPr>
        <w:t>评标委员会</w:t>
      </w:r>
      <w:r>
        <w:rPr>
          <w:rFonts w:hAnsi="宋体"/>
          <w:color w:val="0D0D0D"/>
        </w:rPr>
        <w:t>必须公平、公正、客观，不带任何倾向性和启发性；不得向外界透露任何与评标有关的内容；任何单位和个人不得干扰、影响评标的正常进行；</w:t>
      </w:r>
      <w:r>
        <w:rPr>
          <w:rFonts w:hint="eastAsia" w:hAnsi="宋体"/>
          <w:color w:val="0D0D0D"/>
        </w:rPr>
        <w:t>评标委员会</w:t>
      </w:r>
      <w:r>
        <w:rPr>
          <w:rFonts w:hAnsi="宋体"/>
          <w:color w:val="0D0D0D"/>
        </w:rPr>
        <w:t>及有关工作人员不得私下与投标人接触。</w:t>
      </w:r>
    </w:p>
    <w:p>
      <w:pPr>
        <w:pStyle w:val="28"/>
        <w:snapToGrid w:val="0"/>
        <w:spacing w:beforeLines="0" w:afterLines="0"/>
        <w:ind w:firstLine="480" w:firstLineChars="200"/>
        <w:rPr>
          <w:rFonts w:hAnsi="宋体"/>
          <w:color w:val="0D0D0D"/>
        </w:rPr>
      </w:pPr>
      <w:r>
        <w:rPr>
          <w:rFonts w:hAnsi="宋体"/>
          <w:color w:val="0D0D0D"/>
        </w:rPr>
        <w:t>2、评标办法。具体评标内容及评分标准等详见《第四章：评标办法及评分标准》。</w:t>
      </w:r>
    </w:p>
    <w:p>
      <w:pPr>
        <w:pStyle w:val="28"/>
        <w:snapToGrid w:val="0"/>
        <w:spacing w:beforeLines="0" w:afterLines="0"/>
        <w:ind w:firstLine="359" w:firstLineChars="149"/>
        <w:rPr>
          <w:rFonts w:hAnsi="宋体"/>
          <w:b/>
          <w:color w:val="0D0D0D"/>
        </w:rPr>
      </w:pPr>
      <w:r>
        <w:rPr>
          <w:rFonts w:hAnsi="宋体"/>
          <w:b/>
          <w:color w:val="0D0D0D"/>
        </w:rPr>
        <w:t>（八）评标过程的监控</w:t>
      </w:r>
    </w:p>
    <w:p>
      <w:pPr>
        <w:pStyle w:val="28"/>
        <w:snapToGrid w:val="0"/>
        <w:spacing w:beforeLines="0" w:afterLines="0"/>
        <w:ind w:firstLine="480" w:firstLineChars="200"/>
        <w:rPr>
          <w:rFonts w:hAnsi="宋体"/>
          <w:color w:val="0D0D0D"/>
        </w:rPr>
      </w:pPr>
      <w:r>
        <w:rPr>
          <w:rFonts w:hAnsi="宋体"/>
          <w:color w:val="0D0D0D"/>
        </w:rPr>
        <w:t>本项目评标过程实行全程录音、录像监控（或请监管部门进行现场监督），投标人在评标过程中所进行的试图影响评标结果的不公正活动，可能导致其投标被拒绝。</w:t>
      </w:r>
    </w:p>
    <w:p>
      <w:pPr>
        <w:pStyle w:val="28"/>
        <w:snapToGrid w:val="0"/>
        <w:spacing w:beforeLines="0" w:afterLines="0"/>
        <w:ind w:firstLine="551" w:firstLineChars="196"/>
        <w:outlineLvl w:val="1"/>
        <w:rPr>
          <w:rFonts w:hAnsi="宋体"/>
          <w:b/>
          <w:color w:val="0D0D0D"/>
          <w:sz w:val="28"/>
          <w:szCs w:val="28"/>
        </w:rPr>
      </w:pPr>
      <w:r>
        <w:rPr>
          <w:rFonts w:hAnsi="宋体"/>
          <w:b/>
          <w:color w:val="0D0D0D"/>
          <w:sz w:val="28"/>
          <w:szCs w:val="28"/>
        </w:rPr>
        <w:t>六、定标</w:t>
      </w:r>
    </w:p>
    <w:p>
      <w:pPr>
        <w:pStyle w:val="28"/>
        <w:snapToGrid w:val="0"/>
        <w:spacing w:beforeLines="0" w:afterLines="0"/>
        <w:ind w:firstLine="472" w:firstLineChars="196"/>
        <w:rPr>
          <w:rFonts w:hAnsi="宋体"/>
          <w:b/>
          <w:bCs/>
          <w:color w:val="0D0D0D"/>
          <w:szCs w:val="20"/>
        </w:rPr>
      </w:pPr>
      <w:r>
        <w:rPr>
          <w:rFonts w:hAnsi="宋体"/>
          <w:b/>
          <w:bCs/>
          <w:color w:val="0D0D0D"/>
        </w:rPr>
        <w:t>（一）确定中标人。</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采购人应确定排名第一的中标候选供应商为供应商，排名第一的中标候选供应商放弃成交；或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后，确因排名第一的候选供应商在本次采购活动中存在违法违规行为或其他原因使质疑成立的，采购人可视具体情况确定是否由排名第二的候选供应商为中标供应商。</w:t>
      </w:r>
    </w:p>
    <w:p>
      <w:pPr>
        <w:pStyle w:val="28"/>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七、合同授予</w:t>
      </w:r>
    </w:p>
    <w:p>
      <w:pPr>
        <w:snapToGrid w:val="0"/>
        <w:spacing w:line="400" w:lineRule="atLeast"/>
        <w:ind w:firstLine="472" w:firstLineChars="196"/>
        <w:rPr>
          <w:rFonts w:ascii="宋体" w:hAnsi="宋体"/>
          <w:b/>
          <w:bCs/>
          <w:color w:val="0D0D0D"/>
          <w:sz w:val="24"/>
          <w:szCs w:val="20"/>
        </w:rPr>
      </w:pPr>
      <w:r>
        <w:rPr>
          <w:rFonts w:hint="eastAsia" w:ascii="宋体" w:hAnsi="宋体"/>
          <w:b/>
          <w:bCs/>
          <w:color w:val="0D0D0D"/>
          <w:sz w:val="24"/>
        </w:rPr>
        <w:t>（一）签订合同</w:t>
      </w:r>
    </w:p>
    <w:p>
      <w:pPr>
        <w:snapToGrid w:val="0"/>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hint="eastAsia" w:ascii="宋体" w:hAnsi="宋体"/>
          <w:color w:val="auto"/>
          <w:sz w:val="24"/>
          <w:highlight w:val="none"/>
          <w:lang w:val="en-US" w:eastAsia="zh-CN"/>
        </w:rPr>
        <w:t>成交供应商</w:t>
      </w:r>
      <w:r>
        <w:rPr>
          <w:rFonts w:ascii="宋体" w:hAnsi="宋体"/>
          <w:color w:val="auto"/>
          <w:sz w:val="24"/>
          <w:highlight w:val="none"/>
        </w:rPr>
        <w:t>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30</w:t>
      </w:r>
      <w:r>
        <w:rPr>
          <w:rFonts w:hint="eastAsia" w:ascii="宋体" w:hAnsi="宋体"/>
          <w:color w:val="auto"/>
          <w:sz w:val="24"/>
          <w:highlight w:val="none"/>
        </w:rPr>
        <w:t>日内签订合同。同时，采购代理机构对合同内容进行审查，如发现与采购结果和投标承诺内容不一致的，应予以纠正。</w:t>
      </w:r>
    </w:p>
    <w:p>
      <w:pPr>
        <w:snapToGrid w:val="0"/>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成交供应商</w:t>
      </w:r>
      <w:r>
        <w:rPr>
          <w:rFonts w:ascii="宋体" w:hAnsi="宋体"/>
          <w:color w:val="auto"/>
          <w:sz w:val="24"/>
          <w:highlight w:val="none"/>
        </w:rPr>
        <w:t>拖延、拒签合同的,将被扣罚投标保证金并取消中标资格。</w:t>
      </w:r>
    </w:p>
    <w:p>
      <w:pPr>
        <w:pStyle w:val="28"/>
        <w:snapToGrid w:val="0"/>
        <w:spacing w:beforeLines="0" w:afterLines="0"/>
        <w:ind w:firstLine="472" w:firstLineChars="196"/>
        <w:rPr>
          <w:rFonts w:hAnsi="宋体"/>
          <w:b/>
          <w:color w:val="0D0D0D"/>
          <w:highlight w:val="none"/>
        </w:rPr>
      </w:pPr>
      <w:r>
        <w:rPr>
          <w:rFonts w:hAnsi="宋体"/>
          <w:b/>
          <w:color w:val="0D0D0D"/>
          <w:highlight w:val="none"/>
        </w:rPr>
        <w:t>（二）履约保证金</w:t>
      </w:r>
    </w:p>
    <w:p>
      <w:pPr>
        <w:pStyle w:val="28"/>
        <w:snapToGrid w:val="0"/>
        <w:spacing w:before="120" w:after="120" w:line="360" w:lineRule="exact"/>
        <w:ind w:firstLine="480" w:firstLineChars="200"/>
        <w:rPr>
          <w:rFonts w:hAnsi="宋体"/>
          <w:color w:val="0C0C0C"/>
          <w:highlight w:val="none"/>
        </w:rPr>
      </w:pPr>
      <w:r>
        <w:rPr>
          <w:rFonts w:hAnsi="宋体"/>
          <w:color w:val="0C0C0C"/>
          <w:highlight w:val="none"/>
        </w:rPr>
        <w:t>1.签订合同前，中标人应按招标文件确定的履约保证金的金额，向采购人交纳履约保证金，否则，采购人将没收中标人的全部投标保证金。</w:t>
      </w:r>
    </w:p>
    <w:p>
      <w:pPr>
        <w:pStyle w:val="28"/>
        <w:snapToGrid w:val="0"/>
        <w:spacing w:before="120" w:after="120" w:line="360" w:lineRule="exact"/>
        <w:ind w:firstLine="480" w:firstLineChars="200"/>
        <w:rPr>
          <w:rFonts w:hAnsi="宋体"/>
          <w:color w:val="0C0C0C"/>
          <w:highlight w:val="none"/>
        </w:rPr>
      </w:pPr>
      <w:r>
        <w:rPr>
          <w:rFonts w:hAnsi="宋体"/>
          <w:color w:val="0C0C0C"/>
          <w:highlight w:val="none"/>
        </w:rPr>
        <w:t>2.签订合同后，如中标人不按双方合同约定履约，则没收其全部履约保证金，履约保证金不足以赔偿损失的，按实际损失赔偿。</w:t>
      </w:r>
    </w:p>
    <w:p>
      <w:pPr>
        <w:pStyle w:val="28"/>
        <w:snapToGrid w:val="0"/>
        <w:spacing w:before="120" w:beforeLines="0" w:after="120" w:afterLines="0" w:line="240" w:lineRule="auto"/>
        <w:rPr>
          <w:color w:val="0D0D0D"/>
        </w:rPr>
      </w:pPr>
      <w:r>
        <w:rPr>
          <w:color w:val="0D0D0D"/>
        </w:rPr>
        <w:br w:type="page"/>
      </w:r>
    </w:p>
    <w:p>
      <w:pPr>
        <w:pStyle w:val="28"/>
        <w:snapToGrid w:val="0"/>
        <w:spacing w:before="120" w:beforeLines="0" w:after="120" w:afterLines="0" w:line="240" w:lineRule="auto"/>
        <w:jc w:val="center"/>
        <w:outlineLvl w:val="0"/>
        <w:rPr>
          <w:b/>
          <w:color w:val="0D0D0D"/>
          <w:sz w:val="30"/>
          <w:szCs w:val="30"/>
        </w:rPr>
      </w:pPr>
      <w:r>
        <w:rPr>
          <w:b/>
          <w:color w:val="0D0D0D"/>
          <w:sz w:val="30"/>
          <w:szCs w:val="30"/>
        </w:rPr>
        <w:t>第四章  评标办法及评分标准</w:t>
      </w:r>
    </w:p>
    <w:p>
      <w:pPr>
        <w:spacing w:before="120" w:beforeLines="50" w:after="120" w:afterLines="50" w:line="360" w:lineRule="auto"/>
        <w:ind w:firstLine="420"/>
        <w:rPr>
          <w:rFonts w:hint="eastAsia" w:ascii="宋体" w:hAnsi="宋体" w:cs="宋体"/>
          <w:color w:val="0D0D0D"/>
          <w:sz w:val="24"/>
        </w:rPr>
      </w:pPr>
      <w:r>
        <w:rPr>
          <w:rFonts w:hint="eastAsia" w:ascii="宋体" w:hAnsi="宋体" w:cs="宋体"/>
          <w:color w:val="0D0D0D"/>
          <w:sz w:val="24"/>
        </w:rPr>
        <w:t>为公正、公平、科学地选择中标人，根据《中华人民共和国</w:t>
      </w:r>
      <w:r>
        <w:rPr>
          <w:rFonts w:hint="eastAsia"/>
          <w:color w:val="0D0D0D"/>
          <w:sz w:val="24"/>
        </w:rPr>
        <w:t>招标投标法</w:t>
      </w:r>
      <w:r>
        <w:rPr>
          <w:rFonts w:hint="eastAsia" w:ascii="宋体" w:hAnsi="宋体" w:cs="宋体"/>
          <w:color w:val="0D0D0D"/>
          <w:sz w:val="24"/>
        </w:rPr>
        <w:t>》等有关法律法规的规定，并结合本项目的实际，制定本办法。</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一、总则</w:t>
      </w:r>
    </w:p>
    <w:p>
      <w:pPr>
        <w:spacing w:line="360" w:lineRule="auto"/>
        <w:ind w:left="506" w:leftChars="177" w:hanging="10"/>
        <w:rPr>
          <w:rFonts w:hint="eastAsia" w:ascii="宋体" w:hAnsi="宋体" w:cs="宋体"/>
          <w:color w:val="0D0D0D"/>
          <w:sz w:val="24"/>
        </w:rPr>
      </w:pPr>
      <w:r>
        <w:rPr>
          <w:rFonts w:hint="eastAsia" w:ascii="宋体" w:hAnsi="宋体" w:cs="宋体"/>
          <w:color w:val="0D0D0D"/>
          <w:sz w:val="24"/>
        </w:rPr>
        <w:t>评标工作应遵循公开、公平、公正、科学、择优原则，科学、严谨的态度，认真</w:t>
      </w:r>
    </w:p>
    <w:p>
      <w:pPr>
        <w:spacing w:before="120" w:beforeLines="50" w:after="120" w:afterLines="50" w:line="360" w:lineRule="auto"/>
        <w:rPr>
          <w:rFonts w:hint="eastAsia" w:ascii="宋体" w:hAnsi="宋体" w:cs="宋体"/>
          <w:color w:val="0D0D0D"/>
          <w:sz w:val="24"/>
        </w:rPr>
      </w:pPr>
      <w:r>
        <w:rPr>
          <w:rFonts w:hint="eastAsia" w:ascii="宋体" w:hAnsi="宋体" w:cs="宋体"/>
          <w:color w:val="0D0D0D"/>
          <w:sz w:val="24"/>
        </w:rPr>
        <w:t>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二、评标内容及标准</w:t>
      </w:r>
    </w:p>
    <w:p>
      <w:pPr>
        <w:spacing w:line="360" w:lineRule="auto"/>
        <w:ind w:firstLine="480" w:firstLineChars="200"/>
        <w:rPr>
          <w:rFonts w:hint="eastAsia"/>
          <w:color w:val="auto"/>
          <w:sz w:val="24"/>
          <w:highlight w:val="none"/>
        </w:rPr>
      </w:pPr>
      <w:r>
        <w:rPr>
          <w:rFonts w:hint="eastAsia"/>
          <w:color w:val="auto"/>
          <w:sz w:val="24"/>
          <w:highlight w:val="none"/>
        </w:rPr>
        <w:t>（一）评标标底价的确定。（</w:t>
      </w:r>
      <w:r>
        <w:rPr>
          <w:rFonts w:hint="eastAsia"/>
          <w:color w:val="auto"/>
          <w:sz w:val="24"/>
          <w:highlight w:val="none"/>
          <w:lang w:val="en-US" w:eastAsia="zh-CN"/>
        </w:rPr>
        <w:t>以元为单位，保留整</w:t>
      </w:r>
      <w:r>
        <w:rPr>
          <w:rFonts w:hint="eastAsia"/>
          <w:color w:val="auto"/>
          <w:sz w:val="24"/>
          <w:highlight w:val="none"/>
        </w:rPr>
        <w:t>数）</w:t>
      </w:r>
    </w:p>
    <w:p>
      <w:pPr>
        <w:spacing w:line="360" w:lineRule="auto"/>
        <w:ind w:firstLine="480" w:firstLineChars="200"/>
        <w:rPr>
          <w:rFonts w:hint="eastAsia"/>
          <w:color w:val="auto"/>
          <w:sz w:val="24"/>
          <w:highlight w:val="none"/>
        </w:rPr>
      </w:pPr>
      <w:r>
        <w:rPr>
          <w:rFonts w:hint="eastAsia"/>
          <w:color w:val="auto"/>
          <w:sz w:val="24"/>
          <w:highlight w:val="none"/>
        </w:rPr>
        <w:t>a、若有效投标人≥</w:t>
      </w:r>
      <w:r>
        <w:rPr>
          <w:rFonts w:hint="eastAsia"/>
          <w:color w:val="auto"/>
          <w:sz w:val="24"/>
          <w:highlight w:val="none"/>
          <w:lang w:val="en-US" w:eastAsia="zh-CN"/>
        </w:rPr>
        <w:t>9</w:t>
      </w:r>
      <w:r>
        <w:rPr>
          <w:rFonts w:hint="eastAsia"/>
          <w:color w:val="auto"/>
          <w:sz w:val="24"/>
          <w:highlight w:val="none"/>
        </w:rPr>
        <w:t>家，则去掉</w:t>
      </w:r>
      <w:r>
        <w:rPr>
          <w:rFonts w:hint="eastAsia"/>
          <w:color w:val="auto"/>
          <w:sz w:val="24"/>
          <w:highlight w:val="none"/>
          <w:lang w:val="en-US" w:eastAsia="zh-CN"/>
        </w:rPr>
        <w:t>3</w:t>
      </w:r>
      <w:r>
        <w:rPr>
          <w:rFonts w:hint="eastAsia"/>
          <w:color w:val="auto"/>
          <w:sz w:val="24"/>
          <w:highlight w:val="none"/>
        </w:rPr>
        <w:t>0%家最高和20%家最低的有效报价，再取余下有效报价的算术平均值后作为评标标底价。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b、若有效投标人5≤A≤</w:t>
      </w:r>
      <w:r>
        <w:rPr>
          <w:rFonts w:hint="eastAsia"/>
          <w:color w:val="auto"/>
          <w:sz w:val="24"/>
          <w:highlight w:val="none"/>
          <w:lang w:val="en-US" w:eastAsia="zh-CN"/>
        </w:rPr>
        <w:t>8</w:t>
      </w:r>
      <w:r>
        <w:rPr>
          <w:rFonts w:hint="eastAsia"/>
          <w:color w:val="auto"/>
          <w:sz w:val="24"/>
          <w:highlight w:val="none"/>
        </w:rPr>
        <w:t>家，则去掉</w:t>
      </w:r>
      <w:r>
        <w:rPr>
          <w:rFonts w:hint="eastAsia"/>
          <w:color w:val="auto"/>
          <w:sz w:val="24"/>
          <w:highlight w:val="none"/>
          <w:lang w:val="en-US" w:eastAsia="zh-CN"/>
        </w:rPr>
        <w:t>两</w:t>
      </w:r>
      <w:r>
        <w:rPr>
          <w:rFonts w:hint="eastAsia"/>
          <w:color w:val="auto"/>
          <w:sz w:val="24"/>
          <w:highlight w:val="none"/>
        </w:rPr>
        <w:t>家最高和一家最低的有效报价，再取余下有效报价的算术平均值后作为评标标底价。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c、若有效投标人&lt;5家，取所有有效投标报价的平均值作为评标标底价</w:t>
      </w:r>
      <w:r>
        <w:rPr>
          <w:rFonts w:hint="eastAsia"/>
          <w:color w:val="auto"/>
          <w:sz w:val="24"/>
          <w:highlight w:val="none"/>
          <w:lang w:eastAsia="zh-CN"/>
        </w:rPr>
        <w:t>。</w:t>
      </w:r>
      <w:r>
        <w:rPr>
          <w:rFonts w:hint="eastAsia"/>
          <w:color w:val="auto"/>
          <w:sz w:val="24"/>
          <w:highlight w:val="none"/>
          <w:lang w:val="en-US" w:eastAsia="zh-CN"/>
        </w:rPr>
        <w:t>且</w:t>
      </w:r>
      <w:r>
        <w:rPr>
          <w:rFonts w:hint="eastAsia"/>
          <w:color w:val="auto"/>
          <w:sz w:val="24"/>
          <w:highlight w:val="none"/>
        </w:rPr>
        <w:t>需对最低投标报价进行标底价修正。</w:t>
      </w:r>
    </w:p>
    <w:p>
      <w:pPr>
        <w:spacing w:line="360" w:lineRule="auto"/>
        <w:ind w:firstLine="480" w:firstLineChars="200"/>
        <w:rPr>
          <w:rFonts w:hint="eastAsia"/>
          <w:color w:val="auto"/>
          <w:sz w:val="24"/>
          <w:highlight w:val="none"/>
        </w:rPr>
      </w:pPr>
      <w:r>
        <w:rPr>
          <w:rFonts w:hint="eastAsia"/>
          <w:color w:val="auto"/>
          <w:sz w:val="24"/>
          <w:highlight w:val="none"/>
        </w:rPr>
        <w:t>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pPr>
        <w:spacing w:line="360" w:lineRule="auto"/>
        <w:ind w:firstLine="480" w:firstLineChars="200"/>
        <w:jc w:val="left"/>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二</w:t>
      </w:r>
      <w:r>
        <w:rPr>
          <w:rFonts w:hint="eastAsia"/>
          <w:color w:val="auto"/>
          <w:sz w:val="24"/>
          <w:highlight w:val="none"/>
        </w:rPr>
        <w:t>）中标候选人的确定。</w:t>
      </w:r>
    </w:p>
    <w:p>
      <w:p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低于评标标底价且最接近者为第一中标候选人；除第一中标候选人外，绝对值最接近者为第二中标候选人，如投标报价相同，则抽签确定。</w:t>
      </w:r>
    </w:p>
    <w:p>
      <w:pPr>
        <w:spacing w:line="360" w:lineRule="auto"/>
        <w:ind w:firstLine="480" w:firstLineChars="200"/>
        <w:jc w:val="left"/>
        <w:rPr>
          <w:b/>
          <w:color w:val="auto"/>
          <w:sz w:val="24"/>
          <w:highlight w:val="none"/>
        </w:rPr>
      </w:pPr>
      <w:r>
        <w:rPr>
          <w:rFonts w:hint="eastAsia"/>
          <w:color w:val="auto"/>
          <w:sz w:val="24"/>
          <w:highlight w:val="none"/>
        </w:rPr>
        <w:t>（</w:t>
      </w:r>
      <w:r>
        <w:rPr>
          <w:rFonts w:hint="eastAsia"/>
          <w:color w:val="auto"/>
          <w:sz w:val="24"/>
          <w:highlight w:val="none"/>
          <w:lang w:val="en-US" w:eastAsia="zh-CN"/>
        </w:rPr>
        <w:t>三</w:t>
      </w:r>
      <w:r>
        <w:rPr>
          <w:rFonts w:hint="eastAsia"/>
          <w:color w:val="auto"/>
          <w:sz w:val="24"/>
          <w:highlight w:val="none"/>
        </w:rPr>
        <w:t>）如投标供应商报价超过采购最高限价，且采购人不能支付的，则应予废标，重新组织招标。</w:t>
      </w:r>
      <w:r>
        <w:rPr>
          <w:rFonts w:hint="eastAsia"/>
          <w:b/>
          <w:color w:val="auto"/>
          <w:sz w:val="24"/>
          <w:highlight w:val="none"/>
        </w:rPr>
        <w:t>本次招标采购最高限价：</w:t>
      </w:r>
      <w:r>
        <w:rPr>
          <w:rFonts w:hint="eastAsia"/>
          <w:b/>
          <w:color w:val="auto"/>
          <w:sz w:val="24"/>
          <w:highlight w:val="none"/>
          <w:u w:val="single"/>
          <w:lang w:val="en-US" w:eastAsia="zh-CN"/>
        </w:rPr>
        <w:t>174100</w:t>
      </w:r>
      <w:r>
        <w:rPr>
          <w:rFonts w:hint="eastAsia"/>
          <w:b/>
          <w:color w:val="auto"/>
          <w:sz w:val="24"/>
          <w:highlight w:val="none"/>
        </w:rPr>
        <w:t>元。</w:t>
      </w:r>
      <w:r>
        <w:rPr>
          <w:b/>
          <w:color w:val="auto"/>
          <w:sz w:val="24"/>
          <w:highlight w:val="none"/>
        </w:rPr>
        <w:t xml:space="preserve"> </w:t>
      </w:r>
    </w:p>
    <w:p>
      <w:pPr>
        <w:spacing w:before="120" w:beforeLines="50" w:after="120" w:afterLines="50" w:line="360" w:lineRule="auto"/>
        <w:rPr>
          <w:rFonts w:hint="eastAsia"/>
          <w:color w:val="0D0D0D"/>
          <w:sz w:val="24"/>
        </w:rPr>
      </w:pPr>
      <w:r>
        <w:rPr>
          <w:color w:val="0D0D0D"/>
          <w:sz w:val="24"/>
        </w:rPr>
        <w:br w:type="page"/>
      </w:r>
    </w:p>
    <w:p>
      <w:pPr>
        <w:spacing w:before="120" w:beforeLines="50" w:line="480" w:lineRule="exact"/>
        <w:ind w:left="165"/>
        <w:jc w:val="center"/>
        <w:rPr>
          <w:rFonts w:ascii="宋体" w:hAnsi="宋体"/>
          <w:color w:val="0D0D0D"/>
          <w:sz w:val="30"/>
          <w:szCs w:val="20"/>
        </w:rPr>
      </w:pPr>
      <w:r>
        <w:rPr>
          <w:rFonts w:hint="eastAsia" w:ascii="宋体" w:hAnsi="宋体"/>
          <w:color w:val="0D0D0D"/>
          <w:sz w:val="30"/>
        </w:rPr>
        <w:t>第五章  合同主要条款</w:t>
      </w:r>
    </w:p>
    <w:p>
      <w:pPr>
        <w:rPr>
          <w:color w:val="0D0D0D"/>
        </w:rPr>
      </w:pPr>
    </w:p>
    <w:p>
      <w:pPr>
        <w:pStyle w:val="28"/>
        <w:snapToGrid w:val="0"/>
        <w:spacing w:before="120" w:beforeLines="0" w:after="120" w:afterLines="0" w:line="420" w:lineRule="exact"/>
        <w:rPr>
          <w:rFonts w:hAnsi="宋体"/>
          <w:color w:val="0D0D0D"/>
        </w:rPr>
      </w:pPr>
      <w:r>
        <w:rPr>
          <w:rFonts w:hAnsi="宋体"/>
          <w:color w:val="0D0D0D"/>
        </w:rPr>
        <w:t>项目名称：</w:t>
      </w:r>
      <w:r>
        <w:rPr>
          <w:rFonts w:hint="eastAsia" w:hAnsi="宋体"/>
          <w:color w:val="0D0D0D"/>
          <w:u w:val="single"/>
          <w:lang w:eastAsia="zh-CN"/>
        </w:rPr>
        <w:t>台州湾新区初昕街（鲍浦大道-滨富东路）、启泰街（鲍浦大道-滨富东路）道路工程（普通硅酸盐水泥）</w:t>
      </w:r>
      <w:r>
        <w:rPr>
          <w:rFonts w:hAnsi="宋体"/>
          <w:color w:val="0D0D0D"/>
        </w:rPr>
        <w:t xml:space="preserve"> </w:t>
      </w:r>
    </w:p>
    <w:p>
      <w:pPr>
        <w:pStyle w:val="28"/>
        <w:snapToGrid w:val="0"/>
        <w:spacing w:before="120" w:beforeLines="0" w:after="120" w:afterLines="0" w:line="420" w:lineRule="exact"/>
        <w:rPr>
          <w:rFonts w:hAnsi="宋体"/>
          <w:color w:val="0D0D0D"/>
        </w:rPr>
      </w:pPr>
      <w:r>
        <w:rPr>
          <w:rFonts w:hAnsi="宋体"/>
          <w:color w:val="0D0D0D"/>
        </w:rPr>
        <w:t>甲方：（买方）</w:t>
      </w:r>
      <w:r>
        <w:rPr>
          <w:rFonts w:hint="eastAsia" w:hAnsi="宋体"/>
          <w:color w:val="0D0D0D"/>
        </w:rPr>
        <w:t>台州东发建设投资有限公司</w:t>
      </w:r>
    </w:p>
    <w:p>
      <w:pPr>
        <w:pStyle w:val="28"/>
        <w:snapToGrid w:val="0"/>
        <w:spacing w:before="120" w:beforeLines="0" w:after="120" w:afterLines="0" w:line="420" w:lineRule="exact"/>
        <w:rPr>
          <w:rFonts w:hAnsi="宋体"/>
          <w:color w:val="0D0D0D"/>
        </w:rPr>
      </w:pPr>
      <w:r>
        <w:rPr>
          <w:rFonts w:hAnsi="宋体"/>
          <w:color w:val="0D0D0D"/>
        </w:rPr>
        <w:t>乙方：（卖方）</w:t>
      </w:r>
    </w:p>
    <w:p>
      <w:pPr>
        <w:pStyle w:val="28"/>
        <w:snapToGrid w:val="0"/>
        <w:spacing w:before="120" w:beforeLines="0" w:after="120" w:afterLines="0" w:line="420" w:lineRule="exact"/>
        <w:rPr>
          <w:rFonts w:hint="eastAsia" w:hAnsi="宋体"/>
          <w:color w:val="0D0D0D"/>
        </w:rPr>
      </w:pPr>
      <w:r>
        <w:rPr>
          <w:rFonts w:hAnsi="宋体"/>
          <w:color w:val="0D0D0D"/>
        </w:rPr>
        <w:t xml:space="preserve">   甲、乙双方根据</w:t>
      </w:r>
      <w:r>
        <w:rPr>
          <w:rFonts w:hint="eastAsia" w:hAnsi="宋体"/>
          <w:color w:val="0D0D0D"/>
          <w:u w:val="single"/>
          <w:lang w:eastAsia="zh-CN"/>
        </w:rPr>
        <w:t>台州湾新区初昕街（鲍浦大道-滨富东路）、启泰街（鲍浦大道-滨富东路）道路工程（普通硅酸盐水泥）</w:t>
      </w:r>
      <w:r>
        <w:rPr>
          <w:rFonts w:hAnsi="宋体"/>
          <w:color w:val="0D0D0D"/>
        </w:rPr>
        <w:t>公开招标的结果，签署本合同。</w:t>
      </w:r>
    </w:p>
    <w:p>
      <w:pPr>
        <w:pStyle w:val="28"/>
        <w:snapToGrid w:val="0"/>
        <w:spacing w:before="120" w:after="120" w:line="420" w:lineRule="exact"/>
        <w:rPr>
          <w:rFonts w:hAnsi="宋体"/>
          <w:b/>
          <w:bCs/>
          <w:color w:val="0D0D0D"/>
        </w:rPr>
      </w:pPr>
      <w:r>
        <w:rPr>
          <w:rFonts w:hAnsi="宋体"/>
          <w:b/>
          <w:bCs/>
          <w:color w:val="0D0D0D"/>
        </w:rPr>
        <w:t>合同文件</w:t>
      </w:r>
    </w:p>
    <w:p>
      <w:pPr>
        <w:pStyle w:val="28"/>
        <w:snapToGrid w:val="0"/>
        <w:spacing w:before="120" w:after="120" w:line="420" w:lineRule="exact"/>
        <w:rPr>
          <w:rFonts w:hAnsi="宋体"/>
          <w:color w:val="0D0D0D"/>
        </w:rPr>
      </w:pPr>
      <w:r>
        <w:rPr>
          <w:rFonts w:hAnsi="宋体"/>
          <w:color w:val="0D0D0D"/>
        </w:rPr>
        <w:t xml:space="preserve">   下列文件构成本合同的组成部分：</w:t>
      </w:r>
    </w:p>
    <w:p>
      <w:pPr>
        <w:pStyle w:val="28"/>
        <w:snapToGrid w:val="0"/>
        <w:spacing w:before="120" w:after="120" w:line="420" w:lineRule="exact"/>
        <w:rPr>
          <w:rFonts w:hint="eastAsia" w:hAnsi="宋体"/>
          <w:color w:val="0D0D0D"/>
        </w:rPr>
      </w:pPr>
      <w:r>
        <w:rPr>
          <w:rFonts w:hAnsi="宋体"/>
          <w:color w:val="0D0D0D"/>
        </w:rPr>
        <w:t>(1) 中标通知书</w:t>
      </w:r>
    </w:p>
    <w:p>
      <w:pPr>
        <w:pStyle w:val="28"/>
        <w:snapToGrid w:val="0"/>
        <w:spacing w:before="120" w:after="120" w:line="420" w:lineRule="exact"/>
        <w:rPr>
          <w:rFonts w:hAnsi="宋体"/>
          <w:color w:val="0D0D0D"/>
        </w:rPr>
      </w:pPr>
      <w:r>
        <w:rPr>
          <w:rFonts w:hAnsi="宋体"/>
          <w:color w:val="0D0D0D"/>
        </w:rPr>
        <w:t>(2) 合同主要条款</w:t>
      </w:r>
    </w:p>
    <w:p>
      <w:pPr>
        <w:pStyle w:val="28"/>
        <w:snapToGrid w:val="0"/>
        <w:spacing w:before="120" w:after="120" w:line="420" w:lineRule="exact"/>
        <w:rPr>
          <w:rFonts w:hint="eastAsia" w:hAnsi="宋体" w:eastAsia="宋体" w:cs="Times New Roman"/>
          <w:color w:val="0D0D0D"/>
        </w:rPr>
      </w:pPr>
      <w:r>
        <w:rPr>
          <w:rFonts w:hAnsi="宋体" w:eastAsia="宋体" w:cs="Times New Roman"/>
          <w:color w:val="0D0D0D"/>
        </w:rPr>
        <w:t>(</w:t>
      </w:r>
      <w:r>
        <w:rPr>
          <w:rFonts w:hint="eastAsia" w:hAnsi="宋体" w:eastAsia="宋体" w:cs="Times New Roman"/>
          <w:color w:val="0D0D0D"/>
          <w:lang w:val="en-US" w:eastAsia="zh-CN"/>
        </w:rPr>
        <w:t>3</w:t>
      </w:r>
      <w:r>
        <w:rPr>
          <w:rFonts w:hAnsi="宋体" w:eastAsia="宋体" w:cs="Times New Roman"/>
          <w:color w:val="0D0D0D"/>
        </w:rPr>
        <w:t xml:space="preserve">) </w:t>
      </w:r>
      <w:r>
        <w:rPr>
          <w:rFonts w:hint="eastAsia" w:hAnsi="宋体" w:eastAsia="宋体" w:cs="Times New Roman"/>
          <w:color w:val="0D0D0D"/>
        </w:rPr>
        <w:t>项目廉政责任书</w:t>
      </w:r>
    </w:p>
    <w:p>
      <w:pPr>
        <w:pStyle w:val="28"/>
        <w:snapToGrid w:val="0"/>
        <w:spacing w:before="120" w:after="120" w:line="420" w:lineRule="exact"/>
        <w:rPr>
          <w:rFonts w:hint="eastAsia" w:hAnsi="宋体"/>
          <w:color w:val="0D0D0D"/>
        </w:rPr>
      </w:pPr>
      <w:r>
        <w:rPr>
          <w:rFonts w:hAnsi="宋体"/>
          <w:color w:val="0D0D0D"/>
        </w:rPr>
        <w:t>(</w:t>
      </w:r>
      <w:r>
        <w:rPr>
          <w:rFonts w:hint="eastAsia" w:hAnsi="宋体"/>
          <w:color w:val="0D0D0D"/>
          <w:lang w:val="en-US" w:eastAsia="zh-CN"/>
        </w:rPr>
        <w:t>4</w:t>
      </w:r>
      <w:r>
        <w:rPr>
          <w:rFonts w:hAnsi="宋体"/>
          <w:color w:val="0D0D0D"/>
        </w:rPr>
        <w:t>)</w:t>
      </w:r>
      <w:r>
        <w:rPr>
          <w:rFonts w:hint="eastAsia" w:hAnsi="宋体"/>
          <w:color w:val="0D0D0D"/>
        </w:rPr>
        <w:t xml:space="preserve"> 招标文件</w:t>
      </w:r>
    </w:p>
    <w:p>
      <w:pPr>
        <w:pStyle w:val="28"/>
        <w:snapToGrid w:val="0"/>
        <w:spacing w:before="120" w:after="120" w:line="420" w:lineRule="exact"/>
        <w:rPr>
          <w:rFonts w:hAnsi="宋体"/>
          <w:color w:val="0D0D0D"/>
        </w:rPr>
      </w:pPr>
      <w:r>
        <w:rPr>
          <w:rFonts w:hAnsi="宋体"/>
          <w:color w:val="0D0D0D"/>
        </w:rPr>
        <w:t>(</w:t>
      </w:r>
      <w:r>
        <w:rPr>
          <w:rFonts w:hint="eastAsia" w:hAnsi="宋体"/>
          <w:color w:val="0D0D0D"/>
          <w:lang w:val="en-US" w:eastAsia="zh-CN"/>
        </w:rPr>
        <w:t>5</w:t>
      </w:r>
      <w:r>
        <w:rPr>
          <w:rFonts w:hAnsi="宋体"/>
          <w:color w:val="0D0D0D"/>
        </w:rPr>
        <w:t xml:space="preserve">) </w:t>
      </w:r>
      <w:r>
        <w:rPr>
          <w:rFonts w:hint="eastAsia" w:hAnsi="宋体"/>
          <w:color w:val="0D0D0D"/>
        </w:rPr>
        <w:t>投标文件（商务标）</w:t>
      </w:r>
    </w:p>
    <w:p>
      <w:pPr>
        <w:pStyle w:val="28"/>
        <w:snapToGrid w:val="0"/>
        <w:spacing w:before="120" w:beforeLines="0" w:after="120" w:afterLines="0" w:line="420" w:lineRule="exact"/>
        <w:rPr>
          <w:rFonts w:hAnsi="宋体"/>
          <w:b/>
          <w:color w:val="0D0D0D"/>
        </w:rPr>
      </w:pPr>
      <w:r>
        <w:rPr>
          <w:rFonts w:hAnsi="宋体"/>
          <w:b/>
          <w:color w:val="0D0D0D"/>
        </w:rPr>
        <w:t>一、货物内容</w:t>
      </w:r>
    </w:p>
    <w:p>
      <w:pPr>
        <w:pStyle w:val="28"/>
        <w:snapToGrid w:val="0"/>
        <w:spacing w:before="120" w:beforeLines="0" w:after="120" w:afterLines="0" w:line="420" w:lineRule="exact"/>
        <w:rPr>
          <w:rFonts w:hint="eastAsia" w:hAnsi="宋体"/>
          <w:color w:val="0D0D0D"/>
          <w:u w:val="single"/>
          <w:lang w:eastAsia="zh-CN"/>
        </w:rPr>
      </w:pPr>
      <w:r>
        <w:rPr>
          <w:rFonts w:hAnsi="宋体"/>
          <w:color w:val="0D0D0D"/>
        </w:rPr>
        <w:t>1.1 货物名称：</w:t>
      </w:r>
      <w:r>
        <w:rPr>
          <w:rFonts w:hint="eastAsia" w:hAnsi="宋体"/>
          <w:color w:val="0D0D0D"/>
          <w:u w:val="single"/>
          <w:lang w:eastAsia="zh-CN"/>
        </w:rPr>
        <w:t>台州湾新区初昕街（鲍浦大道-滨富东路）、启泰街（鲍浦大道-滨富东路）道路工程（普通硅酸盐水泥）</w:t>
      </w:r>
    </w:p>
    <w:p>
      <w:pPr>
        <w:pStyle w:val="28"/>
        <w:snapToGrid w:val="0"/>
        <w:spacing w:before="120" w:beforeLines="0" w:after="120" w:afterLines="0" w:line="420" w:lineRule="exact"/>
        <w:rPr>
          <w:rFonts w:hAnsi="宋体"/>
          <w:color w:val="0D0D0D"/>
        </w:rPr>
      </w:pPr>
      <w:r>
        <w:rPr>
          <w:rFonts w:hAnsi="宋体"/>
          <w:color w:val="0D0D0D"/>
        </w:rPr>
        <w:t>1.2 型号规格</w:t>
      </w:r>
      <w:r>
        <w:rPr>
          <w:rFonts w:hint="eastAsia" w:hAnsi="宋体"/>
          <w:color w:val="0D0D0D"/>
        </w:rPr>
        <w:t>、</w:t>
      </w:r>
      <w:r>
        <w:rPr>
          <w:rFonts w:hAnsi="宋体"/>
          <w:color w:val="0D0D0D"/>
        </w:rPr>
        <w:t xml:space="preserve"> 技术参数</w:t>
      </w:r>
      <w:r>
        <w:rPr>
          <w:rFonts w:hint="eastAsia" w:hAnsi="宋体"/>
          <w:color w:val="0D0D0D"/>
        </w:rPr>
        <w:t>、</w:t>
      </w:r>
      <w:r>
        <w:rPr>
          <w:rFonts w:hAnsi="宋体"/>
          <w:color w:val="0D0D0D"/>
        </w:rPr>
        <w:t xml:space="preserve"> 数量（单位）</w:t>
      </w:r>
      <w:r>
        <w:rPr>
          <w:rFonts w:hint="eastAsia" w:hAnsi="宋体"/>
          <w:color w:val="0D0D0D"/>
        </w:rPr>
        <w:t>、品牌</w:t>
      </w:r>
      <w:r>
        <w:rPr>
          <w:rFonts w:hAnsi="宋体"/>
          <w:color w:val="0D0D0D"/>
        </w:rPr>
        <w:t>：</w:t>
      </w:r>
    </w:p>
    <w:tbl>
      <w:tblPr>
        <w:tblStyle w:val="46"/>
        <w:tblW w:w="8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8"/>
        <w:gridCol w:w="2155"/>
        <w:gridCol w:w="3764"/>
        <w:gridCol w:w="561"/>
        <w:gridCol w:w="1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89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台州湾新区初昕街（鲍浦大道-滨富东路）道路工程（普通硅酸盐水泥）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83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序号</w:t>
            </w:r>
          </w:p>
        </w:tc>
        <w:tc>
          <w:tcPr>
            <w:tcW w:w="215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采购内容</w:t>
            </w:r>
          </w:p>
        </w:tc>
        <w:tc>
          <w:tcPr>
            <w:tcW w:w="376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规格</w:t>
            </w:r>
          </w:p>
        </w:tc>
        <w:tc>
          <w:tcPr>
            <w:tcW w:w="56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64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4"/>
                <w:szCs w:val="24"/>
                <w:u w:val="none"/>
              </w:rPr>
            </w:pPr>
            <w:r>
              <w:rPr>
                <w:rFonts w:hint="eastAsia" w:ascii="宋体" w:hAnsi="宋体" w:eastAsia="宋体" w:cs="宋体"/>
                <w:b/>
                <w:i w:val="0"/>
                <w:color w:val="0C0C0C"/>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171A1D"/>
                <w:kern w:val="0"/>
                <w:sz w:val="21"/>
                <w:szCs w:val="21"/>
                <w:u w:val="none"/>
                <w:lang w:val="en-US" w:eastAsia="zh-CN" w:bidi="ar"/>
              </w:rPr>
              <w:t>普通硅酸</w:t>
            </w:r>
            <w:r>
              <w:rPr>
                <w:rFonts w:hint="eastAsia" w:ascii="宋体" w:hAnsi="宋体" w:eastAsia="宋体" w:cs="宋体"/>
                <w:i w:val="0"/>
                <w:color w:val="171A1D"/>
                <w:kern w:val="0"/>
                <w:sz w:val="21"/>
                <w:szCs w:val="21"/>
                <w:u w:val="none"/>
                <w:lang w:val="en-US" w:eastAsia="zh-CN" w:bidi="ar"/>
              </w:rPr>
              <w:br w:type="textWrapping"/>
            </w:r>
            <w:r>
              <w:rPr>
                <w:rFonts w:hint="eastAsia" w:ascii="宋体" w:hAnsi="宋体" w:eastAsia="宋体" w:cs="宋体"/>
                <w:i w:val="0"/>
                <w:color w:val="171A1D"/>
                <w:kern w:val="0"/>
                <w:sz w:val="21"/>
                <w:szCs w:val="21"/>
                <w:u w:val="none"/>
                <w:lang w:val="en-US" w:eastAsia="zh-CN" w:bidi="ar"/>
              </w:rPr>
              <w:t>盐水泥</w:t>
            </w:r>
          </w:p>
        </w:tc>
        <w:tc>
          <w:tcPr>
            <w:tcW w:w="3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PO 42.5袋装</w:t>
            </w:r>
          </w:p>
        </w:tc>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普通硅酸</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盐水泥</w:t>
            </w:r>
          </w:p>
        </w:tc>
        <w:tc>
          <w:tcPr>
            <w:tcW w:w="3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PO 42.5散装</w:t>
            </w:r>
          </w:p>
        </w:tc>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吨</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89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台州湾新区初昕街（鲍浦大道-滨富东路）道路工程（普通硅酸盐水泥）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atLeast"/>
        </w:trPr>
        <w:tc>
          <w:tcPr>
            <w:tcW w:w="83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序号</w:t>
            </w:r>
          </w:p>
        </w:tc>
        <w:tc>
          <w:tcPr>
            <w:tcW w:w="215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采购内容</w:t>
            </w:r>
          </w:p>
        </w:tc>
        <w:tc>
          <w:tcPr>
            <w:tcW w:w="376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规格</w:t>
            </w:r>
          </w:p>
        </w:tc>
        <w:tc>
          <w:tcPr>
            <w:tcW w:w="56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64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4"/>
                <w:szCs w:val="24"/>
                <w:u w:val="none"/>
              </w:rPr>
            </w:pPr>
            <w:r>
              <w:rPr>
                <w:rFonts w:hint="eastAsia" w:ascii="宋体" w:hAnsi="宋体" w:eastAsia="宋体" w:cs="宋体"/>
                <w:b/>
                <w:i w:val="0"/>
                <w:color w:val="0C0C0C"/>
                <w:kern w:val="0"/>
                <w:sz w:val="24"/>
                <w:szCs w:val="24"/>
                <w:u w:val="none"/>
                <w:lang w:val="en-US" w:eastAsia="zh-CN" w:bidi="ar"/>
              </w:rPr>
              <w:t>数量（吨）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171A1D"/>
                <w:kern w:val="0"/>
                <w:sz w:val="21"/>
                <w:szCs w:val="21"/>
                <w:u w:val="none"/>
                <w:lang w:val="en-US" w:eastAsia="zh-CN" w:bidi="ar"/>
              </w:rPr>
              <w:t>普通硅酸</w:t>
            </w:r>
            <w:r>
              <w:rPr>
                <w:rFonts w:hint="eastAsia" w:ascii="宋体" w:hAnsi="宋体" w:eastAsia="宋体" w:cs="宋体"/>
                <w:i w:val="0"/>
                <w:color w:val="171A1D"/>
                <w:kern w:val="0"/>
                <w:sz w:val="21"/>
                <w:szCs w:val="21"/>
                <w:u w:val="none"/>
                <w:lang w:val="en-US" w:eastAsia="zh-CN" w:bidi="ar"/>
              </w:rPr>
              <w:br w:type="textWrapping"/>
            </w:r>
            <w:r>
              <w:rPr>
                <w:rFonts w:hint="eastAsia" w:ascii="宋体" w:hAnsi="宋体" w:eastAsia="宋体" w:cs="宋体"/>
                <w:i w:val="0"/>
                <w:color w:val="171A1D"/>
                <w:kern w:val="0"/>
                <w:sz w:val="21"/>
                <w:szCs w:val="21"/>
                <w:u w:val="none"/>
                <w:lang w:val="en-US" w:eastAsia="zh-CN" w:bidi="ar"/>
              </w:rPr>
              <w:t>盐水泥</w:t>
            </w:r>
          </w:p>
        </w:tc>
        <w:tc>
          <w:tcPr>
            <w:tcW w:w="3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PO 42.5袋装</w:t>
            </w:r>
          </w:p>
        </w:tc>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200</w:t>
            </w:r>
          </w:p>
        </w:tc>
      </w:tr>
    </w:tbl>
    <w:p>
      <w:pPr>
        <w:pStyle w:val="28"/>
        <w:snapToGrid w:val="0"/>
        <w:spacing w:before="120" w:beforeLines="0" w:after="120" w:afterLines="0" w:line="420" w:lineRule="exact"/>
        <w:rPr>
          <w:rFonts w:hint="eastAsia" w:hAnsi="宋体"/>
          <w:b w:val="0"/>
          <w:bCs/>
          <w:color w:val="0C0C0C"/>
          <w:highlight w:val="none"/>
        </w:rPr>
      </w:pPr>
      <w:r>
        <w:rPr>
          <w:rFonts w:hint="eastAsia" w:hAnsi="宋体"/>
          <w:b w:val="0"/>
          <w:bCs/>
          <w:color w:val="0C0C0C"/>
          <w:highlight w:val="none"/>
        </w:rPr>
        <w:t>1.3以上表格数量为暂估，</w:t>
      </w:r>
      <w:r>
        <w:rPr>
          <w:rFonts w:hint="eastAsia" w:hAnsi="宋体"/>
          <w:b w:val="0"/>
          <w:bCs/>
          <w:color w:val="0C0C0C"/>
          <w:highlight w:val="none"/>
          <w:lang w:val="en-US" w:eastAsia="zh-CN"/>
        </w:rPr>
        <w:t>结算时</w:t>
      </w:r>
      <w:r>
        <w:rPr>
          <w:rFonts w:hint="eastAsia" w:hAnsi="宋体"/>
          <w:b w:val="0"/>
          <w:bCs/>
          <w:color w:val="0C0C0C"/>
          <w:highlight w:val="none"/>
        </w:rPr>
        <w:t>按实计算。</w:t>
      </w:r>
    </w:p>
    <w:p>
      <w:pPr>
        <w:pStyle w:val="28"/>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1.4合同期限：</w:t>
      </w:r>
      <w:r>
        <w:rPr>
          <w:rFonts w:hint="eastAsia" w:hAnsi="宋体"/>
          <w:b w:val="0"/>
          <w:bCs/>
          <w:color w:val="0C0C0C"/>
          <w:highlight w:val="none"/>
          <w:lang w:eastAsia="zh-CN"/>
        </w:rPr>
        <w:t>自收到中标通知书后5个工作日内完成供货；如因项目需要分批次供货的，则每批次货物自接到买方通知后3个工作日内完成供货</w:t>
      </w:r>
      <w:r>
        <w:rPr>
          <w:rFonts w:hint="eastAsia" w:hAnsi="宋体"/>
          <w:b w:val="0"/>
          <w:bCs/>
          <w:color w:val="0C0C0C"/>
          <w:highlight w:val="none"/>
        </w:rPr>
        <w:t xml:space="preserve">； </w:t>
      </w:r>
    </w:p>
    <w:p>
      <w:pPr>
        <w:pStyle w:val="28"/>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1.5 甲方有权对货物内容进行调整，乙方必须按调整后的货物内容进行供货，不得有任何疑义。</w:t>
      </w:r>
    </w:p>
    <w:p>
      <w:pPr>
        <w:pStyle w:val="28"/>
        <w:snapToGrid w:val="0"/>
        <w:spacing w:before="120" w:beforeLines="0" w:after="120" w:afterLines="0" w:line="420" w:lineRule="exact"/>
        <w:rPr>
          <w:rFonts w:hAnsi="宋体"/>
          <w:b/>
          <w:color w:val="0D0D0D"/>
        </w:rPr>
      </w:pPr>
      <w:r>
        <w:rPr>
          <w:rFonts w:hAnsi="宋体"/>
          <w:b/>
          <w:color w:val="0D0D0D"/>
        </w:rPr>
        <w:t>二、合同金额</w:t>
      </w:r>
    </w:p>
    <w:p>
      <w:pPr>
        <w:pStyle w:val="28"/>
        <w:snapToGrid w:val="0"/>
        <w:spacing w:before="120" w:after="120" w:line="420" w:lineRule="exact"/>
        <w:rPr>
          <w:rFonts w:hint="eastAsia" w:hAnsi="宋体"/>
          <w:color w:val="0D0D0D"/>
        </w:rPr>
      </w:pPr>
      <w:r>
        <w:rPr>
          <w:rFonts w:hAnsi="宋体"/>
          <w:color w:val="0D0D0D"/>
        </w:rPr>
        <w:t xml:space="preserve">2.1   </w:t>
      </w:r>
      <w:r>
        <w:rPr>
          <w:rFonts w:hint="eastAsia" w:hAnsi="宋体"/>
          <w:color w:val="0D0D0D"/>
        </w:rPr>
        <w:t>本合同</w:t>
      </w:r>
      <w:r>
        <w:rPr>
          <w:rFonts w:hint="eastAsia" w:hAnsi="宋体"/>
          <w:color w:val="0D0D0D"/>
          <w:lang w:val="en-US" w:eastAsia="zh-CN"/>
        </w:rPr>
        <w:t>总价</w:t>
      </w:r>
      <w:r>
        <w:rPr>
          <w:rFonts w:hint="eastAsia" w:hAnsi="宋体"/>
          <w:color w:val="0D0D0D"/>
        </w:rPr>
        <w:t>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元)人民币；</w:t>
      </w:r>
    </w:p>
    <w:p>
      <w:pPr>
        <w:pStyle w:val="28"/>
        <w:snapToGrid w:val="0"/>
        <w:spacing w:before="120" w:after="120" w:line="420" w:lineRule="exact"/>
        <w:rPr>
          <w:rFonts w:hint="eastAsia" w:hAnsi="宋体"/>
          <w:color w:val="0D0D0D"/>
        </w:rPr>
      </w:pPr>
      <w:r>
        <w:rPr>
          <w:rFonts w:hint="eastAsia" w:hAnsi="宋体"/>
          <w:color w:val="0D0D0D"/>
        </w:rPr>
        <w:t>其中不含税价为人民币(大写)：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 xml:space="preserve"> 元)人民币；</w:t>
      </w:r>
    </w:p>
    <w:p>
      <w:pPr>
        <w:pStyle w:val="28"/>
        <w:snapToGrid w:val="0"/>
        <w:spacing w:before="120" w:after="120" w:line="420" w:lineRule="exact"/>
        <w:rPr>
          <w:rFonts w:hint="eastAsia" w:hAnsi="宋体"/>
          <w:color w:val="0D0D0D"/>
        </w:rPr>
      </w:pPr>
      <w:r>
        <w:rPr>
          <w:rFonts w:hint="eastAsia" w:hAnsi="宋体"/>
          <w:color w:val="0D0D0D"/>
        </w:rPr>
        <w:t>其中税金为人民币(大写)：</w:t>
      </w:r>
      <w:r>
        <w:rPr>
          <w:rFonts w:hint="eastAsia" w:hAnsi="宋体"/>
          <w:color w:val="0D0D0D"/>
          <w:u w:val="single"/>
        </w:rPr>
        <w:t xml:space="preserve">                    </w:t>
      </w:r>
      <w:r>
        <w:rPr>
          <w:rFonts w:hint="eastAsia" w:hAnsi="宋体"/>
          <w:color w:val="0D0D0D"/>
        </w:rPr>
        <w:t xml:space="preserve">元(￥ </w:t>
      </w:r>
      <w:r>
        <w:rPr>
          <w:rFonts w:hint="eastAsia" w:hAnsi="宋体"/>
          <w:color w:val="0D0D0D"/>
          <w:u w:val="single"/>
        </w:rPr>
        <w:t xml:space="preserve">           </w:t>
      </w:r>
      <w:r>
        <w:rPr>
          <w:rFonts w:hint="eastAsia" w:hAnsi="宋体"/>
          <w:color w:val="0D0D0D"/>
        </w:rPr>
        <w:t xml:space="preserve"> 元)人民币。</w:t>
      </w:r>
    </w:p>
    <w:p>
      <w:pPr>
        <w:pStyle w:val="28"/>
        <w:snapToGrid w:val="0"/>
        <w:spacing w:before="120" w:after="120" w:line="420" w:lineRule="exact"/>
        <w:rPr>
          <w:rFonts w:hint="eastAsia" w:hAnsi="宋体" w:eastAsia="宋体"/>
          <w:color w:val="0C0C0C"/>
          <w:highlight w:val="none"/>
          <w:lang w:eastAsia="zh-CN"/>
        </w:rPr>
      </w:pPr>
      <w:r>
        <w:rPr>
          <w:rFonts w:hint="eastAsia" w:hAnsi="宋体"/>
          <w:color w:val="0C0C0C"/>
          <w:highlight w:val="none"/>
          <w:lang w:eastAsia="zh-CN"/>
        </w:rPr>
        <w:t>（如遇国家对行业增值税税率进行调整，则不含税金额按照本合同相应不含税价执行，增值税税率及增值税金额根据政策做相应调整。）</w:t>
      </w:r>
    </w:p>
    <w:tbl>
      <w:tblPr>
        <w:tblStyle w:val="46"/>
        <w:tblW w:w="4993" w:type="pct"/>
        <w:jc w:val="center"/>
        <w:tblLayout w:type="fixed"/>
        <w:tblCellMar>
          <w:top w:w="0" w:type="dxa"/>
          <w:left w:w="108" w:type="dxa"/>
          <w:bottom w:w="0" w:type="dxa"/>
          <w:right w:w="108" w:type="dxa"/>
        </w:tblCellMar>
      </w:tblPr>
      <w:tblGrid>
        <w:gridCol w:w="838"/>
        <w:gridCol w:w="1531"/>
        <w:gridCol w:w="1721"/>
        <w:gridCol w:w="1783"/>
        <w:gridCol w:w="1940"/>
        <w:gridCol w:w="1575"/>
      </w:tblGrid>
      <w:tr>
        <w:tblPrEx>
          <w:tblCellMar>
            <w:top w:w="0" w:type="dxa"/>
            <w:left w:w="108" w:type="dxa"/>
            <w:bottom w:w="0" w:type="dxa"/>
            <w:right w:w="108" w:type="dxa"/>
          </w:tblCellMar>
        </w:tblPrEx>
        <w:trPr>
          <w:trHeight w:val="680"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both"/>
              <w:rPr>
                <w:rFonts w:hint="eastAsia" w:hAnsi="宋体" w:eastAsia="宋体"/>
                <w:bCs/>
                <w:color w:val="auto"/>
                <w:highlight w:val="none"/>
                <w:lang w:eastAsia="zh-CN"/>
              </w:rPr>
            </w:pPr>
            <w:r>
              <w:rPr>
                <w:rFonts w:hint="eastAsia" w:hAnsi="宋体"/>
                <w:bCs/>
                <w:color w:val="auto"/>
                <w:sz w:val="20"/>
                <w:szCs w:val="20"/>
                <w:highlight w:val="none"/>
                <w:lang w:eastAsia="zh-CN"/>
              </w:rPr>
              <w:t>台州湾新区初昕街（鲍浦大道-滨富东路）、启泰街（鲍浦大道-滨富东路）道路</w:t>
            </w:r>
            <w:r>
              <w:rPr>
                <w:rFonts w:hint="eastAsia" w:hAnsi="宋体" w:eastAsia="宋体" w:cs="Times New Roman"/>
                <w:bCs/>
                <w:color w:val="auto"/>
                <w:sz w:val="20"/>
                <w:szCs w:val="20"/>
                <w:highlight w:val="none"/>
                <w:lang w:eastAsia="zh-CN"/>
              </w:rPr>
              <w:t>工程（普通硅酸盐水泥）</w:t>
            </w:r>
          </w:p>
        </w:tc>
      </w:tr>
      <w:tr>
        <w:tblPrEx>
          <w:tblCellMar>
            <w:top w:w="0" w:type="dxa"/>
            <w:left w:w="108" w:type="dxa"/>
            <w:bottom w:w="0" w:type="dxa"/>
            <w:right w:w="108" w:type="dxa"/>
          </w:tblCellMar>
        </w:tblPrEx>
        <w:trPr>
          <w:trHeight w:val="680" w:hRule="exac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cs="Arial"/>
                <w:bCs/>
                <w:color w:val="auto"/>
                <w:sz w:val="21"/>
                <w:szCs w:val="21"/>
                <w:highlight w:val="none"/>
              </w:rPr>
            </w:pPr>
            <w:r>
              <w:rPr>
                <w:rFonts w:hint="eastAsia" w:hAnsi="宋体"/>
                <w:bCs/>
                <w:color w:val="auto"/>
                <w:highlight w:val="none"/>
              </w:rPr>
              <w:t>序号</w:t>
            </w:r>
          </w:p>
        </w:tc>
        <w:tc>
          <w:tcPr>
            <w:tcW w:w="815"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eastAsia="宋体" w:cs="Times New Roman"/>
                <w:bCs/>
                <w:color w:val="auto"/>
                <w:highlight w:val="none"/>
              </w:rPr>
              <w:t>采购内容</w:t>
            </w:r>
          </w:p>
        </w:tc>
        <w:tc>
          <w:tcPr>
            <w:tcW w:w="916"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eastAsia="宋体" w:cs="Times New Roman"/>
                <w:bCs/>
                <w:color w:val="auto"/>
                <w:highlight w:val="none"/>
                <w:lang w:val="en-US" w:eastAsia="zh-CN"/>
              </w:rPr>
              <w:t>规格型号</w:t>
            </w:r>
          </w:p>
        </w:tc>
        <w:tc>
          <w:tcPr>
            <w:tcW w:w="949"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bCs/>
                <w:color w:val="auto"/>
                <w:highlight w:val="none"/>
              </w:rPr>
              <w:t>工程暂估量</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t</w:t>
            </w:r>
            <w:r>
              <w:rPr>
                <w:rFonts w:hint="eastAsia" w:ascii="宋体" w:hAnsi="宋体" w:cs="宋体"/>
                <w:bCs/>
                <w:color w:val="auto"/>
                <w:sz w:val="21"/>
                <w:szCs w:val="21"/>
                <w:highlight w:val="none"/>
                <w:lang w:eastAsia="zh-CN"/>
              </w:rPr>
              <w:t>）</w:t>
            </w:r>
          </w:p>
        </w:tc>
        <w:tc>
          <w:tcPr>
            <w:tcW w:w="1033"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hAnsi="宋体"/>
                <w:color w:val="auto"/>
                <w:highlight w:val="none"/>
              </w:rPr>
            </w:pPr>
            <w:r>
              <w:rPr>
                <w:rFonts w:hint="eastAsia" w:hAnsi="宋体"/>
                <w:bCs/>
                <w:color w:val="auto"/>
                <w:highlight w:val="none"/>
              </w:rPr>
              <w:t>综合单价</w:t>
            </w:r>
            <w:r>
              <w:rPr>
                <w:rFonts w:hint="eastAsia" w:ascii="宋体" w:hAnsi="宋体" w:cs="宋体"/>
                <w:bCs/>
                <w:color w:val="auto"/>
                <w:sz w:val="21"/>
                <w:szCs w:val="21"/>
                <w:highlight w:val="none"/>
              </w:rPr>
              <w:t>（元/</w:t>
            </w:r>
            <w:r>
              <w:rPr>
                <w:rFonts w:hint="eastAsia" w:hAnsi="宋体" w:cs="宋体"/>
                <w:bCs/>
                <w:color w:val="auto"/>
                <w:sz w:val="21"/>
                <w:szCs w:val="21"/>
                <w:highlight w:val="none"/>
                <w:lang w:val="en-US" w:eastAsia="zh-CN"/>
              </w:rPr>
              <w:t>t</w:t>
            </w:r>
            <w:r>
              <w:rPr>
                <w:rFonts w:hint="eastAsia" w:ascii="宋体" w:hAnsi="宋体" w:cs="宋体"/>
                <w:bCs/>
                <w:color w:val="auto"/>
                <w:sz w:val="21"/>
                <w:szCs w:val="21"/>
                <w:highlight w:val="none"/>
              </w:rPr>
              <w:t>）</w:t>
            </w:r>
          </w:p>
        </w:tc>
        <w:tc>
          <w:tcPr>
            <w:tcW w:w="838"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hAnsi="宋体"/>
                <w:color w:val="auto"/>
                <w:highlight w:val="none"/>
              </w:rPr>
            </w:pPr>
            <w:r>
              <w:rPr>
                <w:rFonts w:hint="eastAsia" w:hAnsi="宋体"/>
                <w:bCs/>
                <w:color w:val="auto"/>
                <w:highlight w:val="none"/>
              </w:rPr>
              <w:t>总价</w:t>
            </w:r>
            <w:r>
              <w:rPr>
                <w:rFonts w:hint="eastAsia" w:ascii="宋体" w:hAnsi="宋体" w:cs="宋体"/>
                <w:bCs/>
                <w:color w:val="auto"/>
                <w:sz w:val="21"/>
                <w:szCs w:val="21"/>
                <w:highlight w:val="none"/>
              </w:rPr>
              <w:t>（元）</w:t>
            </w:r>
          </w:p>
        </w:tc>
      </w:tr>
      <w:tr>
        <w:tblPrEx>
          <w:tblCellMar>
            <w:top w:w="0" w:type="dxa"/>
            <w:left w:w="108" w:type="dxa"/>
            <w:bottom w:w="0" w:type="dxa"/>
            <w:right w:w="108" w:type="dxa"/>
          </w:tblCellMar>
        </w:tblPrEx>
        <w:trPr>
          <w:trHeight w:val="680" w:hRule="exac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rPr>
            </w:pPr>
            <w:r>
              <w:rPr>
                <w:rFonts w:hint="eastAsia" w:ascii="宋体" w:hAnsi="宋体" w:eastAsia="宋体" w:cs="宋体"/>
                <w:i w:val="0"/>
                <w:color w:val="000000"/>
                <w:kern w:val="0"/>
                <w:sz w:val="22"/>
                <w:szCs w:val="22"/>
                <w:u w:val="none"/>
                <w:lang w:val="en-US" w:eastAsia="zh-CN" w:bidi="ar"/>
              </w:rPr>
              <w:t>1</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highlight w:val="none"/>
                <w:lang w:val="en-US" w:eastAsia="zh-CN"/>
              </w:rPr>
            </w:pPr>
            <w:r>
              <w:rPr>
                <w:rFonts w:hint="eastAsia" w:ascii="宋体" w:hAnsi="宋体" w:eastAsia="宋体" w:cs="宋体"/>
                <w:i w:val="0"/>
                <w:color w:val="171A1D"/>
                <w:kern w:val="0"/>
                <w:sz w:val="21"/>
                <w:szCs w:val="21"/>
                <w:u w:val="none"/>
                <w:lang w:val="en-US" w:eastAsia="zh-CN" w:bidi="ar"/>
              </w:rPr>
              <w:t>普通硅酸</w:t>
            </w:r>
            <w:r>
              <w:rPr>
                <w:rFonts w:hint="eastAsia" w:ascii="宋体" w:hAnsi="宋体" w:eastAsia="宋体" w:cs="宋体"/>
                <w:i w:val="0"/>
                <w:color w:val="171A1D"/>
                <w:kern w:val="0"/>
                <w:sz w:val="21"/>
                <w:szCs w:val="21"/>
                <w:u w:val="none"/>
                <w:lang w:val="en-US" w:eastAsia="zh-CN" w:bidi="ar"/>
              </w:rPr>
              <w:br w:type="textWrapping"/>
            </w:r>
            <w:r>
              <w:rPr>
                <w:rFonts w:hint="eastAsia" w:ascii="宋体" w:hAnsi="宋体" w:eastAsia="宋体" w:cs="宋体"/>
                <w:i w:val="0"/>
                <w:color w:val="171A1D"/>
                <w:kern w:val="0"/>
                <w:sz w:val="21"/>
                <w:szCs w:val="21"/>
                <w:u w:val="none"/>
                <w:lang w:val="en-US" w:eastAsia="zh-CN" w:bidi="ar"/>
              </w:rPr>
              <w:t>盐水泥</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highlight w:val="none"/>
                <w:lang w:val="en-US" w:eastAsia="zh-CN"/>
              </w:rPr>
            </w:pPr>
            <w:r>
              <w:rPr>
                <w:rFonts w:hint="eastAsia" w:ascii="宋体" w:hAnsi="宋体" w:eastAsia="宋体" w:cs="宋体"/>
                <w:i w:val="0"/>
                <w:color w:val="000000"/>
                <w:kern w:val="0"/>
                <w:sz w:val="22"/>
                <w:szCs w:val="22"/>
                <w:u w:val="none"/>
                <w:lang w:val="en-US" w:eastAsia="zh-CN" w:bidi="ar"/>
              </w:rPr>
              <w:t>PO 42.5袋装</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bCs/>
                <w:color w:val="auto"/>
                <w:highlight w:val="none"/>
                <w:lang w:val="en-US" w:eastAsia="zh-CN"/>
              </w:rPr>
            </w:pPr>
            <w:r>
              <w:rPr>
                <w:rFonts w:hint="eastAsia" w:ascii="宋体" w:hAnsi="宋体" w:eastAsia="宋体" w:cs="宋体"/>
                <w:i w:val="0"/>
                <w:color w:val="000000"/>
                <w:kern w:val="0"/>
                <w:sz w:val="22"/>
                <w:szCs w:val="22"/>
                <w:u w:val="none"/>
                <w:lang w:val="en-US" w:eastAsia="zh-CN" w:bidi="ar"/>
              </w:rPr>
              <w:t>30</w:t>
            </w:r>
          </w:p>
        </w:tc>
        <w:tc>
          <w:tcPr>
            <w:tcW w:w="10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olor w:val="auto"/>
                <w:highlight w:val="none"/>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hAnsi="宋体"/>
                <w:color w:val="auto"/>
                <w:highlight w:val="none"/>
              </w:rPr>
            </w:pPr>
          </w:p>
        </w:tc>
      </w:tr>
      <w:tr>
        <w:tblPrEx>
          <w:tblCellMar>
            <w:top w:w="0" w:type="dxa"/>
            <w:left w:w="108" w:type="dxa"/>
            <w:bottom w:w="0" w:type="dxa"/>
            <w:right w:w="108" w:type="dxa"/>
          </w:tblCellMar>
        </w:tblPrEx>
        <w:trPr>
          <w:trHeight w:val="680" w:hRule="exac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171A1D"/>
                <w:kern w:val="0"/>
                <w:sz w:val="21"/>
                <w:szCs w:val="21"/>
                <w:u w:val="none"/>
                <w:lang w:val="en-US" w:eastAsia="zh-CN" w:bidi="ar"/>
              </w:rPr>
            </w:pPr>
            <w:r>
              <w:rPr>
                <w:rFonts w:hint="eastAsia" w:ascii="宋体" w:hAnsi="宋体" w:eastAsia="宋体" w:cs="宋体"/>
                <w:i w:val="0"/>
                <w:color w:val="171A1D"/>
                <w:kern w:val="0"/>
                <w:sz w:val="21"/>
                <w:szCs w:val="21"/>
                <w:u w:val="none"/>
                <w:lang w:val="en-US" w:eastAsia="zh-CN" w:bidi="ar"/>
              </w:rPr>
              <w:t>普通硅酸</w:t>
            </w:r>
            <w:r>
              <w:rPr>
                <w:rFonts w:hint="eastAsia" w:ascii="宋体" w:hAnsi="宋体" w:eastAsia="宋体" w:cs="宋体"/>
                <w:i w:val="0"/>
                <w:color w:val="171A1D"/>
                <w:kern w:val="0"/>
                <w:sz w:val="21"/>
                <w:szCs w:val="21"/>
                <w:u w:val="none"/>
                <w:lang w:val="en-US" w:eastAsia="zh-CN" w:bidi="ar"/>
              </w:rPr>
              <w:br w:type="textWrapping"/>
            </w:r>
            <w:r>
              <w:rPr>
                <w:rFonts w:hint="eastAsia" w:ascii="宋体" w:hAnsi="宋体" w:eastAsia="宋体" w:cs="宋体"/>
                <w:i w:val="0"/>
                <w:color w:val="171A1D"/>
                <w:kern w:val="0"/>
                <w:sz w:val="21"/>
                <w:szCs w:val="21"/>
                <w:u w:val="none"/>
                <w:lang w:val="en-US" w:eastAsia="zh-CN" w:bidi="ar"/>
              </w:rPr>
              <w:t>盐水泥</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PO 42.5散装</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0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olor w:val="auto"/>
                <w:highlight w:val="none"/>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hAnsi="宋体"/>
                <w:color w:val="auto"/>
                <w:highlight w:val="none"/>
              </w:rPr>
            </w:pPr>
          </w:p>
        </w:tc>
      </w:tr>
      <w:tr>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rPr>
                <w:rFonts w:hint="eastAsia" w:hAnsi="宋体"/>
                <w:color w:val="auto"/>
                <w:highlight w:val="none"/>
              </w:rPr>
            </w:pPr>
            <w:r>
              <w:rPr>
                <w:rFonts w:hint="eastAsia" w:hAnsi="宋体"/>
                <w:color w:val="auto"/>
                <w:highlight w:val="none"/>
              </w:rPr>
              <w:t>报价合计</w:t>
            </w:r>
            <w:r>
              <w:rPr>
                <w:rFonts w:hint="eastAsia" w:hAnsi="宋体"/>
                <w:color w:val="auto"/>
                <w:highlight w:val="none"/>
                <w:lang w:val="en-US" w:eastAsia="zh-CN"/>
              </w:rPr>
              <w:t>=</w:t>
            </w:r>
            <w:r>
              <w:rPr>
                <w:rFonts w:hint="eastAsia" w:hAnsi="宋体"/>
                <w:color w:val="auto"/>
                <w:highlight w:val="none"/>
                <w:u w:val="single"/>
              </w:rPr>
              <w:t xml:space="preserve">                          </w:t>
            </w:r>
            <w:r>
              <w:rPr>
                <w:rFonts w:hint="eastAsia" w:hAnsi="宋体"/>
                <w:color w:val="auto"/>
                <w:highlight w:val="none"/>
              </w:rPr>
              <w:t>（元）</w:t>
            </w:r>
          </w:p>
        </w:tc>
      </w:tr>
    </w:tbl>
    <w:p>
      <w:pPr>
        <w:pStyle w:val="28"/>
        <w:snapToGrid w:val="0"/>
        <w:spacing w:before="120" w:beforeLines="0" w:after="120" w:afterLines="0" w:line="420" w:lineRule="exact"/>
        <w:rPr>
          <w:rFonts w:hint="eastAsia" w:hAnsi="宋体"/>
          <w:color w:val="0C0C0C"/>
          <w:szCs w:val="21"/>
        </w:rPr>
      </w:pPr>
      <w:r>
        <w:rPr>
          <w:rFonts w:hint="eastAsia" w:hAnsi="宋体"/>
          <w:color w:val="0C0C0C"/>
          <w:szCs w:val="21"/>
          <w:lang w:val="en-US" w:eastAsia="zh-CN"/>
        </w:rPr>
        <w:t>综合</w:t>
      </w:r>
      <w:r>
        <w:rPr>
          <w:rFonts w:hint="eastAsia" w:hAnsi="宋体"/>
          <w:color w:val="0C0C0C"/>
          <w:szCs w:val="21"/>
        </w:rPr>
        <w:t>单价保留</w:t>
      </w:r>
      <w:r>
        <w:rPr>
          <w:rFonts w:hint="eastAsia" w:hAnsi="宋体"/>
          <w:color w:val="0C0C0C"/>
          <w:szCs w:val="21"/>
          <w:lang w:val="en-US" w:eastAsia="zh-CN"/>
        </w:rPr>
        <w:t>整数</w:t>
      </w:r>
      <w:r>
        <w:rPr>
          <w:rFonts w:hint="eastAsia" w:hAnsi="宋体"/>
          <w:color w:val="0C0C0C"/>
          <w:szCs w:val="21"/>
        </w:rPr>
        <w:t>，总价保留整数。</w:t>
      </w:r>
    </w:p>
    <w:p>
      <w:pPr>
        <w:pStyle w:val="28"/>
        <w:snapToGrid w:val="0"/>
        <w:spacing w:before="120" w:beforeLines="0" w:after="120" w:afterLines="0" w:line="420" w:lineRule="exact"/>
        <w:rPr>
          <w:rFonts w:hint="eastAsia" w:hAnsi="宋体"/>
          <w:color w:val="0C0C0C"/>
          <w:highlight w:val="none"/>
        </w:rPr>
      </w:pPr>
      <w:r>
        <w:rPr>
          <w:rFonts w:hint="eastAsia" w:hAnsi="宋体"/>
          <w:color w:val="0C0C0C"/>
          <w:highlight w:val="none"/>
        </w:rPr>
        <w:t>2.2 交货货物数量由卖方计量，买方及有关部门核准，</w:t>
      </w:r>
      <w:r>
        <w:rPr>
          <w:rFonts w:hint="eastAsia" w:hAnsi="宋体"/>
          <w:color w:val="0C0C0C"/>
          <w:highlight w:val="none"/>
          <w:lang w:eastAsia="zh-CN"/>
        </w:rPr>
        <w:t>工程量</w:t>
      </w:r>
      <w:r>
        <w:rPr>
          <w:rFonts w:hint="eastAsia" w:hAnsi="宋体"/>
          <w:color w:val="0C0C0C"/>
          <w:highlight w:val="none"/>
        </w:rPr>
        <w:t>按实结算。</w:t>
      </w:r>
    </w:p>
    <w:p>
      <w:pPr>
        <w:pStyle w:val="28"/>
        <w:snapToGrid w:val="0"/>
        <w:spacing w:before="120" w:beforeLines="0" w:after="120" w:afterLines="0" w:line="420" w:lineRule="exact"/>
        <w:rPr>
          <w:rFonts w:hint="eastAsia" w:hAnsi="宋体" w:eastAsia="宋体" w:cs="Times New Roman"/>
          <w:color w:val="0C0C0C"/>
          <w:highlight w:val="green"/>
          <w:lang w:val="en-US" w:eastAsia="zh-CN"/>
        </w:rPr>
      </w:pPr>
      <w:r>
        <w:rPr>
          <w:rFonts w:hint="eastAsia" w:hAnsi="宋体" w:eastAsia="宋体" w:cs="Times New Roman"/>
          <w:color w:val="0C0C0C"/>
          <w:highlight w:val="none"/>
          <w:lang w:val="en-US" w:eastAsia="zh-CN"/>
        </w:rPr>
        <w:t>2.3合同期内，如市场价格有波动调整合同结算综合单价，采用以下造价信息对合同结算综合单价进行调整</w:t>
      </w:r>
      <w:r>
        <w:rPr>
          <w:rFonts w:hint="eastAsia" w:hAnsi="宋体"/>
          <w:color w:val="0C0C0C"/>
          <w:szCs w:val="21"/>
          <w:highlight w:val="none"/>
          <w:lang w:val="en-US" w:eastAsia="zh-CN"/>
        </w:rPr>
        <w:t>：</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eastAsia="宋体" w:cs="Times New Roman"/>
          <w:color w:val="0C0C0C"/>
          <w:highlight w:val="none"/>
          <w:lang w:val="en-US" w:eastAsia="zh-CN"/>
        </w:rPr>
        <w:t>（1）关于基准价格的约定</w:t>
      </w:r>
      <w:r>
        <w:rPr>
          <w:rFonts w:hint="eastAsia" w:hAnsi="宋体" w:eastAsia="宋体" w:cs="Times New Roman"/>
          <w:color w:val="0000FF"/>
          <w:highlight w:val="none"/>
          <w:lang w:val="en-US" w:eastAsia="zh-CN"/>
        </w:rPr>
        <w:t>：</w:t>
      </w:r>
      <w:r>
        <w:rPr>
          <w:rFonts w:hint="eastAsia" w:hAnsi="宋体"/>
          <w:color w:val="auto"/>
          <w:szCs w:val="21"/>
          <w:highlight w:val="none"/>
          <w:lang w:val="en-US" w:eastAsia="zh-CN"/>
        </w:rPr>
        <w:t>A1=采用《台州造价》（正刊）（工程所在地2023年第10期）</w:t>
      </w:r>
      <w:r>
        <w:rPr>
          <w:rFonts w:hint="eastAsia" w:hAnsi="宋体"/>
          <w:color w:val="0C0C0C"/>
          <w:szCs w:val="21"/>
          <w:highlight w:val="none"/>
          <w:lang w:val="en-US" w:eastAsia="zh-CN"/>
        </w:rPr>
        <w:t>对应材料信息价（含税）</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（2）市场价格约定：A2=每批次材料供应时，《台州造价》（正刊）（工程所在地）对应材料信息价（含税）；（具体时间以每批次材料供应清单时间为准）</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（3）调整方法</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a、当A2＞A1时，结算综合单价按超出的金额调增，即该材料结算综合单价=中标综合单价+（A2-A1)；</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b、当A2＜A1时，结算综合单价按低于的金额调减，即该材料结算综合单价=中标综合单价-（A1-A2)；</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c、当A2=A1时，结算单价不作调整；</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（4）如因中标人原因引起的供货延期，延期期间的材料价格上涨时（与合同工期价格比较），价格不予调整；下跌时，按下跌后的价格调整。</w:t>
      </w:r>
    </w:p>
    <w:p>
      <w:pPr>
        <w:pStyle w:val="28"/>
        <w:snapToGrid w:val="0"/>
        <w:spacing w:before="120" w:beforeLines="0" w:after="120" w:afterLines="0" w:line="420" w:lineRule="exact"/>
        <w:rPr>
          <w:rFonts w:hint="eastAsia" w:hAnsi="宋体"/>
          <w:color w:val="0C0C0C"/>
          <w:highlight w:val="none"/>
        </w:rPr>
      </w:pPr>
      <w:r>
        <w:rPr>
          <w:rFonts w:hint="eastAsia" w:hAnsi="宋体" w:eastAsia="宋体" w:cs="Times New Roman"/>
          <w:color w:val="0C0C0C"/>
          <w:highlight w:val="none"/>
          <w:lang w:val="en-US" w:eastAsia="zh-CN"/>
        </w:rPr>
        <w:t>结算单价均保留整数，小数点前取整数。</w:t>
      </w:r>
    </w:p>
    <w:p>
      <w:pPr>
        <w:pStyle w:val="28"/>
        <w:snapToGrid w:val="0"/>
        <w:spacing w:before="120" w:beforeLines="0" w:after="120" w:afterLines="0" w:line="420" w:lineRule="exact"/>
        <w:rPr>
          <w:rFonts w:hAnsi="宋体"/>
          <w:b/>
          <w:color w:val="0D0D0D"/>
        </w:rPr>
      </w:pPr>
      <w:r>
        <w:rPr>
          <w:rFonts w:hAnsi="宋体"/>
          <w:b/>
          <w:color w:val="0D0D0D"/>
        </w:rPr>
        <w:t>三、技术资料</w:t>
      </w:r>
    </w:p>
    <w:p>
      <w:pPr>
        <w:pStyle w:val="28"/>
        <w:snapToGrid w:val="0"/>
        <w:spacing w:before="120" w:beforeLines="0" w:after="120" w:afterLines="0" w:line="420" w:lineRule="exact"/>
        <w:rPr>
          <w:rFonts w:hAnsi="宋体"/>
          <w:color w:val="0D0D0D"/>
        </w:rPr>
      </w:pPr>
      <w:r>
        <w:rPr>
          <w:rFonts w:hAnsi="宋体"/>
          <w:color w:val="0D0D0D"/>
        </w:rPr>
        <w:t>3.1乙方应按招标文件规定的时间向甲方提供使用货物的有关技术资料。</w:t>
      </w:r>
    </w:p>
    <w:p>
      <w:pPr>
        <w:pStyle w:val="28"/>
        <w:snapToGrid w:val="0"/>
        <w:spacing w:before="120" w:beforeLines="0" w:after="120" w:afterLines="0" w:line="420" w:lineRule="exact"/>
        <w:rPr>
          <w:rFonts w:hAnsi="宋体"/>
          <w:color w:val="0D0D0D"/>
        </w:rPr>
      </w:pPr>
      <w:r>
        <w:rPr>
          <w:rFonts w:hAnsi="宋体"/>
          <w:color w:val="0D0D0D"/>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8"/>
        <w:snapToGrid w:val="0"/>
        <w:spacing w:before="120" w:beforeLines="0" w:after="120" w:afterLines="0" w:line="420" w:lineRule="exact"/>
        <w:rPr>
          <w:rFonts w:hAnsi="宋体"/>
          <w:b/>
          <w:color w:val="0D0D0D"/>
        </w:rPr>
      </w:pPr>
      <w:r>
        <w:rPr>
          <w:rFonts w:hAnsi="宋体"/>
          <w:b/>
          <w:color w:val="0D0D0D"/>
        </w:rPr>
        <w:t>四、知识产权</w:t>
      </w:r>
    </w:p>
    <w:p>
      <w:pPr>
        <w:pStyle w:val="28"/>
        <w:snapToGrid w:val="0"/>
        <w:spacing w:before="120" w:beforeLines="0" w:after="120" w:afterLines="0" w:line="420" w:lineRule="exact"/>
        <w:rPr>
          <w:rFonts w:hAnsi="宋体"/>
          <w:color w:val="0D0D0D"/>
        </w:rPr>
      </w:pPr>
      <w:r>
        <w:rPr>
          <w:rFonts w:hAnsi="宋体"/>
          <w:color w:val="0D0D0D"/>
        </w:rPr>
        <w:t>4.1 乙方应保证所提供的货物或其任何一部分均不会侵犯任何第三方的知识产权。</w:t>
      </w:r>
    </w:p>
    <w:p>
      <w:pPr>
        <w:pStyle w:val="28"/>
        <w:snapToGrid w:val="0"/>
        <w:spacing w:before="120" w:beforeLines="0" w:after="120" w:afterLines="0" w:line="420" w:lineRule="exact"/>
        <w:rPr>
          <w:rFonts w:hAnsi="宋体"/>
          <w:b/>
          <w:color w:val="0D0D0D"/>
        </w:rPr>
      </w:pPr>
      <w:r>
        <w:rPr>
          <w:rFonts w:hAnsi="宋体"/>
          <w:b/>
          <w:color w:val="0D0D0D"/>
        </w:rPr>
        <w:t>五、产权担保</w:t>
      </w:r>
    </w:p>
    <w:p>
      <w:pPr>
        <w:pStyle w:val="28"/>
        <w:snapToGrid w:val="0"/>
        <w:spacing w:before="120" w:beforeLines="0" w:after="120" w:afterLines="0" w:line="420" w:lineRule="exact"/>
        <w:rPr>
          <w:rFonts w:hAnsi="宋体"/>
          <w:color w:val="0D0D0D"/>
        </w:rPr>
      </w:pPr>
      <w:r>
        <w:rPr>
          <w:rFonts w:hAnsi="宋体"/>
          <w:color w:val="0D0D0D"/>
        </w:rPr>
        <w:t>5.1 乙方保证所交付的货物的所有权完全属于乙方且无任何抵押、查封等产权瑕疵。</w:t>
      </w:r>
    </w:p>
    <w:p>
      <w:pPr>
        <w:pStyle w:val="28"/>
        <w:snapToGrid w:val="0"/>
        <w:spacing w:before="120" w:beforeLines="0" w:after="120" w:afterLines="0" w:line="420" w:lineRule="exact"/>
        <w:rPr>
          <w:rFonts w:hAnsi="宋体"/>
          <w:b/>
          <w:color w:val="0D0D0D"/>
        </w:rPr>
      </w:pPr>
      <w:r>
        <w:rPr>
          <w:rFonts w:hAnsi="宋体"/>
          <w:b/>
          <w:color w:val="0D0D0D"/>
        </w:rPr>
        <w:t>六、履约保证金</w:t>
      </w:r>
    </w:p>
    <w:p>
      <w:pPr>
        <w:pStyle w:val="28"/>
        <w:snapToGrid w:val="0"/>
        <w:spacing w:before="120" w:beforeLines="0" w:after="120" w:afterLines="0" w:line="420" w:lineRule="exact"/>
        <w:rPr>
          <w:rFonts w:hAnsi="宋体"/>
          <w:color w:val="0D0D0D"/>
        </w:rPr>
      </w:pPr>
      <w:r>
        <w:rPr>
          <w:rFonts w:hAnsi="宋体"/>
          <w:color w:val="0D0D0D"/>
        </w:rPr>
        <w:t xml:space="preserve">6.1 </w:t>
      </w:r>
      <w:r>
        <w:rPr>
          <w:rFonts w:hint="eastAsia" w:hAnsi="宋体"/>
          <w:color w:val="0D0D0D"/>
        </w:rPr>
        <w:t>乙方在合同签订前向甲方缴纳合同履约保证金</w:t>
      </w:r>
      <w:r>
        <w:rPr>
          <w:rFonts w:hint="eastAsia" w:hAnsi="宋体"/>
          <w:b/>
          <w:bCs/>
          <w:color w:val="0D0D0D"/>
        </w:rPr>
        <w:t>（中标价的5%）</w:t>
      </w:r>
      <w:r>
        <w:rPr>
          <w:rFonts w:hint="eastAsia" w:hAnsi="宋体"/>
          <w:color w:val="0D0D0D"/>
        </w:rPr>
        <w:t>，在合同履行完毕（验收合格</w:t>
      </w:r>
      <w:r>
        <w:rPr>
          <w:rFonts w:hint="eastAsia" w:hAnsi="宋体"/>
          <w:color w:val="0D0D0D"/>
          <w:lang w:eastAsia="zh-CN"/>
        </w:rPr>
        <w:t>且付清全部货款</w:t>
      </w:r>
      <w:r>
        <w:rPr>
          <w:rFonts w:hint="eastAsia" w:hAnsi="宋体"/>
          <w:color w:val="0D0D0D"/>
        </w:rPr>
        <w:t>）后</w:t>
      </w:r>
      <w:r>
        <w:rPr>
          <w:rFonts w:hint="eastAsia" w:hAnsi="宋体"/>
          <w:color w:val="0D0D0D"/>
          <w:lang w:val="en-US" w:eastAsia="zh-CN"/>
        </w:rPr>
        <w:t>10</w:t>
      </w:r>
      <w:r>
        <w:rPr>
          <w:rFonts w:hint="eastAsia" w:hAnsi="宋体"/>
          <w:color w:val="0C0C0C"/>
          <w:highlight w:val="none"/>
          <w:lang w:val="en-US" w:eastAsia="zh-CN"/>
        </w:rPr>
        <w:t>个工作日</w:t>
      </w:r>
      <w:r>
        <w:rPr>
          <w:rFonts w:hint="eastAsia" w:hAnsi="宋体"/>
          <w:color w:val="0C0C0C"/>
          <w:highlight w:val="none"/>
        </w:rPr>
        <w:t>内无息退还</w:t>
      </w:r>
      <w:r>
        <w:rPr>
          <w:rFonts w:hint="eastAsia" w:hAnsi="宋体"/>
          <w:color w:val="0D0D0D"/>
        </w:rPr>
        <w:t>。（履约保证金账户：台州东发建设投资有限公司；账号：</w:t>
      </w:r>
      <w:r>
        <w:rPr>
          <w:rFonts w:ascii="宋体" w:hAnsi="宋体" w:cs="Arial"/>
          <w:color w:val="auto"/>
          <w:sz w:val="24"/>
          <w:highlight w:val="none"/>
        </w:rPr>
        <w:t>33050110284009125999</w:t>
      </w:r>
      <w:r>
        <w:rPr>
          <w:rFonts w:hint="eastAsia" w:hAnsi="宋体"/>
          <w:color w:val="0D0D0D"/>
        </w:rPr>
        <w:t>；行名：</w:t>
      </w:r>
      <w:r>
        <w:rPr>
          <w:rFonts w:hint="eastAsia" w:hAnsi="宋体"/>
          <w:color w:val="0D0D0D"/>
          <w:lang w:val="en-US" w:eastAsia="zh-CN"/>
        </w:rPr>
        <w:t>建设银行</w:t>
      </w:r>
      <w:r>
        <w:rPr>
          <w:rFonts w:hint="eastAsia" w:hAnsi="宋体"/>
          <w:color w:val="0D0D0D"/>
        </w:rPr>
        <w:t>台州湾</w:t>
      </w:r>
      <w:r>
        <w:rPr>
          <w:rFonts w:hint="eastAsia" w:hAnsi="宋体"/>
          <w:color w:val="0D0D0D"/>
          <w:lang w:val="en-US" w:eastAsia="zh-CN"/>
        </w:rPr>
        <w:t>新</w:t>
      </w:r>
      <w:r>
        <w:rPr>
          <w:rFonts w:hint="eastAsia" w:hAnsi="宋体"/>
          <w:color w:val="0D0D0D"/>
        </w:rPr>
        <w:t>区支行。）</w:t>
      </w:r>
    </w:p>
    <w:p>
      <w:pPr>
        <w:pStyle w:val="28"/>
        <w:snapToGrid w:val="0"/>
        <w:spacing w:before="120" w:beforeLines="0" w:after="120" w:afterLines="0" w:line="420" w:lineRule="exact"/>
        <w:rPr>
          <w:rFonts w:hAnsi="宋体"/>
          <w:b/>
          <w:color w:val="0D0D0D"/>
        </w:rPr>
      </w:pPr>
      <w:r>
        <w:rPr>
          <w:rFonts w:hAnsi="宋体"/>
          <w:b/>
          <w:color w:val="0D0D0D"/>
        </w:rPr>
        <w:t>七.转包或分包</w:t>
      </w:r>
    </w:p>
    <w:p>
      <w:pPr>
        <w:pStyle w:val="28"/>
        <w:snapToGrid w:val="0"/>
        <w:spacing w:before="120" w:beforeLines="0" w:after="120" w:afterLines="0" w:line="420" w:lineRule="exact"/>
        <w:rPr>
          <w:rFonts w:hAnsi="宋体"/>
          <w:color w:val="0D0D0D"/>
        </w:rPr>
      </w:pPr>
      <w:r>
        <w:rPr>
          <w:rFonts w:hAnsi="宋体"/>
          <w:color w:val="0D0D0D"/>
        </w:rPr>
        <w:t>7.1本合同范围的货物，应由供方直接供应，不得转让他人供应；</w:t>
      </w:r>
    </w:p>
    <w:p>
      <w:pPr>
        <w:pStyle w:val="28"/>
        <w:snapToGrid w:val="0"/>
        <w:spacing w:before="120" w:beforeLines="0" w:after="120" w:afterLines="0" w:line="420" w:lineRule="exact"/>
        <w:rPr>
          <w:rFonts w:hAnsi="宋体"/>
          <w:color w:val="0D0D0D"/>
        </w:rPr>
      </w:pPr>
      <w:r>
        <w:rPr>
          <w:rFonts w:hAnsi="宋体"/>
          <w:color w:val="0D0D0D"/>
        </w:rPr>
        <w:t>7.2 除非得到需方的书面同意，供方不得部分分包给他人供应。</w:t>
      </w:r>
    </w:p>
    <w:p>
      <w:pPr>
        <w:pStyle w:val="28"/>
        <w:snapToGrid w:val="0"/>
        <w:spacing w:before="120" w:beforeLines="0" w:after="120" w:afterLines="0" w:line="420" w:lineRule="exact"/>
        <w:rPr>
          <w:rFonts w:hAnsi="宋体"/>
          <w:color w:val="0D0D0D"/>
        </w:rPr>
      </w:pPr>
      <w:r>
        <w:rPr>
          <w:rFonts w:hAnsi="宋体"/>
          <w:color w:val="0D0D0D"/>
        </w:rPr>
        <w:t>7.3如有转让和未经需方同意的分包行为，需方有权给予终止合同。</w:t>
      </w:r>
    </w:p>
    <w:p>
      <w:pPr>
        <w:pStyle w:val="28"/>
        <w:snapToGrid w:val="0"/>
        <w:spacing w:before="120" w:beforeLines="0" w:after="120" w:afterLines="0" w:line="420" w:lineRule="exact"/>
        <w:rPr>
          <w:rFonts w:hAnsi="宋体"/>
          <w:b/>
          <w:bCs/>
          <w:color w:val="0D0D0D"/>
        </w:rPr>
      </w:pPr>
      <w:r>
        <w:rPr>
          <w:rFonts w:hint="eastAsia" w:hAnsi="宋体"/>
          <w:b/>
          <w:bCs/>
          <w:color w:val="0D0D0D"/>
        </w:rPr>
        <w:t>八.履约保证金的罚没</w:t>
      </w:r>
    </w:p>
    <w:p>
      <w:pPr>
        <w:pStyle w:val="28"/>
        <w:snapToGrid w:val="0"/>
        <w:spacing w:before="120" w:after="120" w:line="420" w:lineRule="exact"/>
        <w:rPr>
          <w:rFonts w:hint="eastAsia" w:hAnsi="宋体"/>
          <w:color w:val="0D0D0D"/>
        </w:rPr>
      </w:pPr>
      <w:r>
        <w:rPr>
          <w:rFonts w:hint="eastAsia" w:hAnsi="宋体"/>
          <w:color w:val="0D0D0D"/>
        </w:rPr>
        <w:t>8.1如卖方未能履行合同规定的任何义务给买方造成直接或间接损失的，买方有权从直接从履约保证金中予以补偿。</w:t>
      </w:r>
    </w:p>
    <w:p>
      <w:pPr>
        <w:pStyle w:val="28"/>
        <w:snapToGrid w:val="0"/>
        <w:spacing w:before="120" w:after="120" w:line="420" w:lineRule="exact"/>
        <w:rPr>
          <w:rFonts w:hint="eastAsia" w:hAnsi="宋体"/>
          <w:color w:val="0D0D0D"/>
        </w:rPr>
      </w:pPr>
      <w:r>
        <w:rPr>
          <w:rFonts w:hint="eastAsia" w:hAnsi="宋体"/>
          <w:color w:val="0D0D0D"/>
        </w:rPr>
        <w:t>8.2如果卖方拒绝履行合同规定的义务，经催告后在合理期限内仍不履行的，买方有权没收全部履约保证金，并另行追索违约赔偿金。</w:t>
      </w:r>
    </w:p>
    <w:p>
      <w:pPr>
        <w:pStyle w:val="28"/>
        <w:snapToGrid w:val="0"/>
        <w:spacing w:before="120" w:beforeLines="0" w:after="120" w:afterLines="0" w:line="420" w:lineRule="exact"/>
        <w:rPr>
          <w:rFonts w:hint="eastAsia" w:hAnsi="宋体"/>
          <w:color w:val="0D0D0D"/>
        </w:rPr>
      </w:pPr>
      <w:r>
        <w:rPr>
          <w:rFonts w:hint="eastAsia" w:hAnsi="宋体"/>
          <w:color w:val="0D0D0D"/>
        </w:rPr>
        <w:t>8.3卖方提供的货物须和投标报价中所承诺的货物规格、数量、型号等相符（合同中另有规定除外）；对于卖方提供了不符合招标需求中的材料，买方将不予接收，由此造成的工期延误及损失由卖方自负，买方除追究卖方责任外，还视实际情况保留没收履约保证金的权利。</w:t>
      </w:r>
    </w:p>
    <w:p>
      <w:pPr>
        <w:pStyle w:val="28"/>
        <w:snapToGrid w:val="0"/>
        <w:spacing w:before="120" w:beforeLines="0" w:after="120" w:afterLines="0" w:line="420" w:lineRule="exact"/>
        <w:rPr>
          <w:rFonts w:hAnsi="宋体"/>
          <w:b/>
          <w:color w:val="0D0D0D"/>
        </w:rPr>
      </w:pPr>
      <w:r>
        <w:rPr>
          <w:rFonts w:hAnsi="宋体"/>
          <w:b/>
          <w:color w:val="0D0D0D"/>
        </w:rPr>
        <w:t>九、交货期、交货方式及交货地点</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lang w:val="en-US" w:eastAsia="zh-CN"/>
        </w:rPr>
        <w:t>9.</w:t>
      </w:r>
      <w:r>
        <w:rPr>
          <w:rFonts w:hint="eastAsia" w:hAnsi="宋体" w:cs="Times New Roman"/>
          <w:color w:val="0D0D0D"/>
          <w:lang w:val="en-US" w:eastAsia="zh-CN"/>
        </w:rPr>
        <w:t>1</w:t>
      </w:r>
      <w:r>
        <w:rPr>
          <w:rFonts w:hint="eastAsia" w:ascii="宋体" w:hAnsi="宋体" w:eastAsia="宋体" w:cs="Times New Roman"/>
          <w:color w:val="0D0D0D"/>
          <w:lang w:val="en-US" w:eastAsia="zh-CN"/>
        </w:rPr>
        <w:t>货物到场时间要求：自收到中标通知书后5个工作日内完成供货；如因项目需要分批次供货的，则每批次货物自接到买方通知后3个工作日内完成供货；</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cs="Times New Roman"/>
          <w:color w:val="0D0D0D"/>
          <w:lang w:val="en-US" w:eastAsia="zh-CN"/>
        </w:rPr>
        <w:t>.2</w:t>
      </w:r>
      <w:r>
        <w:rPr>
          <w:rFonts w:hint="eastAsia" w:ascii="宋体" w:hAnsi="宋体" w:eastAsia="宋体" w:cs="Times New Roman"/>
          <w:color w:val="0D0D0D"/>
        </w:rPr>
        <w:t xml:space="preserve"> 交货方式：合同期内，乙方完成并交付甲方本次项目所有权；</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cs="Times New Roman"/>
          <w:color w:val="0D0D0D"/>
          <w:lang w:val="en-US" w:eastAsia="zh-CN"/>
        </w:rPr>
        <w:t>3</w:t>
      </w:r>
      <w:r>
        <w:rPr>
          <w:rFonts w:hint="eastAsia" w:ascii="宋体" w:hAnsi="宋体" w:eastAsia="宋体" w:cs="Times New Roman"/>
          <w:color w:val="0D0D0D"/>
        </w:rPr>
        <w:t xml:space="preserve"> 交货地点：甲方指定地点。</w:t>
      </w:r>
    </w:p>
    <w:p>
      <w:pPr>
        <w:pStyle w:val="28"/>
        <w:snapToGrid w:val="0"/>
        <w:spacing w:before="120" w:beforeLines="0" w:after="120" w:afterLines="0" w:line="420" w:lineRule="exact"/>
        <w:rPr>
          <w:rFonts w:hAnsi="宋体"/>
          <w:b/>
          <w:color w:val="0D0D0D"/>
        </w:rPr>
      </w:pPr>
      <w:r>
        <w:rPr>
          <w:rFonts w:hAnsi="宋体"/>
          <w:b/>
          <w:color w:val="0D0D0D"/>
        </w:rPr>
        <w:t>十、货款支付</w:t>
      </w:r>
    </w:p>
    <w:p>
      <w:pPr>
        <w:pStyle w:val="28"/>
        <w:snapToGrid w:val="0"/>
        <w:spacing w:before="120" w:beforeLines="0" w:after="120" w:afterLines="0" w:line="420" w:lineRule="exact"/>
        <w:rPr>
          <w:rFonts w:hAnsi="宋体"/>
          <w:color w:val="0D0D0D"/>
        </w:rPr>
      </w:pPr>
      <w:r>
        <w:rPr>
          <w:rFonts w:hAnsi="宋体"/>
          <w:color w:val="0D0D0D"/>
        </w:rPr>
        <w:t>10.1 付款方式：</w:t>
      </w:r>
      <w:r>
        <w:rPr>
          <w:rFonts w:hint="eastAsia" w:ascii="宋体" w:hAnsi="宋体" w:eastAsia="宋体" w:cs="Times New Roman"/>
          <w:color w:val="0C0C0C"/>
          <w:highlight w:val="none"/>
        </w:rPr>
        <w:t>如卖方在签约前未在规定的时间内提交履约保证金则买方有权拒签合同；卖方完成供货且经买方验收合格后，买方向卖方付清实际采购货款；如因项目需要分批次供货的，则每批次货物供货完成并经买方验收合格付清实际货款。</w:t>
      </w:r>
    </w:p>
    <w:p>
      <w:pPr>
        <w:pStyle w:val="28"/>
        <w:snapToGrid w:val="0"/>
        <w:spacing w:before="120" w:beforeLines="0" w:after="120" w:afterLines="0" w:line="420" w:lineRule="exact"/>
        <w:rPr>
          <w:rFonts w:hint="eastAsia" w:hAnsi="宋体"/>
          <w:color w:val="0D0D0D"/>
        </w:rPr>
      </w:pPr>
      <w:r>
        <w:rPr>
          <w:rFonts w:hint="eastAsia" w:hAnsi="宋体"/>
          <w:color w:val="0D0D0D"/>
        </w:rPr>
        <w:t>10.2</w:t>
      </w:r>
      <w:r>
        <w:rPr>
          <w:rFonts w:hint="eastAsia" w:hAnsi="宋体"/>
          <w:color w:val="0C0C0C"/>
          <w:highlight w:val="none"/>
        </w:rPr>
        <w:t>乙方结算货款时，须开具正规税务增值税发票。</w:t>
      </w:r>
    </w:p>
    <w:p>
      <w:pPr>
        <w:pStyle w:val="28"/>
        <w:snapToGrid w:val="0"/>
        <w:spacing w:before="120" w:beforeLines="0" w:after="120" w:afterLines="0" w:line="420" w:lineRule="exact"/>
        <w:rPr>
          <w:rFonts w:hint="eastAsia" w:hAnsi="宋体"/>
          <w:color w:val="0D0D0D"/>
        </w:rPr>
      </w:pPr>
      <w:r>
        <w:rPr>
          <w:rFonts w:hint="eastAsia" w:hAnsi="宋体"/>
          <w:color w:val="0D0D0D"/>
        </w:rPr>
        <w:t>10.3甲方向乙方支付的所有费用均须汇入协议书中指定的承包人银行账户。</w:t>
      </w:r>
    </w:p>
    <w:p>
      <w:pPr>
        <w:pStyle w:val="28"/>
        <w:snapToGrid w:val="0"/>
        <w:spacing w:before="120" w:beforeLines="0" w:after="120" w:afterLines="0" w:line="420" w:lineRule="exact"/>
        <w:rPr>
          <w:rFonts w:hint="eastAsia" w:hAnsi="宋体"/>
          <w:b/>
          <w:color w:val="0D0D0D"/>
        </w:rPr>
      </w:pPr>
      <w:r>
        <w:rPr>
          <w:rFonts w:hAnsi="宋体"/>
          <w:b/>
          <w:color w:val="0D0D0D"/>
        </w:rPr>
        <w:t>十一.税</w:t>
      </w:r>
      <w:r>
        <w:rPr>
          <w:rFonts w:hint="eastAsia" w:hAnsi="宋体"/>
          <w:b/>
          <w:color w:val="0D0D0D"/>
        </w:rPr>
        <w:t>费</w:t>
      </w:r>
    </w:p>
    <w:p>
      <w:pPr>
        <w:pStyle w:val="28"/>
        <w:snapToGrid w:val="0"/>
        <w:spacing w:before="120" w:beforeLines="0" w:after="120" w:afterLines="0" w:line="420" w:lineRule="exact"/>
        <w:rPr>
          <w:rFonts w:hAnsi="宋体"/>
          <w:color w:val="0D0D0D"/>
        </w:rPr>
      </w:pPr>
      <w:r>
        <w:rPr>
          <w:rFonts w:hAnsi="宋体"/>
          <w:color w:val="0D0D0D"/>
        </w:rPr>
        <w:t>11.1本合同执行中相关的一切税费均由供方负担。</w:t>
      </w:r>
    </w:p>
    <w:p>
      <w:pPr>
        <w:pStyle w:val="28"/>
        <w:snapToGrid w:val="0"/>
        <w:spacing w:before="120" w:beforeLines="0" w:after="120" w:afterLines="0" w:line="420" w:lineRule="exact"/>
        <w:rPr>
          <w:rFonts w:hAnsi="宋体"/>
          <w:b/>
          <w:color w:val="0D0D0D"/>
        </w:rPr>
      </w:pPr>
      <w:r>
        <w:rPr>
          <w:rFonts w:hAnsi="宋体"/>
          <w:b/>
          <w:color w:val="0D0D0D"/>
        </w:rPr>
        <w:t>十二、质量保证及售后服务</w:t>
      </w:r>
    </w:p>
    <w:p>
      <w:pPr>
        <w:pStyle w:val="28"/>
        <w:snapToGrid w:val="0"/>
        <w:spacing w:before="120" w:beforeLines="0" w:after="120" w:afterLines="0" w:line="420" w:lineRule="exact"/>
        <w:rPr>
          <w:rFonts w:hAnsi="宋体"/>
          <w:color w:val="0D0D0D"/>
        </w:rPr>
      </w:pPr>
      <w:r>
        <w:rPr>
          <w:rFonts w:hAnsi="宋体"/>
          <w:color w:val="0D0D0D"/>
        </w:rPr>
        <w:t>12.1 乙方应按招标文件规定的货物性能、技术要求、质量标准向甲方提供未经使用的全新产品。</w:t>
      </w:r>
    </w:p>
    <w:p>
      <w:pPr>
        <w:pStyle w:val="28"/>
        <w:snapToGrid w:val="0"/>
        <w:spacing w:before="120" w:beforeLines="0" w:after="120" w:afterLines="0" w:line="420" w:lineRule="exact"/>
        <w:rPr>
          <w:rFonts w:hAnsi="宋体"/>
          <w:color w:val="0D0D0D"/>
        </w:rPr>
      </w:pPr>
      <w:r>
        <w:rPr>
          <w:rFonts w:hAnsi="宋体"/>
          <w:color w:val="0D0D0D"/>
        </w:rPr>
        <w:t>12.2 乙方提供的货物在质量期内因货物本身的质量问题发生故障，乙方应负责免费更换。对达不到技术要求者，根据实际情况，经双方协商，可按以下办法处理：</w:t>
      </w:r>
    </w:p>
    <w:p>
      <w:pPr>
        <w:pStyle w:val="28"/>
        <w:snapToGrid w:val="0"/>
        <w:spacing w:before="120" w:beforeLines="0" w:after="120" w:afterLines="0" w:line="420" w:lineRule="exact"/>
        <w:rPr>
          <w:rFonts w:hAnsi="宋体"/>
          <w:color w:val="0D0D0D"/>
        </w:rPr>
      </w:pPr>
      <w:r>
        <w:rPr>
          <w:rFonts w:hAnsi="宋体"/>
          <w:color w:val="0D0D0D"/>
        </w:rPr>
        <w:t>⑴更换：由乙方承担所发生的全部费用。</w:t>
      </w:r>
    </w:p>
    <w:p>
      <w:pPr>
        <w:pStyle w:val="28"/>
        <w:snapToGrid w:val="0"/>
        <w:spacing w:before="120" w:beforeLines="0" w:after="120" w:afterLines="0" w:line="420" w:lineRule="exact"/>
        <w:rPr>
          <w:rFonts w:hAnsi="宋体"/>
          <w:color w:val="0D0D0D"/>
        </w:rPr>
      </w:pPr>
      <w:r>
        <w:rPr>
          <w:rFonts w:hAnsi="宋体"/>
          <w:color w:val="0D0D0D"/>
        </w:rPr>
        <w:t>⑵贬值处理：由甲乙双方合议定价。</w:t>
      </w:r>
    </w:p>
    <w:p>
      <w:pPr>
        <w:pStyle w:val="28"/>
        <w:snapToGrid w:val="0"/>
        <w:spacing w:before="120" w:beforeLines="0" w:after="120" w:afterLines="0" w:line="420" w:lineRule="exact"/>
        <w:rPr>
          <w:rFonts w:hAnsi="宋体"/>
          <w:color w:val="0D0D0D"/>
        </w:rPr>
      </w:pPr>
      <w:r>
        <w:rPr>
          <w:rFonts w:hAnsi="宋体"/>
          <w:color w:val="0D0D0D"/>
        </w:rPr>
        <w:t>⑶退货处理：乙方应退还甲方支付的合同款，同时应承担该货物的直接费用（运输、保险、检验、货款利息及银行手续费等）。</w:t>
      </w:r>
    </w:p>
    <w:p>
      <w:pPr>
        <w:pStyle w:val="28"/>
        <w:snapToGrid w:val="0"/>
        <w:spacing w:before="120" w:beforeLines="0" w:after="120" w:afterLines="0" w:line="420" w:lineRule="exact"/>
        <w:rPr>
          <w:rFonts w:hAnsi="宋体"/>
          <w:color w:val="0D0D0D"/>
        </w:rPr>
      </w:pPr>
      <w:r>
        <w:rPr>
          <w:rFonts w:hAnsi="宋体"/>
          <w:color w:val="0D0D0D"/>
        </w:rPr>
        <w:t>12.3 如在使用过程中发生质量问题，乙方在接到甲方通知后在</w:t>
      </w:r>
      <w:r>
        <w:rPr>
          <w:rFonts w:hint="eastAsia" w:hAnsi="宋体"/>
          <w:color w:val="0D0D0D"/>
          <w:u w:val="single"/>
        </w:rPr>
        <w:t>12</w:t>
      </w:r>
      <w:r>
        <w:rPr>
          <w:rFonts w:hAnsi="宋体"/>
          <w:color w:val="0D0D0D"/>
        </w:rPr>
        <w:t>小时内到达甲方现场。</w:t>
      </w:r>
    </w:p>
    <w:p>
      <w:pPr>
        <w:pStyle w:val="28"/>
        <w:snapToGrid w:val="0"/>
        <w:spacing w:before="120" w:beforeLines="0" w:after="120" w:afterLines="0" w:line="420" w:lineRule="exact"/>
        <w:rPr>
          <w:rFonts w:hAnsi="宋体"/>
          <w:color w:val="0D0D0D"/>
        </w:rPr>
      </w:pPr>
      <w:r>
        <w:rPr>
          <w:rFonts w:hAnsi="宋体"/>
          <w:color w:val="0D0D0D"/>
        </w:rPr>
        <w:t>12.4 在质保期内，乙方应对货物出现的质量及安全问题负责处理解决并承担一切费用。</w:t>
      </w:r>
    </w:p>
    <w:p>
      <w:pPr>
        <w:pStyle w:val="28"/>
        <w:snapToGrid w:val="0"/>
        <w:spacing w:before="120" w:beforeLines="0" w:after="120" w:afterLines="0" w:line="420" w:lineRule="exact"/>
        <w:rPr>
          <w:rFonts w:hAnsi="宋体"/>
          <w:b/>
          <w:color w:val="0D0D0D"/>
        </w:rPr>
      </w:pPr>
      <w:r>
        <w:rPr>
          <w:rFonts w:hAnsi="宋体"/>
          <w:b/>
          <w:color w:val="0D0D0D"/>
        </w:rPr>
        <w:t>十三、</w:t>
      </w:r>
      <w:r>
        <w:rPr>
          <w:rFonts w:hint="eastAsia" w:hAnsi="宋体"/>
          <w:b/>
          <w:color w:val="0D0D0D"/>
        </w:rPr>
        <w:t>货物</w:t>
      </w:r>
      <w:r>
        <w:rPr>
          <w:rFonts w:hAnsi="宋体"/>
          <w:b/>
          <w:color w:val="0D0D0D"/>
        </w:rPr>
        <w:t>验收</w:t>
      </w:r>
    </w:p>
    <w:p>
      <w:pPr>
        <w:pStyle w:val="28"/>
        <w:snapToGrid w:val="0"/>
        <w:spacing w:before="120" w:beforeLines="0" w:after="120" w:afterLines="0" w:line="420" w:lineRule="exact"/>
        <w:rPr>
          <w:rFonts w:hAnsi="宋体"/>
          <w:color w:val="0D0D0D"/>
        </w:rPr>
      </w:pPr>
      <w:r>
        <w:rPr>
          <w:rFonts w:hAnsi="宋体"/>
          <w:color w:val="0D0D0D"/>
        </w:rPr>
        <w:t xml:space="preserve">13.1 </w:t>
      </w:r>
      <w:r>
        <w:rPr>
          <w:rFonts w:hAnsi="宋体"/>
          <w:color w:val="0C0C0C"/>
          <w:highlight w:val="none"/>
        </w:rPr>
        <w:t>甲方对乙方提交的货物依据招标文件上的技术规格要求和国家有关质量标准进行现场初步验收，外观、说明书</w:t>
      </w:r>
      <w:r>
        <w:rPr>
          <w:rFonts w:hint="eastAsia" w:hAnsi="宋体"/>
          <w:color w:val="0C0C0C"/>
          <w:highlight w:val="none"/>
          <w:lang w:eastAsia="zh-CN"/>
        </w:rPr>
        <w:t>、质量检验合格证明等</w:t>
      </w:r>
      <w:r>
        <w:rPr>
          <w:rFonts w:hAnsi="宋体"/>
          <w:color w:val="0C0C0C"/>
          <w:highlight w:val="none"/>
        </w:rPr>
        <w:t>符合招标文件</w:t>
      </w:r>
      <w:r>
        <w:rPr>
          <w:rFonts w:hint="eastAsia" w:hAnsi="宋体"/>
          <w:color w:val="0C0C0C"/>
          <w:highlight w:val="none"/>
          <w:lang w:eastAsia="zh-CN"/>
        </w:rPr>
        <w:t>及相关规范</w:t>
      </w:r>
      <w:r>
        <w:rPr>
          <w:rFonts w:hAnsi="宋体"/>
          <w:color w:val="0C0C0C"/>
          <w:highlight w:val="none"/>
        </w:rPr>
        <w:t>技术要求的，给予签收，初步验收不合格的不予签收。货到后，甲方需在五个工作日内验收。</w:t>
      </w:r>
    </w:p>
    <w:p>
      <w:pPr>
        <w:pStyle w:val="28"/>
        <w:snapToGrid w:val="0"/>
        <w:spacing w:before="120" w:beforeLines="0" w:after="120" w:afterLines="0" w:line="420" w:lineRule="exact"/>
        <w:rPr>
          <w:rFonts w:hAnsi="宋体"/>
          <w:color w:val="0D0D0D"/>
        </w:rPr>
      </w:pPr>
      <w:r>
        <w:rPr>
          <w:rFonts w:hAnsi="宋体"/>
          <w:color w:val="0D0D0D"/>
        </w:rPr>
        <w:t>13.2 乙方交货前应对产品作出全面检查和对验收文件进行整理，并列出清单，作为甲方收货验收和使用的技术条件依据，检验的结果应随货物交甲方。</w:t>
      </w:r>
    </w:p>
    <w:p>
      <w:pPr>
        <w:pStyle w:val="28"/>
        <w:snapToGrid w:val="0"/>
        <w:spacing w:before="120" w:beforeLines="0" w:after="120" w:afterLines="0" w:line="420" w:lineRule="exact"/>
        <w:rPr>
          <w:rFonts w:hAnsi="宋体"/>
          <w:color w:val="0D0D0D"/>
        </w:rPr>
      </w:pPr>
      <w:r>
        <w:rPr>
          <w:rFonts w:hint="eastAsia" w:hAnsi="宋体"/>
          <w:color w:val="0D0D0D"/>
        </w:rPr>
        <w:t>13.3材料到达现场后，必须按照买方要求运至指定堆放地点，否则买方有权不予接收，买方必须派人及时接收材料（否则由此引起的责任由买方负责），卖方派人到现场与买方一起货物验收。</w:t>
      </w:r>
    </w:p>
    <w:p>
      <w:pPr>
        <w:pStyle w:val="28"/>
        <w:snapToGrid w:val="0"/>
        <w:spacing w:before="120" w:beforeLines="0" w:after="120" w:afterLines="0" w:line="420" w:lineRule="exact"/>
        <w:rPr>
          <w:rFonts w:hint="eastAsia" w:hAnsi="宋体"/>
          <w:color w:val="0D0D0D"/>
        </w:rPr>
      </w:pPr>
      <w:r>
        <w:rPr>
          <w:rFonts w:hint="eastAsia" w:hAnsi="宋体"/>
          <w:color w:val="0D0D0D"/>
        </w:rPr>
        <w:t>13.4材料到达现场后，买方严格按照质量要求进行验收，若不合格或不能满足买方使用要求则无条件给予退还，发生一切损失由卖方承担，且承担因此延误工期等给买方造成的经济损失。</w:t>
      </w:r>
    </w:p>
    <w:p>
      <w:pPr>
        <w:pStyle w:val="28"/>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5</w:t>
      </w:r>
      <w:r>
        <w:rPr>
          <w:rFonts w:hAnsi="宋体"/>
          <w:color w:val="0D0D0D"/>
        </w:rPr>
        <w:t xml:space="preserve"> 对技术复杂的货物，甲方应请国家认可的专业检测机构参与初步验收及最终验收，并由其出具质量检测报告。</w:t>
      </w:r>
    </w:p>
    <w:p>
      <w:pPr>
        <w:pStyle w:val="28"/>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6</w:t>
      </w:r>
      <w:r>
        <w:rPr>
          <w:rFonts w:hAnsi="宋体"/>
          <w:color w:val="0D0D0D"/>
        </w:rPr>
        <w:t xml:space="preserve"> 验收时乙方必须在现场，验收完毕后作出验收结果报告；验收费用由乙方负责。</w:t>
      </w:r>
    </w:p>
    <w:p>
      <w:pPr>
        <w:pStyle w:val="28"/>
        <w:snapToGrid w:val="0"/>
        <w:spacing w:before="120" w:beforeLines="0" w:after="120" w:afterLines="0" w:line="420" w:lineRule="exact"/>
        <w:rPr>
          <w:rFonts w:hAnsi="宋体"/>
          <w:b/>
          <w:color w:val="0D0D0D"/>
        </w:rPr>
      </w:pPr>
      <w:r>
        <w:rPr>
          <w:rFonts w:hAnsi="宋体"/>
          <w:b/>
          <w:color w:val="0D0D0D"/>
        </w:rPr>
        <w:t>十四、货物包装、发运及运输</w:t>
      </w:r>
    </w:p>
    <w:p>
      <w:pPr>
        <w:pStyle w:val="28"/>
        <w:snapToGrid w:val="0"/>
        <w:spacing w:before="120" w:beforeLines="0" w:after="120" w:afterLines="0" w:line="420" w:lineRule="exact"/>
        <w:rPr>
          <w:rFonts w:hAnsi="宋体"/>
          <w:color w:val="0D0D0D"/>
        </w:rPr>
      </w:pPr>
      <w:r>
        <w:rPr>
          <w:rFonts w:hAnsi="宋体"/>
          <w:color w:val="0D0D0D"/>
        </w:rPr>
        <w:t>14.1 乙方应在货物发运前对其进行满足运输距离、防潮、防震、防锈和防破损</w:t>
      </w:r>
      <w:r>
        <w:rPr>
          <w:rFonts w:hint="eastAsia" w:hAnsi="宋体"/>
          <w:color w:val="0D0D0D"/>
        </w:rPr>
        <w:t>装车</w:t>
      </w:r>
      <w:r>
        <w:rPr>
          <w:rFonts w:hAnsi="宋体"/>
          <w:color w:val="0D0D0D"/>
        </w:rPr>
        <w:t>等要求包装，以保证货物安全运达甲方指定地点。</w:t>
      </w:r>
    </w:p>
    <w:p>
      <w:pPr>
        <w:pStyle w:val="28"/>
        <w:snapToGrid w:val="0"/>
        <w:spacing w:before="120" w:beforeLines="0" w:after="120" w:afterLines="0" w:line="420" w:lineRule="exact"/>
        <w:rPr>
          <w:rFonts w:hAnsi="宋体"/>
          <w:color w:val="0D0D0D"/>
        </w:rPr>
      </w:pPr>
      <w:r>
        <w:rPr>
          <w:rFonts w:hAnsi="宋体"/>
          <w:color w:val="0D0D0D"/>
        </w:rPr>
        <w:t>14.2 使用说明书、质量检验证明书、随配附件和工具以及清单一并附于货物内。</w:t>
      </w:r>
    </w:p>
    <w:p>
      <w:pPr>
        <w:pStyle w:val="28"/>
        <w:snapToGrid w:val="0"/>
        <w:spacing w:before="120" w:beforeLines="0" w:after="120" w:afterLines="0" w:line="420" w:lineRule="exact"/>
        <w:rPr>
          <w:rFonts w:hAnsi="宋体"/>
          <w:color w:val="0D0D0D"/>
        </w:rPr>
      </w:pPr>
      <w:r>
        <w:rPr>
          <w:rFonts w:hAnsi="宋体"/>
          <w:color w:val="0D0D0D"/>
        </w:rPr>
        <w:t>14.3 乙方在货物发运手续办理完毕后24小时内或货到甲方48小时前通知甲方，以准备接货。</w:t>
      </w:r>
    </w:p>
    <w:p>
      <w:pPr>
        <w:pStyle w:val="28"/>
        <w:snapToGrid w:val="0"/>
        <w:spacing w:before="120" w:beforeLines="0" w:after="120" w:afterLines="0" w:line="420" w:lineRule="exact"/>
        <w:rPr>
          <w:rFonts w:hAnsi="宋体"/>
          <w:color w:val="0D0D0D"/>
        </w:rPr>
      </w:pPr>
      <w:r>
        <w:rPr>
          <w:rFonts w:hAnsi="宋体"/>
          <w:color w:val="0D0D0D"/>
        </w:rPr>
        <w:t>14.4 货物在交付甲方前发生的风险均由乙方负责。</w:t>
      </w:r>
    </w:p>
    <w:p>
      <w:pPr>
        <w:pStyle w:val="28"/>
        <w:snapToGrid w:val="0"/>
        <w:spacing w:before="120" w:beforeLines="0" w:after="120" w:afterLines="0" w:line="420" w:lineRule="exact"/>
        <w:rPr>
          <w:rFonts w:hAnsi="宋体"/>
          <w:color w:val="0D0D0D"/>
        </w:rPr>
      </w:pPr>
      <w:r>
        <w:rPr>
          <w:rFonts w:hAnsi="宋体"/>
          <w:color w:val="0D0D0D"/>
        </w:rPr>
        <w:t>14.5 货物在规定的交付期限内由乙方送达甲方指定的地点视为交付，乙方同时需通知甲方货物已送达。</w:t>
      </w:r>
    </w:p>
    <w:p>
      <w:pPr>
        <w:pStyle w:val="28"/>
        <w:snapToGrid w:val="0"/>
        <w:spacing w:before="120" w:beforeLines="0" w:after="120" w:afterLines="0" w:line="420" w:lineRule="exact"/>
        <w:rPr>
          <w:rFonts w:hAnsi="宋体"/>
          <w:color w:val="0D0D0D"/>
        </w:rPr>
      </w:pPr>
      <w:r>
        <w:rPr>
          <w:rFonts w:hint="eastAsia" w:hAnsi="宋体"/>
          <w:color w:val="0D0D0D"/>
        </w:rPr>
        <w:t>14.6材料在装运前由卖方投保，一旦材料在装车、运输过程中发生损坏或短缺，由卖方负责索赔。</w:t>
      </w:r>
    </w:p>
    <w:p>
      <w:pPr>
        <w:pStyle w:val="28"/>
        <w:snapToGrid w:val="0"/>
        <w:spacing w:before="120" w:beforeLines="0" w:after="120" w:afterLines="0" w:line="420" w:lineRule="exact"/>
        <w:rPr>
          <w:rFonts w:hAnsi="宋体"/>
          <w:color w:val="0D0D0D"/>
        </w:rPr>
      </w:pPr>
      <w:r>
        <w:rPr>
          <w:rFonts w:hint="eastAsia" w:hAnsi="宋体"/>
          <w:color w:val="0D0D0D"/>
        </w:rPr>
        <w:t>14.7卖方保证在确认货物因装车、运输中发生损坏或短缺后，尽快给予调换、修复和补齐缺件，不管其造成的原因如何，也不能以办理索赔为由而拖延。</w:t>
      </w:r>
    </w:p>
    <w:p>
      <w:pPr>
        <w:pStyle w:val="28"/>
        <w:snapToGrid w:val="0"/>
        <w:spacing w:before="120" w:beforeLines="0" w:after="120" w:afterLines="0" w:line="420" w:lineRule="exact"/>
        <w:rPr>
          <w:rFonts w:hAnsi="宋体"/>
          <w:b/>
          <w:color w:val="0D0D0D"/>
        </w:rPr>
      </w:pPr>
      <w:r>
        <w:rPr>
          <w:rFonts w:hAnsi="宋体"/>
          <w:b/>
          <w:color w:val="0D0D0D"/>
        </w:rPr>
        <w:t>十五、违约责任</w:t>
      </w:r>
    </w:p>
    <w:p>
      <w:pPr>
        <w:pStyle w:val="28"/>
        <w:snapToGrid w:val="0"/>
        <w:spacing w:before="120" w:beforeLines="0" w:after="120" w:afterLines="0" w:line="420" w:lineRule="exact"/>
        <w:rPr>
          <w:rFonts w:hAnsi="宋体"/>
          <w:bCs/>
          <w:color w:val="0D0D0D"/>
        </w:rPr>
      </w:pPr>
      <w:r>
        <w:rPr>
          <w:rFonts w:hint="eastAsia" w:hAnsi="宋体"/>
          <w:bCs/>
          <w:color w:val="0D0D0D"/>
        </w:rPr>
        <w:t>15.1产品质量责任</w:t>
      </w:r>
    </w:p>
    <w:p>
      <w:pPr>
        <w:pStyle w:val="28"/>
        <w:snapToGrid w:val="0"/>
        <w:spacing w:before="120" w:beforeLines="0" w:after="120" w:afterLines="0" w:line="420" w:lineRule="exact"/>
        <w:rPr>
          <w:rFonts w:hAnsi="宋体"/>
          <w:bCs/>
          <w:color w:val="0D0D0D"/>
        </w:rPr>
      </w:pPr>
      <w:r>
        <w:rPr>
          <w:rFonts w:hint="eastAsia" w:hAnsi="宋体"/>
          <w:bCs/>
          <w:color w:val="0D0D0D"/>
        </w:rPr>
        <w:t>(1)凡材料在装车等过程中发现的材料质量问题，由卖方负责处理，实行包换、包退，直至产品符合质量要求。卖方承担调换、退货发生的一切费用和买方的直接经济损失。</w:t>
      </w:r>
    </w:p>
    <w:p>
      <w:pPr>
        <w:pStyle w:val="28"/>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2)</w:t>
      </w:r>
      <w:r>
        <w:rPr>
          <w:rFonts w:hint="eastAsia" w:hAnsi="宋体"/>
          <w:bCs/>
          <w:color w:val="0D0D0D"/>
        </w:rPr>
        <w:t xml:space="preserve"> 卖方在接到买方通知后，应立即派人赴现场处理材料质量问题。</w:t>
      </w:r>
      <w:r>
        <w:rPr>
          <w:rFonts w:hAnsi="宋体"/>
          <w:bCs/>
          <w:color w:val="0D0D0D"/>
        </w:rPr>
        <w:t xml:space="preserve"> </w:t>
      </w:r>
    </w:p>
    <w:p>
      <w:pPr>
        <w:pStyle w:val="28"/>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3)</w:t>
      </w:r>
      <w:r>
        <w:rPr>
          <w:rFonts w:hint="eastAsia" w:hAnsi="宋体"/>
          <w:bCs/>
          <w:color w:val="0D0D0D"/>
        </w:rPr>
        <w:t xml:space="preserve"> 由于买方保管不善或使用不当造成材料短缺或损坏，由买方负责。但卖方保证及时给予补齐或修复。 </w:t>
      </w:r>
    </w:p>
    <w:p>
      <w:pPr>
        <w:pStyle w:val="28"/>
        <w:snapToGrid w:val="0"/>
        <w:spacing w:before="120" w:beforeLines="0" w:after="120" w:afterLines="0" w:line="420" w:lineRule="exact"/>
        <w:rPr>
          <w:rFonts w:hAnsi="宋体"/>
          <w:bCs/>
          <w:color w:val="0D0D0D"/>
        </w:rPr>
      </w:pPr>
      <w:r>
        <w:rPr>
          <w:rFonts w:hint="eastAsia" w:hAnsi="宋体"/>
          <w:bCs/>
          <w:color w:val="0D0D0D"/>
        </w:rPr>
        <w:t>15.2违约赔偿</w:t>
      </w:r>
    </w:p>
    <w:p>
      <w:pPr>
        <w:pStyle w:val="28"/>
        <w:snapToGrid w:val="0"/>
        <w:spacing w:before="120" w:beforeLines="0" w:after="120" w:afterLines="0" w:line="420" w:lineRule="exact"/>
        <w:rPr>
          <w:rFonts w:hAnsi="宋体"/>
          <w:bCs/>
          <w:color w:val="0D0D0D"/>
        </w:rPr>
      </w:pPr>
      <w:r>
        <w:rPr>
          <w:rFonts w:hint="eastAsia" w:hAnsi="宋体"/>
          <w:bCs/>
          <w:color w:val="0D0D0D"/>
        </w:rPr>
        <w:t xml:space="preserve">    除不可抗力外，如卖方发生不能按期交货或提供服务，买方发生中途退货等情况，应及时以书面形式通知对方。买、卖双方应本着友好的态度进行协商，妥善解决。</w:t>
      </w:r>
      <w:r>
        <w:rPr>
          <w:rFonts w:hint="eastAsia" w:hAnsi="宋体"/>
          <w:bCs/>
          <w:color w:val="0D0D0D"/>
        </w:rPr>
        <w:cr/>
      </w:r>
      <w:r>
        <w:rPr>
          <w:rFonts w:hint="eastAsia" w:hAnsi="宋体"/>
          <w:bCs/>
          <w:color w:val="0D0D0D"/>
        </w:rPr>
        <w:t xml:space="preserve">    如协商无效，按下列规定处以罚金。</w:t>
      </w:r>
    </w:p>
    <w:p>
      <w:pPr>
        <w:pStyle w:val="28"/>
        <w:snapToGrid w:val="0"/>
        <w:spacing w:before="120" w:beforeLines="0" w:after="120" w:afterLines="0" w:line="420" w:lineRule="exact"/>
        <w:rPr>
          <w:rFonts w:hAnsi="宋体"/>
          <w:bCs/>
          <w:color w:val="0D0D0D"/>
        </w:rPr>
      </w:pPr>
      <w:r>
        <w:rPr>
          <w:rFonts w:hint="eastAsia" w:hAnsi="宋体"/>
          <w:bCs/>
          <w:color w:val="0D0D0D"/>
        </w:rPr>
        <w:t>(1) 逾期交货（包括交付使用）</w:t>
      </w:r>
      <w:r>
        <w:rPr>
          <w:rFonts w:hint="eastAsia" w:hAnsi="宋体"/>
          <w:bCs/>
          <w:color w:val="0D0D0D"/>
        </w:rPr>
        <w:cr/>
      </w:r>
      <w:r>
        <w:rPr>
          <w:rFonts w:hint="eastAsia" w:hAnsi="宋体"/>
          <w:bCs/>
          <w:color w:val="0D0D0D"/>
        </w:rPr>
        <w:t xml:space="preserve"> </w:t>
      </w:r>
      <w:r>
        <w:rPr>
          <w:rFonts w:hAnsi="宋体"/>
          <w:bCs/>
          <w:color w:val="0D0D0D"/>
        </w:rPr>
        <w:t xml:space="preserve">   </w:t>
      </w:r>
      <w:r>
        <w:rPr>
          <w:rFonts w:hint="eastAsia" w:hAnsi="宋体"/>
          <w:bCs/>
          <w:color w:val="0D0D0D"/>
        </w:rPr>
        <w:t>乙方逾期交货（包括交付使用），实际供货时间（包括交付使用）与要求供货时间（包括交付使用）每延迟一天罚</w:t>
      </w:r>
      <w:r>
        <w:rPr>
          <w:rFonts w:hint="eastAsia" w:hAnsi="宋体"/>
          <w:bCs/>
          <w:color w:val="0D0D0D"/>
          <w:lang w:val="en-US" w:eastAsia="zh-CN"/>
        </w:rPr>
        <w:t>1</w:t>
      </w:r>
      <w:r>
        <w:rPr>
          <w:rFonts w:hint="eastAsia" w:hAnsi="宋体"/>
          <w:bCs/>
          <w:color w:val="0D0D0D"/>
        </w:rPr>
        <w:t>000元/天。</w:t>
      </w:r>
    </w:p>
    <w:p>
      <w:pPr>
        <w:pStyle w:val="28"/>
        <w:snapToGrid w:val="0"/>
        <w:spacing w:before="120" w:beforeLines="0" w:after="120" w:afterLines="0" w:line="420" w:lineRule="exact"/>
        <w:rPr>
          <w:rFonts w:hAnsi="宋体"/>
          <w:color w:val="0D0D0D"/>
        </w:rPr>
      </w:pPr>
      <w:r>
        <w:rPr>
          <w:rFonts w:hint="eastAsia" w:hAnsi="宋体"/>
          <w:bCs/>
          <w:color w:val="0D0D0D"/>
        </w:rPr>
        <w:t>(2) 乙方不能交货或甲方中途退</w:t>
      </w:r>
      <w:r>
        <w:rPr>
          <w:rFonts w:hAnsi="宋体"/>
          <w:color w:val="0D0D0D"/>
        </w:rPr>
        <w:t>货</w:t>
      </w:r>
    </w:p>
    <w:p>
      <w:pPr>
        <w:pStyle w:val="28"/>
        <w:snapToGrid w:val="0"/>
        <w:spacing w:before="120" w:beforeLines="0" w:after="120" w:afterLines="0" w:line="420" w:lineRule="exact"/>
        <w:rPr>
          <w:rFonts w:hAnsi="宋体"/>
          <w:color w:val="0D0D0D"/>
        </w:rPr>
      </w:pPr>
      <w:r>
        <w:rPr>
          <w:rFonts w:hAnsi="宋体"/>
          <w:color w:val="0D0D0D"/>
        </w:rPr>
        <w:t xml:space="preserve">    </w:t>
      </w:r>
      <w:r>
        <w:rPr>
          <w:rFonts w:hint="eastAsia" w:hAnsi="宋体"/>
          <w:color w:val="0D0D0D"/>
        </w:rPr>
        <w:t>乙方</w:t>
      </w:r>
      <w:r>
        <w:rPr>
          <w:rFonts w:hAnsi="宋体"/>
          <w:color w:val="0D0D0D"/>
        </w:rPr>
        <w:t>不能交货，应向</w:t>
      </w:r>
      <w:r>
        <w:rPr>
          <w:rFonts w:hint="eastAsia" w:hAnsi="宋体"/>
          <w:color w:val="0D0D0D"/>
        </w:rPr>
        <w:t>甲方</w:t>
      </w:r>
      <w:r>
        <w:rPr>
          <w:rFonts w:hAnsi="宋体"/>
          <w:color w:val="0D0D0D"/>
        </w:rPr>
        <w:t>偿付违约金。违约金按不能交货部分货款的</w:t>
      </w:r>
      <w:r>
        <w:rPr>
          <w:rFonts w:hint="eastAsia" w:hAnsi="宋体"/>
          <w:color w:val="0D0D0D"/>
          <w:lang w:val="en-US" w:eastAsia="zh-CN"/>
        </w:rPr>
        <w:t>20</w:t>
      </w:r>
      <w:r>
        <w:rPr>
          <w:rFonts w:hAnsi="宋体"/>
          <w:color w:val="0D0D0D"/>
        </w:rPr>
        <w:t>％计算。</w:t>
      </w:r>
      <w:r>
        <w:rPr>
          <w:rFonts w:hAnsi="宋体"/>
          <w:color w:val="0D0D0D"/>
        </w:rPr>
        <w:cr/>
      </w:r>
      <w:r>
        <w:rPr>
          <w:rFonts w:hAnsi="宋体"/>
          <w:color w:val="0D0D0D"/>
        </w:rPr>
        <w:t xml:space="preserve">    </w:t>
      </w:r>
      <w:r>
        <w:rPr>
          <w:rFonts w:hint="eastAsia" w:hAnsi="宋体"/>
          <w:color w:val="0D0D0D"/>
        </w:rPr>
        <w:t>甲方</w:t>
      </w:r>
      <w:r>
        <w:rPr>
          <w:rFonts w:hAnsi="宋体"/>
          <w:color w:val="0D0D0D"/>
        </w:rPr>
        <w:t>中途退货，应向</w:t>
      </w:r>
      <w:r>
        <w:rPr>
          <w:rFonts w:hint="eastAsia" w:hAnsi="宋体"/>
          <w:color w:val="0D0D0D"/>
        </w:rPr>
        <w:t>乙方</w:t>
      </w:r>
      <w:r>
        <w:rPr>
          <w:rFonts w:hAnsi="宋体"/>
          <w:color w:val="0D0D0D"/>
        </w:rPr>
        <w:t>偿付违约金。违约金的计算方法与卖方违约相同。</w:t>
      </w:r>
    </w:p>
    <w:p>
      <w:pPr>
        <w:pStyle w:val="28"/>
        <w:snapToGrid w:val="0"/>
        <w:spacing w:before="120" w:beforeLines="0" w:after="120" w:afterLines="0" w:line="420" w:lineRule="exact"/>
        <w:rPr>
          <w:rFonts w:hAnsi="宋体"/>
          <w:color w:val="0D0D0D"/>
        </w:rPr>
      </w:pPr>
      <w:r>
        <w:rPr>
          <w:rFonts w:hAnsi="宋体"/>
          <w:color w:val="0D0D0D"/>
        </w:rPr>
        <w:t xml:space="preserve">(3) 逾期交货的违约赔偿最高限度为迟交货合同总价的5％，如违约金达到最高限额时卖方仍不能交货，买方可考虑终止合同。   </w:t>
      </w:r>
    </w:p>
    <w:p>
      <w:pPr>
        <w:pStyle w:val="28"/>
        <w:snapToGrid w:val="0"/>
        <w:spacing w:before="120" w:beforeLines="0" w:after="120" w:afterLines="0" w:line="420" w:lineRule="exact"/>
        <w:rPr>
          <w:rFonts w:hAnsi="宋体"/>
          <w:bCs/>
          <w:color w:val="0D0D0D"/>
        </w:rPr>
      </w:pPr>
      <w:r>
        <w:rPr>
          <w:rFonts w:hint="eastAsia" w:hAnsi="宋体"/>
          <w:bCs/>
          <w:color w:val="0D0D0D"/>
        </w:rPr>
        <w:t>(4) 经买、卖双方协商同意延期交货和经双方友好协商同意退货且无需罚款者不在此例。</w:t>
      </w:r>
    </w:p>
    <w:p>
      <w:pPr>
        <w:pStyle w:val="28"/>
        <w:snapToGrid w:val="0"/>
        <w:spacing w:before="120" w:beforeLines="0" w:after="120" w:afterLines="0" w:line="420" w:lineRule="exact"/>
        <w:rPr>
          <w:rFonts w:hAnsi="宋体"/>
          <w:b/>
          <w:color w:val="0D0D0D"/>
        </w:rPr>
      </w:pPr>
      <w:r>
        <w:rPr>
          <w:rFonts w:hAnsi="宋体"/>
          <w:b/>
          <w:color w:val="0D0D0D"/>
        </w:rPr>
        <w:t>十六、不可抗力事件处理</w:t>
      </w:r>
    </w:p>
    <w:p>
      <w:pPr>
        <w:pStyle w:val="28"/>
        <w:snapToGrid w:val="0"/>
        <w:spacing w:before="120" w:beforeLines="0" w:after="120" w:afterLines="0" w:line="420" w:lineRule="exact"/>
        <w:rPr>
          <w:rFonts w:hAnsi="宋体"/>
          <w:color w:val="0D0D0D"/>
        </w:rPr>
      </w:pPr>
      <w:r>
        <w:rPr>
          <w:rFonts w:hAnsi="宋体"/>
          <w:color w:val="0D0D0D"/>
        </w:rPr>
        <w:t>16.1 在合同有效期内，任何一方因不可抗力事件导致不能履行合同，则合同履行期可延长，其延长期与不可抗力影响期相同。</w:t>
      </w:r>
    </w:p>
    <w:p>
      <w:pPr>
        <w:pStyle w:val="28"/>
        <w:snapToGrid w:val="0"/>
        <w:spacing w:before="120" w:beforeLines="0" w:after="120" w:afterLines="0" w:line="420" w:lineRule="exact"/>
        <w:rPr>
          <w:rFonts w:hAnsi="宋体"/>
          <w:color w:val="0D0D0D"/>
        </w:rPr>
      </w:pPr>
      <w:r>
        <w:rPr>
          <w:rFonts w:hAnsi="宋体"/>
          <w:color w:val="0D0D0D"/>
        </w:rPr>
        <w:t>16.2 不可抗力事件发生后，应立即通知对方，并寄送有关权威机构出具的证明。</w:t>
      </w:r>
    </w:p>
    <w:p>
      <w:pPr>
        <w:pStyle w:val="28"/>
        <w:snapToGrid w:val="0"/>
        <w:spacing w:before="120" w:beforeLines="0" w:after="120" w:afterLines="0" w:line="420" w:lineRule="exact"/>
        <w:rPr>
          <w:rFonts w:hAnsi="宋体"/>
          <w:color w:val="0D0D0D"/>
        </w:rPr>
      </w:pPr>
      <w:r>
        <w:rPr>
          <w:rFonts w:hAnsi="宋体"/>
          <w:color w:val="0D0D0D"/>
        </w:rPr>
        <w:t>16.3 不可抗力事件延续120天以上，双方应通过友好协商，确定是否继续履行合同。</w:t>
      </w:r>
    </w:p>
    <w:p>
      <w:pPr>
        <w:pStyle w:val="28"/>
        <w:snapToGrid w:val="0"/>
        <w:spacing w:before="120" w:beforeLines="0" w:after="120" w:afterLines="0" w:line="420" w:lineRule="exact"/>
        <w:rPr>
          <w:rFonts w:hAnsi="宋体"/>
          <w:b/>
          <w:color w:val="0D0D0D"/>
        </w:rPr>
      </w:pPr>
      <w:r>
        <w:rPr>
          <w:rFonts w:hAnsi="宋体"/>
          <w:b/>
          <w:color w:val="0D0D0D"/>
        </w:rPr>
        <w:t>十七、诉讼</w:t>
      </w:r>
    </w:p>
    <w:p>
      <w:pPr>
        <w:pStyle w:val="28"/>
        <w:snapToGrid w:val="0"/>
        <w:spacing w:before="120" w:beforeLines="0" w:after="120" w:afterLines="0" w:line="420" w:lineRule="exact"/>
        <w:rPr>
          <w:rFonts w:hint="eastAsia" w:hAnsi="宋体" w:eastAsia="宋体"/>
          <w:color w:val="0D0D0D"/>
          <w:lang w:eastAsia="zh-CN"/>
        </w:rPr>
      </w:pPr>
      <w:r>
        <w:rPr>
          <w:rFonts w:hAnsi="宋体"/>
          <w:color w:val="0D0D0D"/>
        </w:rPr>
        <w:t>17.1</w:t>
      </w:r>
      <w:r>
        <w:rPr>
          <w:rFonts w:hint="eastAsia" w:hAnsi="宋体"/>
          <w:color w:val="0C0C0C"/>
          <w:highlight w:val="none"/>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r>
        <w:rPr>
          <w:rFonts w:hint="eastAsia" w:hAnsi="宋体"/>
          <w:color w:val="0C0C0C"/>
          <w:highlight w:val="none"/>
          <w:lang w:eastAsia="zh-CN"/>
        </w:rPr>
        <w:t>）</w:t>
      </w:r>
    </w:p>
    <w:p>
      <w:pPr>
        <w:pStyle w:val="28"/>
        <w:snapToGrid w:val="0"/>
        <w:spacing w:before="120" w:beforeLines="0" w:after="120" w:afterLines="0" w:line="420" w:lineRule="exact"/>
        <w:rPr>
          <w:rFonts w:hAnsi="宋体"/>
          <w:b/>
          <w:color w:val="0D0D0D"/>
        </w:rPr>
      </w:pPr>
      <w:r>
        <w:rPr>
          <w:rFonts w:hAnsi="宋体"/>
          <w:b/>
          <w:color w:val="0D0D0D"/>
        </w:rPr>
        <w:t>十八、合同生效及其它</w:t>
      </w:r>
    </w:p>
    <w:p>
      <w:pPr>
        <w:pStyle w:val="28"/>
        <w:snapToGrid w:val="0"/>
        <w:spacing w:before="120" w:beforeLines="0" w:after="120" w:afterLines="0" w:line="420" w:lineRule="exact"/>
        <w:rPr>
          <w:rFonts w:hAnsi="宋体"/>
          <w:color w:val="0D0D0D"/>
        </w:rPr>
      </w:pPr>
      <w:r>
        <w:rPr>
          <w:rFonts w:hAnsi="宋体"/>
          <w:color w:val="0D0D0D"/>
        </w:rPr>
        <w:t>18.1 合同经双方法定代表人或授权委托代理人签字并加盖单位公章后生效。</w:t>
      </w:r>
    </w:p>
    <w:p>
      <w:pPr>
        <w:pStyle w:val="28"/>
        <w:snapToGrid w:val="0"/>
        <w:spacing w:before="120" w:beforeLines="0" w:after="120" w:afterLines="0" w:line="420" w:lineRule="exact"/>
        <w:rPr>
          <w:rFonts w:hAnsi="宋体"/>
          <w:color w:val="0D0D0D"/>
        </w:rPr>
      </w:pPr>
      <w:r>
        <w:rPr>
          <w:rFonts w:hAnsi="宋体"/>
          <w:color w:val="0D0D0D"/>
        </w:rPr>
        <w:t>18.2合同执行中涉及采购资金和采购内容修改或补充的，须经部门审批，并签书面补充协议报监督管理部门备案，方可作为主合同不可分割的一部分。</w:t>
      </w:r>
    </w:p>
    <w:p>
      <w:pPr>
        <w:pStyle w:val="28"/>
        <w:snapToGrid w:val="0"/>
        <w:spacing w:before="120" w:beforeLines="0" w:after="120" w:afterLines="0" w:line="420" w:lineRule="exact"/>
        <w:rPr>
          <w:rFonts w:hAnsi="宋体"/>
          <w:color w:val="0D0D0D"/>
        </w:rPr>
      </w:pPr>
      <w:r>
        <w:rPr>
          <w:rFonts w:hAnsi="宋体"/>
          <w:color w:val="0D0D0D"/>
        </w:rPr>
        <w:t>18.3本合同未尽事宜，遵照《</w:t>
      </w:r>
      <w:r>
        <w:rPr>
          <w:rFonts w:hint="eastAsia" w:hAnsi="宋体"/>
          <w:color w:val="0D0D0D"/>
          <w:lang w:val="en-US" w:eastAsia="zh-CN"/>
        </w:rPr>
        <w:t>民法典</w:t>
      </w:r>
      <w:r>
        <w:rPr>
          <w:rFonts w:hAnsi="宋体"/>
          <w:color w:val="0D0D0D"/>
        </w:rPr>
        <w:t>》有关条文执行。</w:t>
      </w:r>
    </w:p>
    <w:p>
      <w:pPr>
        <w:pStyle w:val="28"/>
        <w:snapToGrid w:val="0"/>
        <w:spacing w:before="120" w:beforeLines="0" w:after="120" w:afterLines="0" w:line="420" w:lineRule="exact"/>
        <w:rPr>
          <w:rFonts w:hAnsi="宋体"/>
          <w:color w:val="0D0D0D"/>
        </w:rPr>
      </w:pPr>
      <w:r>
        <w:rPr>
          <w:rFonts w:hAnsi="宋体"/>
          <w:color w:val="0D0D0D"/>
        </w:rPr>
        <w:t xml:space="preserve">18.4 </w:t>
      </w:r>
      <w:r>
        <w:rPr>
          <w:rFonts w:hAnsi="宋体"/>
          <w:color w:val="0C0C0C"/>
          <w:highlight w:val="none"/>
        </w:rPr>
        <w:t>本合同正本一式</w:t>
      </w:r>
      <w:r>
        <w:rPr>
          <w:rFonts w:hint="eastAsia" w:hAnsi="宋体"/>
          <w:color w:val="0C0C0C"/>
          <w:highlight w:val="none"/>
          <w:lang w:val="en-US" w:eastAsia="zh-CN"/>
        </w:rPr>
        <w:t>肆</w:t>
      </w:r>
      <w:r>
        <w:rPr>
          <w:rFonts w:hAnsi="宋体"/>
          <w:color w:val="0C0C0C"/>
          <w:highlight w:val="none"/>
        </w:rPr>
        <w:t>份，具有同等法律效力，甲</w:t>
      </w:r>
      <w:r>
        <w:rPr>
          <w:rFonts w:hint="eastAsia" w:hAnsi="宋体"/>
          <w:color w:val="0C0C0C"/>
          <w:highlight w:val="none"/>
        </w:rPr>
        <w:t>方</w:t>
      </w:r>
      <w:r>
        <w:rPr>
          <w:rFonts w:hint="eastAsia" w:hAnsi="宋体"/>
          <w:color w:val="0C0C0C"/>
          <w:highlight w:val="none"/>
          <w:lang w:val="en-US" w:eastAsia="zh-CN"/>
        </w:rPr>
        <w:t>贰</w:t>
      </w:r>
      <w:r>
        <w:rPr>
          <w:rFonts w:hAnsi="宋体"/>
          <w:color w:val="0C0C0C"/>
          <w:highlight w:val="none"/>
        </w:rPr>
        <w:t>份</w:t>
      </w:r>
      <w:r>
        <w:rPr>
          <w:rFonts w:hint="eastAsia" w:hAnsi="宋体"/>
          <w:color w:val="0C0C0C"/>
          <w:highlight w:val="none"/>
        </w:rPr>
        <w:t>，乙方贰份</w:t>
      </w:r>
      <w:r>
        <w:rPr>
          <w:rFonts w:hAnsi="宋体"/>
          <w:color w:val="0C0C0C"/>
          <w:highlight w:val="none"/>
        </w:rPr>
        <w:t>。</w:t>
      </w:r>
    </w:p>
    <w:p>
      <w:pPr>
        <w:spacing w:line="360" w:lineRule="auto"/>
        <w:rPr>
          <w:rFonts w:hAnsi="宋体"/>
          <w:color w:val="0D0D0D"/>
        </w:rPr>
      </w:pPr>
      <w:r>
        <w:rPr>
          <w:rFonts w:hAnsi="宋体"/>
          <w:color w:val="0D0D0D"/>
        </w:rPr>
        <w:t xml:space="preserve"> </w:t>
      </w:r>
    </w:p>
    <w:p>
      <w:pPr>
        <w:spacing w:line="360" w:lineRule="auto"/>
        <w:rPr>
          <w:rFonts w:hAnsi="宋体"/>
          <w:color w:val="0D0D0D"/>
        </w:rPr>
      </w:pP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Ansi="宋体"/>
          <w:color w:val="0D0D0D"/>
        </w:rPr>
        <w:t xml:space="preserve"> </w:t>
      </w:r>
      <w:r>
        <w:rPr>
          <w:rFonts w:hint="eastAsia" w:ascii="宋体" w:hAnsi="宋体" w:eastAsia="宋体" w:cs="Times New Roman"/>
          <w:color w:val="0C0C0C"/>
          <w:highlight w:val="none"/>
        </w:rPr>
        <w:t xml:space="preserve">甲方：                                        乙方：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法定代表人：                                  法定代表人：</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委托代理人：                                  法定代表人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 xml:space="preserve">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地 址：台州市甲南大道东段9号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委托代理人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w:t>
      </w:r>
    </w:p>
    <w:p>
      <w:pPr>
        <w:pStyle w:val="28"/>
        <w:snapToGrid w:val="0"/>
        <w:spacing w:before="120" w:beforeLines="0" w:after="120" w:afterLines="0" w:line="420" w:lineRule="exact"/>
        <w:ind w:firstLine="5520" w:firstLineChars="2300"/>
        <w:rPr>
          <w:rFonts w:hint="eastAsia" w:ascii="宋体" w:hAnsi="宋体" w:eastAsia="宋体" w:cs="Times New Roman"/>
          <w:color w:val="0C0C0C"/>
          <w:highlight w:val="none"/>
        </w:rPr>
      </w:pP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地 址：</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电 话： 0576-88909650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电 话：</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开 户 行：建设银行台州湾新区支行</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开 户 行：</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帐 号： 33050110284009125999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帐 号：</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税 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税 号：</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签订地点：                     签订日期：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年  月  日</w:t>
      </w:r>
    </w:p>
    <w:p>
      <w:pPr>
        <w:pStyle w:val="28"/>
        <w:snapToGrid w:val="0"/>
        <w:spacing w:before="120" w:beforeLines="0" w:after="120" w:afterLines="0" w:line="420" w:lineRule="exact"/>
        <w:rPr>
          <w:rFonts w:hint="eastAsia" w:ascii="宋体" w:hAnsi="宋体" w:eastAsia="宋体" w:cs="Times New Roman"/>
          <w:color w:val="0C0C0C"/>
          <w:highlight w:val="none"/>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adjustRightInd w:val="0"/>
        <w:spacing w:line="360" w:lineRule="exact"/>
        <w:ind w:firstLine="600" w:firstLineChars="200"/>
        <w:jc w:val="center"/>
        <w:rPr>
          <w:rFonts w:ascii="黑体" w:hAnsi="黑体" w:eastAsia="黑体"/>
          <w:szCs w:val="28"/>
        </w:rPr>
      </w:pPr>
      <w:r>
        <w:rPr>
          <w:rFonts w:hint="eastAsia" w:ascii="黑体" w:hAnsi="黑体" w:eastAsia="黑体"/>
          <w:sz w:val="30"/>
          <w:szCs w:val="30"/>
        </w:rPr>
        <w:t>项目廉政责任书</w:t>
      </w:r>
    </w:p>
    <w:p>
      <w:pPr>
        <w:autoSpaceDE w:val="0"/>
        <w:autoSpaceDN w:val="0"/>
        <w:spacing w:line="360" w:lineRule="exact"/>
        <w:ind w:firstLine="482"/>
        <w:rPr>
          <w:sz w:val="21"/>
          <w:szCs w:val="21"/>
        </w:rPr>
      </w:pPr>
    </w:p>
    <w:p>
      <w:pPr>
        <w:autoSpaceDE w:val="0"/>
        <w:autoSpaceDN w:val="0"/>
        <w:spacing w:line="360" w:lineRule="auto"/>
        <w:ind w:firstLine="482"/>
        <w:rPr>
          <w:sz w:val="24"/>
        </w:rPr>
      </w:pPr>
      <w:r>
        <w:rPr>
          <w:rFonts w:hint="eastAsia"/>
          <w:sz w:val="24"/>
        </w:rPr>
        <w:t>项目名称：</w:t>
      </w:r>
      <w:r>
        <w:rPr>
          <w:rFonts w:hint="eastAsia"/>
          <w:bCs/>
          <w:sz w:val="24"/>
          <w:u w:val="single"/>
          <w:lang w:eastAsia="zh-CN"/>
        </w:rPr>
        <w:t>台州湾新区初昕街（鲍浦大道-滨富东路）、启泰街（鲍浦大道-滨富东路）道路工程（普通硅酸盐水泥）</w:t>
      </w:r>
      <w:r>
        <w:rPr>
          <w:rFonts w:hint="eastAsia"/>
          <w:sz w:val="24"/>
          <w:u w:val="single"/>
        </w:rPr>
        <w:t xml:space="preserve">  </w:t>
      </w:r>
    </w:p>
    <w:p>
      <w:pPr>
        <w:autoSpaceDE w:val="0"/>
        <w:autoSpaceDN w:val="0"/>
        <w:spacing w:line="360" w:lineRule="auto"/>
        <w:ind w:firstLine="482"/>
        <w:rPr>
          <w:sz w:val="24"/>
        </w:rPr>
      </w:pPr>
      <w:r>
        <w:rPr>
          <w:rFonts w:hint="eastAsia"/>
          <w:sz w:val="24"/>
        </w:rPr>
        <w:t>采购人（甲方）：</w:t>
      </w:r>
      <w:r>
        <w:rPr>
          <w:rFonts w:hint="eastAsia"/>
          <w:sz w:val="24"/>
          <w:u w:val="single"/>
        </w:rPr>
        <w:t xml:space="preserve">   </w:t>
      </w:r>
      <w:r>
        <w:rPr>
          <w:rFonts w:hint="eastAsia"/>
          <w:bCs/>
          <w:sz w:val="24"/>
          <w:u w:val="single"/>
        </w:rPr>
        <w:t>台州东发建设投资有限公司</w:t>
      </w:r>
      <w:r>
        <w:rPr>
          <w:sz w:val="24"/>
          <w:u w:val="single"/>
        </w:rPr>
        <w:t xml:space="preserve"> </w:t>
      </w:r>
      <w:r>
        <w:rPr>
          <w:rFonts w:hint="eastAsia"/>
          <w:sz w:val="24"/>
          <w:u w:val="single"/>
        </w:rPr>
        <w:t xml:space="preserve">      </w:t>
      </w:r>
    </w:p>
    <w:p>
      <w:pPr>
        <w:autoSpaceDE w:val="0"/>
        <w:autoSpaceDN w:val="0"/>
        <w:spacing w:line="360" w:lineRule="auto"/>
        <w:ind w:firstLine="482"/>
        <w:rPr>
          <w:rFonts w:hint="eastAsia"/>
          <w:sz w:val="24"/>
        </w:rPr>
      </w:pPr>
      <w:r>
        <w:rPr>
          <w:rFonts w:hint="eastAsia"/>
          <w:sz w:val="24"/>
        </w:rPr>
        <w:t>中标单位（乙方）：</w:t>
      </w:r>
      <w:r>
        <w:rPr>
          <w:rFonts w:hint="eastAsia"/>
          <w:sz w:val="24"/>
          <w:u w:val="single"/>
        </w:rPr>
        <w:t xml:space="preserve">                                   </w:t>
      </w:r>
    </w:p>
    <w:p>
      <w:pPr>
        <w:autoSpaceDE w:val="0"/>
        <w:autoSpaceDN w:val="0"/>
        <w:spacing w:line="360" w:lineRule="auto"/>
        <w:ind w:firstLine="482"/>
        <w:rPr>
          <w:sz w:val="24"/>
        </w:rPr>
      </w:pPr>
      <w:r>
        <w:rPr>
          <w:rFonts w:hint="eastAsia"/>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sz w:val="24"/>
        </w:rPr>
      </w:pPr>
      <w:r>
        <w:rPr>
          <w:rFonts w:hint="eastAsia"/>
          <w:sz w:val="24"/>
        </w:rPr>
        <w:t>　　第一条 甲乙双方的责任</w:t>
      </w:r>
    </w:p>
    <w:p>
      <w:pPr>
        <w:spacing w:line="360" w:lineRule="auto"/>
        <w:jc w:val="left"/>
        <w:rPr>
          <w:sz w:val="24"/>
        </w:rPr>
      </w:pPr>
      <w:r>
        <w:rPr>
          <w:rFonts w:hint="eastAsia"/>
          <w:sz w:val="24"/>
        </w:rPr>
        <w:t>　　（一）应严格遵守国家关于市场准入、项目招标投标和市场活动等有关法律、法规，相关政策，以及廉政建设的各项规定。</w:t>
      </w:r>
    </w:p>
    <w:p>
      <w:pPr>
        <w:autoSpaceDE w:val="0"/>
        <w:autoSpaceDN w:val="0"/>
        <w:spacing w:line="360" w:lineRule="auto"/>
        <w:rPr>
          <w:sz w:val="24"/>
        </w:rPr>
      </w:pPr>
      <w:r>
        <w:rPr>
          <w:rFonts w:hint="eastAsia"/>
          <w:sz w:val="24"/>
        </w:rPr>
        <w:t>　　（二）严格执行项目双方合同文件，自觉按合同办事。</w:t>
      </w:r>
    </w:p>
    <w:p>
      <w:pPr>
        <w:spacing w:line="360" w:lineRule="auto"/>
        <w:rPr>
          <w:sz w:val="24"/>
        </w:rPr>
      </w:pPr>
      <w:r>
        <w:rPr>
          <w:rFonts w:hint="eastAsia"/>
          <w:sz w:val="24"/>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sz w:val="24"/>
        </w:rPr>
      </w:pPr>
      <w:r>
        <w:rPr>
          <w:rFonts w:hint="eastAsia"/>
          <w:sz w:val="24"/>
        </w:rPr>
        <w:t>　　（四）发现对方在业务活动中有违规、违纪、违法行为的，应及时提醒对方，情节严重的，应向其上级主管部门或纪检监察、司法等有关机关举报。</w:t>
      </w:r>
    </w:p>
    <w:p>
      <w:pPr>
        <w:autoSpaceDE w:val="0"/>
        <w:autoSpaceDN w:val="0"/>
        <w:spacing w:line="360" w:lineRule="auto"/>
        <w:rPr>
          <w:sz w:val="24"/>
        </w:rPr>
      </w:pPr>
      <w:r>
        <w:rPr>
          <w:rFonts w:hint="eastAsia"/>
          <w:sz w:val="24"/>
        </w:rPr>
        <w:t>　　第二条 甲方的责任</w:t>
      </w:r>
    </w:p>
    <w:p>
      <w:pPr>
        <w:autoSpaceDE w:val="0"/>
        <w:autoSpaceDN w:val="0"/>
        <w:spacing w:line="360" w:lineRule="auto"/>
        <w:rPr>
          <w:sz w:val="24"/>
        </w:rPr>
      </w:pPr>
      <w:r>
        <w:rPr>
          <w:rFonts w:hint="eastAsia"/>
          <w:sz w:val="24"/>
        </w:rPr>
        <w:t>　　甲方的领导和从事该项目的工作人员，在项目的事前、事中、事后应遵守以下规定：</w:t>
      </w:r>
    </w:p>
    <w:p>
      <w:pPr>
        <w:autoSpaceDE w:val="0"/>
        <w:autoSpaceDN w:val="0"/>
        <w:spacing w:line="360" w:lineRule="auto"/>
        <w:rPr>
          <w:sz w:val="24"/>
        </w:rPr>
      </w:pPr>
      <w:r>
        <w:rPr>
          <w:rFonts w:hint="eastAsia"/>
          <w:sz w:val="24"/>
        </w:rPr>
        <w:t>　　（一）不准向乙方和相关单位索要或接受回扣、礼金、有价证券、贵重物品和好处费、感谢费等。</w:t>
      </w:r>
    </w:p>
    <w:p>
      <w:pPr>
        <w:autoSpaceDE w:val="0"/>
        <w:autoSpaceDN w:val="0"/>
        <w:spacing w:line="360" w:lineRule="auto"/>
        <w:rPr>
          <w:sz w:val="24"/>
        </w:rPr>
      </w:pPr>
      <w:r>
        <w:rPr>
          <w:rFonts w:hint="eastAsia"/>
          <w:sz w:val="24"/>
        </w:rPr>
        <w:t>　　（二）不准在乙方和相关单位报销任何应由甲方或个人支付的费用。</w:t>
      </w:r>
    </w:p>
    <w:p>
      <w:pPr>
        <w:spacing w:line="360" w:lineRule="auto"/>
        <w:jc w:val="left"/>
        <w:rPr>
          <w:sz w:val="24"/>
        </w:rPr>
      </w:pPr>
      <w:r>
        <w:rPr>
          <w:rFonts w:hint="eastAsia"/>
          <w:sz w:val="24"/>
        </w:rPr>
        <w:t>　　（三）不准要求、暗示和接受乙方和相关单位为个人装修住房、婚丧嫁娶、配偶子女的工作安排以及出国（境）、旅游等提供方便。</w:t>
      </w:r>
    </w:p>
    <w:p>
      <w:pPr>
        <w:autoSpaceDE w:val="0"/>
        <w:autoSpaceDN w:val="0"/>
        <w:spacing w:line="360" w:lineRule="auto"/>
        <w:rPr>
          <w:sz w:val="24"/>
        </w:rPr>
      </w:pPr>
      <w:r>
        <w:rPr>
          <w:rFonts w:hint="eastAsia"/>
          <w:sz w:val="24"/>
        </w:rPr>
        <w:t>　　（四）不准参加有可能影响公正执行公务的乙方和相关单位的宴请和健身、娱乐等活动。</w:t>
      </w:r>
    </w:p>
    <w:p>
      <w:pPr>
        <w:spacing w:line="360" w:lineRule="auto"/>
        <w:jc w:val="left"/>
        <w:rPr>
          <w:sz w:val="24"/>
        </w:rPr>
      </w:pPr>
      <w:r>
        <w:rPr>
          <w:rFonts w:hint="eastAsia"/>
          <w:sz w:val="24"/>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sz w:val="24"/>
        </w:rPr>
      </w:pPr>
      <w:r>
        <w:rPr>
          <w:rFonts w:hint="eastAsia"/>
          <w:sz w:val="24"/>
        </w:rPr>
        <w:t>　　第三条 乙方的责任</w:t>
      </w:r>
    </w:p>
    <w:p>
      <w:pPr>
        <w:spacing w:line="360" w:lineRule="auto"/>
        <w:jc w:val="left"/>
        <w:rPr>
          <w:sz w:val="24"/>
        </w:rPr>
      </w:pPr>
      <w:r>
        <w:rPr>
          <w:rFonts w:hint="eastAsia"/>
          <w:sz w:val="24"/>
        </w:rPr>
        <w:t>　　应与甲方保持正常的业务交往，按照有关法律法规和程序开展业务工作，严格执行项目的有关方针、政策，并遵守以下规定：</w:t>
      </w:r>
    </w:p>
    <w:p>
      <w:pPr>
        <w:spacing w:line="360" w:lineRule="auto"/>
        <w:jc w:val="left"/>
        <w:rPr>
          <w:sz w:val="24"/>
        </w:rPr>
      </w:pPr>
      <w:r>
        <w:rPr>
          <w:rFonts w:hint="eastAsia"/>
          <w:sz w:val="24"/>
        </w:rPr>
        <w:t>　　（一）不准以任何理由向甲方、相关单位及其工作人员索要、接受或赠送礼金、有价证券、贵重物品和回扣、好处费、感谢费等。</w:t>
      </w:r>
    </w:p>
    <w:p>
      <w:pPr>
        <w:autoSpaceDE w:val="0"/>
        <w:autoSpaceDN w:val="0"/>
        <w:spacing w:line="360" w:lineRule="auto"/>
        <w:rPr>
          <w:sz w:val="24"/>
        </w:rPr>
      </w:pPr>
      <w:r>
        <w:rPr>
          <w:rFonts w:hint="eastAsia"/>
          <w:sz w:val="24"/>
        </w:rPr>
        <w:t>　　（二）不准以任何理由为甲方和相关单位报销应由对方或个人支付的费用。</w:t>
      </w:r>
    </w:p>
    <w:p>
      <w:pPr>
        <w:spacing w:line="360" w:lineRule="auto"/>
        <w:jc w:val="left"/>
        <w:rPr>
          <w:sz w:val="24"/>
        </w:rPr>
      </w:pPr>
      <w:r>
        <w:rPr>
          <w:rFonts w:hint="eastAsia"/>
          <w:sz w:val="24"/>
        </w:rPr>
        <w:t>　　（三）不准接受或暗示为甲方、相关单位或个人装修住房、婚丧嫁娶、配偶子女的工作安排以及出国（境）、旅游等提供方便。</w:t>
      </w:r>
    </w:p>
    <w:p>
      <w:pPr>
        <w:spacing w:line="360" w:lineRule="auto"/>
        <w:jc w:val="left"/>
        <w:rPr>
          <w:sz w:val="24"/>
        </w:rPr>
      </w:pPr>
      <w:r>
        <w:rPr>
          <w:rFonts w:hint="eastAsia"/>
          <w:sz w:val="24"/>
        </w:rPr>
        <w:t>　　（四）不准以任何理由为甲方、相关单位或个人组织有可能影响公正执行公务的宴请、健身、娱乐等活动。</w:t>
      </w:r>
    </w:p>
    <w:p>
      <w:pPr>
        <w:autoSpaceDE w:val="0"/>
        <w:autoSpaceDN w:val="0"/>
        <w:spacing w:line="360" w:lineRule="auto"/>
        <w:rPr>
          <w:sz w:val="24"/>
        </w:rPr>
      </w:pPr>
      <w:r>
        <w:rPr>
          <w:rFonts w:hint="eastAsia"/>
          <w:sz w:val="24"/>
        </w:rPr>
        <w:t>　　第四条 违约责任</w:t>
      </w:r>
    </w:p>
    <w:p>
      <w:pPr>
        <w:spacing w:line="360" w:lineRule="auto"/>
        <w:jc w:val="left"/>
        <w:rPr>
          <w:sz w:val="24"/>
        </w:rPr>
      </w:pPr>
      <w:r>
        <w:rPr>
          <w:rFonts w:hint="eastAsia"/>
          <w:sz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sz w:val="24"/>
        </w:rPr>
      </w:pPr>
      <w:r>
        <w:rPr>
          <w:rFonts w:hint="eastAsia"/>
          <w:sz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sz w:val="24"/>
        </w:rPr>
      </w:pPr>
      <w:r>
        <w:rPr>
          <w:rFonts w:hint="eastAsia"/>
          <w:sz w:val="24"/>
        </w:rPr>
        <w:t>　　第五条 本责任书作为项目合同的附件，与项目合同具有同等法律效力。经双方签署后立即生效。</w:t>
      </w:r>
    </w:p>
    <w:p>
      <w:pPr>
        <w:autoSpaceDE w:val="0"/>
        <w:autoSpaceDN w:val="0"/>
        <w:spacing w:line="360" w:lineRule="auto"/>
        <w:rPr>
          <w:sz w:val="24"/>
        </w:rPr>
      </w:pPr>
      <w:r>
        <w:rPr>
          <w:rFonts w:hint="eastAsia"/>
          <w:sz w:val="24"/>
        </w:rPr>
        <w:t>　　第六条 本责任书的有效期为双方签署之日起至该项目完工验收合格时止。</w:t>
      </w:r>
    </w:p>
    <w:p>
      <w:pPr>
        <w:autoSpaceDE w:val="0"/>
        <w:autoSpaceDN w:val="0"/>
        <w:spacing w:line="360" w:lineRule="auto"/>
        <w:rPr>
          <w:sz w:val="24"/>
        </w:rPr>
      </w:pPr>
      <w:r>
        <w:rPr>
          <w:rFonts w:hint="eastAsia"/>
          <w:sz w:val="24"/>
        </w:rPr>
        <w:t>　　第七条 本责任书一式</w:t>
      </w:r>
      <w:r>
        <w:rPr>
          <w:rFonts w:hint="eastAsia"/>
          <w:sz w:val="24"/>
          <w:lang w:val="en-US" w:eastAsia="zh-CN"/>
        </w:rPr>
        <w:t>肆</w:t>
      </w:r>
      <w:r>
        <w:rPr>
          <w:rFonts w:hint="eastAsia"/>
          <w:sz w:val="24"/>
        </w:rPr>
        <w:t>份，</w:t>
      </w:r>
      <w:r>
        <w:rPr>
          <w:sz w:val="24"/>
        </w:rPr>
        <w:t>甲</w:t>
      </w:r>
      <w:r>
        <w:rPr>
          <w:rFonts w:hint="eastAsia"/>
          <w:sz w:val="24"/>
        </w:rPr>
        <w:t>方</w:t>
      </w:r>
      <w:r>
        <w:rPr>
          <w:rFonts w:hint="eastAsia"/>
          <w:sz w:val="24"/>
          <w:lang w:val="en-US" w:eastAsia="zh-CN"/>
        </w:rPr>
        <w:t>贰</w:t>
      </w:r>
      <w:r>
        <w:rPr>
          <w:sz w:val="24"/>
        </w:rPr>
        <w:t>份</w:t>
      </w:r>
      <w:r>
        <w:rPr>
          <w:rFonts w:hint="eastAsia"/>
          <w:sz w:val="24"/>
        </w:rPr>
        <w:t>，乙方贰份。</w:t>
      </w:r>
    </w:p>
    <w:p>
      <w:pPr>
        <w:autoSpaceDE w:val="0"/>
        <w:autoSpaceDN w:val="0"/>
        <w:spacing w:line="360" w:lineRule="auto"/>
        <w:ind w:firstLine="482"/>
        <w:rPr>
          <w:sz w:val="24"/>
        </w:rPr>
      </w:pPr>
    </w:p>
    <w:p>
      <w:pPr>
        <w:autoSpaceDE w:val="0"/>
        <w:autoSpaceDN w:val="0"/>
        <w:spacing w:line="360" w:lineRule="auto"/>
        <w:ind w:firstLine="482"/>
        <w:rPr>
          <w:sz w:val="24"/>
        </w:rPr>
      </w:pPr>
    </w:p>
    <w:p>
      <w:pPr>
        <w:autoSpaceDE w:val="0"/>
        <w:autoSpaceDN w:val="0"/>
        <w:spacing w:line="360" w:lineRule="auto"/>
        <w:ind w:firstLine="482"/>
        <w:rPr>
          <w:sz w:val="24"/>
        </w:rPr>
      </w:pPr>
      <w:r>
        <w:rPr>
          <w:rFonts w:hint="eastAsia"/>
          <w:sz w:val="24"/>
        </w:rPr>
        <w:t>甲方单位：（盖章）　　　　　　　　                　　　乙方单位：（盖章）</w:t>
      </w:r>
    </w:p>
    <w:p>
      <w:pPr>
        <w:autoSpaceDE w:val="0"/>
        <w:autoSpaceDN w:val="0"/>
        <w:spacing w:line="360" w:lineRule="auto"/>
        <w:ind w:firstLine="482"/>
        <w:rPr>
          <w:sz w:val="24"/>
        </w:rPr>
      </w:pPr>
      <w:r>
        <w:rPr>
          <w:rFonts w:hint="eastAsia"/>
          <w:sz w:val="24"/>
        </w:rPr>
        <w:t>法定代表人：　　　　　　　　　               　　　　　法定代表人：</w:t>
      </w:r>
    </w:p>
    <w:p>
      <w:pPr>
        <w:autoSpaceDE w:val="0"/>
        <w:autoSpaceDN w:val="0"/>
        <w:spacing w:line="360" w:lineRule="auto"/>
        <w:ind w:firstLine="482"/>
        <w:rPr>
          <w:sz w:val="24"/>
        </w:rPr>
      </w:pPr>
      <w:r>
        <w:rPr>
          <w:rFonts w:hint="eastAsia"/>
          <w:sz w:val="24"/>
        </w:rPr>
        <w:t>地址：　　　　　　　　　　　　　               　　　　地址：</w:t>
      </w:r>
    </w:p>
    <w:p>
      <w:pPr>
        <w:autoSpaceDE w:val="0"/>
        <w:autoSpaceDN w:val="0"/>
        <w:spacing w:line="360" w:lineRule="auto"/>
        <w:ind w:firstLine="482"/>
        <w:rPr>
          <w:sz w:val="24"/>
        </w:rPr>
      </w:pPr>
      <w:r>
        <w:rPr>
          <w:rFonts w:hint="eastAsia"/>
          <w:sz w:val="24"/>
        </w:rPr>
        <w:t>电话：　　　　　　　　　　　　　　　               　　电话：</w:t>
      </w:r>
    </w:p>
    <w:p>
      <w:pPr>
        <w:autoSpaceDE w:val="0"/>
        <w:autoSpaceDN w:val="0"/>
        <w:spacing w:line="360" w:lineRule="auto"/>
        <w:ind w:firstLine="482"/>
        <w:rPr>
          <w:sz w:val="24"/>
        </w:rPr>
      </w:pPr>
      <w:r>
        <w:rPr>
          <w:rFonts w:hint="eastAsia"/>
          <w:sz w:val="24"/>
        </w:rPr>
        <w:t>年　月　日　　　　　　　　　　　　　               　　年　月　日</w:t>
      </w:r>
    </w:p>
    <w:p>
      <w:pPr>
        <w:spacing w:line="300" w:lineRule="auto"/>
        <w:ind w:left="-282" w:leftChars="-407" w:hanging="858" w:hangingChars="407"/>
        <w:jc w:val="center"/>
        <w:rPr>
          <w:rFonts w:hint="eastAsia" w:ascii="宋体" w:hAnsi="宋体"/>
          <w:b/>
          <w:bCs/>
          <w:color w:val="0D0D0D"/>
          <w:sz w:val="21"/>
          <w:szCs w:val="21"/>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8"/>
        <w:tabs>
          <w:tab w:val="left" w:pos="2472"/>
        </w:tabs>
        <w:snapToGrid w:val="0"/>
        <w:spacing w:line="240" w:lineRule="auto"/>
        <w:ind w:left="357" w:firstLine="826" w:firstLineChars="257"/>
        <w:jc w:val="center"/>
        <w:rPr>
          <w:rFonts w:hAnsi="宋体"/>
          <w:b/>
          <w:color w:val="0D0D0D"/>
          <w:sz w:val="32"/>
          <w:szCs w:val="32"/>
        </w:rPr>
      </w:pPr>
      <w:r>
        <w:rPr>
          <w:b/>
          <w:color w:val="0D0D0D"/>
          <w:sz w:val="32"/>
          <w:szCs w:val="32"/>
        </w:rPr>
        <w:t>第六章　报价文件格式</w:t>
      </w:r>
    </w:p>
    <w:p>
      <w:pPr>
        <w:snapToGrid w:val="0"/>
        <w:spacing w:before="50" w:after="156" w:afterLines="50"/>
        <w:jc w:val="left"/>
        <w:rPr>
          <w:rFonts w:ascii="宋体" w:hAnsi="宋体" w:eastAsia="仿宋_GB2312"/>
          <w:color w:val="0D0D0D"/>
          <w:sz w:val="24"/>
          <w:szCs w:val="20"/>
        </w:rPr>
      </w:pPr>
      <w:r>
        <w:rPr>
          <w:rFonts w:hint="eastAsia" w:ascii="宋体" w:hAnsi="宋体"/>
          <w:color w:val="0D0D0D"/>
          <w:sz w:val="24"/>
        </w:rPr>
        <w:t>1、授权委托书格式：</w:t>
      </w:r>
    </w:p>
    <w:p>
      <w:pPr>
        <w:spacing w:line="360" w:lineRule="auto"/>
        <w:ind w:firstLine="321" w:firstLineChars="100"/>
        <w:jc w:val="center"/>
        <w:rPr>
          <w:rFonts w:hAnsi="宋体"/>
          <w:b/>
          <w:sz w:val="32"/>
          <w:szCs w:val="32"/>
          <w:u w:val="single"/>
        </w:rPr>
      </w:pPr>
      <w:bookmarkStart w:id="4" w:name="_Toc6870_WPSOffice_Level1"/>
      <w:bookmarkStart w:id="5" w:name="_Toc24373_WPSOffice_Level1"/>
      <w:r>
        <w:rPr>
          <w:b/>
          <w:sz w:val="32"/>
          <w:szCs w:val="32"/>
        </w:rPr>
        <w:t>授权</w:t>
      </w:r>
      <w:r>
        <w:rPr>
          <w:rFonts w:hint="eastAsia"/>
          <w:b/>
          <w:sz w:val="32"/>
          <w:szCs w:val="32"/>
        </w:rPr>
        <w:t>委托</w:t>
      </w:r>
      <w:r>
        <w:rPr>
          <w:b/>
          <w:sz w:val="32"/>
          <w:szCs w:val="32"/>
        </w:rPr>
        <w:t>书</w:t>
      </w:r>
      <w:bookmarkEnd w:id="4"/>
      <w:bookmarkEnd w:id="5"/>
    </w:p>
    <w:p>
      <w:pPr>
        <w:snapToGrid w:val="0"/>
        <w:spacing w:before="120" w:beforeLines="50" w:after="50" w:line="360" w:lineRule="auto"/>
        <w:rPr>
          <w:rFonts w:ascii="宋体" w:hAnsi="宋体" w:cs="宋体"/>
          <w:kern w:val="0"/>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cs="宋体"/>
          <w:kern w:val="0"/>
          <w:sz w:val="24"/>
        </w:rPr>
        <w:t>（采购代理机构名称）：</w:t>
      </w:r>
    </w:p>
    <w:p>
      <w:pPr>
        <w:pStyle w:val="28"/>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sz w:val="24"/>
          <w:u w:val="single"/>
        </w:rPr>
        <w:t xml:space="preserve"> </w:t>
      </w:r>
      <w:r>
        <w:rPr>
          <w:rFonts w:hAnsi="宋体"/>
          <w:sz w:val="24"/>
          <w:u w:val="single"/>
        </w:rPr>
        <w:t xml:space="preserve">                        </w:t>
      </w:r>
      <w:r>
        <w:rPr>
          <w:rFonts w:hint="eastAsia" w:hAnsi="宋体"/>
          <w:sz w:val="24"/>
          <w:u w:val="single"/>
        </w:rPr>
        <w:t>（项目名称）</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28"/>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8"/>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供应商全称（签字或盖章）：                              日期：</w:t>
      </w:r>
    </w:p>
    <w:p>
      <w:pPr>
        <w:spacing w:line="360" w:lineRule="auto"/>
        <w:rPr>
          <w:sz w:val="24"/>
        </w:rPr>
      </w:pPr>
    </w:p>
    <w:p>
      <w:pPr>
        <w:spacing w:line="360" w:lineRule="auto"/>
        <w:rPr>
          <w:b/>
          <w:sz w:val="24"/>
        </w:rPr>
      </w:pPr>
      <w:r>
        <w:rPr>
          <w:rFonts w:hint="eastAsia" w:ascii="宋体"/>
          <w:b/>
          <w:sz w:val="24"/>
        </w:rPr>
        <w:t>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hAnsi="宋体"/>
          <w:b/>
          <w:sz w:val="28"/>
        </w:rPr>
      </w:pPr>
      <w:r>
        <w:rPr>
          <w:rFonts w:hint="eastAsia" w:ascii="宋体"/>
          <w:sz w:val="24"/>
        </w:rPr>
        <w:t>邮政编码：</w:t>
      </w:r>
    </w:p>
    <w:p>
      <w:pPr>
        <w:pStyle w:val="28"/>
        <w:snapToGrid w:val="0"/>
        <w:spacing w:before="295" w:beforeLines="0" w:after="295" w:afterLines="0" w:line="240" w:lineRule="auto"/>
        <w:rPr>
          <w:rFonts w:hAnsi="宋体"/>
          <w:color w:val="auto"/>
          <w:highlight w:val="none"/>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pPr>
        <w:snapToGrid w:val="0"/>
        <w:spacing w:before="50" w:after="50"/>
        <w:rPr>
          <w:rFonts w:ascii="宋体" w:hAnsi="宋体"/>
          <w:b/>
          <w:color w:val="0C0C0C"/>
          <w:sz w:val="24"/>
          <w:szCs w:val="20"/>
          <w:highlight w:val="none"/>
        </w:rPr>
      </w:pPr>
      <w:r>
        <w:rPr>
          <w:rFonts w:hint="eastAsia" w:ascii="宋体" w:hAnsi="宋体"/>
          <w:color w:val="0C0C0C"/>
          <w:sz w:val="24"/>
          <w:highlight w:val="none"/>
          <w:lang w:val="en-US" w:eastAsia="zh-CN"/>
        </w:rPr>
        <w:t>2</w:t>
      </w:r>
      <w:r>
        <w:rPr>
          <w:rFonts w:hint="eastAsia" w:ascii="宋体" w:hAnsi="宋体"/>
          <w:color w:val="0C0C0C"/>
          <w:sz w:val="24"/>
          <w:highlight w:val="none"/>
        </w:rPr>
        <w:t>、</w:t>
      </w:r>
      <w:r>
        <w:rPr>
          <w:rFonts w:hint="eastAsia" w:ascii="宋体" w:hAnsi="宋体"/>
          <w:b/>
          <w:color w:val="0C0C0C"/>
          <w:sz w:val="24"/>
          <w:highlight w:val="none"/>
        </w:rPr>
        <w:t>开标一览表</w:t>
      </w:r>
    </w:p>
    <w:p>
      <w:pPr>
        <w:spacing w:line="360" w:lineRule="atLeast"/>
        <w:ind w:left="641" w:leftChars="229" w:firstLine="2870" w:firstLineChars="953"/>
        <w:rPr>
          <w:rFonts w:hint="eastAsia" w:ascii="宋体" w:hAnsi="宋体"/>
          <w:b/>
          <w:color w:val="0C0C0C"/>
          <w:sz w:val="24"/>
          <w:highlight w:val="none"/>
        </w:rPr>
      </w:pPr>
      <w:r>
        <w:rPr>
          <w:rFonts w:hint="eastAsia" w:ascii="宋体" w:hAnsi="宋体"/>
          <w:b/>
          <w:color w:val="0C0C0C"/>
          <w:sz w:val="30"/>
          <w:highlight w:val="none"/>
        </w:rPr>
        <w:t>开标一览表</w:t>
      </w:r>
      <w:r>
        <w:rPr>
          <w:rFonts w:hint="eastAsia" w:ascii="宋体" w:hAnsi="宋体"/>
          <w:color w:val="0C0C0C"/>
          <w:sz w:val="24"/>
          <w:highlight w:val="none"/>
        </w:rPr>
        <w:t xml:space="preserve">                                                                                </w:t>
      </w:r>
    </w:p>
    <w:p>
      <w:pPr>
        <w:numPr>
          <w:ilvl w:val="0"/>
          <w:numId w:val="0"/>
        </w:numPr>
        <w:spacing w:line="320" w:lineRule="exact"/>
        <w:ind w:leftChars="0"/>
        <w:jc w:val="both"/>
        <w:rPr>
          <w:rFonts w:hint="eastAsia" w:ascii="Arial" w:hAnsi="Arial" w:cs="Arial"/>
          <w:color w:val="0C0C0C"/>
          <w:sz w:val="24"/>
          <w:highlight w:val="none"/>
        </w:rPr>
      </w:pPr>
      <w:r>
        <w:rPr>
          <w:rFonts w:hint="eastAsia" w:ascii="Arial" w:hAnsi="Arial" w:cs="Arial"/>
          <w:color w:val="0C0C0C"/>
          <w:sz w:val="24"/>
          <w:highlight w:val="none"/>
        </w:rPr>
        <w:t>致：</w:t>
      </w:r>
      <w:r>
        <w:rPr>
          <w:rFonts w:hint="eastAsia" w:ascii="宋体" w:hAnsi="宋体" w:cs="宋体"/>
          <w:color w:val="0C0C0C"/>
          <w:sz w:val="24"/>
          <w:highlight w:val="none"/>
        </w:rPr>
        <w:t>台州东发建设投资有限公司</w:t>
      </w:r>
      <w:r>
        <w:rPr>
          <w:rFonts w:hint="eastAsia" w:ascii="Arial" w:hAnsi="Arial" w:cs="Arial"/>
          <w:color w:val="0C0C0C"/>
          <w:sz w:val="24"/>
          <w:highlight w:val="none"/>
        </w:rPr>
        <w:t>（采购人名称）</w:t>
      </w:r>
    </w:p>
    <w:p>
      <w:pPr>
        <w:ind w:firstLine="480" w:firstLineChars="200"/>
        <w:jc w:val="left"/>
        <w:outlineLvl w:val="0"/>
        <w:rPr>
          <w:rFonts w:ascii="新宋体" w:hAnsi="新宋体" w:eastAsia="新宋体"/>
          <w:color w:val="0C0C0C"/>
          <w:sz w:val="22"/>
          <w:szCs w:val="22"/>
          <w:highlight w:val="none"/>
        </w:rPr>
      </w:pPr>
      <w:r>
        <w:rPr>
          <w:rFonts w:ascii="Arial" w:hAnsi="Arial" w:cs="Arial"/>
          <w:color w:val="0C0C0C"/>
          <w:sz w:val="24"/>
          <w:highlight w:val="none"/>
        </w:rPr>
        <w:t>经研究，我们决定</w:t>
      </w:r>
      <w:r>
        <w:rPr>
          <w:rFonts w:ascii="Arial" w:hAnsi="Arial" w:eastAsia="宋体" w:cs="Arial"/>
          <w:color w:val="0C0C0C"/>
          <w:sz w:val="24"/>
          <w:szCs w:val="28"/>
          <w:highlight w:val="none"/>
        </w:rPr>
        <w:t>参加</w:t>
      </w:r>
      <w:r>
        <w:rPr>
          <w:rFonts w:hint="eastAsia" w:ascii="Arial" w:hAnsi="Arial" w:eastAsia="宋体" w:cs="Arial"/>
          <w:color w:val="0C0C0C"/>
          <w:sz w:val="24"/>
          <w:szCs w:val="28"/>
          <w:highlight w:val="none"/>
        </w:rPr>
        <w:t>你单位的</w:t>
      </w:r>
      <w:r>
        <w:rPr>
          <w:rFonts w:hint="eastAsia" w:ascii="Arial" w:hAnsi="Arial" w:eastAsia="宋体" w:cs="Arial"/>
          <w:color w:val="0C0C0C"/>
          <w:sz w:val="24"/>
          <w:szCs w:val="28"/>
          <w:highlight w:val="none"/>
          <w:u w:val="single"/>
          <w:lang w:eastAsia="zh-CN"/>
        </w:rPr>
        <w:t>台州湾新区初昕街（鲍浦大道-滨富东路）、启泰街（鲍浦大道-滨富东路）道路工程（普通硅酸盐水泥）</w:t>
      </w:r>
      <w:r>
        <w:rPr>
          <w:rFonts w:ascii="Arial" w:hAnsi="Arial" w:cs="Arial"/>
          <w:color w:val="0C0C0C"/>
          <w:sz w:val="24"/>
          <w:highlight w:val="none"/>
        </w:rPr>
        <w:t>的</w:t>
      </w:r>
      <w:r>
        <w:rPr>
          <w:rFonts w:hint="eastAsia" w:ascii="Arial" w:hAnsi="Arial" w:cs="Arial"/>
          <w:color w:val="0C0C0C"/>
          <w:sz w:val="24"/>
          <w:szCs w:val="28"/>
          <w:highlight w:val="none"/>
        </w:rPr>
        <w:t>招标</w:t>
      </w:r>
      <w:r>
        <w:rPr>
          <w:rFonts w:ascii="Arial" w:hAnsi="Arial" w:cs="Arial"/>
          <w:color w:val="0C0C0C"/>
          <w:sz w:val="24"/>
          <w:szCs w:val="28"/>
          <w:highlight w:val="none"/>
        </w:rPr>
        <w:t>采购活动并提交</w:t>
      </w:r>
      <w:r>
        <w:rPr>
          <w:rFonts w:hint="eastAsia" w:ascii="Arial" w:hAnsi="Arial" w:cs="Arial"/>
          <w:color w:val="0C0C0C"/>
          <w:sz w:val="24"/>
          <w:szCs w:val="28"/>
          <w:highlight w:val="none"/>
        </w:rPr>
        <w:t>投标</w:t>
      </w:r>
      <w:r>
        <w:rPr>
          <w:rFonts w:ascii="Arial" w:hAnsi="Arial" w:cs="Arial"/>
          <w:color w:val="0C0C0C"/>
          <w:sz w:val="24"/>
          <w:szCs w:val="28"/>
          <w:highlight w:val="none"/>
        </w:rPr>
        <w:t>文件。为此，我方郑重声明以下诸点，并负法律责任。</w:t>
      </w:r>
    </w:p>
    <w:p>
      <w:pPr>
        <w:pStyle w:val="21"/>
        <w:adjustRightInd w:val="0"/>
        <w:snapToGrid w:val="0"/>
        <w:spacing w:line="240" w:lineRule="auto"/>
        <w:rPr>
          <w:rFonts w:ascii="Arial" w:hAnsi="Arial" w:cs="Arial"/>
          <w:color w:val="0C0C0C"/>
          <w:spacing w:val="0"/>
          <w:sz w:val="24"/>
          <w:szCs w:val="24"/>
          <w:highlight w:val="none"/>
        </w:rPr>
      </w:pPr>
      <w:r>
        <w:rPr>
          <w:rFonts w:ascii="Arial" w:hAnsi="Arial" w:cs="Arial"/>
          <w:color w:val="0C0C0C"/>
          <w:spacing w:val="0"/>
          <w:sz w:val="24"/>
          <w:szCs w:val="24"/>
          <w:highlight w:val="none"/>
        </w:rPr>
        <w:t>1、如果我们的招标文件被接受，我们将履行招标文件中规定的每一项要求，并按我们投标文件中的承诺按期、按质、按量提供服务。</w:t>
      </w:r>
    </w:p>
    <w:p>
      <w:pPr>
        <w:pStyle w:val="21"/>
        <w:adjustRightInd w:val="0"/>
        <w:snapToGrid w:val="0"/>
        <w:spacing w:line="240" w:lineRule="auto"/>
        <w:ind w:firstLine="309" w:firstLineChars="129"/>
        <w:rPr>
          <w:rFonts w:ascii="Arial" w:hAnsi="Arial" w:cs="Arial"/>
          <w:color w:val="0C0C0C"/>
          <w:spacing w:val="0"/>
          <w:sz w:val="24"/>
          <w:szCs w:val="24"/>
          <w:highlight w:val="none"/>
        </w:rPr>
      </w:pPr>
      <w:r>
        <w:rPr>
          <w:rFonts w:ascii="Arial" w:hAnsi="Arial" w:cs="Arial"/>
          <w:color w:val="0C0C0C"/>
          <w:spacing w:val="0"/>
          <w:sz w:val="24"/>
          <w:szCs w:val="24"/>
          <w:highlight w:val="none"/>
        </w:rPr>
        <w:t>2、我们同意按采购文件规定遵守采购人有关采购的各项规定。</w:t>
      </w:r>
    </w:p>
    <w:p>
      <w:pPr>
        <w:pStyle w:val="21"/>
        <w:adjustRightInd w:val="0"/>
        <w:snapToGrid w:val="0"/>
        <w:spacing w:line="240" w:lineRule="auto"/>
        <w:ind w:firstLine="300" w:firstLineChars="125"/>
        <w:rPr>
          <w:rFonts w:ascii="Arial" w:hAnsi="Arial" w:cs="Arial"/>
          <w:color w:val="0C0C0C"/>
          <w:sz w:val="24"/>
          <w:szCs w:val="24"/>
          <w:highlight w:val="none"/>
        </w:rPr>
      </w:pPr>
      <w:r>
        <w:rPr>
          <w:rFonts w:ascii="Arial" w:hAnsi="Arial" w:cs="Arial"/>
          <w:color w:val="0C0C0C"/>
          <w:spacing w:val="0"/>
          <w:sz w:val="24"/>
          <w:szCs w:val="24"/>
          <w:highlight w:val="none"/>
        </w:rPr>
        <w:t>3、</w:t>
      </w:r>
      <w:r>
        <w:rPr>
          <w:rFonts w:ascii="Arial" w:hAnsi="Arial" w:cs="Arial"/>
          <w:color w:val="0C0C0C"/>
          <w:sz w:val="24"/>
          <w:szCs w:val="24"/>
          <w:highlight w:val="none"/>
        </w:rPr>
        <w:t>我方同意提供按照贵方可能要求的与投标有关的一切数据或资料，</w:t>
      </w:r>
      <w:r>
        <w:rPr>
          <w:rFonts w:ascii="Arial" w:hAnsi="Arial" w:cs="Arial"/>
          <w:color w:val="0C0C0C"/>
          <w:spacing w:val="0"/>
          <w:sz w:val="24"/>
          <w:szCs w:val="24"/>
          <w:highlight w:val="none"/>
        </w:rPr>
        <w:t>我方若未成为成交投标人，采购人有权不做任何解释。</w:t>
      </w:r>
    </w:p>
    <w:p>
      <w:pPr>
        <w:ind w:firstLine="360" w:firstLineChars="150"/>
        <w:rPr>
          <w:rFonts w:hint="eastAsia" w:ascii="宋体" w:hAnsi="宋体"/>
          <w:color w:val="0C0C0C"/>
          <w:sz w:val="24"/>
          <w:highlight w:val="none"/>
        </w:rPr>
      </w:pPr>
      <w:r>
        <w:rPr>
          <w:rFonts w:hint="eastAsia" w:ascii="Arial" w:hAnsi="Arial" w:cs="Arial"/>
          <w:color w:val="0C0C0C"/>
          <w:sz w:val="24"/>
          <w:highlight w:val="none"/>
        </w:rPr>
        <w:t>4、我方如果中标，将保证履行招标文件以及招标文件修改书（如有）中的全部责任和义务，按质、按量、按期完成《合同书》中的全部任务。</w:t>
      </w:r>
    </w:p>
    <w:tbl>
      <w:tblPr>
        <w:tblStyle w:val="46"/>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3275" w:type="dxa"/>
            <w:noWrap w:val="0"/>
            <w:vAlign w:val="center"/>
          </w:tcPr>
          <w:p>
            <w:pPr>
              <w:spacing w:line="360" w:lineRule="auto"/>
              <w:outlineLvl w:val="0"/>
              <w:rPr>
                <w:rFonts w:hint="eastAsia" w:ascii="宋体" w:hAnsi="宋体"/>
                <w:color w:val="0C0C0C"/>
                <w:sz w:val="24"/>
                <w:szCs w:val="21"/>
                <w:highlight w:val="none"/>
              </w:rPr>
            </w:pPr>
            <w:r>
              <w:rPr>
                <w:rFonts w:hint="eastAsia" w:ascii="宋体" w:hAnsi="宋体"/>
                <w:color w:val="0C0C0C"/>
                <w:sz w:val="24"/>
                <w:szCs w:val="21"/>
                <w:highlight w:val="none"/>
              </w:rPr>
              <w:t>1、投标总报价</w:t>
            </w:r>
          </w:p>
        </w:tc>
        <w:tc>
          <w:tcPr>
            <w:tcW w:w="6338" w:type="dxa"/>
            <w:noWrap w:val="0"/>
            <w:vAlign w:val="center"/>
          </w:tcPr>
          <w:p>
            <w:pPr>
              <w:wordWrap w:val="0"/>
              <w:spacing w:line="360" w:lineRule="auto"/>
              <w:ind w:right="420" w:firstLine="420" w:firstLineChars="200"/>
              <w:outlineLvl w:val="0"/>
              <w:rPr>
                <w:rFonts w:hint="eastAsia" w:ascii="宋体" w:hAnsi="宋体"/>
                <w:bCs/>
                <w:color w:val="0C0C0C"/>
                <w:sz w:val="21"/>
                <w:szCs w:val="21"/>
                <w:highlight w:val="none"/>
              </w:rPr>
            </w:pPr>
            <w:r>
              <w:rPr>
                <w:rFonts w:hint="eastAsia" w:ascii="宋体" w:hAnsi="宋体"/>
                <w:bCs/>
                <w:color w:val="0C0C0C"/>
                <w:sz w:val="21"/>
                <w:szCs w:val="21"/>
                <w:highlight w:val="none"/>
              </w:rPr>
              <w:t>大写：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 xml:space="preserve"> 元；小写：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2、交货期</w:t>
            </w:r>
          </w:p>
        </w:tc>
        <w:tc>
          <w:tcPr>
            <w:tcW w:w="6338" w:type="dxa"/>
            <w:noWrap w:val="0"/>
            <w:vAlign w:val="center"/>
          </w:tcPr>
          <w:p>
            <w:pPr>
              <w:spacing w:line="360" w:lineRule="auto"/>
              <w:jc w:val="center"/>
              <w:outlineLvl w:val="0"/>
              <w:rPr>
                <w:rFonts w:ascii="宋体" w:hAnsi="宋体"/>
                <w:color w:val="0C0C0C"/>
                <w:sz w:val="24"/>
                <w:szCs w:val="21"/>
                <w:highlight w:val="none"/>
              </w:rPr>
            </w:pPr>
            <w:r>
              <w:rPr>
                <w:rFonts w:hint="eastAsia" w:ascii="宋体" w:hAnsi="宋体"/>
                <w:color w:val="0C0C0C"/>
                <w:sz w:val="24"/>
                <w:szCs w:val="21"/>
                <w:highlight w:val="none"/>
              </w:rPr>
              <w:t>自收到中标通知书后</w:t>
            </w:r>
            <w:r>
              <w:rPr>
                <w:rFonts w:hint="eastAsia" w:ascii="宋体" w:hAnsi="宋体"/>
                <w:color w:val="0C0C0C"/>
                <w:sz w:val="24"/>
                <w:szCs w:val="21"/>
                <w:highlight w:val="none"/>
                <w:lang w:val="en-US" w:eastAsia="zh-CN"/>
              </w:rPr>
              <w:t>15</w:t>
            </w:r>
            <w:r>
              <w:rPr>
                <w:rFonts w:hint="eastAsia" w:ascii="宋体" w:hAnsi="宋体"/>
                <w:color w:val="0C0C0C"/>
                <w:sz w:val="24"/>
                <w:szCs w:val="21"/>
                <w:highlight w:val="none"/>
              </w:rPr>
              <w:t>个工作日内完成供货；如因项目需要分批次供货的，则每批次货物自接到买方通知后3个工作日内完成供货。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3、质量等级</w:t>
            </w:r>
          </w:p>
        </w:tc>
        <w:tc>
          <w:tcPr>
            <w:tcW w:w="6338" w:type="dxa"/>
            <w:noWrap w:val="0"/>
            <w:vAlign w:val="center"/>
          </w:tcPr>
          <w:p>
            <w:pPr>
              <w:spacing w:line="360" w:lineRule="auto"/>
              <w:jc w:val="center"/>
              <w:outlineLvl w:val="0"/>
              <w:rPr>
                <w:rFonts w:hint="eastAsia" w:ascii="宋体" w:hAnsi="宋体"/>
                <w:color w:val="0C0C0C"/>
                <w:sz w:val="24"/>
                <w:szCs w:val="21"/>
                <w:highlight w:val="none"/>
              </w:rPr>
            </w:pPr>
            <w:r>
              <w:rPr>
                <w:rFonts w:hint="eastAsia" w:ascii="宋体" w:hAnsi="宋体"/>
                <w:color w:val="0C0C0C"/>
                <w:sz w:val="24"/>
                <w:szCs w:val="21"/>
                <w:highlight w:val="none"/>
              </w:rPr>
              <w:t>符合要求</w:t>
            </w:r>
          </w:p>
        </w:tc>
      </w:tr>
    </w:tbl>
    <w:p>
      <w:pPr>
        <w:spacing w:line="320" w:lineRule="exact"/>
        <w:rPr>
          <w:rFonts w:hint="eastAsia" w:ascii="宋体" w:hAnsi="宋体"/>
          <w:color w:val="0C0C0C"/>
          <w:sz w:val="24"/>
          <w:highlight w:val="none"/>
        </w:rPr>
      </w:pPr>
    </w:p>
    <w:p>
      <w:pPr>
        <w:spacing w:line="320" w:lineRule="exact"/>
        <w:ind w:left="420"/>
        <w:rPr>
          <w:rFonts w:hint="eastAsia" w:ascii="宋体" w:hAnsi="宋体"/>
          <w:color w:val="0C0C0C"/>
          <w:sz w:val="24"/>
          <w:highlight w:val="none"/>
        </w:rPr>
      </w:pPr>
      <w:r>
        <w:rPr>
          <w:rFonts w:hint="eastAsia" w:ascii="宋体" w:hAnsi="宋体"/>
          <w:color w:val="0C0C0C"/>
          <w:sz w:val="24"/>
          <w:highlight w:val="none"/>
        </w:rPr>
        <w:t xml:space="preserve">投标人（盖章）：     </w:t>
      </w:r>
    </w:p>
    <w:p>
      <w:pPr>
        <w:spacing w:line="320" w:lineRule="exact"/>
        <w:ind w:left="420"/>
        <w:rPr>
          <w:rFonts w:hint="eastAsia" w:ascii="宋体" w:hAnsi="宋体"/>
          <w:color w:val="0C0C0C"/>
          <w:sz w:val="24"/>
          <w:highlight w:val="none"/>
        </w:rPr>
      </w:pPr>
    </w:p>
    <w:p>
      <w:pPr>
        <w:numPr>
          <w:ilvl w:val="0"/>
          <w:numId w:val="0"/>
        </w:numPr>
        <w:spacing w:line="320" w:lineRule="exact"/>
        <w:ind w:leftChars="0"/>
        <w:rPr>
          <w:rFonts w:hint="eastAsia" w:ascii="宋体" w:hAnsi="宋体"/>
          <w:color w:val="0C0C0C"/>
          <w:sz w:val="24"/>
          <w:highlight w:val="none"/>
        </w:rPr>
      </w:pPr>
      <w:r>
        <w:rPr>
          <w:rFonts w:hint="eastAsia" w:ascii="宋体" w:hAnsi="宋体"/>
          <w:color w:val="0C0C0C"/>
          <w:sz w:val="24"/>
          <w:highlight w:val="none"/>
        </w:rPr>
        <w:t xml:space="preserve"> 法定代表人（签字或盖章）：                         日期：    </w:t>
      </w:r>
    </w:p>
    <w:p>
      <w:pPr>
        <w:numPr>
          <w:ilvl w:val="0"/>
          <w:numId w:val="0"/>
        </w:numPr>
        <w:spacing w:line="320" w:lineRule="exact"/>
        <w:ind w:leftChars="0"/>
        <w:rPr>
          <w:rFonts w:hint="eastAsia" w:ascii="宋体" w:hAnsi="宋体"/>
          <w:color w:val="0C0C0C"/>
          <w:sz w:val="24"/>
          <w:highlight w:val="none"/>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sectPr>
          <w:footerReference r:id="rId13" w:type="default"/>
          <w:pgSz w:w="11906" w:h="16838"/>
          <w:pgMar w:top="1440" w:right="1188" w:bottom="1440" w:left="1797" w:header="851" w:footer="992" w:gutter="0"/>
          <w:pgNumType w:fmt="numberInDash"/>
          <w:cols w:space="720" w:num="1"/>
          <w:docGrid w:type="lines" w:linePitch="312" w:charSpace="0"/>
        </w:sectPr>
      </w:pPr>
    </w:p>
    <w:p>
      <w:pPr>
        <w:snapToGrid w:val="0"/>
        <w:ind w:right="140"/>
        <w:rPr>
          <w:rFonts w:hint="eastAsia" w:ascii="宋体" w:hAnsi="宋体" w:cs="宋体"/>
          <w:b/>
          <w:color w:val="0D0D0D"/>
          <w:sz w:val="24"/>
        </w:rPr>
      </w:pPr>
      <w:r>
        <w:rPr>
          <w:rFonts w:hint="eastAsia" w:ascii="宋体" w:hAnsi="宋体" w:cs="宋体"/>
          <w:color w:val="0D0D0D"/>
          <w:sz w:val="24"/>
          <w:lang w:val="en-US" w:eastAsia="zh-CN"/>
        </w:rPr>
        <w:t>3</w:t>
      </w:r>
      <w:r>
        <w:rPr>
          <w:rFonts w:hint="eastAsia" w:ascii="宋体" w:hAnsi="宋体" w:cs="宋体"/>
          <w:color w:val="0D0D0D"/>
          <w:sz w:val="24"/>
        </w:rPr>
        <w:t>、</w:t>
      </w:r>
      <w:r>
        <w:rPr>
          <w:rFonts w:hint="eastAsia" w:ascii="宋体" w:hAnsi="宋体"/>
          <w:color w:val="auto"/>
          <w:sz w:val="21"/>
          <w:szCs w:val="21"/>
          <w:highlight w:val="none"/>
          <w:lang w:val="en-US" w:eastAsia="zh-CN"/>
        </w:rPr>
        <w:t>投标报价清单</w:t>
      </w:r>
    </w:p>
    <w:p>
      <w:pPr>
        <w:jc w:val="center"/>
        <w:outlineLvl w:val="0"/>
        <w:rPr>
          <w:rFonts w:hint="eastAsia" w:ascii="宋体" w:hAnsi="宋体" w:eastAsia="宋体" w:cs="宋体"/>
          <w:b/>
          <w:color w:val="0D0D0D"/>
          <w:sz w:val="28"/>
          <w:szCs w:val="28"/>
          <w:lang w:eastAsia="zh-CN"/>
        </w:rPr>
      </w:pPr>
      <w:r>
        <w:rPr>
          <w:rFonts w:hint="eastAsia" w:ascii="宋体" w:hAnsi="宋体" w:cs="宋体"/>
          <w:b/>
          <w:color w:val="0D0D0D"/>
          <w:sz w:val="28"/>
          <w:szCs w:val="28"/>
          <w:lang w:eastAsia="zh-CN"/>
        </w:rPr>
        <w:t>台州湾新区初昕街（鲍浦大道-滨富东路）、启泰街（鲍浦大道-滨富东路）道路工程（普通硅酸盐水泥）</w:t>
      </w:r>
    </w:p>
    <w:p>
      <w:pPr>
        <w:pStyle w:val="39"/>
        <w:ind w:left="0" w:leftChars="0"/>
        <w:jc w:val="center"/>
        <w:rPr>
          <w:rFonts w:hint="eastAsia" w:ascii="宋体" w:hAnsi="宋体" w:eastAsia="宋体" w:cs="宋体"/>
          <w:b/>
          <w:color w:val="0D0D0D"/>
          <w:kern w:val="2"/>
          <w:sz w:val="28"/>
          <w:szCs w:val="28"/>
          <w:lang w:val="en-US" w:eastAsia="zh-CN" w:bidi="ar-SA"/>
        </w:rPr>
      </w:pPr>
      <w:r>
        <w:rPr>
          <w:rFonts w:hint="eastAsia" w:ascii="宋体" w:hAnsi="宋体" w:eastAsia="宋体" w:cs="宋体"/>
          <w:b/>
          <w:color w:val="0D0D0D"/>
          <w:kern w:val="2"/>
          <w:sz w:val="28"/>
          <w:szCs w:val="28"/>
          <w:lang w:val="en-US" w:eastAsia="zh-CN" w:bidi="ar-SA"/>
        </w:rPr>
        <w:t>投标报价清单</w:t>
      </w:r>
    </w:p>
    <w:p>
      <w:pPr>
        <w:pStyle w:val="39"/>
        <w:ind w:left="0" w:leftChars="0"/>
        <w:rPr>
          <w:rFonts w:hint="eastAsia" w:ascii="宋体" w:hAnsi="宋体" w:cs="宋体"/>
          <w:color w:val="0D0D0D"/>
          <w:sz w:val="24"/>
        </w:rPr>
      </w:pPr>
      <w:r>
        <w:rPr>
          <w:rFonts w:hint="eastAsia" w:ascii="宋体" w:hAnsi="宋体" w:cs="宋体"/>
          <w:color w:val="0D0D0D"/>
          <w:sz w:val="24"/>
        </w:rPr>
        <w:t>台州东发建设投资有限公司：</w:t>
      </w:r>
    </w:p>
    <w:p>
      <w:pPr>
        <w:rPr>
          <w:rFonts w:hint="eastAsia" w:ascii="宋体" w:hAnsi="宋体" w:cs="宋体"/>
          <w:bCs/>
          <w:color w:val="0D0D0D"/>
          <w:sz w:val="24"/>
        </w:rPr>
      </w:pPr>
      <w:r>
        <w:rPr>
          <w:rFonts w:hint="eastAsia" w:ascii="宋体" w:hAnsi="宋体" w:cs="宋体"/>
          <w:color w:val="0D0D0D"/>
          <w:sz w:val="24"/>
        </w:rPr>
        <w:t xml:space="preserve">    根据己收到的招标文件，我单位经考察现场和研究上述项目的招标文件后，在全部同意招标文件内容前提下，我方保证，按如下投标报价承包上述项目。</w:t>
      </w:r>
    </w:p>
    <w:tbl>
      <w:tblPr>
        <w:tblStyle w:val="46"/>
        <w:tblW w:w="9736" w:type="dxa"/>
        <w:tblInd w:w="-6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9"/>
        <w:gridCol w:w="904"/>
        <w:gridCol w:w="3416"/>
        <w:gridCol w:w="618"/>
        <w:gridCol w:w="852"/>
        <w:gridCol w:w="1344"/>
        <w:gridCol w:w="1153"/>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9736"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default"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台州湾新区初昕街（鲍浦大道-滨富东路）、启泰街（鲍浦大道-滨富东路）道路工程（普通硅酸盐水泥）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序号</w:t>
            </w:r>
          </w:p>
        </w:tc>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名称</w:t>
            </w:r>
          </w:p>
        </w:tc>
        <w:tc>
          <w:tcPr>
            <w:tcW w:w="34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规格</w:t>
            </w:r>
          </w:p>
        </w:tc>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单位</w:t>
            </w:r>
          </w:p>
        </w:tc>
        <w:tc>
          <w:tcPr>
            <w:tcW w:w="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数量</w:t>
            </w:r>
          </w:p>
        </w:tc>
        <w:tc>
          <w:tcPr>
            <w:tcW w:w="134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单价上限价（元/吨）</w:t>
            </w:r>
          </w:p>
        </w:tc>
        <w:tc>
          <w:tcPr>
            <w:tcW w:w="115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单价（元/吨）</w:t>
            </w:r>
          </w:p>
        </w:tc>
        <w:tc>
          <w:tcPr>
            <w:tcW w:w="96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171A1D"/>
                <w:kern w:val="0"/>
                <w:sz w:val="21"/>
                <w:szCs w:val="21"/>
                <w:u w:val="none"/>
                <w:lang w:val="en-US" w:eastAsia="zh-CN" w:bidi="ar"/>
              </w:rPr>
              <w:t>普通硅酸</w:t>
            </w:r>
            <w:r>
              <w:rPr>
                <w:rFonts w:hint="eastAsia" w:ascii="宋体" w:hAnsi="宋体" w:eastAsia="宋体" w:cs="宋体"/>
                <w:i w:val="0"/>
                <w:color w:val="171A1D"/>
                <w:kern w:val="0"/>
                <w:sz w:val="21"/>
                <w:szCs w:val="21"/>
                <w:u w:val="none"/>
                <w:lang w:val="en-US" w:eastAsia="zh-CN" w:bidi="ar"/>
              </w:rPr>
              <w:br w:type="textWrapping"/>
            </w:r>
            <w:r>
              <w:rPr>
                <w:rFonts w:hint="eastAsia" w:ascii="宋体" w:hAnsi="宋体" w:eastAsia="宋体" w:cs="宋体"/>
                <w:i w:val="0"/>
                <w:color w:val="171A1D"/>
                <w:kern w:val="0"/>
                <w:sz w:val="21"/>
                <w:szCs w:val="21"/>
                <w:u w:val="none"/>
                <w:lang w:val="en-US" w:eastAsia="zh-CN" w:bidi="ar"/>
              </w:rPr>
              <w:t>盐水泥</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PO 42.5袋装</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吨</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1344"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470</w:t>
            </w:r>
          </w:p>
        </w:tc>
        <w:tc>
          <w:tcPr>
            <w:tcW w:w="1153"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p>
        </w:tc>
        <w:tc>
          <w:tcPr>
            <w:tcW w:w="960"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71A1D"/>
                <w:kern w:val="0"/>
                <w:sz w:val="21"/>
                <w:szCs w:val="21"/>
                <w:u w:val="none"/>
                <w:lang w:val="en-US" w:eastAsia="zh-CN" w:bidi="ar"/>
              </w:rPr>
            </w:pPr>
            <w:r>
              <w:rPr>
                <w:rFonts w:hint="eastAsia" w:ascii="宋体" w:hAnsi="宋体" w:eastAsia="宋体" w:cs="宋体"/>
                <w:i w:val="0"/>
                <w:color w:val="171A1D"/>
                <w:kern w:val="0"/>
                <w:sz w:val="21"/>
                <w:szCs w:val="21"/>
                <w:u w:val="none"/>
                <w:lang w:val="en-US" w:eastAsia="zh-CN" w:bidi="ar"/>
              </w:rPr>
              <w:t>普通硅酸</w:t>
            </w:r>
            <w:r>
              <w:rPr>
                <w:rFonts w:hint="eastAsia" w:ascii="宋体" w:hAnsi="宋体" w:eastAsia="宋体" w:cs="宋体"/>
                <w:i w:val="0"/>
                <w:color w:val="171A1D"/>
                <w:kern w:val="0"/>
                <w:sz w:val="21"/>
                <w:szCs w:val="21"/>
                <w:u w:val="none"/>
                <w:lang w:val="en-US" w:eastAsia="zh-CN" w:bidi="ar"/>
              </w:rPr>
              <w:br w:type="textWrapping"/>
            </w:r>
            <w:r>
              <w:rPr>
                <w:rFonts w:hint="eastAsia" w:ascii="宋体" w:hAnsi="宋体" w:eastAsia="宋体" w:cs="宋体"/>
                <w:i w:val="0"/>
                <w:color w:val="171A1D"/>
                <w:kern w:val="0"/>
                <w:sz w:val="21"/>
                <w:szCs w:val="21"/>
                <w:u w:val="none"/>
                <w:lang w:val="en-US" w:eastAsia="zh-CN" w:bidi="ar"/>
              </w:rPr>
              <w:t>盐水泥</w:t>
            </w:r>
          </w:p>
        </w:tc>
        <w:tc>
          <w:tcPr>
            <w:tcW w:w="34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PO 42.5散装</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吨</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w:t>
            </w:r>
          </w:p>
        </w:tc>
        <w:tc>
          <w:tcPr>
            <w:tcW w:w="1344"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w:t>
            </w:r>
          </w:p>
        </w:tc>
        <w:tc>
          <w:tcPr>
            <w:tcW w:w="1153"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p>
        </w:tc>
        <w:tc>
          <w:tcPr>
            <w:tcW w:w="960"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9736"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snapToGrid w:val="0"/>
              <w:spacing w:before="120" w:beforeLines="0" w:after="120" w:afterLines="0" w:line="240" w:lineRule="auto"/>
              <w:jc w:val="both"/>
              <w:outlineLvl w:val="0"/>
              <w:rPr>
                <w:rFonts w:hint="eastAsia" w:hAnsi="宋体" w:eastAsia="宋体" w:cs="Times New Roman"/>
                <w:color w:val="0D0D0D"/>
                <w:sz w:val="21"/>
                <w:szCs w:val="21"/>
                <w:lang w:val="en-US" w:eastAsia="zh-CN"/>
              </w:rPr>
            </w:pPr>
            <w:r>
              <w:rPr>
                <w:rFonts w:hint="eastAsia" w:ascii="宋体" w:hAnsi="宋体" w:eastAsia="宋体" w:cs="宋体"/>
                <w:i w:val="0"/>
                <w:color w:val="000000"/>
                <w:kern w:val="0"/>
                <w:sz w:val="22"/>
                <w:szCs w:val="22"/>
                <w:u w:val="single"/>
                <w:lang w:val="en-US" w:eastAsia="zh-CN" w:bidi="ar"/>
              </w:rPr>
              <w:t>总价=              元（结转至附件</w:t>
            </w:r>
            <w:r>
              <w:rPr>
                <w:rFonts w:hint="eastAsia" w:hAnsi="宋体" w:eastAsia="宋体" w:cs="宋体"/>
                <w:i w:val="0"/>
                <w:color w:val="000000"/>
                <w:kern w:val="0"/>
                <w:sz w:val="22"/>
                <w:szCs w:val="22"/>
                <w:u w:val="single"/>
                <w:lang w:val="en-US" w:eastAsia="zh-CN" w:bidi="ar"/>
              </w:rPr>
              <w:t>2</w:t>
            </w:r>
            <w:r>
              <w:rPr>
                <w:rFonts w:hint="eastAsia" w:ascii="宋体" w:hAnsi="宋体" w:eastAsia="宋体" w:cs="宋体"/>
                <w:i w:val="0"/>
                <w:color w:val="000000"/>
                <w:kern w:val="0"/>
                <w:sz w:val="22"/>
                <w:szCs w:val="22"/>
                <w:u w:val="single"/>
                <w:lang w:val="en-US" w:eastAsia="zh-CN" w:bidi="ar"/>
              </w:rPr>
              <w:t>开标一览表）</w:t>
            </w:r>
          </w:p>
        </w:tc>
      </w:tr>
    </w:tbl>
    <w:p>
      <w:pPr>
        <w:pStyle w:val="39"/>
        <w:ind w:left="0" w:leftChars="0" w:firstLine="0" w:firstLineChars="0"/>
        <w:jc w:val="left"/>
        <w:rPr>
          <w:rFonts w:hint="eastAsia" w:ascii="宋体" w:hAnsi="宋体" w:cs="宋体"/>
          <w:bCs/>
          <w:color w:val="0C0C0C"/>
          <w:sz w:val="21"/>
          <w:szCs w:val="21"/>
          <w:highlight w:val="none"/>
          <w:lang w:eastAsia="zh-CN"/>
        </w:rPr>
      </w:pPr>
      <w:r>
        <w:rPr>
          <w:rFonts w:hint="eastAsia" w:ascii="宋体" w:hAnsi="宋体" w:eastAsia="宋体" w:cs="宋体"/>
          <w:b/>
          <w:color w:val="0C0C0C"/>
          <w:sz w:val="21"/>
          <w:szCs w:val="13"/>
          <w:highlight w:val="none"/>
        </w:rPr>
        <w:t>注：1</w:t>
      </w:r>
      <w:r>
        <w:rPr>
          <w:rFonts w:hint="eastAsia" w:ascii="宋体" w:hAnsi="宋体" w:cs="宋体"/>
          <w:b/>
          <w:color w:val="0C0C0C"/>
          <w:sz w:val="21"/>
          <w:szCs w:val="13"/>
          <w:highlight w:val="none"/>
        </w:rPr>
        <w:t>、投标人须按上表格式统一填报的投标报价结算（</w:t>
      </w:r>
      <w:r>
        <w:rPr>
          <w:rFonts w:hint="eastAsia" w:ascii="宋体" w:hAnsi="宋体" w:cs="宋体"/>
          <w:b/>
          <w:color w:val="0C0C0C"/>
          <w:sz w:val="21"/>
          <w:szCs w:val="13"/>
          <w:highlight w:val="none"/>
          <w:lang w:val="en-US" w:eastAsia="zh-CN"/>
        </w:rPr>
        <w:t>建议</w:t>
      </w:r>
      <w:r>
        <w:rPr>
          <w:rFonts w:hint="eastAsia" w:ascii="宋体" w:hAnsi="宋体" w:cs="宋体"/>
          <w:b/>
          <w:color w:val="0C0C0C"/>
          <w:sz w:val="21"/>
          <w:szCs w:val="13"/>
          <w:highlight w:val="none"/>
        </w:rPr>
        <w:t>投标报价保留整数）。</w:t>
      </w:r>
      <w:r>
        <w:rPr>
          <w:rFonts w:hint="eastAsia" w:ascii="宋体" w:hAnsi="宋体" w:cs="宋体"/>
          <w:b/>
          <w:bCs/>
          <w:color w:val="0C0C0C"/>
          <w:sz w:val="21"/>
          <w:szCs w:val="21"/>
          <w:highlight w:val="none"/>
        </w:rPr>
        <w:t>投标人应充分考虑项目实际材料运输工作量的不确定因素，投标报价时结合实际情况及自身的综合实力填报投标报价。货物的供货、包装、运输（货物运到采购人指定的施工现场，</w:t>
      </w:r>
      <w:r>
        <w:rPr>
          <w:rFonts w:hint="eastAsia" w:ascii="宋体" w:hAnsi="宋体" w:cs="宋体"/>
          <w:b/>
          <w:bCs/>
          <w:color w:val="0C0C0C"/>
          <w:sz w:val="21"/>
          <w:szCs w:val="21"/>
          <w:highlight w:val="none"/>
          <w:lang w:val="en-US" w:eastAsia="zh-CN"/>
        </w:rPr>
        <w:t>需提供水泥散装罐，供货结束后由供应商自行运回，</w:t>
      </w:r>
      <w:r>
        <w:rPr>
          <w:rFonts w:hint="eastAsia" w:ascii="宋体" w:hAnsi="宋体" w:cs="宋体"/>
          <w:b/>
          <w:bCs/>
          <w:color w:val="0C0C0C"/>
          <w:sz w:val="21"/>
          <w:szCs w:val="21"/>
          <w:highlight w:val="none"/>
        </w:rPr>
        <w:t>如因项目需要发生分批次采购的，相关运费由投标人承担）、保险、</w:t>
      </w:r>
      <w:r>
        <w:rPr>
          <w:rFonts w:hint="eastAsia" w:ascii="宋体" w:hAnsi="宋体" w:cs="宋体"/>
          <w:b/>
          <w:bCs/>
          <w:color w:val="0C0C0C"/>
          <w:sz w:val="21"/>
          <w:szCs w:val="21"/>
          <w:highlight w:val="none"/>
          <w:lang w:eastAsia="zh-CN"/>
        </w:rPr>
        <w:t>装卸</w:t>
      </w:r>
      <w:r>
        <w:rPr>
          <w:rFonts w:hint="eastAsia" w:ascii="宋体" w:hAnsi="宋体" w:cs="宋体"/>
          <w:b/>
          <w:bCs/>
          <w:color w:val="0C0C0C"/>
          <w:sz w:val="21"/>
          <w:szCs w:val="21"/>
          <w:highlight w:val="none"/>
        </w:rPr>
        <w:t>、损耗、材料、风险、利润</w:t>
      </w:r>
      <w:r>
        <w:rPr>
          <w:rFonts w:hint="eastAsia" w:ascii="宋体" w:hAnsi="宋体" w:cs="宋体"/>
          <w:b/>
          <w:bCs/>
          <w:color w:val="0C0C0C"/>
          <w:sz w:val="21"/>
          <w:szCs w:val="21"/>
          <w:highlight w:val="none"/>
          <w:lang w:val="en-US" w:eastAsia="zh-CN"/>
        </w:rPr>
        <w:t>和税金</w:t>
      </w:r>
      <w:r>
        <w:rPr>
          <w:rFonts w:hint="eastAsia" w:ascii="宋体" w:hAnsi="宋体" w:cs="宋体"/>
          <w:b/>
          <w:bCs/>
          <w:color w:val="0C0C0C"/>
          <w:sz w:val="21"/>
          <w:szCs w:val="21"/>
          <w:highlight w:val="none"/>
        </w:rPr>
        <w:t>等一切费用，</w:t>
      </w:r>
      <w:r>
        <w:rPr>
          <w:rFonts w:hint="eastAsia" w:ascii="宋体" w:hAnsi="宋体" w:cs="宋体"/>
          <w:bCs/>
          <w:color w:val="0C0C0C"/>
          <w:sz w:val="21"/>
          <w:szCs w:val="21"/>
          <w:highlight w:val="none"/>
        </w:rPr>
        <w:t>如有漏项，视同已包含在其总项目中。</w:t>
      </w:r>
      <w:r>
        <w:rPr>
          <w:rFonts w:hint="eastAsia" w:ascii="宋体" w:hAnsi="宋体" w:cs="宋体"/>
          <w:bCs/>
          <w:color w:val="0C0C0C"/>
          <w:sz w:val="21"/>
          <w:szCs w:val="21"/>
          <w:highlight w:val="none"/>
          <w:lang w:eastAsia="zh-CN"/>
        </w:rPr>
        <w:t>采购人可根据实际情况调整采购数量，各投标人应根据本项目实际情况和自身的综合实力，竞报投标报价。</w:t>
      </w:r>
    </w:p>
    <w:p>
      <w:pPr>
        <w:pStyle w:val="39"/>
        <w:numPr>
          <w:ilvl w:val="0"/>
          <w:numId w:val="0"/>
        </w:numPr>
        <w:jc w:val="left"/>
        <w:rPr>
          <w:rFonts w:hint="eastAsia" w:ascii="宋体" w:hAnsi="宋体" w:cs="宋体"/>
          <w:color w:val="0C0C0C"/>
          <w:sz w:val="21"/>
          <w:szCs w:val="13"/>
          <w:highlight w:val="red"/>
        </w:rPr>
      </w:pPr>
      <w:r>
        <w:rPr>
          <w:rFonts w:hint="eastAsia" w:ascii="宋体" w:hAnsi="宋体" w:cs="宋体"/>
          <w:color w:val="0C0C0C"/>
          <w:sz w:val="21"/>
          <w:szCs w:val="13"/>
          <w:highlight w:val="none"/>
          <w:lang w:val="en-US" w:eastAsia="zh-CN"/>
        </w:rPr>
        <w:t>2、</w:t>
      </w:r>
      <w:r>
        <w:rPr>
          <w:rFonts w:hint="eastAsia" w:ascii="宋体" w:hAnsi="宋体" w:cs="宋体"/>
          <w:color w:val="0C0C0C"/>
          <w:sz w:val="21"/>
          <w:szCs w:val="13"/>
          <w:highlight w:val="none"/>
        </w:rPr>
        <w:t>交货工期：</w:t>
      </w:r>
      <w:r>
        <w:rPr>
          <w:rFonts w:hint="eastAsia" w:ascii="宋体" w:hAnsi="宋体"/>
          <w:color w:val="0D0D0D"/>
          <w:sz w:val="21"/>
          <w:highlight w:val="none"/>
          <w:lang w:eastAsia="zh-CN"/>
        </w:rPr>
        <w:t>自收</w:t>
      </w:r>
      <w:r>
        <w:rPr>
          <w:rFonts w:hint="eastAsia" w:ascii="宋体" w:hAnsi="宋体"/>
          <w:color w:val="0D0D0D"/>
          <w:sz w:val="21"/>
          <w:lang w:eastAsia="zh-CN"/>
        </w:rPr>
        <w:t>到中标通知书后5个工作日内完成供货；如因项目需要分批次供货的，则每批次货物自接到买方通知后3个工作日内完成供货</w:t>
      </w:r>
      <w:r>
        <w:rPr>
          <w:rFonts w:hint="eastAsia" w:ascii="宋体" w:hAnsi="宋体"/>
          <w:color w:val="0D0D0D"/>
          <w:sz w:val="21"/>
        </w:rPr>
        <w:t xml:space="preserve">； </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3</w:t>
      </w:r>
      <w:r>
        <w:rPr>
          <w:rFonts w:hint="eastAsia" w:ascii="宋体" w:hAnsi="宋体" w:cs="宋体"/>
          <w:color w:val="0C0C0C"/>
          <w:sz w:val="21"/>
          <w:szCs w:val="13"/>
          <w:highlight w:val="none"/>
        </w:rPr>
        <w:t>、同意第二章《招标需求》所有条款内容，本项目工程量暂估，结算时按实际结算。</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4</w:t>
      </w:r>
      <w:r>
        <w:rPr>
          <w:rFonts w:hint="eastAsia" w:ascii="宋体" w:hAnsi="宋体" w:cs="宋体"/>
          <w:color w:val="0C0C0C"/>
          <w:sz w:val="21"/>
          <w:szCs w:val="13"/>
          <w:highlight w:val="none"/>
        </w:rPr>
        <w:t>、如果我方中标，我方将按照招标文件规定提交履约担保，共同地和分别地承担责任。</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5</w:t>
      </w:r>
      <w:r>
        <w:rPr>
          <w:rFonts w:hint="eastAsia" w:ascii="宋体" w:hAnsi="宋体" w:cs="宋体"/>
          <w:color w:val="0C0C0C"/>
          <w:sz w:val="21"/>
          <w:szCs w:val="13"/>
          <w:highlight w:val="none"/>
        </w:rPr>
        <w:t>、除非另外达成协议并生效，你方的中标通知书和本投标文件将构成约束我们双方的合同。</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6</w:t>
      </w:r>
      <w:r>
        <w:rPr>
          <w:rFonts w:hint="eastAsia" w:ascii="宋体" w:hAnsi="宋体" w:cs="宋体"/>
          <w:color w:val="0C0C0C"/>
          <w:sz w:val="21"/>
          <w:szCs w:val="13"/>
          <w:highlight w:val="none"/>
        </w:rPr>
        <w:t>、我方的投标担保已按招标文件的要求递交。</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7、合同期内，如市场价格有波动调整合同结算综合单价，采用以下造价信息对合同结算综合单价进行调整：</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（1）关于基准价格的约定</w:t>
      </w:r>
      <w:r>
        <w:rPr>
          <w:rFonts w:hint="eastAsia" w:ascii="宋体" w:hAnsi="宋体" w:eastAsia="宋体" w:cs="宋体"/>
          <w:color w:val="0000FF"/>
          <w:sz w:val="21"/>
          <w:szCs w:val="13"/>
          <w:highlight w:val="none"/>
          <w:lang w:val="en-US" w:eastAsia="zh-CN"/>
        </w:rPr>
        <w:t>：</w:t>
      </w:r>
      <w:r>
        <w:rPr>
          <w:rFonts w:hint="eastAsia" w:ascii="宋体" w:hAnsi="宋体" w:eastAsia="宋体" w:cs="宋体"/>
          <w:color w:val="auto"/>
          <w:sz w:val="21"/>
          <w:szCs w:val="13"/>
          <w:highlight w:val="none"/>
          <w:lang w:val="en-US" w:eastAsia="zh-CN"/>
        </w:rPr>
        <w:t>A1=2023年</w:t>
      </w:r>
      <w:r>
        <w:rPr>
          <w:rFonts w:hint="eastAsia" w:ascii="宋体" w:hAnsi="宋体" w:cs="宋体"/>
          <w:color w:val="auto"/>
          <w:sz w:val="21"/>
          <w:szCs w:val="13"/>
          <w:highlight w:val="none"/>
          <w:lang w:val="en-US" w:eastAsia="zh-CN"/>
        </w:rPr>
        <w:t>10</w:t>
      </w:r>
      <w:r>
        <w:rPr>
          <w:rFonts w:hint="eastAsia" w:ascii="宋体" w:hAnsi="宋体" w:eastAsia="宋体" w:cs="宋体"/>
          <w:color w:val="auto"/>
          <w:sz w:val="21"/>
          <w:szCs w:val="13"/>
          <w:highlight w:val="none"/>
          <w:lang w:val="en-US" w:eastAsia="zh-CN"/>
        </w:rPr>
        <w:t>月《台州造价》</w:t>
      </w:r>
      <w:r>
        <w:rPr>
          <w:rFonts w:hint="eastAsia" w:ascii="宋体" w:hAnsi="宋体" w:eastAsia="宋体" w:cs="宋体"/>
          <w:color w:val="0C0C0C"/>
          <w:sz w:val="21"/>
          <w:szCs w:val="13"/>
          <w:highlight w:val="none"/>
          <w:lang w:val="en-US" w:eastAsia="zh-CN"/>
        </w:rPr>
        <w:t>（正刊）（工程所在地）对应材料信息价（含税）</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（2）市场价格约定：A2=每批次材料供应时，《台州造价》（正刊）（工程所在地）对应材料信息价（含税）；（具体时间以每批次材料供应清单时间为准）</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（3）调整方法</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a、当A2＞A1时，结算综合单价按超出的金额调增，即该材料结算综合单价=中标综合单价+（A2-A1)；</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b、当A2＜A1时，结算综合单价按低于的金额调减，即该材料结算综合单价=中标综合单价-（A1-A2)；</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c、当A2=A1时，结算单价不作调整；</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（4）如因中标人原因引起的供货延期，延期期间的材料价格上涨时（与合同工期价格比较），价格不予调整；下跌时，按下跌后的价格调整。</w:t>
      </w:r>
    </w:p>
    <w:p>
      <w:pPr>
        <w:pStyle w:val="39"/>
        <w:numPr>
          <w:ilvl w:val="0"/>
          <w:numId w:val="0"/>
        </w:numPr>
        <w:jc w:val="left"/>
        <w:rPr>
          <w:rFonts w:hint="eastAsia" w:ascii="宋体" w:hAnsi="宋体" w:cs="宋体"/>
          <w:color w:val="0C0C0C"/>
          <w:sz w:val="22"/>
          <w:szCs w:val="15"/>
          <w:highlight w:val="none"/>
        </w:rPr>
      </w:pPr>
    </w:p>
    <w:p>
      <w:pPr>
        <w:pStyle w:val="39"/>
        <w:numPr>
          <w:ilvl w:val="0"/>
          <w:numId w:val="0"/>
        </w:numPr>
        <w:spacing w:line="240" w:lineRule="auto"/>
        <w:ind w:firstLine="420" w:firstLineChars="200"/>
        <w:jc w:val="lef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法定代表人（签字或盖章）：                    投标人（盖章）：                          </w:t>
      </w: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日期：     年   月   日</w:t>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r>
        <w:rPr>
          <w:rFonts w:hint="eastAsia"/>
          <w:b/>
          <w:color w:val="0C0C0C"/>
          <w:highlight w:val="none"/>
          <w:lang w:val="en-US" w:eastAsia="zh-CN"/>
        </w:rPr>
        <w:br w:type="textWrapping"/>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ascii="宋体" w:hAnsi="宋体" w:cs="宋体"/>
          <w:b/>
          <w:color w:val="0C0C0C"/>
          <w:highlight w:val="none"/>
        </w:rPr>
      </w:pPr>
      <w:r>
        <w:rPr>
          <w:rFonts w:hint="eastAsia"/>
          <w:b/>
          <w:color w:val="0C0C0C"/>
          <w:highlight w:val="none"/>
          <w:lang w:val="en-US" w:eastAsia="zh-CN"/>
        </w:rPr>
        <w:t>4</w:t>
      </w:r>
      <w:r>
        <w:rPr>
          <w:rFonts w:hint="eastAsia"/>
          <w:b/>
          <w:color w:val="0C0C0C"/>
          <w:highlight w:val="none"/>
        </w:rPr>
        <w:t>、诚信投标</w:t>
      </w:r>
      <w:r>
        <w:rPr>
          <w:rFonts w:hint="eastAsia" w:ascii="宋体" w:hAnsi="宋体" w:cs="宋体"/>
          <w:b/>
          <w:color w:val="0C0C0C"/>
          <w:highlight w:val="none"/>
        </w:rPr>
        <w:t>承诺书</w:t>
      </w:r>
    </w:p>
    <w:p>
      <w:pPr>
        <w:jc w:val="center"/>
        <w:outlineLvl w:val="0"/>
        <w:rPr>
          <w:rFonts w:hint="eastAsia" w:ascii="宋体" w:hAnsi="宋体"/>
          <w:b/>
          <w:bCs/>
          <w:color w:val="0C0C0C"/>
          <w:sz w:val="32"/>
          <w:highlight w:val="none"/>
          <w:lang w:eastAsia="zh-CN"/>
        </w:rPr>
      </w:pPr>
      <w:r>
        <w:rPr>
          <w:rFonts w:hint="eastAsia" w:ascii="宋体" w:hAnsi="宋体"/>
          <w:b/>
          <w:bCs/>
          <w:color w:val="0C0C0C"/>
          <w:sz w:val="32"/>
          <w:highlight w:val="none"/>
          <w:lang w:eastAsia="zh-CN"/>
        </w:rPr>
        <w:t xml:space="preserve"> </w:t>
      </w:r>
      <w:r>
        <w:rPr>
          <w:rFonts w:hint="eastAsia" w:ascii="宋体" w:hAnsi="宋体" w:cs="宋体"/>
          <w:b/>
          <w:color w:val="0D0D0D"/>
          <w:sz w:val="32"/>
          <w:szCs w:val="32"/>
          <w:lang w:eastAsia="zh-CN"/>
        </w:rPr>
        <w:t>台州湾新区初昕街（鲍浦大道-滨富东路）、启泰街（鲍浦大道-滨富东路）道路工程（普通硅酸盐水泥）</w:t>
      </w:r>
    </w:p>
    <w:p>
      <w:pPr>
        <w:tabs>
          <w:tab w:val="left" w:pos="570"/>
        </w:tabs>
        <w:spacing w:line="360" w:lineRule="auto"/>
        <w:ind w:firstLine="562" w:firstLineChars="200"/>
        <w:jc w:val="center"/>
        <w:rPr>
          <w:rFonts w:hint="eastAsia" w:ascii="宋体" w:hAnsi="宋体" w:cs="宋体"/>
          <w:color w:val="0C0C0C"/>
        </w:rPr>
      </w:pPr>
      <w:r>
        <w:rPr>
          <w:rFonts w:hint="eastAsia" w:ascii="宋体" w:hAnsi="宋体" w:cs="宋体"/>
          <w:b/>
          <w:color w:val="0C0C0C"/>
        </w:rPr>
        <w:t>诚信投标承诺书</w:t>
      </w:r>
    </w:p>
    <w:p>
      <w:pPr>
        <w:tabs>
          <w:tab w:val="left" w:pos="570"/>
        </w:tabs>
        <w:spacing w:line="360" w:lineRule="auto"/>
        <w:ind w:firstLine="560" w:firstLineChars="200"/>
        <w:jc w:val="left"/>
        <w:rPr>
          <w:rFonts w:hint="eastAsia" w:ascii="宋体" w:hAnsi="宋体" w:cs="宋体"/>
          <w:color w:val="0C0C0C"/>
        </w:rPr>
      </w:pPr>
      <w:r>
        <w:rPr>
          <w:rFonts w:hint="eastAsia" w:ascii="宋体" w:hAnsi="宋体" w:cs="宋体"/>
          <w:color w:val="0C0C0C"/>
        </w:rPr>
        <w:t>针对本次招标项目，我公司郑重承诺：本单位自愿参加</w:t>
      </w:r>
      <w:r>
        <w:rPr>
          <w:rFonts w:hint="eastAsia" w:ascii="宋体" w:hAnsi="宋体" w:cs="宋体"/>
          <w:color w:val="0C0C0C"/>
          <w:u w:val="single"/>
        </w:rPr>
        <w:t xml:space="preserve"> </w:t>
      </w:r>
      <w:r>
        <w:rPr>
          <w:rFonts w:hint="eastAsia" w:ascii="宋体" w:hAnsi="宋体" w:cs="宋体"/>
          <w:color w:val="0C0C0C"/>
          <w:u w:val="single"/>
          <w:lang w:eastAsia="zh-CN"/>
        </w:rPr>
        <w:t>台州湾新区初昕街（鲍浦大道-滨富东路）、启泰街（鲍浦大道-滨富东路）道路工程（普通硅酸盐水泥）</w:t>
      </w:r>
      <w:r>
        <w:rPr>
          <w:rFonts w:hint="eastAsia" w:ascii="宋体" w:hAnsi="宋体" w:cs="宋体"/>
          <w:color w:val="0C0C0C"/>
        </w:rPr>
        <w:t xml:space="preserve"> 的</w:t>
      </w:r>
      <w:r>
        <w:rPr>
          <w:rFonts w:hint="eastAsia" w:ascii="宋体" w:hAnsi="宋体" w:cs="宋体"/>
          <w:color w:val="0C0C0C"/>
          <w:lang w:val="en-US" w:eastAsia="zh-CN"/>
        </w:rPr>
        <w:t>投标</w:t>
      </w:r>
      <w:r>
        <w:rPr>
          <w:rFonts w:hint="eastAsia" w:ascii="宋体" w:hAnsi="宋体" w:cs="宋体"/>
          <w:color w:val="0C0C0C"/>
        </w:rPr>
        <w:t>。</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1、本公司所填列的技术要求、服务、数量等相关内容都是真实、准确的；</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2、本公司保证在本次招标项目中所提供的资料全部真实和合法；</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3、本公司保证绝不采取不正当手段诋毁排挤其他投标人；</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4、本公司保证绝不向采购人、采购单位有关工作人员提供不正当利益，以影响采购结果的公正性。</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5、同意此次招标文件中的各项内容。</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6、同意提供按照贵方可能要求的与招标有关的一切数据或资料等。</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7、本单位如中标，保证按照投标文件的承诺与贵方签订合同，保证履行合同条款</w:t>
      </w:r>
    </w:p>
    <w:p>
      <w:pPr>
        <w:tabs>
          <w:tab w:val="left" w:pos="570"/>
        </w:tabs>
        <w:spacing w:line="360" w:lineRule="auto"/>
        <w:ind w:firstLine="560" w:firstLineChars="200"/>
        <w:jc w:val="left"/>
        <w:rPr>
          <w:rFonts w:hint="eastAsia" w:ascii="宋体" w:hAnsi="宋体" w:cs="宋体"/>
          <w:color w:val="auto"/>
          <w:u w:val="single"/>
        </w:rPr>
      </w:pPr>
      <w:r>
        <w:rPr>
          <w:rFonts w:hint="eastAsia" w:ascii="宋体" w:hAnsi="宋体" w:cs="宋体"/>
          <w:color w:val="auto"/>
        </w:rPr>
        <w:t>本公司若有违反本承诺内容的行为，愿意承担法律责任，并愿意</w:t>
      </w:r>
      <w:r>
        <w:rPr>
          <w:rFonts w:hint="eastAsia" w:ascii="宋体" w:hAnsi="宋体" w:cs="宋体"/>
          <w:color w:val="auto"/>
          <w:lang w:val="en-US" w:eastAsia="zh-CN"/>
        </w:rPr>
        <w:t>赔偿为招标人造成的损失</w:t>
      </w:r>
      <w:r>
        <w:rPr>
          <w:rFonts w:hint="eastAsia" w:ascii="宋体" w:hAnsi="宋体" w:cs="宋体"/>
          <w:color w:val="auto"/>
        </w:rPr>
        <w:t>。如已中标的，自动放弃中标资格；给采购人造成损失的，依法承担赔偿责任。</w:t>
      </w:r>
    </w:p>
    <w:p>
      <w:pPr>
        <w:tabs>
          <w:tab w:val="left" w:pos="570"/>
        </w:tabs>
        <w:spacing w:line="440" w:lineRule="exact"/>
        <w:jc w:val="left"/>
        <w:rPr>
          <w:rFonts w:hint="eastAsia" w:ascii="宋体" w:hAnsi="宋体" w:cs="宋体"/>
          <w:color w:val="auto"/>
          <w:u w:val="single"/>
        </w:rPr>
      </w:pPr>
    </w:p>
    <w:p>
      <w:pPr>
        <w:spacing w:line="320" w:lineRule="exact"/>
        <w:ind w:left="420" w:firstLine="960" w:firstLineChars="400"/>
        <w:rPr>
          <w:rFonts w:hint="eastAsia" w:ascii="宋体" w:hAnsi="宋体"/>
          <w:color w:val="auto"/>
          <w:sz w:val="24"/>
        </w:rPr>
      </w:pPr>
      <w:r>
        <w:rPr>
          <w:rFonts w:hint="eastAsia" w:ascii="宋体" w:hAnsi="宋体"/>
          <w:color w:val="auto"/>
          <w:sz w:val="24"/>
        </w:rPr>
        <w:t xml:space="preserve">投标人（盖章）：     </w:t>
      </w:r>
    </w:p>
    <w:p>
      <w:pPr>
        <w:spacing w:line="320" w:lineRule="exact"/>
        <w:ind w:left="420"/>
        <w:rPr>
          <w:rFonts w:hint="eastAsia" w:ascii="宋体" w:hAnsi="宋体"/>
          <w:color w:val="auto"/>
          <w:sz w:val="24"/>
        </w:rPr>
      </w:pPr>
    </w:p>
    <w:p>
      <w:pPr>
        <w:snapToGrid w:val="0"/>
        <w:spacing w:before="50" w:after="50" w:line="360" w:lineRule="auto"/>
        <w:jc w:val="center"/>
        <w:rPr>
          <w:rFonts w:hint="eastAsia" w:ascii="宋体" w:hAnsi="宋体" w:cs="宋体"/>
          <w:szCs w:val="20"/>
          <w:u w:val="single"/>
        </w:rPr>
      </w:pPr>
      <w:r>
        <w:rPr>
          <w:rFonts w:hint="eastAsia" w:ascii="宋体" w:hAnsi="宋体"/>
          <w:color w:val="auto"/>
          <w:sz w:val="24"/>
        </w:rPr>
        <w:t xml:space="preserve"> 法定代表人（签字或盖章）：                          日期：</w:t>
      </w:r>
    </w:p>
    <w:sectPr>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rPr>
    </w:pPr>
    <w:r>
      <w:fldChar w:fldCharType="begin"/>
    </w:r>
    <w:r>
      <w:rPr>
        <w:rStyle w:val="49"/>
      </w:rPr>
      <w:instrText xml:space="preserve"> PAGE </w:instrText>
    </w:r>
    <w:r>
      <w:fldChar w:fldCharType="separate"/>
    </w:r>
    <w:r>
      <w:rPr>
        <w:rStyle w:val="49"/>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33</w:t>
    </w:r>
    <w:r>
      <w:fldChar w:fldCharType="end"/>
    </w:r>
  </w:p>
  <w:p>
    <w:pPr>
      <w:pStyle w:val="3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pPr>
                            <w:pStyle w:val="32"/>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i9ARtMAAAAF&#10;AQAADwAAAAAAAAABACAAAAAiAAAAZHJzL2Rvd25yZXYueG1sUEsBAhQAFAAAAAgAh07iQEXAGF+v&#10;AQAAOQMAAA4AAAAAAAAAAQAgAAAAIgEAAGRycy9lMm9Eb2MueG1sUEsFBgAAAAAGAAYAWQEAAEMF&#10;AAAAAA==&#10;">
              <v:fill on="f" focussize="0,0"/>
              <v:stroke on="f" weight="1.25pt"/>
              <v:imagedata o:title=""/>
              <o:lock v:ext="edit" aspectratio="f"/>
              <v:textbox inset="0mm,0mm,0mm,0mm">
                <w:txbxContent>
                  <w:p>
                    <w:pPr>
                      <w:pStyle w:val="32"/>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0</w:t>
    </w:r>
    <w:r>
      <w:fldChar w:fldCharType="end"/>
    </w:r>
  </w:p>
  <w:p>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宋体" w:hAnsi="宋体"/>
      </w:rPr>
    </w:pPr>
    <w:r>
      <w:rPr>
        <w:rFonts w:hint="eastAsia" w:ascii="宋体" w:hAnsi="宋体"/>
        <w:bCs/>
        <w:lang w:eastAsia="zh-CN"/>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AB5F1"/>
    <w:multiLevelType w:val="singleLevel"/>
    <w:tmpl w:val="B93AB5F1"/>
    <w:lvl w:ilvl="0" w:tentative="0">
      <w:start w:val="2"/>
      <w:numFmt w:val="chineseCounting"/>
      <w:suff w:val="nothing"/>
      <w:lvlText w:val="%1、"/>
      <w:lvlJc w:val="left"/>
      <w:rPr>
        <w:rFonts w:hint="eastAsia"/>
      </w:rPr>
    </w:lvl>
  </w:abstractNum>
  <w:abstractNum w:abstractNumId="1">
    <w:nsid w:val="D0525ABD"/>
    <w:multiLevelType w:val="singleLevel"/>
    <w:tmpl w:val="D0525ABD"/>
    <w:lvl w:ilvl="0" w:tentative="0">
      <w:start w:val="1"/>
      <w:numFmt w:val="chineseCounting"/>
      <w:suff w:val="nothing"/>
      <w:lvlText w:val="%1、"/>
      <w:lvlJc w:val="left"/>
      <w:rPr>
        <w:rFonts w:hint="eastAsia"/>
      </w:rPr>
    </w:lvl>
  </w:abstractNum>
  <w:abstractNum w:abstractNumId="2">
    <w:nsid w:val="F683B775"/>
    <w:multiLevelType w:val="singleLevel"/>
    <w:tmpl w:val="F683B775"/>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3">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singleLevel"/>
    <w:tmpl w:val="0000000D"/>
    <w:lvl w:ilvl="0" w:tentative="0">
      <w:start w:val="1"/>
      <w:numFmt w:val="decimal"/>
      <w:pStyle w:val="22"/>
      <w:lvlText w:val="%1."/>
      <w:lvlJc w:val="left"/>
      <w:pPr>
        <w:tabs>
          <w:tab w:val="left" w:pos="1200"/>
        </w:tabs>
        <w:ind w:left="1200" w:hanging="360"/>
      </w:pPr>
    </w:lvl>
  </w:abstractNum>
  <w:abstractNum w:abstractNumId="5">
    <w:nsid w:val="0000000E"/>
    <w:multiLevelType w:val="multilevel"/>
    <w:tmpl w:val="0000000E"/>
    <w:lvl w:ilvl="0" w:tentative="0">
      <w:start w:val="1"/>
      <w:numFmt w:val="bullet"/>
      <w:pStyle w:val="128"/>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25"/>
      <w:lvlText w:val="o"/>
      <w:lvlJc w:val="left"/>
      <w:pPr>
        <w:tabs>
          <w:tab w:val="left" w:pos="1440"/>
        </w:tabs>
        <w:ind w:left="1800" w:hanging="360"/>
      </w:pPr>
      <w:rPr>
        <w:rFonts w:hint="default" w:ascii="Courier New" w:hAnsi="Courier New"/>
      </w:rPr>
    </w:lvl>
    <w:lvl w:ilvl="3" w:tentative="0">
      <w:start w:val="1"/>
      <w:numFmt w:val="bullet"/>
      <w:pStyle w:val="108"/>
      <w:lvlText w:val=""/>
      <w:lvlJc w:val="left"/>
      <w:pPr>
        <w:tabs>
          <w:tab w:val="left" w:pos="2160"/>
        </w:tabs>
        <w:ind w:left="2520" w:hanging="360"/>
      </w:pPr>
      <w:rPr>
        <w:rFonts w:hint="default" w:ascii="Wingdings" w:hAnsi="Wingdings"/>
      </w:rPr>
    </w:lvl>
    <w:lvl w:ilvl="4" w:tentative="0">
      <w:start w:val="1"/>
      <w:numFmt w:val="bullet"/>
      <w:pStyle w:val="109"/>
      <w:lvlText w:val=""/>
      <w:lvlJc w:val="left"/>
      <w:pPr>
        <w:tabs>
          <w:tab w:val="left" w:pos="2880"/>
        </w:tabs>
        <w:ind w:left="3240" w:hanging="360"/>
      </w:pPr>
      <w:rPr>
        <w:rFonts w:hint="default" w:ascii="Wingdings" w:hAnsi="Wingdings"/>
      </w:rPr>
    </w:lvl>
    <w:lvl w:ilvl="5" w:tentative="0">
      <w:start w:val="1"/>
      <w:numFmt w:val="bullet"/>
      <w:pStyle w:val="136"/>
      <w:lvlText w:val=""/>
      <w:lvlJc w:val="left"/>
      <w:pPr>
        <w:tabs>
          <w:tab w:val="left" w:pos="3600"/>
        </w:tabs>
        <w:ind w:left="3960" w:hanging="360"/>
      </w:pPr>
      <w:rPr>
        <w:rFonts w:hint="default" w:ascii="Symbol" w:hAnsi="Symbol"/>
      </w:rPr>
    </w:lvl>
    <w:lvl w:ilvl="6" w:tentative="0">
      <w:start w:val="1"/>
      <w:numFmt w:val="bullet"/>
      <w:pStyle w:val="117"/>
      <w:lvlText w:val="o"/>
      <w:lvlJc w:val="left"/>
      <w:pPr>
        <w:tabs>
          <w:tab w:val="left" w:pos="4320"/>
        </w:tabs>
        <w:ind w:left="4680" w:hanging="360"/>
      </w:pPr>
      <w:rPr>
        <w:rFonts w:hint="default" w:ascii="Courier New" w:hAnsi="Courier New"/>
      </w:rPr>
    </w:lvl>
    <w:lvl w:ilvl="7" w:tentative="0">
      <w:start w:val="1"/>
      <w:numFmt w:val="bullet"/>
      <w:pStyle w:val="122"/>
      <w:lvlText w:val=""/>
      <w:lvlJc w:val="left"/>
      <w:pPr>
        <w:tabs>
          <w:tab w:val="left" w:pos="5040"/>
        </w:tabs>
        <w:ind w:left="5400" w:hanging="360"/>
      </w:pPr>
      <w:rPr>
        <w:rFonts w:hint="default" w:ascii="Wingdings" w:hAnsi="Wingdings"/>
      </w:rPr>
    </w:lvl>
    <w:lvl w:ilvl="8" w:tentative="0">
      <w:start w:val="1"/>
      <w:numFmt w:val="bullet"/>
      <w:pStyle w:val="138"/>
      <w:lvlText w:val=""/>
      <w:lvlJc w:val="left"/>
      <w:pPr>
        <w:tabs>
          <w:tab w:val="left" w:pos="5760"/>
        </w:tabs>
        <w:ind w:left="6120" w:hanging="360"/>
      </w:pPr>
      <w:rPr>
        <w:rFonts w:hint="default" w:ascii="Wingdings" w:hAnsi="Wingdings"/>
      </w:rPr>
    </w:lvl>
  </w:abstractNum>
  <w:abstractNum w:abstractNumId="6">
    <w:nsid w:val="061EABC1"/>
    <w:multiLevelType w:val="singleLevel"/>
    <w:tmpl w:val="061EABC1"/>
    <w:lvl w:ilvl="0" w:tentative="0">
      <w:start w:val="1"/>
      <w:numFmt w:val="bullet"/>
      <w:pStyle w:val="25"/>
      <w:lvlText w:val=""/>
      <w:lvlJc w:val="left"/>
      <w:pPr>
        <w:tabs>
          <w:tab w:val="left" w:pos="780"/>
        </w:tabs>
        <w:ind w:left="780" w:hanging="360"/>
      </w:pPr>
      <w:rPr>
        <w:rFonts w:hint="default" w:ascii="Wingdings" w:hAnsi="Wingdings"/>
      </w:rPr>
    </w:lvl>
  </w:abstractNum>
  <w:num w:numId="1">
    <w:abstractNumId w:val="2"/>
  </w:num>
  <w:num w:numId="2">
    <w:abstractNumId w:val="4"/>
  </w:num>
  <w:num w:numId="3">
    <w:abstractNumId w:val="6"/>
  </w:num>
  <w:num w:numId="4">
    <w:abstractNumId w:val="5"/>
  </w:num>
  <w:num w:numId="5">
    <w:abstractNumId w:val="3"/>
    <w:lvlOverride w:ilvl="0">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D7723"/>
    <w:rsid w:val="01763473"/>
    <w:rsid w:val="01805223"/>
    <w:rsid w:val="01CA0B33"/>
    <w:rsid w:val="01D95951"/>
    <w:rsid w:val="01EA4C52"/>
    <w:rsid w:val="01FB48A4"/>
    <w:rsid w:val="027D5C40"/>
    <w:rsid w:val="02B14781"/>
    <w:rsid w:val="03F40B0B"/>
    <w:rsid w:val="04082143"/>
    <w:rsid w:val="041E263F"/>
    <w:rsid w:val="046554F3"/>
    <w:rsid w:val="0469763D"/>
    <w:rsid w:val="04F50394"/>
    <w:rsid w:val="051C342F"/>
    <w:rsid w:val="05A434F1"/>
    <w:rsid w:val="06256BCF"/>
    <w:rsid w:val="064E06A4"/>
    <w:rsid w:val="067B48EA"/>
    <w:rsid w:val="069738E4"/>
    <w:rsid w:val="06B07C4D"/>
    <w:rsid w:val="06B465B7"/>
    <w:rsid w:val="06B569B6"/>
    <w:rsid w:val="06ED3B1C"/>
    <w:rsid w:val="07927A80"/>
    <w:rsid w:val="07AF43E8"/>
    <w:rsid w:val="07C85B93"/>
    <w:rsid w:val="07D151AA"/>
    <w:rsid w:val="07ED3417"/>
    <w:rsid w:val="08027BA7"/>
    <w:rsid w:val="08474605"/>
    <w:rsid w:val="085379A4"/>
    <w:rsid w:val="08C605E0"/>
    <w:rsid w:val="08CC3F42"/>
    <w:rsid w:val="08F23321"/>
    <w:rsid w:val="09076062"/>
    <w:rsid w:val="09D328AF"/>
    <w:rsid w:val="09FE3852"/>
    <w:rsid w:val="0A1447F7"/>
    <w:rsid w:val="0AA150CD"/>
    <w:rsid w:val="0AB87521"/>
    <w:rsid w:val="0AD53E7E"/>
    <w:rsid w:val="0AD8497F"/>
    <w:rsid w:val="0B37005B"/>
    <w:rsid w:val="0B690133"/>
    <w:rsid w:val="0B7D34FB"/>
    <w:rsid w:val="0C080AD5"/>
    <w:rsid w:val="0C132F61"/>
    <w:rsid w:val="0C3D6E6B"/>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B72BFB"/>
    <w:rsid w:val="12D45631"/>
    <w:rsid w:val="12D803B6"/>
    <w:rsid w:val="12E623B1"/>
    <w:rsid w:val="12F33049"/>
    <w:rsid w:val="13212EF5"/>
    <w:rsid w:val="141A7E92"/>
    <w:rsid w:val="14AF764B"/>
    <w:rsid w:val="14BD2D29"/>
    <w:rsid w:val="157C0486"/>
    <w:rsid w:val="15A33CB4"/>
    <w:rsid w:val="15FC5139"/>
    <w:rsid w:val="161103F3"/>
    <w:rsid w:val="16674F83"/>
    <w:rsid w:val="1675368F"/>
    <w:rsid w:val="16855EF5"/>
    <w:rsid w:val="182F15F3"/>
    <w:rsid w:val="18BD0D8B"/>
    <w:rsid w:val="18F60BE4"/>
    <w:rsid w:val="190D6541"/>
    <w:rsid w:val="191401B2"/>
    <w:rsid w:val="191B2775"/>
    <w:rsid w:val="19246166"/>
    <w:rsid w:val="197267FA"/>
    <w:rsid w:val="19AD4290"/>
    <w:rsid w:val="19BC4972"/>
    <w:rsid w:val="19FB4549"/>
    <w:rsid w:val="1A5711F3"/>
    <w:rsid w:val="1A77355B"/>
    <w:rsid w:val="1AAE00D3"/>
    <w:rsid w:val="1BA56F67"/>
    <w:rsid w:val="1C614829"/>
    <w:rsid w:val="1CA76040"/>
    <w:rsid w:val="1CE07536"/>
    <w:rsid w:val="1D372595"/>
    <w:rsid w:val="1D6C62F0"/>
    <w:rsid w:val="1DAD27D8"/>
    <w:rsid w:val="1DDB572A"/>
    <w:rsid w:val="1E064063"/>
    <w:rsid w:val="1E2C13C1"/>
    <w:rsid w:val="1E3E6FBF"/>
    <w:rsid w:val="1EA21FA7"/>
    <w:rsid w:val="1EBF6BBB"/>
    <w:rsid w:val="1ED35B41"/>
    <w:rsid w:val="1EE85FCC"/>
    <w:rsid w:val="1FA2250E"/>
    <w:rsid w:val="1FC50A0D"/>
    <w:rsid w:val="1FD368D8"/>
    <w:rsid w:val="1FF07FDC"/>
    <w:rsid w:val="2049507A"/>
    <w:rsid w:val="205D3825"/>
    <w:rsid w:val="209D2C18"/>
    <w:rsid w:val="20A502E1"/>
    <w:rsid w:val="20CE4219"/>
    <w:rsid w:val="212D579A"/>
    <w:rsid w:val="214976C0"/>
    <w:rsid w:val="215C491E"/>
    <w:rsid w:val="21AE07DF"/>
    <w:rsid w:val="21D95588"/>
    <w:rsid w:val="221D7711"/>
    <w:rsid w:val="225A33A0"/>
    <w:rsid w:val="22614E71"/>
    <w:rsid w:val="227D52A3"/>
    <w:rsid w:val="22AB3BEB"/>
    <w:rsid w:val="22C94C2C"/>
    <w:rsid w:val="230D433C"/>
    <w:rsid w:val="232E5022"/>
    <w:rsid w:val="236164A0"/>
    <w:rsid w:val="239D4C64"/>
    <w:rsid w:val="23BC5492"/>
    <w:rsid w:val="23FE3057"/>
    <w:rsid w:val="243811EA"/>
    <w:rsid w:val="24620B34"/>
    <w:rsid w:val="249A178C"/>
    <w:rsid w:val="24A51FCA"/>
    <w:rsid w:val="24DB51E1"/>
    <w:rsid w:val="24F83518"/>
    <w:rsid w:val="25450F9C"/>
    <w:rsid w:val="25536518"/>
    <w:rsid w:val="25824282"/>
    <w:rsid w:val="25C30591"/>
    <w:rsid w:val="260B3695"/>
    <w:rsid w:val="263621D9"/>
    <w:rsid w:val="26744954"/>
    <w:rsid w:val="27004CA0"/>
    <w:rsid w:val="272146F0"/>
    <w:rsid w:val="273300AF"/>
    <w:rsid w:val="27BD18F4"/>
    <w:rsid w:val="28652BCB"/>
    <w:rsid w:val="28B40E89"/>
    <w:rsid w:val="29055BE8"/>
    <w:rsid w:val="293A353A"/>
    <w:rsid w:val="29B94821"/>
    <w:rsid w:val="2A0305DE"/>
    <w:rsid w:val="2A811E1E"/>
    <w:rsid w:val="2A825C24"/>
    <w:rsid w:val="2A9A558F"/>
    <w:rsid w:val="2AE943C7"/>
    <w:rsid w:val="2AF177F9"/>
    <w:rsid w:val="2B2239E9"/>
    <w:rsid w:val="2B407425"/>
    <w:rsid w:val="2BC707B3"/>
    <w:rsid w:val="2BD934FD"/>
    <w:rsid w:val="2C4F21F7"/>
    <w:rsid w:val="2CB12996"/>
    <w:rsid w:val="2CFC1CC4"/>
    <w:rsid w:val="2D8C697F"/>
    <w:rsid w:val="2DDD086A"/>
    <w:rsid w:val="2E3778B9"/>
    <w:rsid w:val="2E4B7D03"/>
    <w:rsid w:val="2E7A61E1"/>
    <w:rsid w:val="2E936D1A"/>
    <w:rsid w:val="2E9C72D5"/>
    <w:rsid w:val="2EB90887"/>
    <w:rsid w:val="2EC13FA8"/>
    <w:rsid w:val="2F0C6C63"/>
    <w:rsid w:val="2F6A3C0F"/>
    <w:rsid w:val="2F833390"/>
    <w:rsid w:val="2FD75727"/>
    <w:rsid w:val="2FF335CC"/>
    <w:rsid w:val="306F722C"/>
    <w:rsid w:val="30710B10"/>
    <w:rsid w:val="30883624"/>
    <w:rsid w:val="312373BE"/>
    <w:rsid w:val="318A630B"/>
    <w:rsid w:val="31943EFE"/>
    <w:rsid w:val="31FB0EA1"/>
    <w:rsid w:val="322D3BD0"/>
    <w:rsid w:val="32552CA4"/>
    <w:rsid w:val="325B3B5B"/>
    <w:rsid w:val="32A606E6"/>
    <w:rsid w:val="331C2212"/>
    <w:rsid w:val="33243F85"/>
    <w:rsid w:val="33922C82"/>
    <w:rsid w:val="3398324B"/>
    <w:rsid w:val="339D29C1"/>
    <w:rsid w:val="34BA5625"/>
    <w:rsid w:val="34BD2A27"/>
    <w:rsid w:val="34DB6175"/>
    <w:rsid w:val="34F9204F"/>
    <w:rsid w:val="35F23F4E"/>
    <w:rsid w:val="35F64042"/>
    <w:rsid w:val="362F3F71"/>
    <w:rsid w:val="36764892"/>
    <w:rsid w:val="36896F37"/>
    <w:rsid w:val="36D80A45"/>
    <w:rsid w:val="37502835"/>
    <w:rsid w:val="375C3D81"/>
    <w:rsid w:val="378C0BB9"/>
    <w:rsid w:val="37D12FD5"/>
    <w:rsid w:val="37E140C6"/>
    <w:rsid w:val="3812452E"/>
    <w:rsid w:val="38881470"/>
    <w:rsid w:val="389163B8"/>
    <w:rsid w:val="38A020FB"/>
    <w:rsid w:val="38A968F5"/>
    <w:rsid w:val="38B01A5E"/>
    <w:rsid w:val="38C211EC"/>
    <w:rsid w:val="38DB4914"/>
    <w:rsid w:val="391263E7"/>
    <w:rsid w:val="398C3DFF"/>
    <w:rsid w:val="39D553ED"/>
    <w:rsid w:val="3A3C74D7"/>
    <w:rsid w:val="3A784CF1"/>
    <w:rsid w:val="3AAE727E"/>
    <w:rsid w:val="3B0E43DD"/>
    <w:rsid w:val="3B9E6B4C"/>
    <w:rsid w:val="3BF83840"/>
    <w:rsid w:val="3C012C74"/>
    <w:rsid w:val="3C2D137C"/>
    <w:rsid w:val="3C337289"/>
    <w:rsid w:val="3C3417D1"/>
    <w:rsid w:val="3C392377"/>
    <w:rsid w:val="3CB65091"/>
    <w:rsid w:val="3CBB00A5"/>
    <w:rsid w:val="3CC44DE0"/>
    <w:rsid w:val="3D2A6DFA"/>
    <w:rsid w:val="3D4D2F00"/>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5A7CB2"/>
    <w:rsid w:val="41765975"/>
    <w:rsid w:val="41BC1C9B"/>
    <w:rsid w:val="425C4FB1"/>
    <w:rsid w:val="42C245E4"/>
    <w:rsid w:val="42C95E08"/>
    <w:rsid w:val="433F6DD1"/>
    <w:rsid w:val="43400D1A"/>
    <w:rsid w:val="43A0304D"/>
    <w:rsid w:val="444A1F0B"/>
    <w:rsid w:val="446F65AC"/>
    <w:rsid w:val="44926D5D"/>
    <w:rsid w:val="44B07254"/>
    <w:rsid w:val="44BE0921"/>
    <w:rsid w:val="44D03153"/>
    <w:rsid w:val="44F87EAD"/>
    <w:rsid w:val="45053F4D"/>
    <w:rsid w:val="45534EA2"/>
    <w:rsid w:val="455D44EC"/>
    <w:rsid w:val="461F306C"/>
    <w:rsid w:val="46416C29"/>
    <w:rsid w:val="46864226"/>
    <w:rsid w:val="472B2D94"/>
    <w:rsid w:val="47441BF2"/>
    <w:rsid w:val="47D83900"/>
    <w:rsid w:val="485023CA"/>
    <w:rsid w:val="48D53F0A"/>
    <w:rsid w:val="492C2BE3"/>
    <w:rsid w:val="497173A6"/>
    <w:rsid w:val="499E0BD7"/>
    <w:rsid w:val="49A52363"/>
    <w:rsid w:val="49E307DA"/>
    <w:rsid w:val="4A074305"/>
    <w:rsid w:val="4A0B3732"/>
    <w:rsid w:val="4A122160"/>
    <w:rsid w:val="4AAC4B68"/>
    <w:rsid w:val="4B1F4BF8"/>
    <w:rsid w:val="4B88775A"/>
    <w:rsid w:val="4BAE4EA6"/>
    <w:rsid w:val="4BC444AE"/>
    <w:rsid w:val="4BEB703E"/>
    <w:rsid w:val="4BEF50DC"/>
    <w:rsid w:val="4C181498"/>
    <w:rsid w:val="4C725EAD"/>
    <w:rsid w:val="4C9C53DC"/>
    <w:rsid w:val="4CB44D39"/>
    <w:rsid w:val="4CDE0F1B"/>
    <w:rsid w:val="4D52311A"/>
    <w:rsid w:val="4D816CB1"/>
    <w:rsid w:val="4DAD1720"/>
    <w:rsid w:val="4DC43694"/>
    <w:rsid w:val="4E185162"/>
    <w:rsid w:val="4E3C15DA"/>
    <w:rsid w:val="4ECC1E2C"/>
    <w:rsid w:val="4F0631A5"/>
    <w:rsid w:val="4F433E4B"/>
    <w:rsid w:val="4FA86F97"/>
    <w:rsid w:val="50335E7A"/>
    <w:rsid w:val="507C3513"/>
    <w:rsid w:val="50917265"/>
    <w:rsid w:val="50BE5ADC"/>
    <w:rsid w:val="51190719"/>
    <w:rsid w:val="513975A4"/>
    <w:rsid w:val="51411F75"/>
    <w:rsid w:val="5165628A"/>
    <w:rsid w:val="517B2984"/>
    <w:rsid w:val="518C2F88"/>
    <w:rsid w:val="52607FF9"/>
    <w:rsid w:val="53294953"/>
    <w:rsid w:val="533D2DF7"/>
    <w:rsid w:val="53511928"/>
    <w:rsid w:val="536F7C48"/>
    <w:rsid w:val="539C1AE3"/>
    <w:rsid w:val="53B92684"/>
    <w:rsid w:val="53CC0BBB"/>
    <w:rsid w:val="53E779DA"/>
    <w:rsid w:val="53F4642B"/>
    <w:rsid w:val="54D21D02"/>
    <w:rsid w:val="54F62570"/>
    <w:rsid w:val="54F9273C"/>
    <w:rsid w:val="552C1044"/>
    <w:rsid w:val="557334DB"/>
    <w:rsid w:val="558926D2"/>
    <w:rsid w:val="55977CC9"/>
    <w:rsid w:val="55EF0851"/>
    <w:rsid w:val="55F1064B"/>
    <w:rsid w:val="563C4F40"/>
    <w:rsid w:val="569B7587"/>
    <w:rsid w:val="56B4452B"/>
    <w:rsid w:val="56B525A0"/>
    <w:rsid w:val="56EC3232"/>
    <w:rsid w:val="57255927"/>
    <w:rsid w:val="5758355C"/>
    <w:rsid w:val="57751F04"/>
    <w:rsid w:val="577669A3"/>
    <w:rsid w:val="5788776F"/>
    <w:rsid w:val="57D4062C"/>
    <w:rsid w:val="57E76309"/>
    <w:rsid w:val="585B5117"/>
    <w:rsid w:val="594B6B72"/>
    <w:rsid w:val="59583A4A"/>
    <w:rsid w:val="595F7B1C"/>
    <w:rsid w:val="59A42B4E"/>
    <w:rsid w:val="59FC2D73"/>
    <w:rsid w:val="5A080741"/>
    <w:rsid w:val="5A0B13F3"/>
    <w:rsid w:val="5A0F2366"/>
    <w:rsid w:val="5A1C6830"/>
    <w:rsid w:val="5A291A28"/>
    <w:rsid w:val="5A8D59CF"/>
    <w:rsid w:val="5A9D65AB"/>
    <w:rsid w:val="5B1B719B"/>
    <w:rsid w:val="5B4251BB"/>
    <w:rsid w:val="5B477E65"/>
    <w:rsid w:val="5BAC006B"/>
    <w:rsid w:val="5C0002A3"/>
    <w:rsid w:val="5C017CDC"/>
    <w:rsid w:val="5C0F5FEB"/>
    <w:rsid w:val="5C826A02"/>
    <w:rsid w:val="5C9A79D1"/>
    <w:rsid w:val="5CB050E1"/>
    <w:rsid w:val="5CBC2D74"/>
    <w:rsid w:val="5DA834AD"/>
    <w:rsid w:val="5DE46F9D"/>
    <w:rsid w:val="5DED7039"/>
    <w:rsid w:val="5DF53244"/>
    <w:rsid w:val="5E256E3F"/>
    <w:rsid w:val="5E742342"/>
    <w:rsid w:val="5EA92C74"/>
    <w:rsid w:val="5EDD07E6"/>
    <w:rsid w:val="5F374F24"/>
    <w:rsid w:val="5F3D7421"/>
    <w:rsid w:val="5F9A2B00"/>
    <w:rsid w:val="5FA078D9"/>
    <w:rsid w:val="5FB52333"/>
    <w:rsid w:val="5FF8644F"/>
    <w:rsid w:val="603D2207"/>
    <w:rsid w:val="604C4978"/>
    <w:rsid w:val="60700FAB"/>
    <w:rsid w:val="61405951"/>
    <w:rsid w:val="619C00AC"/>
    <w:rsid w:val="61A050DE"/>
    <w:rsid w:val="61C92463"/>
    <w:rsid w:val="62431354"/>
    <w:rsid w:val="628979F0"/>
    <w:rsid w:val="63393468"/>
    <w:rsid w:val="635D67B3"/>
    <w:rsid w:val="63746DB1"/>
    <w:rsid w:val="63B06609"/>
    <w:rsid w:val="63E13364"/>
    <w:rsid w:val="64370C94"/>
    <w:rsid w:val="64496497"/>
    <w:rsid w:val="646805F0"/>
    <w:rsid w:val="646C02EC"/>
    <w:rsid w:val="648E23CC"/>
    <w:rsid w:val="64AC1ED4"/>
    <w:rsid w:val="6593435C"/>
    <w:rsid w:val="6630389E"/>
    <w:rsid w:val="66371C77"/>
    <w:rsid w:val="6638385D"/>
    <w:rsid w:val="66B13A74"/>
    <w:rsid w:val="67487979"/>
    <w:rsid w:val="678A38D8"/>
    <w:rsid w:val="67C25D3D"/>
    <w:rsid w:val="682239F3"/>
    <w:rsid w:val="68301C3C"/>
    <w:rsid w:val="68F56E18"/>
    <w:rsid w:val="68FA7C11"/>
    <w:rsid w:val="694B3CE5"/>
    <w:rsid w:val="697F0C2B"/>
    <w:rsid w:val="69BE786F"/>
    <w:rsid w:val="69F57CC3"/>
    <w:rsid w:val="69F963AE"/>
    <w:rsid w:val="6A82508F"/>
    <w:rsid w:val="6AA64735"/>
    <w:rsid w:val="6AC24019"/>
    <w:rsid w:val="6ADC3089"/>
    <w:rsid w:val="6AF24886"/>
    <w:rsid w:val="6B3D6C60"/>
    <w:rsid w:val="6BC16BCF"/>
    <w:rsid w:val="6C7833CE"/>
    <w:rsid w:val="6C992F9A"/>
    <w:rsid w:val="6D106B2C"/>
    <w:rsid w:val="6D2C6FA7"/>
    <w:rsid w:val="6D622146"/>
    <w:rsid w:val="6DA01D6C"/>
    <w:rsid w:val="6E3D297C"/>
    <w:rsid w:val="6E494945"/>
    <w:rsid w:val="6E54206C"/>
    <w:rsid w:val="6F08045A"/>
    <w:rsid w:val="6F085346"/>
    <w:rsid w:val="6F3E0414"/>
    <w:rsid w:val="6FE763A8"/>
    <w:rsid w:val="70525D42"/>
    <w:rsid w:val="70CF4937"/>
    <w:rsid w:val="70FC052C"/>
    <w:rsid w:val="71395A23"/>
    <w:rsid w:val="71AA673A"/>
    <w:rsid w:val="71BA3FF3"/>
    <w:rsid w:val="71BE2151"/>
    <w:rsid w:val="71E41F32"/>
    <w:rsid w:val="722B5E25"/>
    <w:rsid w:val="723A01C1"/>
    <w:rsid w:val="724071D4"/>
    <w:rsid w:val="72414CAC"/>
    <w:rsid w:val="731B002C"/>
    <w:rsid w:val="73B86B69"/>
    <w:rsid w:val="73BC4A4C"/>
    <w:rsid w:val="73C5308F"/>
    <w:rsid w:val="73E82F84"/>
    <w:rsid w:val="73F66EBD"/>
    <w:rsid w:val="74235540"/>
    <w:rsid w:val="74563326"/>
    <w:rsid w:val="74627D7E"/>
    <w:rsid w:val="7463466C"/>
    <w:rsid w:val="74672AB4"/>
    <w:rsid w:val="749F164B"/>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7E43F96"/>
    <w:rsid w:val="78702527"/>
    <w:rsid w:val="78CE1B28"/>
    <w:rsid w:val="78EA71D0"/>
    <w:rsid w:val="79F564A6"/>
    <w:rsid w:val="7A057CCF"/>
    <w:rsid w:val="7A7B40CD"/>
    <w:rsid w:val="7AA6211F"/>
    <w:rsid w:val="7AB102AF"/>
    <w:rsid w:val="7AC909B7"/>
    <w:rsid w:val="7AF54336"/>
    <w:rsid w:val="7B0021CC"/>
    <w:rsid w:val="7B3C549C"/>
    <w:rsid w:val="7B9F45BD"/>
    <w:rsid w:val="7D077C20"/>
    <w:rsid w:val="7D394BB3"/>
    <w:rsid w:val="7D443A69"/>
    <w:rsid w:val="7D463597"/>
    <w:rsid w:val="7D713990"/>
    <w:rsid w:val="7D7B6100"/>
    <w:rsid w:val="7DC264AD"/>
    <w:rsid w:val="7DE50C72"/>
    <w:rsid w:val="7DED5A62"/>
    <w:rsid w:val="7DF96000"/>
    <w:rsid w:val="7DFB6B6E"/>
    <w:rsid w:val="7E201623"/>
    <w:rsid w:val="7E5232ED"/>
    <w:rsid w:val="7E642C27"/>
    <w:rsid w:val="7EB22406"/>
    <w:rsid w:val="7EB82A62"/>
    <w:rsid w:val="7ECA2B50"/>
    <w:rsid w:val="7ED02E62"/>
    <w:rsid w:val="7EF7254F"/>
    <w:rsid w:val="7EFC6DF2"/>
    <w:rsid w:val="7F8B451C"/>
    <w:rsid w:val="7FF037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5"/>
    <w:qFormat/>
    <w:uiPriority w:val="0"/>
    <w:pPr>
      <w:keepNext/>
      <w:keepLines/>
      <w:spacing w:before="340" w:beforeLines="0" w:after="330" w:afterLines="0" w:line="576" w:lineRule="auto"/>
      <w:outlineLvl w:val="0"/>
    </w:pPr>
    <w:rPr>
      <w:b/>
      <w:bCs/>
      <w:kern w:val="44"/>
      <w:sz w:val="44"/>
      <w:szCs w:val="44"/>
    </w:rPr>
  </w:style>
  <w:style w:type="paragraph" w:styleId="2">
    <w:name w:val="heading 2"/>
    <w:basedOn w:val="1"/>
    <w:next w:val="1"/>
    <w:link w:val="54"/>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56"/>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57"/>
    <w:qFormat/>
    <w:uiPriority w:val="0"/>
    <w:pPr>
      <w:keepNext/>
      <w:keepLines/>
      <w:spacing w:before="280" w:beforeLines="0" w:after="290" w:afterLines="0" w:line="372" w:lineRule="auto"/>
      <w:outlineLvl w:val="3"/>
    </w:pPr>
    <w:rPr>
      <w:rFonts w:ascii="Arial" w:hAnsi="Arial" w:eastAsia="黑体"/>
      <w:b/>
      <w:bCs/>
      <w:szCs w:val="28"/>
    </w:rPr>
  </w:style>
  <w:style w:type="paragraph" w:styleId="6">
    <w:name w:val="heading 5"/>
    <w:basedOn w:val="1"/>
    <w:next w:val="1"/>
    <w:link w:val="58"/>
    <w:qFormat/>
    <w:uiPriority w:val="0"/>
    <w:pPr>
      <w:keepNext/>
      <w:keepLines/>
      <w:widowControl/>
      <w:tabs>
        <w:tab w:val="left" w:pos="1008"/>
      </w:tabs>
      <w:spacing w:before="280" w:beforeLines="0" w:after="290" w:afterLines="0" w:line="372" w:lineRule="auto"/>
      <w:ind w:left="1008" w:hanging="1008"/>
      <w:jc w:val="left"/>
      <w:outlineLvl w:val="4"/>
    </w:pPr>
    <w:rPr>
      <w:b/>
      <w:bCs/>
      <w:kern w:val="0"/>
      <w:szCs w:val="28"/>
    </w:rPr>
  </w:style>
  <w:style w:type="paragraph" w:styleId="7">
    <w:name w:val="heading 6"/>
    <w:basedOn w:val="1"/>
    <w:next w:val="1"/>
    <w:link w:val="59"/>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8">
    <w:name w:val="heading 7"/>
    <w:basedOn w:val="1"/>
    <w:next w:val="1"/>
    <w:link w:val="60"/>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9">
    <w:name w:val="heading 8"/>
    <w:basedOn w:val="1"/>
    <w:next w:val="1"/>
    <w:link w:val="61"/>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0">
    <w:name w:val="heading 9"/>
    <w:basedOn w:val="1"/>
    <w:next w:val="1"/>
    <w:link w:val="62"/>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 w:val="21"/>
      <w:szCs w:val="21"/>
    </w:rPr>
  </w:style>
  <w:style w:type="character" w:default="1" w:styleId="47">
    <w:name w:val="Default Paragraph Font"/>
    <w:qFormat/>
    <w:uiPriority w:val="0"/>
  </w:style>
  <w:style w:type="table" w:default="1" w:styleId="46">
    <w:name w:val="Normal Table"/>
    <w:unhideWhenUsed/>
    <w:qFormat/>
    <w:uiPriority w:val="99"/>
    <w:tblPr>
      <w:tblCellMar>
        <w:top w:w="0" w:type="dxa"/>
        <w:left w:w="108" w:type="dxa"/>
        <w:bottom w:w="0" w:type="dxa"/>
        <w:right w:w="108" w:type="dxa"/>
      </w:tblCellMar>
    </w:tblPr>
  </w:style>
  <w:style w:type="paragraph" w:styleId="11">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2">
    <w:name w:val="Normal Indent"/>
    <w:basedOn w:val="1"/>
    <w:link w:val="63"/>
    <w:qFormat/>
    <w:uiPriority w:val="0"/>
    <w:pPr>
      <w:ind w:firstLine="420"/>
    </w:pPr>
    <w:rPr>
      <w:sz w:val="21"/>
      <w:szCs w:val="20"/>
    </w:rPr>
  </w:style>
  <w:style w:type="paragraph" w:styleId="13">
    <w:name w:val="caption"/>
    <w:basedOn w:val="1"/>
    <w:next w:val="1"/>
    <w:qFormat/>
    <w:uiPriority w:val="0"/>
    <w:pPr>
      <w:spacing w:before="152" w:beforeLines="0" w:after="160" w:afterLines="0"/>
    </w:pPr>
    <w:rPr>
      <w:rFonts w:ascii="Arial" w:hAnsi="Arial" w:eastAsia="黑体" w:cs="Arial"/>
      <w:sz w:val="20"/>
      <w:szCs w:val="20"/>
    </w:rPr>
  </w:style>
  <w:style w:type="paragraph" w:styleId="14">
    <w:name w:val="List Bullet"/>
    <w:basedOn w:val="1"/>
    <w:next w:val="1"/>
    <w:unhideWhenUsed/>
    <w:qFormat/>
    <w:uiPriority w:val="99"/>
    <w:pPr>
      <w:numPr>
        <w:ilvl w:val="0"/>
        <w:numId w:val="1"/>
      </w:numPr>
    </w:pPr>
  </w:style>
  <w:style w:type="paragraph" w:styleId="15">
    <w:name w:val="Document Map"/>
    <w:basedOn w:val="1"/>
    <w:link w:val="64"/>
    <w:qFormat/>
    <w:uiPriority w:val="0"/>
    <w:pPr>
      <w:shd w:val="clear" w:color="auto" w:fill="000080"/>
    </w:pPr>
    <w:rPr>
      <w:kern w:val="0"/>
      <w:sz w:val="20"/>
      <w:shd w:val="clear" w:color="auto" w:fill="000080"/>
    </w:rPr>
  </w:style>
  <w:style w:type="paragraph" w:styleId="16">
    <w:name w:val="toa heading"/>
    <w:basedOn w:val="1"/>
    <w:next w:val="1"/>
    <w:qFormat/>
    <w:uiPriority w:val="0"/>
    <w:pPr>
      <w:spacing w:before="120" w:beforeLines="0"/>
    </w:pPr>
    <w:rPr>
      <w:rFonts w:ascii="Arial" w:hAnsi="Arial" w:cs="Arial"/>
      <w:sz w:val="24"/>
    </w:rPr>
  </w:style>
  <w:style w:type="paragraph" w:styleId="17">
    <w:name w:val="annotation text"/>
    <w:basedOn w:val="1"/>
    <w:link w:val="65"/>
    <w:qFormat/>
    <w:uiPriority w:val="0"/>
    <w:pPr>
      <w:jc w:val="left"/>
    </w:pPr>
    <w:rPr>
      <w:sz w:val="21"/>
    </w:rPr>
  </w:style>
  <w:style w:type="paragraph" w:styleId="18">
    <w:name w:val="Body Text 3"/>
    <w:basedOn w:val="1"/>
    <w:qFormat/>
    <w:uiPriority w:val="0"/>
    <w:pPr>
      <w:snapToGrid w:val="0"/>
      <w:spacing w:before="50" w:beforeLines="0" w:after="50" w:afterLines="0"/>
    </w:pPr>
    <w:rPr>
      <w:rFonts w:hAnsi="宋体" w:eastAsia="仿宋_GB2312"/>
      <w:b/>
      <w:bCs/>
      <w:sz w:val="24"/>
      <w:szCs w:val="20"/>
    </w:rPr>
  </w:style>
  <w:style w:type="paragraph" w:styleId="19">
    <w:name w:val="Body Text"/>
    <w:basedOn w:val="1"/>
    <w:next w:val="20"/>
    <w:link w:val="66"/>
    <w:qFormat/>
    <w:uiPriority w:val="0"/>
    <w:pPr>
      <w:spacing w:after="120" w:afterLines="0"/>
    </w:pPr>
  </w:style>
  <w:style w:type="paragraph" w:styleId="20">
    <w:name w:val="Body Text First Indent"/>
    <w:basedOn w:val="19"/>
    <w:next w:val="1"/>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21">
    <w:name w:val="Body Text Indent"/>
    <w:basedOn w:val="1"/>
    <w:next w:val="1"/>
    <w:link w:val="67"/>
    <w:qFormat/>
    <w:uiPriority w:val="0"/>
    <w:pPr>
      <w:spacing w:line="200" w:lineRule="atLeast"/>
      <w:ind w:firstLine="301"/>
    </w:pPr>
    <w:rPr>
      <w:rFonts w:ascii="宋体" w:hAnsi="Courier New"/>
      <w:spacing w:val="-4"/>
      <w:sz w:val="18"/>
      <w:szCs w:val="20"/>
    </w:rPr>
  </w:style>
  <w:style w:type="paragraph" w:styleId="22">
    <w:name w:val="List Number 3"/>
    <w:basedOn w:val="1"/>
    <w:qFormat/>
    <w:uiPriority w:val="0"/>
    <w:pPr>
      <w:numPr>
        <w:ilvl w:val="0"/>
        <w:numId w:val="2"/>
      </w:numPr>
      <w:ind w:left="720"/>
    </w:pPr>
    <w:rPr>
      <w:sz w:val="21"/>
    </w:rPr>
  </w:style>
  <w:style w:type="paragraph" w:styleId="23">
    <w:name w:val="List 2"/>
    <w:basedOn w:val="1"/>
    <w:qFormat/>
    <w:uiPriority w:val="0"/>
    <w:pPr>
      <w:ind w:leftChars="200" w:hanging="200" w:hangingChars="200"/>
    </w:pPr>
  </w:style>
  <w:style w:type="paragraph" w:styleId="24">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5">
    <w:name w:val="List Bullet 2"/>
    <w:basedOn w:val="1"/>
    <w:next w:val="14"/>
    <w:unhideWhenUsed/>
    <w:qFormat/>
    <w:uiPriority w:val="99"/>
    <w:pPr>
      <w:numPr>
        <w:ilvl w:val="0"/>
        <w:numId w:val="3"/>
      </w:numPr>
    </w:p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840" w:leftChars="400"/>
    </w:pPr>
    <w:rPr>
      <w:sz w:val="21"/>
    </w:rPr>
  </w:style>
  <w:style w:type="paragraph" w:styleId="28">
    <w:name w:val="Plain Text"/>
    <w:basedOn w:val="1"/>
    <w:next w:val="1"/>
    <w:link w:val="68"/>
    <w:qFormat/>
    <w:uiPriority w:val="0"/>
    <w:pPr>
      <w:spacing w:before="156" w:beforeLines="50" w:after="156" w:afterLines="50" w:line="400" w:lineRule="atLeast"/>
    </w:pPr>
    <w:rPr>
      <w:rFonts w:ascii="宋体" w:hAnsi="Courier New"/>
      <w:sz w:val="24"/>
    </w:rPr>
  </w:style>
  <w:style w:type="paragraph" w:styleId="29">
    <w:name w:val="Date"/>
    <w:basedOn w:val="1"/>
    <w:next w:val="1"/>
    <w:qFormat/>
    <w:uiPriority w:val="0"/>
    <w:pPr>
      <w:ind w:leftChars="2500"/>
    </w:pPr>
    <w:rPr>
      <w:rFonts w:eastAsia="楷体_GB2312"/>
      <w:sz w:val="32"/>
      <w:szCs w:val="20"/>
    </w:rPr>
  </w:style>
  <w:style w:type="paragraph" w:styleId="30">
    <w:name w:val="Body Text Indent 2"/>
    <w:basedOn w:val="1"/>
    <w:qFormat/>
    <w:uiPriority w:val="0"/>
    <w:pPr>
      <w:snapToGrid w:val="0"/>
      <w:ind w:firstLine="542" w:firstLineChars="225"/>
    </w:pPr>
    <w:rPr>
      <w:rFonts w:ascii="仿宋_GB2312" w:hAnsi="宋体" w:cs="Arial"/>
      <w:b/>
      <w:bCs/>
      <w:color w:val="000000"/>
      <w:sz w:val="24"/>
    </w:rPr>
  </w:style>
  <w:style w:type="paragraph" w:styleId="31">
    <w:name w:val="Balloon Text"/>
    <w:basedOn w:val="1"/>
    <w:qFormat/>
    <w:uiPriority w:val="0"/>
    <w:rPr>
      <w:sz w:val="18"/>
      <w:szCs w:val="20"/>
    </w:rPr>
  </w:style>
  <w:style w:type="paragraph" w:styleId="32">
    <w:name w:val="footer"/>
    <w:basedOn w:val="1"/>
    <w:link w:val="69"/>
    <w:qFormat/>
    <w:uiPriority w:val="0"/>
    <w:pPr>
      <w:tabs>
        <w:tab w:val="center" w:pos="4153"/>
        <w:tab w:val="right" w:pos="8306"/>
      </w:tabs>
      <w:snapToGrid w:val="0"/>
      <w:jc w:val="left"/>
    </w:pPr>
    <w:rPr>
      <w:sz w:val="18"/>
      <w:szCs w:val="18"/>
    </w:rPr>
  </w:style>
  <w:style w:type="paragraph" w:styleId="33">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rPr>
      <w:sz w:val="21"/>
    </w:rPr>
  </w:style>
  <w:style w:type="paragraph" w:styleId="35">
    <w:name w:val="Subtitle"/>
    <w:basedOn w:val="1"/>
    <w:next w:val="1"/>
    <w:link w:val="71"/>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style>
  <w:style w:type="paragraph" w:styleId="37">
    <w:name w:val="footnote text"/>
    <w:basedOn w:val="1"/>
    <w:qFormat/>
    <w:uiPriority w:val="0"/>
    <w:pPr>
      <w:snapToGrid w:val="0"/>
      <w:jc w:val="left"/>
    </w:pPr>
    <w:rPr>
      <w:rFonts w:eastAsia="仿宋_GB2312"/>
      <w:sz w:val="18"/>
      <w:szCs w:val="20"/>
    </w:rPr>
  </w:style>
  <w:style w:type="paragraph" w:styleId="38">
    <w:name w:val="toc 6"/>
    <w:basedOn w:val="1"/>
    <w:next w:val="1"/>
    <w:unhideWhenUsed/>
    <w:qFormat/>
    <w:uiPriority w:val="39"/>
    <w:pPr>
      <w:ind w:left="2100" w:leftChars="1000"/>
    </w:pPr>
    <w:rPr>
      <w:rFonts w:ascii="Calibri" w:hAnsi="Calibri"/>
    </w:rPr>
  </w:style>
  <w:style w:type="paragraph" w:styleId="39">
    <w:name w:val="Body Text Indent 3"/>
    <w:basedOn w:val="1"/>
    <w:qFormat/>
    <w:uiPriority w:val="0"/>
    <w:pPr>
      <w:spacing w:after="120" w:afterLines="0"/>
      <w:ind w:left="420" w:leftChars="200"/>
    </w:pPr>
    <w:rPr>
      <w:sz w:val="16"/>
      <w:szCs w:val="16"/>
    </w:rPr>
  </w:style>
  <w:style w:type="paragraph" w:styleId="40">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1">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42">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43">
    <w:name w:val="Title"/>
    <w:basedOn w:val="1"/>
    <w:next w:val="1"/>
    <w:link w:val="72"/>
    <w:qFormat/>
    <w:uiPriority w:val="0"/>
    <w:pPr>
      <w:spacing w:before="240" w:beforeLines="0" w:after="60" w:afterLines="0"/>
      <w:jc w:val="center"/>
      <w:outlineLvl w:val="0"/>
    </w:pPr>
    <w:rPr>
      <w:rFonts w:ascii="Arial" w:hAnsi="Arial" w:cs="Arial"/>
      <w:b/>
      <w:bCs/>
      <w:sz w:val="32"/>
      <w:szCs w:val="32"/>
    </w:rPr>
  </w:style>
  <w:style w:type="paragraph" w:styleId="44">
    <w:name w:val="annotation subject"/>
    <w:basedOn w:val="17"/>
    <w:next w:val="17"/>
    <w:link w:val="73"/>
    <w:qFormat/>
    <w:uiPriority w:val="0"/>
    <w:rPr>
      <w:rFonts w:ascii="宋体"/>
      <w:b/>
      <w:bCs/>
      <w:kern w:val="0"/>
      <w:sz w:val="28"/>
      <w:szCs w:val="20"/>
    </w:rPr>
  </w:style>
  <w:style w:type="paragraph" w:styleId="45">
    <w:name w:val="Body Text First Indent 2"/>
    <w:basedOn w:val="21"/>
    <w:next w:val="1"/>
    <w:qFormat/>
    <w:uiPriority w:val="0"/>
    <w:pPr>
      <w:spacing w:after="120" w:afterLines="0" w:afterAutospacing="0" w:line="240" w:lineRule="auto"/>
      <w:ind w:left="420" w:leftChars="200" w:firstLine="420" w:firstLineChars="200"/>
    </w:pPr>
    <w:rPr>
      <w:rFonts w:ascii="等线" w:hAnsi="等线" w:eastAsia="等线"/>
      <w:sz w:val="21"/>
    </w:rPr>
  </w:style>
  <w:style w:type="character" w:styleId="48">
    <w:name w:val="Strong"/>
    <w:qFormat/>
    <w:uiPriority w:val="0"/>
    <w:rPr>
      <w:b/>
      <w:bCs/>
    </w:rPr>
  </w:style>
  <w:style w:type="character" w:styleId="49">
    <w:name w:val="page number"/>
    <w:basedOn w:val="47"/>
    <w:qFormat/>
    <w:uiPriority w:val="0"/>
  </w:style>
  <w:style w:type="character" w:styleId="50">
    <w:name w:val="FollowedHyperlink"/>
    <w:uiPriority w:val="0"/>
    <w:rPr>
      <w:color w:val="800080"/>
      <w:u w:val="single"/>
    </w:rPr>
  </w:style>
  <w:style w:type="character" w:styleId="51">
    <w:name w:val="Hyperlink"/>
    <w:uiPriority w:val="0"/>
    <w:rPr>
      <w:color w:val="0000FF"/>
      <w:u w:val="single"/>
    </w:rPr>
  </w:style>
  <w:style w:type="character" w:styleId="52">
    <w:name w:val="annotation reference"/>
    <w:uiPriority w:val="0"/>
    <w:rPr>
      <w:sz w:val="21"/>
      <w:szCs w:val="21"/>
    </w:rPr>
  </w:style>
  <w:style w:type="character" w:styleId="53">
    <w:name w:val="footnote reference"/>
    <w:uiPriority w:val="0"/>
    <w:rPr>
      <w:vertAlign w:val="superscript"/>
    </w:rPr>
  </w:style>
  <w:style w:type="character" w:customStyle="1" w:styleId="54">
    <w:name w:val="标题 2 Char"/>
    <w:link w:val="2"/>
    <w:uiPriority w:val="0"/>
    <w:rPr>
      <w:rFonts w:ascii="Arial" w:hAnsi="Arial" w:eastAsia="黑体"/>
      <w:b/>
      <w:bCs/>
      <w:kern w:val="2"/>
      <w:sz w:val="32"/>
      <w:szCs w:val="32"/>
    </w:rPr>
  </w:style>
  <w:style w:type="character" w:customStyle="1" w:styleId="55">
    <w:name w:val="标题 1 Char"/>
    <w:link w:val="3"/>
    <w:uiPriority w:val="0"/>
    <w:rPr>
      <w:b/>
      <w:bCs/>
      <w:kern w:val="44"/>
      <w:sz w:val="44"/>
      <w:szCs w:val="44"/>
    </w:rPr>
  </w:style>
  <w:style w:type="character" w:customStyle="1" w:styleId="56">
    <w:name w:val="标题 3 Char"/>
    <w:link w:val="4"/>
    <w:uiPriority w:val="0"/>
    <w:rPr>
      <w:b/>
      <w:bCs/>
      <w:kern w:val="2"/>
      <w:sz w:val="32"/>
      <w:szCs w:val="32"/>
    </w:rPr>
  </w:style>
  <w:style w:type="character" w:customStyle="1" w:styleId="57">
    <w:name w:val="标题 4 Char"/>
    <w:link w:val="5"/>
    <w:uiPriority w:val="0"/>
    <w:rPr>
      <w:rFonts w:ascii="Arial" w:hAnsi="Arial" w:eastAsia="黑体"/>
      <w:b/>
      <w:bCs/>
      <w:kern w:val="2"/>
      <w:sz w:val="28"/>
      <w:szCs w:val="28"/>
    </w:rPr>
  </w:style>
  <w:style w:type="character" w:customStyle="1" w:styleId="58">
    <w:name w:val="标题 5 Char"/>
    <w:link w:val="6"/>
    <w:uiPriority w:val="0"/>
    <w:rPr>
      <w:b/>
      <w:bCs/>
      <w:sz w:val="28"/>
      <w:szCs w:val="28"/>
    </w:rPr>
  </w:style>
  <w:style w:type="character" w:customStyle="1" w:styleId="59">
    <w:name w:val="标题 6 Char"/>
    <w:link w:val="7"/>
    <w:qFormat/>
    <w:uiPriority w:val="0"/>
    <w:rPr>
      <w:rFonts w:ascii="Arial" w:hAnsi="Arial" w:eastAsia="黑体"/>
      <w:b/>
      <w:bCs/>
      <w:sz w:val="24"/>
      <w:szCs w:val="24"/>
    </w:rPr>
  </w:style>
  <w:style w:type="character" w:customStyle="1" w:styleId="60">
    <w:name w:val="标题 7 Char"/>
    <w:link w:val="8"/>
    <w:uiPriority w:val="0"/>
    <w:rPr>
      <w:b/>
      <w:bCs/>
      <w:sz w:val="24"/>
      <w:szCs w:val="24"/>
    </w:rPr>
  </w:style>
  <w:style w:type="character" w:customStyle="1" w:styleId="61">
    <w:name w:val="标题 8 Char"/>
    <w:link w:val="9"/>
    <w:uiPriority w:val="0"/>
    <w:rPr>
      <w:rFonts w:ascii="Arial" w:hAnsi="Arial" w:eastAsia="黑体"/>
      <w:sz w:val="24"/>
      <w:szCs w:val="24"/>
    </w:rPr>
  </w:style>
  <w:style w:type="character" w:customStyle="1" w:styleId="62">
    <w:name w:val="标题 9 Char"/>
    <w:link w:val="10"/>
    <w:uiPriority w:val="0"/>
    <w:rPr>
      <w:rFonts w:ascii="Arial" w:hAnsi="Arial" w:eastAsia="黑体"/>
      <w:sz w:val="21"/>
      <w:szCs w:val="21"/>
    </w:rPr>
  </w:style>
  <w:style w:type="character" w:customStyle="1" w:styleId="63">
    <w:name w:val="正文缩进 Char"/>
    <w:link w:val="12"/>
    <w:uiPriority w:val="0"/>
    <w:rPr>
      <w:rFonts w:eastAsia="宋体"/>
      <w:kern w:val="2"/>
      <w:sz w:val="21"/>
      <w:lang w:val="en-US" w:eastAsia="zh-CN" w:bidi="ar-SA"/>
    </w:rPr>
  </w:style>
  <w:style w:type="character" w:customStyle="1" w:styleId="64">
    <w:name w:val="文档结构图 Char"/>
    <w:link w:val="15"/>
    <w:uiPriority w:val="0"/>
    <w:rPr>
      <w:szCs w:val="24"/>
      <w:shd w:val="clear" w:color="auto" w:fill="000080"/>
    </w:rPr>
  </w:style>
  <w:style w:type="character" w:customStyle="1" w:styleId="65">
    <w:name w:val="批注文字 Char"/>
    <w:link w:val="17"/>
    <w:uiPriority w:val="0"/>
    <w:rPr>
      <w:kern w:val="2"/>
      <w:sz w:val="21"/>
      <w:szCs w:val="24"/>
    </w:rPr>
  </w:style>
  <w:style w:type="character" w:customStyle="1" w:styleId="66">
    <w:name w:val="正文文本 Char"/>
    <w:link w:val="19"/>
    <w:uiPriority w:val="0"/>
    <w:rPr>
      <w:kern w:val="2"/>
      <w:sz w:val="28"/>
      <w:szCs w:val="24"/>
    </w:rPr>
  </w:style>
  <w:style w:type="character" w:customStyle="1" w:styleId="67">
    <w:name w:val="正文文本缩进 Char"/>
    <w:link w:val="21"/>
    <w:uiPriority w:val="0"/>
    <w:rPr>
      <w:rFonts w:ascii="宋体" w:hAnsi="Courier New"/>
      <w:spacing w:val="-4"/>
      <w:kern w:val="2"/>
      <w:sz w:val="18"/>
    </w:rPr>
  </w:style>
  <w:style w:type="character" w:customStyle="1" w:styleId="68">
    <w:name w:val="纯文本 Char"/>
    <w:link w:val="28"/>
    <w:uiPriority w:val="0"/>
    <w:rPr>
      <w:rFonts w:ascii="宋体" w:hAnsi="Courier New" w:eastAsia="宋体"/>
      <w:kern w:val="2"/>
      <w:sz w:val="24"/>
      <w:szCs w:val="24"/>
      <w:lang w:val="en-US" w:eastAsia="zh-CN" w:bidi="ar-SA"/>
    </w:rPr>
  </w:style>
  <w:style w:type="character" w:customStyle="1" w:styleId="69">
    <w:name w:val="页脚 Char"/>
    <w:link w:val="32"/>
    <w:uiPriority w:val="0"/>
    <w:rPr>
      <w:kern w:val="2"/>
      <w:sz w:val="18"/>
      <w:szCs w:val="18"/>
    </w:rPr>
  </w:style>
  <w:style w:type="character" w:customStyle="1" w:styleId="70">
    <w:name w:val="页眉 Char"/>
    <w:link w:val="33"/>
    <w:uiPriority w:val="0"/>
    <w:rPr>
      <w:kern w:val="2"/>
      <w:sz w:val="18"/>
      <w:szCs w:val="18"/>
    </w:rPr>
  </w:style>
  <w:style w:type="character" w:customStyle="1" w:styleId="71">
    <w:name w:val="副标题 Char"/>
    <w:link w:val="35"/>
    <w:uiPriority w:val="0"/>
    <w:rPr>
      <w:rFonts w:ascii="Cambria" w:hAnsi="Cambria"/>
      <w:b/>
      <w:bCs/>
      <w:kern w:val="28"/>
      <w:sz w:val="32"/>
      <w:szCs w:val="32"/>
    </w:rPr>
  </w:style>
  <w:style w:type="character" w:customStyle="1" w:styleId="72">
    <w:name w:val="标题 Char"/>
    <w:link w:val="43"/>
    <w:uiPriority w:val="0"/>
    <w:rPr>
      <w:rFonts w:ascii="Arial" w:hAnsi="Arial" w:eastAsia="宋体" w:cs="Arial"/>
      <w:b/>
      <w:bCs/>
      <w:kern w:val="2"/>
      <w:sz w:val="32"/>
      <w:szCs w:val="32"/>
      <w:lang w:val="en-US" w:eastAsia="zh-CN" w:bidi="ar-SA"/>
    </w:rPr>
  </w:style>
  <w:style w:type="character" w:customStyle="1" w:styleId="73">
    <w:name w:val="批注主题 Char"/>
    <w:link w:val="44"/>
    <w:uiPriority w:val="0"/>
    <w:rPr>
      <w:rFonts w:ascii="宋体"/>
      <w:b/>
      <w:bCs/>
      <w:sz w:val="28"/>
    </w:rPr>
  </w:style>
  <w:style w:type="character" w:customStyle="1" w:styleId="74">
    <w:name w:val="批注文字 Char1"/>
    <w:uiPriority w:val="0"/>
    <w:rPr>
      <w:kern w:val="2"/>
      <w:sz w:val="28"/>
      <w:szCs w:val="24"/>
    </w:rPr>
  </w:style>
  <w:style w:type="character" w:customStyle="1" w:styleId="75">
    <w:name w:val="fx_label"/>
    <w:basedOn w:val="47"/>
    <w:uiPriority w:val="0"/>
  </w:style>
  <w:style w:type="character" w:customStyle="1" w:styleId="76">
    <w:name w:val="列出段落 Char"/>
    <w:link w:val="77"/>
    <w:uiPriority w:val="0"/>
    <w:rPr>
      <w:kern w:val="2"/>
      <w:sz w:val="21"/>
      <w:szCs w:val="22"/>
    </w:rPr>
  </w:style>
  <w:style w:type="paragraph" w:customStyle="1" w:styleId="77">
    <w:name w:val="List Paragraph1"/>
    <w:basedOn w:val="1"/>
    <w:link w:val="76"/>
    <w:uiPriority w:val="0"/>
    <w:pPr>
      <w:ind w:firstLine="420" w:firstLineChars="200"/>
    </w:pPr>
    <w:rPr>
      <w:sz w:val="21"/>
      <w:szCs w:val="22"/>
    </w:rPr>
  </w:style>
  <w:style w:type="character" w:customStyle="1" w:styleId="78">
    <w:name w:val="纯文本 Char2"/>
    <w:uiPriority w:val="0"/>
    <w:rPr>
      <w:rFonts w:ascii="宋体" w:hAnsi="Courier New" w:eastAsia="宋体"/>
      <w:kern w:val="2"/>
      <w:sz w:val="24"/>
      <w:szCs w:val="24"/>
      <w:lang w:val="en-US" w:eastAsia="zh-CN" w:bidi="ar-SA"/>
    </w:rPr>
  </w:style>
  <w:style w:type="character" w:customStyle="1" w:styleId="79">
    <w:name w:val=" Char Char1"/>
    <w:uiPriority w:val="0"/>
    <w:rPr>
      <w:rFonts w:ascii="Arial" w:hAnsi="Arial" w:eastAsia="黑体"/>
      <w:b/>
      <w:bCs/>
      <w:kern w:val="2"/>
      <w:sz w:val="32"/>
      <w:szCs w:val="32"/>
      <w:lang w:val="en-US" w:eastAsia="zh-CN" w:bidi="ar-SA"/>
    </w:rPr>
  </w:style>
  <w:style w:type="character" w:customStyle="1" w:styleId="80">
    <w:name w:val="标题4 Char Char"/>
    <w:uiPriority w:val="0"/>
    <w:rPr>
      <w:rFonts w:eastAsia="仿宋_GB2312"/>
      <w:kern w:val="2"/>
      <w:sz w:val="32"/>
      <w:lang w:val="en-US" w:eastAsia="zh-CN" w:bidi="ar-SA"/>
    </w:rPr>
  </w:style>
  <w:style w:type="character" w:customStyle="1" w:styleId="81">
    <w:name w:val="引用 Char1"/>
    <w:uiPriority w:val="0"/>
    <w:rPr>
      <w:i/>
      <w:iCs/>
      <w:color w:val="000000"/>
      <w:kern w:val="2"/>
      <w:sz w:val="28"/>
      <w:szCs w:val="24"/>
    </w:rPr>
  </w:style>
  <w:style w:type="character" w:customStyle="1" w:styleId="82">
    <w:name w:val="font11"/>
    <w:uiPriority w:val="0"/>
    <w:rPr>
      <w:rFonts w:hint="eastAsia" w:ascii="宋体" w:hAnsi="宋体" w:eastAsia="宋体" w:cs="宋体"/>
      <w:color w:val="FF0000"/>
      <w:sz w:val="20"/>
      <w:szCs w:val="20"/>
      <w:u w:val="none"/>
    </w:rPr>
  </w:style>
  <w:style w:type="character" w:customStyle="1" w:styleId="83">
    <w:name w:val="font31"/>
    <w:uiPriority w:val="0"/>
    <w:rPr>
      <w:rFonts w:hint="eastAsia" w:ascii="宋体" w:hAnsi="宋体" w:eastAsia="宋体" w:cs="宋体"/>
      <w:color w:val="000000"/>
      <w:sz w:val="20"/>
      <w:szCs w:val="20"/>
      <w:u w:val="none"/>
    </w:rPr>
  </w:style>
  <w:style w:type="character" w:customStyle="1" w:styleId="84">
    <w:name w:val="引用 Char"/>
    <w:link w:val="85"/>
    <w:uiPriority w:val="0"/>
    <w:rPr>
      <w:i/>
      <w:iCs/>
      <w:color w:val="000000"/>
      <w:kern w:val="2"/>
      <w:sz w:val="21"/>
      <w:szCs w:val="22"/>
    </w:rPr>
  </w:style>
  <w:style w:type="paragraph" w:styleId="85">
    <w:name w:val="Quote"/>
    <w:basedOn w:val="1"/>
    <w:next w:val="1"/>
    <w:link w:val="84"/>
    <w:qFormat/>
    <w:uiPriority w:val="0"/>
    <w:rPr>
      <w:i/>
      <w:iCs/>
      <w:color w:val="000000"/>
      <w:sz w:val="21"/>
      <w:szCs w:val="22"/>
    </w:rPr>
  </w:style>
  <w:style w:type="character" w:customStyle="1" w:styleId="86">
    <w:name w:val="文档结构图 Char1"/>
    <w:uiPriority w:val="0"/>
    <w:rPr>
      <w:rFonts w:ascii="宋体"/>
      <w:kern w:val="2"/>
      <w:sz w:val="18"/>
      <w:szCs w:val="18"/>
    </w:rPr>
  </w:style>
  <w:style w:type="character" w:customStyle="1" w:styleId="87">
    <w:name w:val="font21"/>
    <w:basedOn w:val="47"/>
    <w:qFormat/>
    <w:uiPriority w:val="0"/>
    <w:rPr>
      <w:rFonts w:hint="default" w:ascii="Segoe UI" w:hAnsi="Segoe UI" w:eastAsia="Segoe UI" w:cs="Segoe UI"/>
      <w:color w:val="171A1D"/>
      <w:sz w:val="21"/>
      <w:szCs w:val="21"/>
      <w:u w:val="none"/>
    </w:rPr>
  </w:style>
  <w:style w:type="character" w:customStyle="1" w:styleId="88">
    <w:name w:val="明显引用 Char1"/>
    <w:uiPriority w:val="0"/>
    <w:rPr>
      <w:b/>
      <w:bCs/>
      <w:i/>
      <w:iCs/>
      <w:color w:val="4F81BD"/>
      <w:kern w:val="2"/>
      <w:sz w:val="28"/>
      <w:szCs w:val="24"/>
    </w:rPr>
  </w:style>
  <w:style w:type="character" w:customStyle="1" w:styleId="89">
    <w:name w:val="普通文字 Char Char Char1"/>
    <w:uiPriority w:val="0"/>
    <w:rPr>
      <w:rFonts w:ascii="宋体" w:hAnsi="Courier New" w:eastAsia="宋体"/>
      <w:kern w:val="2"/>
      <w:sz w:val="24"/>
      <w:szCs w:val="24"/>
      <w:lang w:val="en-US" w:eastAsia="zh-CN" w:bidi="ar-SA"/>
    </w:rPr>
  </w:style>
  <w:style w:type="character" w:customStyle="1" w:styleId="90">
    <w:name w:val="明显引用 Char"/>
    <w:link w:val="91"/>
    <w:uiPriority w:val="0"/>
    <w:rPr>
      <w:b/>
      <w:bCs/>
      <w:i/>
      <w:iCs/>
      <w:color w:val="4F81BD"/>
      <w:kern w:val="2"/>
      <w:sz w:val="21"/>
      <w:szCs w:val="22"/>
    </w:rPr>
  </w:style>
  <w:style w:type="paragraph" w:styleId="91">
    <w:name w:val="Intense Quote"/>
    <w:basedOn w:val="1"/>
    <w:next w:val="1"/>
    <w:link w:val="90"/>
    <w:qFormat/>
    <w:uiPriority w:val="0"/>
    <w:pPr>
      <w:pBdr>
        <w:bottom w:val="single" w:color="4F81BD" w:sz="4" w:space="4"/>
      </w:pBdr>
      <w:spacing w:before="200" w:beforeLines="0" w:after="280" w:afterLines="0"/>
      <w:ind w:left="936" w:right="936"/>
    </w:pPr>
    <w:rPr>
      <w:b/>
      <w:bCs/>
      <w:i/>
      <w:iCs/>
      <w:color w:val="4F81BD"/>
      <w:sz w:val="21"/>
      <w:szCs w:val="22"/>
    </w:rPr>
  </w:style>
  <w:style w:type="character" w:customStyle="1" w:styleId="92">
    <w:name w:val="font161"/>
    <w:uiPriority w:val="0"/>
    <w:rPr>
      <w:b/>
      <w:bCs/>
      <w:sz w:val="32"/>
      <w:szCs w:val="32"/>
    </w:rPr>
  </w:style>
  <w:style w:type="character" w:customStyle="1" w:styleId="93">
    <w:name w:val="正文文字4 Char Char"/>
    <w:uiPriority w:val="0"/>
    <w:rPr>
      <w:rFonts w:eastAsia="宋体"/>
      <w:kern w:val="2"/>
      <w:sz w:val="21"/>
      <w:szCs w:val="24"/>
      <w:lang w:val="en-US" w:eastAsia="zh-CN" w:bidi="ar-SA"/>
    </w:rPr>
  </w:style>
  <w:style w:type="character" w:customStyle="1" w:styleId="94">
    <w:name w:val=" Char Char8"/>
    <w:uiPriority w:val="0"/>
    <w:rPr>
      <w:rFonts w:eastAsia="宋体"/>
      <w:kern w:val="2"/>
      <w:sz w:val="21"/>
      <w:szCs w:val="24"/>
      <w:lang w:val="en-US" w:eastAsia="zh-CN" w:bidi="ar-SA"/>
    </w:rPr>
  </w:style>
  <w:style w:type="character" w:customStyle="1" w:styleId="95">
    <w:name w:val="标题5 Char Char"/>
    <w:link w:val="96"/>
    <w:uiPriority w:val="0"/>
    <w:rPr>
      <w:rFonts w:ascii="Arial" w:hAnsi="Arial"/>
      <w:b/>
      <w:bCs/>
      <w:sz w:val="24"/>
      <w:szCs w:val="32"/>
    </w:rPr>
  </w:style>
  <w:style w:type="paragraph" w:customStyle="1" w:styleId="96">
    <w:name w:val="标题5"/>
    <w:basedOn w:val="4"/>
    <w:link w:val="95"/>
    <w:uiPriority w:val="0"/>
    <w:pPr>
      <w:spacing w:line="413" w:lineRule="auto"/>
    </w:pPr>
    <w:rPr>
      <w:rFonts w:ascii="Arial" w:hAnsi="Arial"/>
      <w:kern w:val="0"/>
      <w:sz w:val="24"/>
    </w:rPr>
  </w:style>
  <w:style w:type="character" w:customStyle="1" w:styleId="97">
    <w:name w:val="批注主题 Char1"/>
    <w:uiPriority w:val="0"/>
    <w:rPr>
      <w:b/>
      <w:bCs/>
      <w:kern w:val="2"/>
      <w:sz w:val="28"/>
      <w:szCs w:val="24"/>
    </w:rPr>
  </w:style>
  <w:style w:type="character" w:customStyle="1" w:styleId="98">
    <w:name w:val=" Char Char6"/>
    <w:uiPriority w:val="0"/>
    <w:rPr>
      <w:rFonts w:eastAsia="宋体"/>
      <w:kern w:val="2"/>
      <w:sz w:val="21"/>
      <w:szCs w:val="24"/>
      <w:lang w:val="en-US" w:eastAsia="zh-CN" w:bidi="ar-SA"/>
    </w:rPr>
  </w:style>
  <w:style w:type="character" w:customStyle="1" w:styleId="99">
    <w:name w:val=" Char Char7"/>
    <w:uiPriority w:val="0"/>
    <w:rPr>
      <w:rFonts w:ascii="宋体" w:hAnsi="Courier New" w:eastAsia="宋体"/>
      <w:kern w:val="2"/>
      <w:sz w:val="21"/>
      <w:lang w:val="en-US" w:eastAsia="zh-CN" w:bidi="ar-SA"/>
    </w:rPr>
  </w:style>
  <w:style w:type="character" w:customStyle="1" w:styleId="100">
    <w:name w:val="ZJ正文 Char"/>
    <w:link w:val="101"/>
    <w:uiPriority w:val="0"/>
    <w:rPr>
      <w:kern w:val="2"/>
      <w:sz w:val="24"/>
      <w:szCs w:val="24"/>
    </w:rPr>
  </w:style>
  <w:style w:type="paragraph" w:customStyle="1" w:styleId="101">
    <w:name w:val="ZJ正文"/>
    <w:basedOn w:val="1"/>
    <w:link w:val="100"/>
    <w:uiPriority w:val="0"/>
    <w:pPr>
      <w:ind w:firstLine="480" w:firstLineChars="200"/>
    </w:pPr>
    <w:rPr>
      <w:sz w:val="24"/>
    </w:rPr>
  </w:style>
  <w:style w:type="character" w:customStyle="1" w:styleId="102">
    <w:name w:val="副标题 Char1"/>
    <w:uiPriority w:val="0"/>
    <w:rPr>
      <w:rFonts w:ascii="Cambria" w:hAnsi="Cambria" w:cs="Times New Roman"/>
      <w:b/>
      <w:bCs/>
      <w:kern w:val="28"/>
      <w:sz w:val="32"/>
      <w:szCs w:val="32"/>
    </w:rPr>
  </w:style>
  <w:style w:type="character" w:customStyle="1" w:styleId="103">
    <w:name w:val=" Char Char19"/>
    <w:uiPriority w:val="0"/>
    <w:rPr>
      <w:rFonts w:ascii="Arial" w:hAnsi="Arial" w:eastAsia="黑体"/>
      <w:b/>
      <w:bCs/>
      <w:kern w:val="2"/>
      <w:sz w:val="32"/>
      <w:szCs w:val="32"/>
      <w:lang w:val="en-US" w:eastAsia="zh-CN" w:bidi="ar-SA"/>
    </w:rPr>
  </w:style>
  <w:style w:type="character" w:customStyle="1" w:styleId="104">
    <w:name w:val="htd01"/>
    <w:basedOn w:val="47"/>
    <w:uiPriority w:val="0"/>
  </w:style>
  <w:style w:type="paragraph" w:customStyle="1" w:styleId="105">
    <w:name w:val="4、正文"/>
    <w:basedOn w:val="1"/>
    <w:qFormat/>
    <w:uiPriority w:val="0"/>
    <w:pPr>
      <w:ind w:firstLine="200" w:firstLineChars="200"/>
    </w:pPr>
    <w:rPr>
      <w:rFonts w:ascii="宋体"/>
      <w:sz w:val="24"/>
      <w:szCs w:val="28"/>
    </w:rPr>
  </w:style>
  <w:style w:type="paragraph" w:customStyle="1" w:styleId="106">
    <w:name w:val="样式 标题 2 + Times New Roman 四号 非加粗 段前: 5 磅 段后: 0 磅 行距: 固定值 20..."/>
    <w:basedOn w:val="2"/>
    <w:uiPriority w:val="0"/>
    <w:pPr>
      <w:spacing w:before="100" w:beforeLines="0" w:after="0" w:afterLines="0" w:line="400" w:lineRule="exact"/>
    </w:pPr>
    <w:rPr>
      <w:rFonts w:ascii="Times New Roman" w:hAnsi="Times New Roman" w:cs="宋体"/>
      <w:b w:val="0"/>
      <w:bCs w:val="0"/>
      <w:sz w:val="28"/>
      <w:szCs w:val="20"/>
    </w:rPr>
  </w:style>
  <w:style w:type="paragraph" w:customStyle="1" w:styleId="107">
    <w:name w:val="p0"/>
    <w:basedOn w:val="1"/>
    <w:uiPriority w:val="0"/>
    <w:pPr>
      <w:widowControl/>
    </w:pPr>
    <w:rPr>
      <w:kern w:val="0"/>
      <w:szCs w:val="28"/>
    </w:rPr>
  </w:style>
  <w:style w:type="paragraph" w:customStyle="1" w:styleId="108">
    <w:name w:val="注释级别 4"/>
    <w:basedOn w:val="1"/>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09">
    <w:name w:val="注释级别 5"/>
    <w:basedOn w:val="1"/>
    <w:uiPriority w:val="0"/>
    <w:pPr>
      <w:keepNext/>
      <w:numPr>
        <w:ilvl w:val="4"/>
        <w:numId w:val="4"/>
      </w:numPr>
      <w:tabs>
        <w:tab w:val="left" w:pos="0"/>
        <w:tab w:val="clear" w:pos="2880"/>
      </w:tabs>
      <w:spacing w:line="360" w:lineRule="auto"/>
      <w:outlineLvl w:val="4"/>
    </w:pPr>
    <w:rPr>
      <w:rFonts w:ascii="宋体"/>
      <w:sz w:val="24"/>
    </w:rPr>
  </w:style>
  <w:style w:type="paragraph" w:customStyle="1" w:styleId="110">
    <w:name w:val="_Style 109"/>
    <w:unhideWhenUsed/>
    <w:uiPriority w:val="99"/>
    <w:rPr>
      <w:rFonts w:ascii="Times New Roman" w:hAnsi="Times New Roman" w:eastAsia="宋体" w:cs="Times New Roman"/>
      <w:kern w:val="2"/>
      <w:sz w:val="28"/>
      <w:szCs w:val="24"/>
      <w:lang w:val="en-US" w:eastAsia="zh-CN" w:bidi="ar-SA"/>
    </w:rPr>
  </w:style>
  <w:style w:type="paragraph" w:customStyle="1" w:styleId="111">
    <w:name w:val="正文段"/>
    <w:basedOn w:val="1"/>
    <w:qFormat/>
    <w:uiPriority w:val="0"/>
    <w:pPr>
      <w:widowControl/>
      <w:snapToGrid w:val="0"/>
      <w:spacing w:after="156" w:afterLines="50"/>
      <w:ind w:firstLine="200" w:firstLineChars="200"/>
    </w:pPr>
    <w:rPr>
      <w:kern w:val="0"/>
      <w:sz w:val="24"/>
      <w:szCs w:val="20"/>
    </w:rPr>
  </w:style>
  <w:style w:type="paragraph" w:customStyle="1" w:styleId="112">
    <w:name w:val=" Char1 Char Char Char Char Char1 Char"/>
    <w:basedOn w:val="1"/>
    <w:uiPriority w:val="0"/>
    <w:pPr>
      <w:widowControl/>
      <w:spacing w:after="160" w:line="240" w:lineRule="exact"/>
      <w:jc w:val="left"/>
    </w:pPr>
    <w:rPr>
      <w:sz w:val="21"/>
    </w:rPr>
  </w:style>
  <w:style w:type="paragraph" w:customStyle="1" w:styleId="113">
    <w:name w:val=" Char1"/>
    <w:basedOn w:val="1"/>
    <w:uiPriority w:val="0"/>
    <w:pPr>
      <w:jc w:val="center"/>
    </w:pPr>
    <w:rPr>
      <w:rFonts w:ascii="仿宋_GB2312" w:eastAsia="仿宋_GB2312"/>
      <w:b/>
      <w:kern w:val="0"/>
      <w:sz w:val="32"/>
      <w:szCs w:val="32"/>
      <w:lang w:val="en-GB"/>
    </w:rPr>
  </w:style>
  <w:style w:type="paragraph" w:customStyle="1" w:styleId="114">
    <w:name w:val="样式 标题 1 + 黑体 三号 非加粗 居中 段前: 6 磅 段后: 6 磅 行距: 固定值 20 磅"/>
    <w:basedOn w:val="3"/>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15">
    <w:name w:val="表格"/>
    <w:basedOn w:val="1"/>
    <w:uiPriority w:val="0"/>
    <w:pPr>
      <w:jc w:val="center"/>
      <w:textAlignment w:val="center"/>
    </w:pPr>
    <w:rPr>
      <w:rFonts w:ascii="华文细黑" w:hAnsi="华文细黑"/>
      <w:kern w:val="0"/>
      <w:sz w:val="21"/>
      <w:szCs w:val="20"/>
    </w:rPr>
  </w:style>
  <w:style w:type="paragraph" w:customStyle="1" w:styleId="116">
    <w:name w:val=" Char2"/>
    <w:basedOn w:val="1"/>
    <w:uiPriority w:val="0"/>
    <w:rPr>
      <w:rFonts w:ascii="仿宋_GB2312" w:eastAsia="仿宋_GB2312"/>
      <w:b/>
      <w:sz w:val="32"/>
      <w:szCs w:val="32"/>
    </w:rPr>
  </w:style>
  <w:style w:type="paragraph" w:customStyle="1" w:styleId="117">
    <w:name w:val="注释级别 7"/>
    <w:basedOn w:val="1"/>
    <w:uiPriority w:val="0"/>
    <w:pPr>
      <w:keepNext/>
      <w:numPr>
        <w:ilvl w:val="6"/>
        <w:numId w:val="4"/>
      </w:numPr>
      <w:tabs>
        <w:tab w:val="left" w:pos="0"/>
        <w:tab w:val="clear" w:pos="4320"/>
      </w:tabs>
      <w:spacing w:line="360" w:lineRule="auto"/>
      <w:outlineLvl w:val="6"/>
    </w:pPr>
    <w:rPr>
      <w:rFonts w:ascii="宋体"/>
      <w:sz w:val="24"/>
    </w:rPr>
  </w:style>
  <w:style w:type="paragraph" w:customStyle="1" w:styleId="118">
    <w:name w:val="样式 标题 3 + Arial"/>
    <w:basedOn w:val="4"/>
    <w:uiPriority w:val="0"/>
    <w:pPr>
      <w:spacing w:before="312" w:beforeLines="100" w:after="0" w:afterLines="0" w:line="360" w:lineRule="auto"/>
    </w:pPr>
    <w:rPr>
      <w:rFonts w:ascii="Arial" w:hAnsi="Arial"/>
      <w:sz w:val="24"/>
    </w:rPr>
  </w:style>
  <w:style w:type="paragraph" w:customStyle="1" w:styleId="119">
    <w:name w:val=" Char"/>
    <w:basedOn w:val="1"/>
    <w:uiPriority w:val="0"/>
    <w:rPr>
      <w:sz w:val="24"/>
    </w:rPr>
  </w:style>
  <w:style w:type="paragraph" w:customStyle="1" w:styleId="120">
    <w:name w:val="6'"/>
    <w:basedOn w:val="1"/>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21">
    <w:name w:val="1"/>
    <w:basedOn w:val="1"/>
    <w:next w:val="1"/>
    <w:uiPriority w:val="0"/>
    <w:rPr>
      <w:sz w:val="21"/>
    </w:rPr>
  </w:style>
  <w:style w:type="paragraph" w:customStyle="1" w:styleId="122">
    <w:name w:val="注释级别 8"/>
    <w:basedOn w:val="1"/>
    <w:uiPriority w:val="0"/>
    <w:pPr>
      <w:keepNext/>
      <w:numPr>
        <w:ilvl w:val="7"/>
        <w:numId w:val="4"/>
      </w:numPr>
      <w:tabs>
        <w:tab w:val="left" w:pos="0"/>
        <w:tab w:val="clear" w:pos="5040"/>
      </w:tabs>
      <w:spacing w:line="360" w:lineRule="auto"/>
      <w:outlineLvl w:val="7"/>
    </w:pPr>
    <w:rPr>
      <w:rFonts w:ascii="宋体"/>
      <w:sz w:val="24"/>
    </w:rPr>
  </w:style>
  <w:style w:type="paragraph" w:customStyle="1" w:styleId="123">
    <w:name w:val="表内文字"/>
    <w:basedOn w:val="1"/>
    <w:uiPriority w:val="0"/>
    <w:pPr>
      <w:tabs>
        <w:tab w:val="left" w:pos="1418"/>
      </w:tabs>
      <w:spacing w:line="360" w:lineRule="auto"/>
      <w:jc w:val="center"/>
    </w:pPr>
    <w:rPr>
      <w:rFonts w:hint="eastAsia" w:ascii="仿宋_GB2312" w:eastAsia="仿宋_GB2312"/>
      <w:spacing w:val="-20"/>
      <w:kern w:val="0"/>
      <w:sz w:val="24"/>
    </w:rPr>
  </w:style>
  <w:style w:type="paragraph" w:customStyle="1" w:styleId="124">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5">
    <w:name w:val="注释级别 3"/>
    <w:basedOn w:val="1"/>
    <w:uiPriority w:val="0"/>
    <w:pPr>
      <w:keepNext/>
      <w:numPr>
        <w:ilvl w:val="2"/>
        <w:numId w:val="4"/>
      </w:numPr>
      <w:tabs>
        <w:tab w:val="left" w:pos="0"/>
        <w:tab w:val="clear" w:pos="1440"/>
      </w:tabs>
      <w:spacing w:line="360" w:lineRule="auto"/>
      <w:outlineLvl w:val="2"/>
    </w:pPr>
    <w:rPr>
      <w:rFonts w:ascii="宋体"/>
      <w:sz w:val="24"/>
    </w:rPr>
  </w:style>
  <w:style w:type="paragraph" w:customStyle="1" w:styleId="126">
    <w:name w:val="Blockquote"/>
    <w:basedOn w:val="1"/>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27">
    <w:name w:val="默认段落字体 Para Char Char Char Char Char Char Char Char Char1 Char Char Char Char"/>
    <w:basedOn w:val="1"/>
    <w:uiPriority w:val="0"/>
    <w:rPr>
      <w:rFonts w:ascii="Tahoma" w:hAnsi="Tahoma"/>
      <w:sz w:val="24"/>
      <w:szCs w:val="20"/>
    </w:rPr>
  </w:style>
  <w:style w:type="paragraph" w:customStyle="1" w:styleId="128">
    <w:name w:val="占位符文本2"/>
    <w:basedOn w:val="1"/>
    <w:uiPriority w:val="0"/>
    <w:pPr>
      <w:keepNext/>
      <w:numPr>
        <w:ilvl w:val="0"/>
        <w:numId w:val="4"/>
      </w:numPr>
      <w:spacing w:line="360" w:lineRule="auto"/>
      <w:outlineLvl w:val="0"/>
    </w:pPr>
    <w:rPr>
      <w:rFonts w:ascii="宋体"/>
      <w:sz w:val="24"/>
    </w:rPr>
  </w:style>
  <w:style w:type="paragraph" w:styleId="129">
    <w:name w:val="List Paragraph"/>
    <w:basedOn w:val="1"/>
    <w:qFormat/>
    <w:uiPriority w:val="0"/>
    <w:pPr>
      <w:ind w:firstLine="420" w:firstLineChars="200"/>
    </w:pPr>
    <w:rPr>
      <w:rFonts w:ascii="Calibri" w:hAnsi="Calibri"/>
      <w:sz w:val="21"/>
      <w:szCs w:val="22"/>
    </w:rPr>
  </w:style>
  <w:style w:type="paragraph" w:customStyle="1" w:styleId="130">
    <w:name w:val="表格文字"/>
    <w:basedOn w:val="1"/>
    <w:uiPriority w:val="0"/>
    <w:pPr>
      <w:adjustRightInd w:val="0"/>
      <w:spacing w:line="420" w:lineRule="atLeast"/>
      <w:jc w:val="left"/>
      <w:textAlignment w:val="baseline"/>
    </w:pPr>
    <w:rPr>
      <w:kern w:val="0"/>
      <w:sz w:val="21"/>
      <w:szCs w:val="20"/>
    </w:rPr>
  </w:style>
  <w:style w:type="paragraph" w:customStyle="1" w:styleId="131">
    <w:name w:val="样式 样式 样式1 + 首行缩进:  2 字符 + 左侧:  0.74 厘米"/>
    <w:basedOn w:val="132"/>
    <w:uiPriority w:val="0"/>
    <w:pPr>
      <w:ind w:firstLine="200"/>
    </w:pPr>
  </w:style>
  <w:style w:type="paragraph" w:customStyle="1" w:styleId="132">
    <w:name w:val="样式 样式1 + 首行缩进:  2 字符"/>
    <w:basedOn w:val="1"/>
    <w:uiPriority w:val="0"/>
    <w:pPr>
      <w:spacing w:line="360" w:lineRule="exact"/>
      <w:ind w:firstLine="420" w:firstLineChars="200"/>
    </w:pPr>
    <w:rPr>
      <w:rFonts w:ascii="Arial" w:hAnsi="Arial" w:cs="宋体"/>
      <w:sz w:val="21"/>
      <w:szCs w:val="20"/>
    </w:rPr>
  </w:style>
  <w:style w:type="paragraph" w:customStyle="1" w:styleId="133">
    <w:name w:val="样式 正文文本"/>
    <w:basedOn w:val="1"/>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34">
    <w:name w:val="样式 标题 3 + 段前: 7.8 磅"/>
    <w:basedOn w:val="4"/>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35">
    <w:name w:val="正文缩进2字符"/>
    <w:basedOn w:val="1"/>
    <w:uiPriority w:val="0"/>
    <w:pPr>
      <w:ind w:firstLine="480" w:firstLineChars="200"/>
    </w:pPr>
    <w:rPr>
      <w:rFonts w:hint="eastAsia" w:ascii="宋体" w:hAnsi="宋体"/>
      <w:sz w:val="24"/>
      <w:szCs w:val="20"/>
    </w:rPr>
  </w:style>
  <w:style w:type="paragraph" w:customStyle="1" w:styleId="136">
    <w:name w:val="注释级别 6"/>
    <w:basedOn w:val="1"/>
    <w:uiPriority w:val="0"/>
    <w:pPr>
      <w:keepNext/>
      <w:numPr>
        <w:ilvl w:val="5"/>
        <w:numId w:val="4"/>
      </w:numPr>
      <w:tabs>
        <w:tab w:val="left" w:pos="0"/>
        <w:tab w:val="clear" w:pos="3600"/>
      </w:tabs>
      <w:spacing w:line="360" w:lineRule="auto"/>
      <w:outlineLvl w:val="5"/>
    </w:pPr>
    <w:rPr>
      <w:rFonts w:ascii="宋体"/>
      <w:sz w:val="24"/>
    </w:rPr>
  </w:style>
  <w:style w:type="paragraph" w:customStyle="1" w:styleId="137">
    <w:name w:val="样式 标题 3 + (中文) 黑体 小四 非加粗 段前: 7.8 磅 段后: 0 磅 行距: 固定值 20 磅"/>
    <w:basedOn w:val="4"/>
    <w:uiPriority w:val="0"/>
    <w:pPr>
      <w:spacing w:before="0" w:beforeLines="0" w:after="0" w:afterLines="0" w:line="400" w:lineRule="exact"/>
    </w:pPr>
    <w:rPr>
      <w:rFonts w:eastAsia="黑体" w:cs="宋体"/>
      <w:b w:val="0"/>
      <w:bCs w:val="0"/>
      <w:sz w:val="24"/>
      <w:szCs w:val="20"/>
    </w:rPr>
  </w:style>
  <w:style w:type="paragraph" w:customStyle="1" w:styleId="138">
    <w:name w:val="注释级别 9"/>
    <w:basedOn w:val="1"/>
    <w:uiPriority w:val="0"/>
    <w:pPr>
      <w:keepNext/>
      <w:numPr>
        <w:ilvl w:val="8"/>
        <w:numId w:val="4"/>
      </w:numPr>
      <w:tabs>
        <w:tab w:val="left" w:pos="0"/>
        <w:tab w:val="clear" w:pos="5760"/>
      </w:tabs>
      <w:spacing w:line="360" w:lineRule="auto"/>
      <w:outlineLvl w:val="8"/>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35</Pages>
  <Words>19795</Words>
  <Characters>20749</Characters>
  <Lines>133</Lines>
  <Paragraphs>37</Paragraphs>
  <TotalTime>6</TotalTime>
  <ScaleCrop>false</ScaleCrop>
  <LinksUpToDate>false</LinksUpToDate>
  <CharactersWithSpaces>22215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2019-05-27T08:14:00Z</dcterms:created>
  <dc:creator>费国炎</dc:creator>
  <cp:lastModifiedBy>建设咨询</cp:lastModifiedBy>
  <cp:lastPrinted>2023-11-01T02:32:00Z</cp:lastPrinted>
  <dcterms:modified xsi:type="dcterms:W3CDTF">2023-11-09T02:28:56Z</dcterms:modified>
  <dc:title>浙江省政府采购招标文件（范本）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D67A2D2EE4B34B6C922D9C848F2EB74E_13</vt:lpwstr>
  </property>
</Properties>
</file>