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p>
    <w:p>
      <w:pPr>
        <w:pStyle w:val="30"/>
        <w:jc w:val="center"/>
        <w:rPr>
          <w:rFonts w:hint="eastAsia" w:eastAsia="宋体"/>
          <w:b/>
          <w:bCs/>
          <w:sz w:val="36"/>
          <w:szCs w:val="40"/>
          <w:highlight w:val="none"/>
          <w:lang w:eastAsia="zh-CN"/>
        </w:rPr>
      </w:pPr>
      <w:r>
        <w:rPr>
          <w:rFonts w:hint="eastAsia"/>
          <w:b/>
          <w:bCs/>
          <w:sz w:val="36"/>
          <w:szCs w:val="40"/>
          <w:highlight w:val="none"/>
          <w:lang w:eastAsia="zh-CN"/>
        </w:rPr>
        <w:t>台州湾新区校园联网视频监控系统信号接入项目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r>
        <w:rPr>
          <w:rFonts w:hint="eastAsia" w:ascii="宋体"/>
          <w:b/>
          <w:kern w:val="0"/>
          <w:sz w:val="52"/>
          <w:szCs w:val="52"/>
          <w:highlight w:val="none"/>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val="0"/>
          <w:bCs w:val="0"/>
          <w:kern w:val="0"/>
          <w:sz w:val="24"/>
          <w:highlight w:val="none"/>
          <w:lang w:eastAsia="zh-CN"/>
        </w:rPr>
      </w:pPr>
      <w:r>
        <w:rPr>
          <w:rFonts w:hint="eastAsia" w:ascii="宋体" w:hAnsi="宋体" w:cs="Calibri Light"/>
          <w:b w:val="0"/>
          <w:bCs w:val="0"/>
          <w:kern w:val="0"/>
          <w:sz w:val="24"/>
          <w:highlight w:val="none"/>
        </w:rPr>
        <w:t>采购编号：</w:t>
      </w:r>
      <w:r>
        <w:rPr>
          <w:rFonts w:ascii="宋体"/>
          <w:b w:val="0"/>
          <w:bCs w:val="0"/>
          <w:kern w:val="0"/>
          <w:sz w:val="24"/>
          <w:highlight w:val="none"/>
        </w:rPr>
        <w:t xml:space="preserve"> </w:t>
      </w:r>
      <w:r>
        <w:rPr>
          <w:rFonts w:hint="eastAsia" w:ascii="宋体"/>
          <w:b w:val="0"/>
          <w:bCs w:val="0"/>
          <w:kern w:val="0"/>
          <w:sz w:val="24"/>
          <w:highlight w:val="none"/>
          <w:lang w:eastAsia="zh-CN"/>
        </w:rPr>
        <w:t>TZYY-2311-005号</w:t>
      </w:r>
    </w:p>
    <w:p>
      <w:pPr>
        <w:tabs>
          <w:tab w:val="left" w:pos="1260"/>
        </w:tabs>
        <w:spacing w:line="640" w:lineRule="exact"/>
        <w:outlineLvl w:val="9"/>
        <w:rPr>
          <w:rFonts w:ascii="宋体" w:hAnsi="宋体"/>
          <w:spacing w:val="20"/>
          <w:kern w:val="21"/>
          <w:sz w:val="30"/>
          <w:szCs w:val="30"/>
          <w:highlight w:val="none"/>
        </w:rPr>
      </w:pPr>
    </w:p>
    <w:p>
      <w:pPr>
        <w:tabs>
          <w:tab w:val="left" w:pos="1260"/>
        </w:tabs>
        <w:spacing w:line="640" w:lineRule="exact"/>
        <w:ind w:firstLine="1020" w:firstLineChars="300"/>
        <w:outlineLvl w:val="0"/>
        <w:rPr>
          <w:rFonts w:ascii="宋体" w:hAnsi="宋体"/>
          <w:spacing w:val="20"/>
          <w:kern w:val="21"/>
          <w:sz w:val="30"/>
          <w:szCs w:val="30"/>
          <w:highlight w:val="none"/>
        </w:rPr>
      </w:pPr>
      <w:bookmarkStart w:id="0" w:name="_Toc4593"/>
      <w:bookmarkStart w:id="1" w:name="_Toc21035"/>
      <w:r>
        <w:rPr>
          <w:rFonts w:hint="eastAsia" w:ascii="宋体" w:hAnsi="宋体"/>
          <w:spacing w:val="20"/>
          <w:kern w:val="21"/>
          <w:sz w:val="30"/>
          <w:szCs w:val="30"/>
          <w:highlight w:val="none"/>
        </w:rPr>
        <w:t>采</w:t>
      </w:r>
      <w:r>
        <w:rPr>
          <w:rFonts w:hint="eastAsia" w:ascii="宋体" w:hAnsi="宋体"/>
          <w:spacing w:val="20"/>
          <w:kern w:val="21"/>
          <w:sz w:val="30"/>
          <w:szCs w:val="30"/>
          <w:highlight w:val="none"/>
          <w:lang w:val="en-US" w:eastAsia="zh-CN"/>
        </w:rPr>
        <w:t xml:space="preserve"> </w:t>
      </w:r>
      <w:r>
        <w:rPr>
          <w:rFonts w:hint="eastAsia" w:ascii="宋体" w:hAnsi="宋体"/>
          <w:spacing w:val="20"/>
          <w:kern w:val="21"/>
          <w:sz w:val="30"/>
          <w:szCs w:val="30"/>
          <w:highlight w:val="none"/>
        </w:rPr>
        <w:t>购</w:t>
      </w:r>
      <w:r>
        <w:rPr>
          <w:rFonts w:hint="eastAsia" w:ascii="宋体" w:hAnsi="宋体"/>
          <w:spacing w:val="20"/>
          <w:kern w:val="21"/>
          <w:sz w:val="30"/>
          <w:szCs w:val="30"/>
          <w:highlight w:val="none"/>
          <w:lang w:val="en-US" w:eastAsia="zh-CN"/>
        </w:rPr>
        <w:t xml:space="preserve"> </w:t>
      </w:r>
      <w:r>
        <w:rPr>
          <w:rFonts w:hint="eastAsia" w:ascii="宋体" w:hAnsi="宋体"/>
          <w:spacing w:val="20"/>
          <w:kern w:val="21"/>
          <w:sz w:val="30"/>
          <w:szCs w:val="30"/>
          <w:highlight w:val="none"/>
        </w:rPr>
        <w:t>人：</w:t>
      </w:r>
      <w:r>
        <w:rPr>
          <w:rFonts w:hint="eastAsia"/>
          <w:sz w:val="28"/>
          <w:highlight w:val="none"/>
          <w:u w:val="single"/>
          <w:lang w:val="en-US" w:eastAsia="zh-CN"/>
        </w:rPr>
        <w:t>台州湾新区管理委员会</w:t>
      </w:r>
      <w:r>
        <w:rPr>
          <w:sz w:val="28"/>
          <w:highlight w:val="none"/>
          <w:u w:val="single"/>
        </w:rPr>
        <w:t xml:space="preserve"> </w:t>
      </w:r>
      <w:r>
        <w:rPr>
          <w:rFonts w:hint="eastAsia" w:ascii="宋体" w:hAnsi="宋体"/>
          <w:spacing w:val="20"/>
          <w:kern w:val="21"/>
          <w:sz w:val="30"/>
          <w:szCs w:val="30"/>
          <w:highlight w:val="none"/>
        </w:rPr>
        <w:t>（盖章）</w:t>
      </w:r>
      <w:bookmarkEnd w:id="0"/>
      <w:bookmarkEnd w:id="1"/>
    </w:p>
    <w:p>
      <w:pPr>
        <w:spacing w:line="640" w:lineRule="exact"/>
        <w:ind w:firstLine="1020" w:firstLineChars="300"/>
        <w:outlineLvl w:val="0"/>
        <w:rPr>
          <w:rFonts w:ascii="宋体" w:hAnsi="宋体"/>
          <w:spacing w:val="20"/>
          <w:kern w:val="21"/>
          <w:sz w:val="30"/>
          <w:szCs w:val="30"/>
          <w:highlight w:val="none"/>
        </w:rPr>
      </w:pPr>
      <w:bookmarkStart w:id="2" w:name="_Toc2843"/>
      <w:bookmarkStart w:id="3" w:name="_Toc30391"/>
      <w:r>
        <w:rPr>
          <w:rFonts w:hint="eastAsia" w:ascii="宋体" w:hAnsi="宋体"/>
          <w:spacing w:val="20"/>
          <w:kern w:val="21"/>
          <w:sz w:val="30"/>
          <w:szCs w:val="30"/>
          <w:highlight w:val="none"/>
        </w:rPr>
        <w:t>联 系 人：</w:t>
      </w:r>
      <w:r>
        <w:rPr>
          <w:rFonts w:hint="eastAsia" w:hAnsi="宋体"/>
          <w:sz w:val="28"/>
          <w:highlight w:val="none"/>
          <w:u w:val="single"/>
          <w:lang w:val="en-US" w:eastAsia="zh-CN"/>
        </w:rPr>
        <w:t>徐先生</w:t>
      </w:r>
      <w:bookmarkEnd w:id="2"/>
      <w:bookmarkEnd w:id="3"/>
    </w:p>
    <w:p>
      <w:pPr>
        <w:spacing w:line="640" w:lineRule="exact"/>
        <w:ind w:firstLine="1020" w:firstLineChars="300"/>
        <w:outlineLvl w:val="0"/>
        <w:rPr>
          <w:rFonts w:ascii="宋体" w:hAnsi="宋体"/>
          <w:color w:val="auto"/>
          <w:spacing w:val="20"/>
          <w:kern w:val="21"/>
          <w:sz w:val="30"/>
          <w:szCs w:val="30"/>
          <w:highlight w:val="none"/>
        </w:rPr>
      </w:pPr>
      <w:bookmarkStart w:id="4" w:name="_Toc26007"/>
      <w:bookmarkStart w:id="5" w:name="_Toc24554"/>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eastAsia="zh-CN"/>
        </w:rPr>
        <w:t>0576-88217513</w:t>
      </w:r>
      <w:bookmarkEnd w:id="4"/>
      <w:bookmarkEnd w:id="5"/>
    </w:p>
    <w:p>
      <w:pPr>
        <w:pStyle w:val="13"/>
        <w:numPr>
          <w:ilvl w:val="0"/>
          <w:numId w:val="0"/>
        </w:numPr>
        <w:rPr>
          <w:highlight w:val="none"/>
        </w:rPr>
      </w:pPr>
    </w:p>
    <w:p>
      <w:pPr>
        <w:spacing w:line="640" w:lineRule="exact"/>
        <w:ind w:firstLine="1020" w:firstLineChars="300"/>
        <w:outlineLvl w:val="0"/>
        <w:rPr>
          <w:rFonts w:ascii="宋体" w:hAnsi="宋体"/>
          <w:spacing w:val="20"/>
          <w:kern w:val="21"/>
          <w:sz w:val="30"/>
          <w:szCs w:val="30"/>
          <w:highlight w:val="none"/>
        </w:rPr>
      </w:pPr>
      <w:bookmarkStart w:id="6" w:name="_Toc935"/>
      <w:bookmarkStart w:id="7" w:name="_Toc5949"/>
      <w:r>
        <w:rPr>
          <w:rFonts w:hint="eastAsia" w:ascii="宋体" w:hAnsi="宋体"/>
          <w:spacing w:val="20"/>
          <w:kern w:val="21"/>
          <w:sz w:val="30"/>
          <w:szCs w:val="30"/>
          <w:highlight w:val="none"/>
        </w:rPr>
        <w:t>招标代理：</w:t>
      </w:r>
      <w:r>
        <w:rPr>
          <w:rFonts w:hint="eastAsia" w:ascii="宋体" w:hAnsi="宋体"/>
          <w:sz w:val="28"/>
          <w:highlight w:val="none"/>
          <w:u w:val="single"/>
          <w:lang w:eastAsia="zh-CN"/>
        </w:rPr>
        <w:t>台州市永阳科技有限公司</w:t>
      </w:r>
      <w:r>
        <w:rPr>
          <w:rFonts w:hint="eastAsia" w:ascii="宋体" w:hAnsi="宋体"/>
          <w:spacing w:val="20"/>
          <w:kern w:val="21"/>
          <w:sz w:val="30"/>
          <w:szCs w:val="30"/>
          <w:highlight w:val="none"/>
        </w:rPr>
        <w:t>（盖章）</w:t>
      </w:r>
      <w:bookmarkEnd w:id="6"/>
      <w:bookmarkEnd w:id="7"/>
    </w:p>
    <w:p>
      <w:pPr>
        <w:spacing w:line="640" w:lineRule="exact"/>
        <w:ind w:firstLine="1020" w:firstLineChars="300"/>
        <w:outlineLvl w:val="0"/>
        <w:rPr>
          <w:rFonts w:ascii="宋体" w:hAnsi="宋体"/>
          <w:spacing w:val="20"/>
          <w:kern w:val="21"/>
          <w:sz w:val="30"/>
          <w:szCs w:val="30"/>
          <w:highlight w:val="none"/>
        </w:rPr>
      </w:pPr>
      <w:bookmarkStart w:id="8" w:name="_Toc25242"/>
      <w:bookmarkStart w:id="9" w:name="_Toc29235"/>
      <w:r>
        <w:rPr>
          <w:rFonts w:hint="eastAsia" w:ascii="宋体" w:hAnsi="宋体"/>
          <w:spacing w:val="20"/>
          <w:kern w:val="21"/>
          <w:sz w:val="30"/>
          <w:szCs w:val="30"/>
          <w:highlight w:val="none"/>
        </w:rPr>
        <w:t>联 系 人：</w:t>
      </w:r>
      <w:r>
        <w:rPr>
          <w:rFonts w:hint="eastAsia" w:ascii="宋体" w:hAnsi="宋体"/>
          <w:sz w:val="28"/>
          <w:highlight w:val="none"/>
          <w:u w:val="single"/>
          <w:lang w:val="en-US" w:eastAsia="zh-CN"/>
        </w:rPr>
        <w:t>周先生</w:t>
      </w:r>
      <w:bookmarkEnd w:id="8"/>
      <w:bookmarkEnd w:id="9"/>
    </w:p>
    <w:p>
      <w:pPr>
        <w:spacing w:line="480" w:lineRule="auto"/>
        <w:ind w:firstLine="1020" w:firstLineChars="300"/>
        <w:rPr>
          <w:rFonts w:ascii="宋体" w:hAnsi="宋体"/>
          <w:spacing w:val="20"/>
          <w:kern w:val="21"/>
          <w:sz w:val="30"/>
          <w:szCs w:val="30"/>
          <w:highlight w:val="none"/>
        </w:rPr>
      </w:pPr>
      <w:r>
        <w:rPr>
          <w:rFonts w:hint="eastAsia" w:ascii="宋体" w:hAnsi="宋体"/>
          <w:spacing w:val="20"/>
          <w:kern w:val="21"/>
          <w:sz w:val="30"/>
          <w:szCs w:val="30"/>
          <w:highlight w:val="none"/>
        </w:rPr>
        <w:t>联系电话：</w:t>
      </w:r>
      <w:r>
        <w:rPr>
          <w:rFonts w:hint="eastAsia" w:ascii="宋体" w:hAnsi="宋体"/>
          <w:sz w:val="28"/>
          <w:highlight w:val="none"/>
          <w:u w:val="single"/>
          <w:lang w:val="en-US" w:eastAsia="zh-CN"/>
        </w:rPr>
        <w:t>18958682891</w:t>
      </w:r>
    </w:p>
    <w:p>
      <w:pPr>
        <w:spacing w:line="640" w:lineRule="exact"/>
        <w:ind w:firstLine="1020" w:firstLineChars="300"/>
        <w:outlineLvl w:val="0"/>
        <w:rPr>
          <w:rFonts w:ascii="宋体" w:hAnsi="宋体"/>
          <w:b/>
          <w:sz w:val="36"/>
          <w:highlight w:val="none"/>
        </w:rPr>
        <w:sectPr>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bookmarkStart w:id="10" w:name="_Toc5450"/>
      <w:bookmarkStart w:id="11" w:name="_Toc4464"/>
      <w:r>
        <w:rPr>
          <w:rFonts w:hint="eastAsia" w:ascii="宋体" w:hAnsi="宋体"/>
          <w:spacing w:val="20"/>
          <w:kern w:val="21"/>
          <w:sz w:val="30"/>
          <w:szCs w:val="30"/>
          <w:highlight w:val="none"/>
        </w:rPr>
        <w:t>日    期：2023年</w:t>
      </w:r>
      <w:r>
        <w:rPr>
          <w:rFonts w:hint="eastAsia" w:ascii="宋体" w:hAnsi="宋体"/>
          <w:spacing w:val="20"/>
          <w:kern w:val="21"/>
          <w:sz w:val="30"/>
          <w:szCs w:val="30"/>
          <w:highlight w:val="none"/>
          <w:lang w:val="en-US" w:eastAsia="zh-CN"/>
        </w:rPr>
        <w:t>11</w:t>
      </w:r>
      <w:r>
        <w:rPr>
          <w:rFonts w:hint="eastAsia" w:ascii="宋体" w:hAnsi="宋体"/>
          <w:spacing w:val="20"/>
          <w:kern w:val="21"/>
          <w:sz w:val="30"/>
          <w:szCs w:val="30"/>
          <w:highlight w:val="none"/>
        </w:rPr>
        <w:t>月</w:t>
      </w:r>
      <w:bookmarkEnd w:id="10"/>
      <w:bookmarkEnd w:id="11"/>
    </w:p>
    <w:p>
      <w:pPr>
        <w:pStyle w:val="34"/>
        <w:rPr>
          <w:highlight w:val="none"/>
        </w:rPr>
      </w:pPr>
    </w:p>
    <w:sdt>
      <w:sdtPr>
        <w:rPr>
          <w:rFonts w:ascii="宋体" w:hAnsi="宋体" w:eastAsia="宋体" w:cs="Times New Roman"/>
          <w:kern w:val="2"/>
          <w:sz w:val="21"/>
          <w:szCs w:val="24"/>
          <w:highlight w:val="none"/>
          <w:lang w:val="en-US" w:eastAsia="zh-CN" w:bidi="ar-SA"/>
        </w:rPr>
        <w:id w:val="147462683"/>
        <w15:color w:val="DBDBDB"/>
        <w:docPartObj>
          <w:docPartGallery w:val="Table of Contents"/>
          <w:docPartUnique/>
        </w:docPartObj>
      </w:sdtPr>
      <w:sdtEndPr>
        <w:rPr>
          <w:rFonts w:ascii="Times New Roman" w:hAnsi="Times New Roman" w:eastAsia="宋体" w:cs="Times New Roman"/>
          <w:kern w:val="2"/>
          <w:sz w:val="21"/>
          <w:szCs w:val="28"/>
          <w:highlight w:val="none"/>
          <w:lang w:val="en-US" w:eastAsia="zh-CN" w:bidi="ar-SA"/>
        </w:rPr>
      </w:sdtEndPr>
      <w:sdtContent>
        <w:p>
          <w:pPr>
            <w:spacing w:before="0" w:beforeLines="0" w:after="0" w:afterLines="0" w:line="240" w:lineRule="auto"/>
            <w:ind w:left="0" w:leftChars="0" w:right="0" w:rightChars="0" w:firstLine="0" w:firstLineChars="0"/>
            <w:jc w:val="center"/>
            <w:rPr>
              <w:sz w:val="40"/>
              <w:szCs w:val="48"/>
              <w:highlight w:val="none"/>
            </w:rPr>
          </w:pPr>
          <w:r>
            <w:rPr>
              <w:rFonts w:ascii="宋体" w:hAnsi="宋体" w:eastAsia="宋体"/>
              <w:sz w:val="40"/>
              <w:szCs w:val="48"/>
              <w:highlight w:val="none"/>
            </w:rPr>
            <w:t>目录</w:t>
          </w:r>
        </w:p>
        <w:p>
          <w:pPr>
            <w:pStyle w:val="18"/>
            <w:tabs>
              <w:tab w:val="right" w:leader="dot" w:pos="9184"/>
            </w:tabs>
          </w:pPr>
          <w:r>
            <w:rPr>
              <w:sz w:val="52"/>
              <w:szCs w:val="52"/>
              <w:highlight w:val="none"/>
            </w:rPr>
            <w:fldChar w:fldCharType="begin"/>
          </w:r>
          <w:r>
            <w:rPr>
              <w:sz w:val="52"/>
              <w:szCs w:val="52"/>
              <w:highlight w:val="none"/>
            </w:rPr>
            <w:instrText xml:space="preserve">TOC \o "1-1" \h \u </w:instrText>
          </w:r>
          <w:r>
            <w:rPr>
              <w:sz w:val="52"/>
              <w:szCs w:val="52"/>
              <w:highlight w:val="none"/>
            </w:rPr>
            <w:fldChar w:fldCharType="separate"/>
          </w:r>
          <w:r>
            <w:rPr>
              <w:szCs w:val="52"/>
              <w:highlight w:val="none"/>
            </w:rPr>
            <w:fldChar w:fldCharType="begin"/>
          </w:r>
          <w:r>
            <w:rPr>
              <w:szCs w:val="52"/>
              <w:highlight w:val="none"/>
            </w:rPr>
            <w:instrText xml:space="preserve"> HYPERLINK \l _Toc19083 </w:instrText>
          </w:r>
          <w:r>
            <w:rPr>
              <w:szCs w:val="52"/>
              <w:highlight w:val="none"/>
            </w:rPr>
            <w:fldChar w:fldCharType="separate"/>
          </w:r>
          <w:r>
            <w:rPr>
              <w:rFonts w:hint="eastAsia" w:ascii="宋体" w:hAnsi="宋体" w:cs="宋体"/>
              <w:szCs w:val="36"/>
            </w:rPr>
            <w:t xml:space="preserve">第一章 </w:t>
          </w:r>
          <w:r>
            <w:rPr>
              <w:rFonts w:hint="eastAsia" w:ascii="宋体" w:hAnsi="宋体" w:cs="宋体"/>
              <w:kern w:val="0"/>
              <w:szCs w:val="36"/>
              <w:highlight w:val="none"/>
            </w:rPr>
            <w:t>投标邀请</w:t>
          </w:r>
          <w:r>
            <w:tab/>
          </w:r>
          <w:r>
            <w:fldChar w:fldCharType="begin"/>
          </w:r>
          <w:r>
            <w:instrText xml:space="preserve"> PAGEREF _Toc19083 \h </w:instrText>
          </w:r>
          <w:r>
            <w:fldChar w:fldCharType="separate"/>
          </w:r>
          <w:r>
            <w:t>1</w:t>
          </w:r>
          <w:r>
            <w:fldChar w:fldCharType="end"/>
          </w:r>
          <w:r>
            <w:rPr>
              <w:szCs w:val="52"/>
              <w:highlight w:val="none"/>
            </w:rPr>
            <w:fldChar w:fldCharType="end"/>
          </w:r>
        </w:p>
        <w:p>
          <w:pPr>
            <w:pStyle w:val="18"/>
            <w:tabs>
              <w:tab w:val="right" w:leader="dot" w:pos="9184"/>
            </w:tabs>
          </w:pPr>
          <w:r>
            <w:rPr>
              <w:szCs w:val="52"/>
              <w:highlight w:val="none"/>
            </w:rPr>
            <w:fldChar w:fldCharType="begin"/>
          </w:r>
          <w:r>
            <w:rPr>
              <w:szCs w:val="52"/>
              <w:highlight w:val="none"/>
            </w:rPr>
            <w:instrText xml:space="preserve"> HYPERLINK \l _Toc9531 </w:instrText>
          </w:r>
          <w:r>
            <w:rPr>
              <w:szCs w:val="52"/>
              <w:highlight w:val="none"/>
            </w:rPr>
            <w:fldChar w:fldCharType="separate"/>
          </w:r>
          <w:r>
            <w:rPr>
              <w:rFonts w:hint="eastAsia" w:asciiTheme="minorEastAsia" w:hAnsiTheme="minorEastAsia" w:eastAsiaTheme="minorEastAsia"/>
              <w:szCs w:val="36"/>
            </w:rPr>
            <w:t xml:space="preserve">第二章 </w:t>
          </w:r>
          <w:r>
            <w:rPr>
              <w:rFonts w:hint="eastAsia" w:asciiTheme="minorEastAsia" w:hAnsiTheme="minorEastAsia" w:eastAsiaTheme="minorEastAsia"/>
              <w:szCs w:val="36"/>
              <w:highlight w:val="none"/>
            </w:rPr>
            <w:t>投标人须知</w:t>
          </w:r>
          <w:r>
            <w:tab/>
          </w:r>
          <w:r>
            <w:fldChar w:fldCharType="begin"/>
          </w:r>
          <w:r>
            <w:instrText xml:space="preserve"> PAGEREF _Toc9531 \h </w:instrText>
          </w:r>
          <w:r>
            <w:fldChar w:fldCharType="separate"/>
          </w:r>
          <w:r>
            <w:t>6</w:t>
          </w:r>
          <w:r>
            <w:fldChar w:fldCharType="end"/>
          </w:r>
          <w:r>
            <w:rPr>
              <w:szCs w:val="52"/>
              <w:highlight w:val="none"/>
            </w:rPr>
            <w:fldChar w:fldCharType="end"/>
          </w:r>
        </w:p>
        <w:p>
          <w:pPr>
            <w:pStyle w:val="18"/>
            <w:tabs>
              <w:tab w:val="right" w:leader="dot" w:pos="9184"/>
            </w:tabs>
          </w:pPr>
          <w:r>
            <w:rPr>
              <w:szCs w:val="52"/>
              <w:highlight w:val="none"/>
            </w:rPr>
            <w:fldChar w:fldCharType="begin"/>
          </w:r>
          <w:r>
            <w:rPr>
              <w:szCs w:val="52"/>
              <w:highlight w:val="none"/>
            </w:rPr>
            <w:instrText xml:space="preserve"> HYPERLINK \l _Toc25561 </w:instrText>
          </w:r>
          <w:r>
            <w:rPr>
              <w:szCs w:val="52"/>
              <w:highlight w:val="none"/>
            </w:rPr>
            <w:fldChar w:fldCharType="separate"/>
          </w:r>
          <w:r>
            <w:rPr>
              <w:rFonts w:hint="eastAsia" w:asciiTheme="minorEastAsia" w:hAnsiTheme="minorEastAsia" w:eastAsiaTheme="minorEastAsia"/>
              <w:szCs w:val="36"/>
            </w:rPr>
            <w:t xml:space="preserve">第三章 </w:t>
          </w:r>
          <w:r>
            <w:rPr>
              <w:rFonts w:hint="eastAsia" w:asciiTheme="minorEastAsia" w:hAnsiTheme="minorEastAsia" w:eastAsiaTheme="minorEastAsia"/>
              <w:szCs w:val="36"/>
              <w:highlight w:val="none"/>
            </w:rPr>
            <w:t>招标需求</w:t>
          </w:r>
          <w:r>
            <w:tab/>
          </w:r>
          <w:r>
            <w:fldChar w:fldCharType="begin"/>
          </w:r>
          <w:r>
            <w:instrText xml:space="preserve"> PAGEREF _Toc25561 \h </w:instrText>
          </w:r>
          <w:r>
            <w:fldChar w:fldCharType="separate"/>
          </w:r>
          <w:r>
            <w:t>15</w:t>
          </w:r>
          <w:r>
            <w:fldChar w:fldCharType="end"/>
          </w:r>
          <w:r>
            <w:rPr>
              <w:szCs w:val="52"/>
              <w:highlight w:val="none"/>
            </w:rPr>
            <w:fldChar w:fldCharType="end"/>
          </w:r>
        </w:p>
        <w:p>
          <w:pPr>
            <w:pStyle w:val="18"/>
            <w:tabs>
              <w:tab w:val="right" w:leader="dot" w:pos="9184"/>
            </w:tabs>
          </w:pPr>
          <w:r>
            <w:rPr>
              <w:szCs w:val="52"/>
              <w:highlight w:val="none"/>
            </w:rPr>
            <w:fldChar w:fldCharType="begin"/>
          </w:r>
          <w:r>
            <w:rPr>
              <w:szCs w:val="52"/>
              <w:highlight w:val="none"/>
            </w:rPr>
            <w:instrText xml:space="preserve"> HYPERLINK \l _Toc13430 </w:instrText>
          </w:r>
          <w:r>
            <w:rPr>
              <w:szCs w:val="52"/>
              <w:highlight w:val="none"/>
            </w:rPr>
            <w:fldChar w:fldCharType="separate"/>
          </w:r>
          <w:r>
            <w:rPr>
              <w:rFonts w:hint="eastAsia" w:asciiTheme="minorEastAsia" w:hAnsiTheme="minorEastAsia" w:eastAsiaTheme="minorEastAsia"/>
              <w:szCs w:val="36"/>
            </w:rPr>
            <w:t xml:space="preserve">第四章 </w:t>
          </w:r>
          <w:r>
            <w:rPr>
              <w:rFonts w:hint="eastAsia" w:asciiTheme="minorEastAsia" w:hAnsiTheme="minorEastAsia" w:eastAsiaTheme="minorEastAsia"/>
              <w:szCs w:val="36"/>
              <w:highlight w:val="none"/>
            </w:rPr>
            <w:t>评标</w:t>
          </w:r>
          <w:r>
            <w:tab/>
          </w:r>
          <w:r>
            <w:fldChar w:fldCharType="begin"/>
          </w:r>
          <w:r>
            <w:instrText xml:space="preserve"> PAGEREF _Toc13430 \h </w:instrText>
          </w:r>
          <w:r>
            <w:fldChar w:fldCharType="separate"/>
          </w:r>
          <w:r>
            <w:t>25</w:t>
          </w:r>
          <w:r>
            <w:fldChar w:fldCharType="end"/>
          </w:r>
          <w:r>
            <w:rPr>
              <w:szCs w:val="52"/>
              <w:highlight w:val="none"/>
            </w:rPr>
            <w:fldChar w:fldCharType="end"/>
          </w:r>
        </w:p>
        <w:p>
          <w:pPr>
            <w:pStyle w:val="18"/>
            <w:tabs>
              <w:tab w:val="right" w:leader="dot" w:pos="9184"/>
            </w:tabs>
          </w:pPr>
          <w:r>
            <w:rPr>
              <w:szCs w:val="52"/>
              <w:highlight w:val="none"/>
            </w:rPr>
            <w:fldChar w:fldCharType="begin"/>
          </w:r>
          <w:r>
            <w:rPr>
              <w:szCs w:val="52"/>
              <w:highlight w:val="none"/>
            </w:rPr>
            <w:instrText xml:space="preserve"> HYPERLINK \l _Toc24806 </w:instrText>
          </w:r>
          <w:r>
            <w:rPr>
              <w:szCs w:val="52"/>
              <w:highlight w:val="none"/>
            </w:rPr>
            <w:fldChar w:fldCharType="separate"/>
          </w:r>
          <w:r>
            <w:rPr>
              <w:rFonts w:hint="eastAsia" w:asciiTheme="minorEastAsia" w:hAnsiTheme="minorEastAsia" w:eastAsiaTheme="minorEastAsia"/>
              <w:szCs w:val="36"/>
            </w:rPr>
            <w:t xml:space="preserve">第五章 </w:t>
          </w:r>
          <w:r>
            <w:rPr>
              <w:rFonts w:hint="eastAsia" w:asciiTheme="minorEastAsia" w:hAnsiTheme="minorEastAsia" w:eastAsiaTheme="minorEastAsia"/>
              <w:szCs w:val="36"/>
              <w:highlight w:val="none"/>
            </w:rPr>
            <w:t>拟签订的合同文本</w:t>
          </w:r>
          <w:r>
            <w:tab/>
          </w:r>
          <w:r>
            <w:fldChar w:fldCharType="begin"/>
          </w:r>
          <w:r>
            <w:instrText xml:space="preserve"> PAGEREF _Toc24806 \h </w:instrText>
          </w:r>
          <w:r>
            <w:fldChar w:fldCharType="separate"/>
          </w:r>
          <w:r>
            <w:t>31</w:t>
          </w:r>
          <w:r>
            <w:fldChar w:fldCharType="end"/>
          </w:r>
          <w:r>
            <w:rPr>
              <w:szCs w:val="52"/>
              <w:highlight w:val="none"/>
            </w:rPr>
            <w:fldChar w:fldCharType="end"/>
          </w:r>
        </w:p>
        <w:p>
          <w:pPr>
            <w:pStyle w:val="18"/>
            <w:tabs>
              <w:tab w:val="right" w:leader="dot" w:pos="9184"/>
            </w:tabs>
          </w:pPr>
          <w:r>
            <w:rPr>
              <w:szCs w:val="52"/>
              <w:highlight w:val="none"/>
            </w:rPr>
            <w:fldChar w:fldCharType="begin"/>
          </w:r>
          <w:r>
            <w:rPr>
              <w:szCs w:val="52"/>
              <w:highlight w:val="none"/>
            </w:rPr>
            <w:instrText xml:space="preserve"> HYPERLINK \l _Toc5792 </w:instrText>
          </w:r>
          <w:r>
            <w:rPr>
              <w:szCs w:val="52"/>
              <w:highlight w:val="none"/>
            </w:rPr>
            <w:fldChar w:fldCharType="separate"/>
          </w:r>
          <w:r>
            <w:rPr>
              <w:rFonts w:hint="eastAsia" w:asciiTheme="minorEastAsia" w:hAnsiTheme="minorEastAsia" w:eastAsiaTheme="minorEastAsia"/>
              <w:szCs w:val="36"/>
              <w:highlight w:val="none"/>
            </w:rPr>
            <w:t>第六章 投标文件格式</w:t>
          </w:r>
          <w:r>
            <w:tab/>
          </w:r>
          <w:r>
            <w:fldChar w:fldCharType="begin"/>
          </w:r>
          <w:r>
            <w:instrText xml:space="preserve"> PAGEREF _Toc5792 \h </w:instrText>
          </w:r>
          <w:r>
            <w:fldChar w:fldCharType="separate"/>
          </w:r>
          <w:r>
            <w:t>35</w:t>
          </w:r>
          <w:r>
            <w:fldChar w:fldCharType="end"/>
          </w:r>
          <w:r>
            <w:rPr>
              <w:szCs w:val="52"/>
              <w:highlight w:val="none"/>
            </w:rPr>
            <w:fldChar w:fldCharType="end"/>
          </w:r>
        </w:p>
        <w:p>
          <w:pPr>
            <w:spacing w:line="480" w:lineRule="auto"/>
            <w:rPr>
              <w:sz w:val="28"/>
              <w:szCs w:val="28"/>
              <w:highlight w:val="none"/>
            </w:rPr>
          </w:pPr>
          <w:r>
            <w:rPr>
              <w:szCs w:val="52"/>
              <w:highlight w:val="none"/>
            </w:rPr>
            <w:fldChar w:fldCharType="end"/>
          </w:r>
        </w:p>
      </w:sdtContent>
    </w:sdt>
    <w:p>
      <w:pPr>
        <w:spacing w:line="360" w:lineRule="auto"/>
        <w:rPr>
          <w:highlight w:val="none"/>
        </w:rPr>
      </w:pPr>
    </w:p>
    <w:p>
      <w:pPr>
        <w:tabs>
          <w:tab w:val="left" w:pos="7571"/>
        </w:tabs>
        <w:spacing w:line="360" w:lineRule="auto"/>
        <w:rPr>
          <w:rFonts w:hint="eastAsia" w:eastAsia="宋体"/>
          <w:highlight w:val="none"/>
          <w:lang w:eastAsia="zh-CN"/>
        </w:rPr>
      </w:pPr>
      <w:r>
        <w:rPr>
          <w:rFonts w:hint="eastAsia"/>
          <w:highlight w:val="none"/>
          <w:lang w:eastAsia="zh-CN"/>
        </w:rPr>
        <w:tab/>
      </w:r>
    </w:p>
    <w:p>
      <w:pPr>
        <w:spacing w:line="360" w:lineRule="auto"/>
        <w:rPr>
          <w:highlight w:val="none"/>
        </w:rPr>
      </w:pPr>
      <w:bookmarkStart w:id="91" w:name="_GoBack"/>
      <w:bookmarkEnd w:id="91"/>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sectPr>
          <w:pgSz w:w="11906" w:h="16838"/>
          <w:pgMar w:top="1247" w:right="1361" w:bottom="1247" w:left="1361" w:header="851" w:footer="851" w:gutter="0"/>
          <w:pgNumType w:fmt="numberInDash"/>
          <w:cols w:space="720" w:num="1"/>
          <w:docGrid w:type="lines" w:linePitch="312" w:charSpace="0"/>
        </w:sectPr>
      </w:pPr>
    </w:p>
    <w:p>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highlight w:val="none"/>
        </w:rPr>
      </w:pPr>
      <w:bookmarkStart w:id="12" w:name="_Toc19083"/>
      <w:r>
        <w:rPr>
          <w:rFonts w:hint="eastAsia" w:ascii="宋体" w:hAnsi="宋体" w:cs="宋体"/>
          <w:b/>
          <w:kern w:val="0"/>
          <w:sz w:val="36"/>
          <w:szCs w:val="36"/>
          <w:highlight w:val="none"/>
        </w:rPr>
        <w:t>投标邀请</w:t>
      </w:r>
      <w:bookmarkEnd w:id="12"/>
    </w:p>
    <w:p>
      <w:pPr>
        <w:pStyle w:val="3"/>
        <w:ind w:firstLine="480" w:firstLineChars="200"/>
        <w:rPr>
          <w:rFonts w:cs="宋体"/>
          <w:b w:val="0"/>
          <w:sz w:val="24"/>
          <w:szCs w:val="24"/>
          <w:highlight w:val="none"/>
        </w:rPr>
      </w:pPr>
      <w:bookmarkStart w:id="13" w:name="_Toc35393790"/>
      <w:bookmarkStart w:id="14" w:name="_Toc28359079"/>
      <w:bookmarkStart w:id="15" w:name="_Toc35393621"/>
      <w:bookmarkStart w:id="16" w:name="_Toc28359002"/>
      <w:bookmarkStart w:id="17" w:name="_Hlk24379207"/>
      <w:r>
        <w:rPr>
          <w:rFonts w:hint="eastAsia" w:cs="宋体"/>
          <w:b w:val="0"/>
          <w:sz w:val="24"/>
          <w:szCs w:val="24"/>
          <w:highlight w:val="none"/>
          <w:u w:val="single"/>
          <w:lang w:eastAsia="zh-CN"/>
        </w:rPr>
        <w:t>台州市永阳科技有限公司</w:t>
      </w:r>
      <w:r>
        <w:rPr>
          <w:rFonts w:hint="eastAsia" w:cs="宋体"/>
          <w:b w:val="0"/>
          <w:sz w:val="24"/>
          <w:szCs w:val="24"/>
          <w:highlight w:val="none"/>
        </w:rPr>
        <w:t>受</w:t>
      </w:r>
      <w:r>
        <w:rPr>
          <w:rFonts w:hint="eastAsia" w:cs="宋体"/>
          <w:b w:val="0"/>
          <w:sz w:val="24"/>
          <w:szCs w:val="24"/>
          <w:highlight w:val="none"/>
          <w:u w:val="single"/>
          <w:lang w:eastAsia="zh-CN"/>
        </w:rPr>
        <w:t>台州湾新区管理委员会</w:t>
      </w:r>
      <w:r>
        <w:rPr>
          <w:rFonts w:hint="eastAsia" w:cs="宋体"/>
          <w:b w:val="0"/>
          <w:sz w:val="24"/>
          <w:szCs w:val="24"/>
          <w:highlight w:val="none"/>
        </w:rPr>
        <w:t>委托，就</w:t>
      </w:r>
      <w:r>
        <w:rPr>
          <w:rFonts w:hint="eastAsia" w:cs="宋体"/>
          <w:b w:val="0"/>
          <w:sz w:val="24"/>
          <w:szCs w:val="24"/>
          <w:highlight w:val="none"/>
          <w:u w:val="single"/>
          <w:lang w:eastAsia="zh-CN"/>
        </w:rPr>
        <w:t>台州湾新区校园联网视频监控系统信号接入项目</w:t>
      </w:r>
      <w:r>
        <w:rPr>
          <w:rFonts w:hint="eastAsia" w:cs="宋体"/>
          <w:b w:val="0"/>
          <w:sz w:val="24"/>
          <w:szCs w:val="24"/>
          <w:highlight w:val="none"/>
        </w:rPr>
        <w:t>进行公开招标，欢迎符合资格条件的国内投标人参加投标。</w:t>
      </w:r>
    </w:p>
    <w:p>
      <w:pPr>
        <w:pStyle w:val="3"/>
        <w:ind w:firstLine="482" w:firstLineChars="200"/>
        <w:rPr>
          <w:rFonts w:cs="宋体"/>
          <w:bCs/>
          <w:sz w:val="24"/>
          <w:szCs w:val="24"/>
          <w:highlight w:val="none"/>
        </w:rPr>
      </w:pPr>
      <w:r>
        <w:rPr>
          <w:rFonts w:hint="eastAsia" w:cs="宋体"/>
          <w:bCs/>
          <w:sz w:val="24"/>
          <w:szCs w:val="24"/>
          <w:highlight w:val="none"/>
        </w:rPr>
        <w:t>一、项目基本情况</w:t>
      </w:r>
      <w:bookmarkEnd w:id="13"/>
      <w:bookmarkEnd w:id="14"/>
      <w:bookmarkEnd w:id="15"/>
      <w:bookmarkEnd w:id="16"/>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TZYY-2311-005号</w:t>
      </w:r>
    </w:p>
    <w:bookmarkEnd w:id="17"/>
    <w:p>
      <w:pPr>
        <w:spacing w:line="360" w:lineRule="auto"/>
        <w:ind w:firstLine="480" w:firstLineChars="200"/>
        <w:rPr>
          <w:highlight w:val="none"/>
        </w:rPr>
      </w:pPr>
      <w:r>
        <w:rPr>
          <w:rFonts w:hint="eastAsia" w:ascii="宋体" w:hAnsi="宋体" w:cs="宋体"/>
          <w:sz w:val="24"/>
          <w:highlight w:val="none"/>
        </w:rPr>
        <w:t>项目名称：</w:t>
      </w:r>
      <w:r>
        <w:rPr>
          <w:rFonts w:hint="eastAsia" w:ascii="宋体" w:hAnsi="宋体" w:cs="宋体"/>
          <w:sz w:val="24"/>
          <w:highlight w:val="none"/>
          <w:lang w:eastAsia="zh-CN"/>
        </w:rPr>
        <w:t>台州湾新区校园联网视频监控系统信号接入项目</w:t>
      </w:r>
      <w:r>
        <w:rPr>
          <w:highlight w:val="none"/>
        </w:rPr>
        <w:t xml:space="preserve"> </w:t>
      </w:r>
    </w:p>
    <w:tbl>
      <w:tblPr>
        <w:tblStyle w:val="25"/>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112"/>
        <w:gridCol w:w="1040"/>
        <w:gridCol w:w="799"/>
        <w:gridCol w:w="119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0" w:type="dxa"/>
            <w:vAlign w:val="center"/>
          </w:tcPr>
          <w:p>
            <w:pPr>
              <w:tabs>
                <w:tab w:val="left" w:pos="8280"/>
              </w:tabs>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标项号</w:t>
            </w:r>
          </w:p>
        </w:tc>
        <w:tc>
          <w:tcPr>
            <w:tcW w:w="3112" w:type="dxa"/>
            <w:vAlign w:val="center"/>
          </w:tcPr>
          <w:p>
            <w:pPr>
              <w:tabs>
                <w:tab w:val="left" w:pos="8280"/>
              </w:tabs>
              <w:autoSpaceDE w:val="0"/>
              <w:autoSpaceDN w:val="0"/>
              <w:adjustRightInd w:val="0"/>
              <w:ind w:firstLine="105" w:firstLineChars="50"/>
              <w:jc w:val="center"/>
              <w:rPr>
                <w:rFonts w:ascii="宋体" w:hAnsi="宋体" w:cs="宋体"/>
                <w:b/>
                <w:szCs w:val="21"/>
                <w:highlight w:val="none"/>
              </w:rPr>
            </w:pPr>
            <w:r>
              <w:rPr>
                <w:rFonts w:hint="eastAsia" w:ascii="宋体" w:hAnsi="宋体" w:cs="宋体"/>
                <w:b/>
                <w:szCs w:val="21"/>
                <w:highlight w:val="none"/>
              </w:rPr>
              <w:t>标项名称</w:t>
            </w:r>
          </w:p>
        </w:tc>
        <w:tc>
          <w:tcPr>
            <w:tcW w:w="1040" w:type="dxa"/>
            <w:vAlign w:val="center"/>
          </w:tcPr>
          <w:p>
            <w:pPr>
              <w:tabs>
                <w:tab w:val="left" w:pos="8280"/>
              </w:tabs>
              <w:autoSpaceDE w:val="0"/>
              <w:autoSpaceDN w:val="0"/>
              <w:adjustRightInd w:val="0"/>
              <w:jc w:val="center"/>
              <w:rPr>
                <w:rFonts w:ascii="宋体" w:hAnsi="宋体" w:cs="宋体"/>
                <w:b/>
                <w:szCs w:val="21"/>
                <w:highlight w:val="none"/>
              </w:rPr>
            </w:pPr>
            <w:r>
              <w:rPr>
                <w:rFonts w:hint="eastAsia" w:ascii="宋体" w:hAnsi="宋体" w:cs="宋体"/>
                <w:b/>
                <w:kern w:val="0"/>
                <w:szCs w:val="21"/>
                <w:highlight w:val="none"/>
              </w:rPr>
              <w:t>数量</w:t>
            </w:r>
          </w:p>
        </w:tc>
        <w:tc>
          <w:tcPr>
            <w:tcW w:w="799" w:type="dxa"/>
            <w:vAlign w:val="center"/>
          </w:tcPr>
          <w:p>
            <w:pPr>
              <w:tabs>
                <w:tab w:val="left" w:pos="8280"/>
              </w:tabs>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单位</w:t>
            </w:r>
          </w:p>
        </w:tc>
        <w:tc>
          <w:tcPr>
            <w:tcW w:w="1190" w:type="dxa"/>
            <w:vAlign w:val="center"/>
          </w:tcPr>
          <w:p>
            <w:pPr>
              <w:tabs>
                <w:tab w:val="left" w:pos="8280"/>
              </w:tabs>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预算</w:t>
            </w:r>
          </w:p>
          <w:p>
            <w:pPr>
              <w:tabs>
                <w:tab w:val="left" w:pos="8280"/>
              </w:tabs>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（元）</w:t>
            </w:r>
          </w:p>
        </w:tc>
        <w:tc>
          <w:tcPr>
            <w:tcW w:w="1372" w:type="dxa"/>
            <w:vAlign w:val="center"/>
          </w:tcPr>
          <w:p>
            <w:pPr>
              <w:jc w:val="center"/>
              <w:rPr>
                <w:rFonts w:ascii="宋体" w:hAnsi="宋体" w:cs="宋体"/>
                <w:b/>
                <w:szCs w:val="21"/>
                <w:highlight w:val="none"/>
              </w:rPr>
            </w:pPr>
            <w:r>
              <w:rPr>
                <w:rFonts w:hint="eastAsia" w:ascii="宋体" w:hAnsi="宋体" w:cs="宋体"/>
                <w:b/>
                <w:szCs w:val="21"/>
                <w:highlight w:val="none"/>
              </w:rPr>
              <w:t>最高限价</w:t>
            </w:r>
          </w:p>
          <w:p>
            <w:pPr>
              <w:jc w:val="center"/>
              <w:rPr>
                <w:rFonts w:ascii="宋体" w:hAnsi="宋体" w:cs="宋体"/>
                <w:b/>
                <w:szCs w:val="21"/>
                <w:highlight w:val="none"/>
              </w:rPr>
            </w:pPr>
            <w:r>
              <w:rPr>
                <w:rFonts w:hint="eastAsia" w:ascii="宋体" w:hAnsi="宋体" w:cs="宋体"/>
                <w:b/>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pPr>
              <w:tabs>
                <w:tab w:val="left" w:pos="8280"/>
              </w:tabs>
              <w:autoSpaceDE w:val="0"/>
              <w:autoSpaceDN w:val="0"/>
              <w:adjustRightInd w:val="0"/>
              <w:jc w:val="center"/>
              <w:rPr>
                <w:rFonts w:ascii="宋体" w:hAnsi="宋体" w:cs="宋体"/>
                <w:b w:val="0"/>
                <w:bCs/>
                <w:szCs w:val="21"/>
                <w:highlight w:val="none"/>
              </w:rPr>
            </w:pPr>
            <w:r>
              <w:rPr>
                <w:rFonts w:hint="eastAsia" w:ascii="宋体" w:hAnsi="宋体" w:cs="宋体"/>
                <w:b w:val="0"/>
                <w:bCs/>
                <w:szCs w:val="21"/>
                <w:highlight w:val="none"/>
              </w:rPr>
              <w:t>1</w:t>
            </w:r>
          </w:p>
        </w:tc>
        <w:tc>
          <w:tcPr>
            <w:tcW w:w="3112" w:type="dxa"/>
            <w:vAlign w:val="center"/>
          </w:tcPr>
          <w:p>
            <w:pPr>
              <w:tabs>
                <w:tab w:val="left" w:pos="8280"/>
              </w:tabs>
              <w:autoSpaceDE w:val="0"/>
              <w:autoSpaceDN w:val="0"/>
              <w:adjustRightInd w:val="0"/>
              <w:jc w:val="center"/>
              <w:rPr>
                <w:rFonts w:hint="eastAsia" w:ascii="宋体" w:hAnsi="宋体" w:eastAsia="宋体" w:cs="宋体"/>
                <w:b w:val="0"/>
                <w:bCs/>
                <w:szCs w:val="21"/>
                <w:highlight w:val="none"/>
                <w:lang w:eastAsia="zh-CN"/>
              </w:rPr>
            </w:pPr>
            <w:r>
              <w:rPr>
                <w:rFonts w:hint="eastAsia" w:ascii="宋体" w:hAnsi="宋体" w:cs="宋体"/>
                <w:b w:val="0"/>
                <w:bCs/>
                <w:szCs w:val="21"/>
                <w:highlight w:val="none"/>
                <w:lang w:eastAsia="zh-CN"/>
              </w:rPr>
              <w:t>台州湾新区校园联网视频监控系统信号接入项目</w:t>
            </w:r>
          </w:p>
        </w:tc>
        <w:tc>
          <w:tcPr>
            <w:tcW w:w="1040" w:type="dxa"/>
            <w:vAlign w:val="center"/>
          </w:tcPr>
          <w:p>
            <w:pPr>
              <w:tabs>
                <w:tab w:val="left" w:pos="8280"/>
              </w:tabs>
              <w:autoSpaceDE w:val="0"/>
              <w:autoSpaceDN w:val="0"/>
              <w:adjustRightInd w:val="0"/>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1</w:t>
            </w:r>
          </w:p>
        </w:tc>
        <w:tc>
          <w:tcPr>
            <w:tcW w:w="799" w:type="dxa"/>
            <w:vAlign w:val="center"/>
          </w:tcPr>
          <w:p>
            <w:pPr>
              <w:tabs>
                <w:tab w:val="left" w:pos="8280"/>
              </w:tabs>
              <w:autoSpaceDE w:val="0"/>
              <w:autoSpaceDN w:val="0"/>
              <w:adjustRightInd w:val="0"/>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项</w:t>
            </w:r>
          </w:p>
        </w:tc>
        <w:tc>
          <w:tcPr>
            <w:tcW w:w="1190" w:type="dxa"/>
            <w:vAlign w:val="center"/>
          </w:tcPr>
          <w:p>
            <w:pPr>
              <w:tabs>
                <w:tab w:val="left" w:pos="8280"/>
              </w:tabs>
              <w:autoSpaceDE w:val="0"/>
              <w:autoSpaceDN w:val="0"/>
              <w:adjustRightInd w:val="0"/>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100000</w:t>
            </w:r>
          </w:p>
        </w:tc>
        <w:tc>
          <w:tcPr>
            <w:tcW w:w="1372" w:type="dxa"/>
            <w:vAlign w:val="center"/>
          </w:tcPr>
          <w:p>
            <w:pPr>
              <w:tabs>
                <w:tab w:val="left" w:pos="8280"/>
              </w:tabs>
              <w:autoSpaceDE w:val="0"/>
              <w:autoSpaceDN w:val="0"/>
              <w:adjustRightInd w:val="0"/>
              <w:jc w:val="center"/>
              <w:rPr>
                <w:rStyle w:val="68"/>
                <w:rFonts w:hint="eastAsia" w:ascii="宋体" w:hAnsi="宋体" w:eastAsia="宋体"/>
                <w:szCs w:val="21"/>
                <w:highlight w:val="none"/>
                <w:lang w:val="en-US" w:eastAsia="zh-CN"/>
              </w:rPr>
            </w:pPr>
            <w:r>
              <w:rPr>
                <w:rStyle w:val="68"/>
                <w:rFonts w:hint="eastAsia" w:ascii="宋体" w:hAnsi="宋体"/>
                <w:szCs w:val="21"/>
                <w:highlight w:val="none"/>
                <w:lang w:val="en-US" w:eastAsia="zh-CN"/>
              </w:rPr>
              <w:t>/</w:t>
            </w:r>
          </w:p>
        </w:tc>
      </w:tr>
    </w:tbl>
    <w:p>
      <w:pPr>
        <w:pStyle w:val="3"/>
        <w:tabs>
          <w:tab w:val="left" w:pos="9660"/>
          <w:tab w:val="clear" w:pos="8280"/>
        </w:tabs>
        <w:ind w:right="23" w:firstLine="482" w:firstLineChars="200"/>
        <w:jc w:val="left"/>
        <w:rPr>
          <w:rFonts w:cs="宋体"/>
          <w:bCs/>
          <w:sz w:val="24"/>
          <w:szCs w:val="24"/>
          <w:highlight w:val="none"/>
        </w:rPr>
      </w:pPr>
      <w:bookmarkStart w:id="18" w:name="_Toc35393622"/>
      <w:bookmarkStart w:id="19" w:name="_Toc35393791"/>
      <w:bookmarkStart w:id="20" w:name="_Toc28359003"/>
      <w:bookmarkStart w:id="21" w:name="_Toc28359080"/>
      <w:r>
        <w:rPr>
          <w:rFonts w:hint="eastAsia" w:cs="宋体"/>
          <w:bCs/>
          <w:sz w:val="24"/>
          <w:szCs w:val="24"/>
          <w:highlight w:val="none"/>
        </w:rPr>
        <w:t>二、投标人的资格要求</w:t>
      </w:r>
      <w:bookmarkEnd w:id="18"/>
      <w:bookmarkEnd w:id="19"/>
      <w:bookmarkEnd w:id="20"/>
      <w:bookmarkEnd w:id="21"/>
    </w:p>
    <w:p>
      <w:pPr>
        <w:spacing w:line="360" w:lineRule="auto"/>
        <w:ind w:left="12" w:firstLine="480" w:firstLineChars="200"/>
        <w:jc w:val="left"/>
        <w:rPr>
          <w:rFonts w:ascii="宋体" w:hAnsi="宋体" w:cs="宋体"/>
          <w:sz w:val="24"/>
          <w:highlight w:val="none"/>
        </w:rPr>
      </w:pPr>
      <w:r>
        <w:rPr>
          <w:rFonts w:hint="eastAsia" w:ascii="宋体" w:hAnsi="宋体" w:cs="宋体"/>
          <w:sz w:val="24"/>
          <w:highlight w:val="none"/>
        </w:rPr>
        <w:t>（一）满足《中华人民共和国政府采购法》第二十二条规定。</w:t>
      </w:r>
    </w:p>
    <w:p>
      <w:pPr>
        <w:spacing w:line="360" w:lineRule="auto"/>
        <w:ind w:firstLine="480" w:firstLineChars="200"/>
        <w:rPr>
          <w:rFonts w:ascii="宋体" w:hAnsi="宋体" w:cs="宋体"/>
          <w:sz w:val="24"/>
          <w:highlight w:val="none"/>
        </w:rPr>
      </w:pPr>
      <w:bookmarkStart w:id="22" w:name="_Toc35393623"/>
      <w:bookmarkStart w:id="23" w:name="_Toc35393792"/>
      <w:bookmarkStart w:id="24" w:name="_Toc28359004"/>
      <w:bookmarkStart w:id="25" w:name="_Toc28359081"/>
      <w:r>
        <w:rPr>
          <w:rFonts w:hint="eastAsia" w:ascii="宋体" w:hAnsi="宋体" w:cs="宋体"/>
          <w:sz w:val="24"/>
          <w:highlight w:val="none"/>
        </w:rPr>
        <w:t>（二）本项目的特定资格要求：</w:t>
      </w:r>
      <w:r>
        <w:rPr>
          <w:rFonts w:hint="eastAsia" w:ascii="宋体" w:hAnsi="宋体"/>
          <w:sz w:val="24"/>
          <w:highlight w:val="none"/>
        </w:rPr>
        <w:t>无</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（三）本项目不接受联合体投标。</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ascii="宋体" w:hAnsi="宋体" w:cs="宋体"/>
          <w:sz w:val="24"/>
          <w:highlight w:val="none"/>
        </w:rPr>
        <w:fldChar w:fldCharType="end"/>
      </w:r>
    </w:p>
    <w:p>
      <w:pPr>
        <w:spacing w:line="360" w:lineRule="auto"/>
        <w:ind w:firstLine="480" w:firstLineChars="200"/>
        <w:jc w:val="left"/>
        <w:rPr>
          <w:rFonts w:ascii="宋体" w:hAnsi="宋体"/>
          <w:sz w:val="24"/>
          <w:highlight w:val="none"/>
        </w:rPr>
      </w:pPr>
      <w:r>
        <w:rPr>
          <w:rFonts w:hint="eastAsia" w:ascii="宋体" w:hAnsi="宋体" w:cs="宋体"/>
          <w:sz w:val="24"/>
          <w:highlight w:val="none"/>
        </w:rPr>
        <w:t>（五）</w:t>
      </w:r>
      <w:r>
        <w:rPr>
          <w:rFonts w:hint="eastAsia" w:ascii="宋体" w:hAnsi="宋体"/>
          <w:sz w:val="24"/>
          <w:highlight w:val="none"/>
        </w:rPr>
        <w:t>公益一类事业单位，既不属于政府购买服务的购买主体，也不属于承接主体，不得参与</w:t>
      </w:r>
      <w:r>
        <w:rPr>
          <w:rFonts w:hint="eastAsia" w:ascii="宋体" w:hAnsi="宋体"/>
          <w:sz w:val="24"/>
          <w:highlight w:val="none"/>
          <w:lang w:val="en-US" w:eastAsia="zh-CN"/>
        </w:rPr>
        <w:t>本项目</w:t>
      </w:r>
      <w:r>
        <w:rPr>
          <w:rFonts w:hint="eastAsia" w:ascii="宋体" w:hAnsi="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（六）</w:t>
      </w:r>
      <w:r>
        <w:rPr>
          <w:rFonts w:hint="eastAsia" w:ascii="宋体" w:hAnsi="宋体" w:cs="宋体"/>
          <w:sz w:val="24"/>
          <w:highlight w:val="none"/>
        </w:rPr>
        <w:t>法律、行政法规规定的其他条件：单位负责人为同一人或者存在直接控股、管理关系的不同供应商，不得同时参加同一项目投标，不得再参与本项目投标。</w:t>
      </w:r>
    </w:p>
    <w:p>
      <w:pPr>
        <w:pStyle w:val="3"/>
        <w:tabs>
          <w:tab w:val="left" w:pos="9660"/>
          <w:tab w:val="clear" w:pos="8280"/>
        </w:tabs>
        <w:ind w:right="23" w:firstLine="482" w:firstLineChars="200"/>
        <w:jc w:val="left"/>
        <w:rPr>
          <w:rFonts w:cs="宋体"/>
          <w:bCs/>
          <w:sz w:val="24"/>
          <w:szCs w:val="24"/>
          <w:highlight w:val="none"/>
        </w:rPr>
      </w:pPr>
      <w:r>
        <w:rPr>
          <w:rFonts w:hint="eastAsia" w:cs="宋体"/>
          <w:bCs/>
          <w:sz w:val="24"/>
          <w:szCs w:val="24"/>
          <w:highlight w:val="none"/>
        </w:rPr>
        <w:t>三、获取招标文件</w:t>
      </w:r>
      <w:bookmarkEnd w:id="22"/>
      <w:bookmarkEnd w:id="23"/>
      <w:bookmarkEnd w:id="24"/>
      <w:bookmarkEnd w:id="25"/>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（一）时间：项目发布之日起至</w:t>
      </w:r>
      <w:r>
        <w:rPr>
          <w:rFonts w:hint="eastAsia" w:ascii="宋体" w:hAnsi="宋体" w:cs="宋体"/>
          <w:sz w:val="24"/>
          <w:highlight w:val="none"/>
          <w:u w:val="none"/>
        </w:rPr>
        <w:t>截止时间（开标时间）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kern w:val="0"/>
          <w:sz w:val="24"/>
          <w:highlight w:val="none"/>
        </w:rPr>
      </w:pPr>
      <w:r>
        <w:rPr>
          <w:rFonts w:hint="eastAsia" w:ascii="宋体" w:hAnsi="宋体" w:cs="宋体"/>
          <w:sz w:val="24"/>
          <w:highlight w:val="none"/>
        </w:rPr>
        <w:t>（二）方式：</w:t>
      </w:r>
      <w:r>
        <w:rPr>
          <w:rFonts w:hint="eastAsia" w:ascii="宋体" w:hAnsi="宋体" w:cs="宋体"/>
          <w:b/>
          <w:kern w:val="0"/>
          <w:sz w:val="24"/>
          <w:highlight w:val="none"/>
        </w:rPr>
        <w:t>网上下载-台州湾新区小额工程电子交易平台（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p>
    <w:p>
      <w:pPr>
        <w:pStyle w:val="3"/>
        <w:ind w:right="0" w:firstLine="482" w:firstLineChars="200"/>
        <w:rPr>
          <w:rFonts w:cs="宋体"/>
          <w:bCs/>
          <w:sz w:val="24"/>
          <w:szCs w:val="24"/>
          <w:highlight w:val="none"/>
        </w:rPr>
      </w:pPr>
      <w:bookmarkStart w:id="26" w:name="_Toc28359082"/>
      <w:bookmarkStart w:id="27" w:name="_Toc28359005"/>
      <w:bookmarkStart w:id="28" w:name="_Toc35393793"/>
      <w:bookmarkStart w:id="29" w:name="_Toc35393624"/>
      <w:r>
        <w:rPr>
          <w:rFonts w:hint="eastAsia" w:cs="宋体"/>
          <w:bCs/>
          <w:sz w:val="24"/>
          <w:szCs w:val="24"/>
          <w:highlight w:val="none"/>
        </w:rPr>
        <w:t>四、提交投标文件</w:t>
      </w:r>
      <w:bookmarkEnd w:id="26"/>
      <w:bookmarkEnd w:id="27"/>
      <w:bookmarkEnd w:id="28"/>
      <w:bookmarkEnd w:id="29"/>
    </w:p>
    <w:p>
      <w:pPr>
        <w:spacing w:line="360" w:lineRule="auto"/>
        <w:ind w:firstLine="480" w:firstLineChars="200"/>
        <w:jc w:val="left"/>
        <w:rPr>
          <w:rFonts w:ascii="宋体" w:hAnsi="宋体" w:cs="宋体"/>
          <w:sz w:val="24"/>
          <w:highlight w:val="none"/>
        </w:rPr>
      </w:pPr>
      <w:bookmarkStart w:id="30" w:name="_Toc35393794"/>
      <w:bookmarkStart w:id="31" w:name="_Toc28359007"/>
      <w:bookmarkStart w:id="32" w:name="_Toc35393625"/>
      <w:bookmarkStart w:id="33" w:name="_Toc28359084"/>
      <w:r>
        <w:rPr>
          <w:rFonts w:hint="eastAsia" w:ascii="宋体" w:hAnsi="宋体" w:cs="宋体"/>
          <w:sz w:val="24"/>
          <w:highlight w:val="none"/>
        </w:rPr>
        <w:t>（一）截止时间（开标时间）：</w:t>
      </w:r>
      <w:r>
        <w:rPr>
          <w:rFonts w:hint="eastAsia" w:ascii="宋体" w:hAnsi="宋体" w:cs="宋体"/>
          <w:bCs/>
          <w:sz w:val="24"/>
          <w:highlight w:val="none"/>
          <w:u w:val="single"/>
        </w:rPr>
        <w:t>2023年</w:t>
      </w:r>
      <w:r>
        <w:rPr>
          <w:rFonts w:hint="eastAsia" w:ascii="宋体" w:hAnsi="宋体" w:cs="宋体"/>
          <w:sz w:val="24"/>
          <w:highlight w:val="none"/>
          <w:u w:val="single"/>
          <w:lang w:val="en-US" w:eastAsia="zh-CN"/>
        </w:rPr>
        <w:t>11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28</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15</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0分</w:t>
      </w:r>
      <w:r>
        <w:rPr>
          <w:rFonts w:hint="eastAsia" w:ascii="宋体" w:hAnsi="宋体" w:cs="宋体"/>
          <w:sz w:val="24"/>
          <w:highlight w:val="none"/>
        </w:rPr>
        <w:t>（北京时间）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（二）投标网址：台州湾新区小额工程电子交易平台（网址：</w:t>
      </w:r>
      <w:r>
        <w:rPr>
          <w:sz w:val="24"/>
          <w:highlight w:val="none"/>
        </w:rPr>
        <w:t>http://www.tzwztb.com/</w:t>
      </w:r>
      <w:r>
        <w:rPr>
          <w:rFonts w:hint="eastAsia" w:ascii="宋体" w:hAnsi="宋体" w:cs="宋体"/>
          <w:sz w:val="24"/>
          <w:highlight w:val="none"/>
        </w:rPr>
        <w:t>）</w:t>
      </w:r>
    </w:p>
    <w:bookmarkEnd w:id="30"/>
    <w:bookmarkEnd w:id="31"/>
    <w:bookmarkEnd w:id="32"/>
    <w:bookmarkEnd w:id="33"/>
    <w:p>
      <w:pPr>
        <w:pStyle w:val="24"/>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五、发布公告</w:t>
      </w:r>
    </w:p>
    <w:p>
      <w:pPr>
        <w:pStyle w:val="24"/>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（一）公告网址：台州湾新区小额工程电子交易平台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p>
    <w:p>
      <w:pPr>
        <w:pStyle w:val="24"/>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pPr>
        <w:pStyle w:val="3"/>
        <w:ind w:right="0" w:firstLine="482" w:firstLineChars="200"/>
        <w:rPr>
          <w:rFonts w:cs="宋体"/>
          <w:bCs/>
          <w:sz w:val="24"/>
          <w:szCs w:val="24"/>
          <w:highlight w:val="none"/>
        </w:rPr>
      </w:pPr>
      <w:bookmarkStart w:id="34" w:name="_Toc35393795"/>
      <w:bookmarkStart w:id="35" w:name="_Toc35393626"/>
      <w:r>
        <w:rPr>
          <w:rFonts w:hint="eastAsia" w:cs="宋体"/>
          <w:bCs/>
          <w:sz w:val="24"/>
          <w:szCs w:val="24"/>
          <w:highlight w:val="none"/>
        </w:rPr>
        <w:t>六、</w:t>
      </w:r>
      <w:bookmarkEnd w:id="34"/>
      <w:bookmarkEnd w:id="35"/>
      <w:r>
        <w:rPr>
          <w:rFonts w:hint="eastAsia" w:cs="宋体"/>
          <w:bCs/>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2" w:firstLineChars="200"/>
        <w:rPr>
          <w:rFonts w:ascii="宋体" w:hAnsi="宋体" w:cs="宋体"/>
          <w:sz w:val="24"/>
          <w:szCs w:val="20"/>
          <w:highlight w:val="none"/>
        </w:rPr>
      </w:pPr>
      <w:r>
        <w:rPr>
          <w:rFonts w:hint="eastAsia" w:ascii="宋体" w:hAnsi="宋体" w:cs="宋体"/>
          <w:b/>
          <w:bCs/>
          <w:sz w:val="24"/>
          <w:highlight w:val="none"/>
        </w:rPr>
        <w:t>七、投标保证金</w:t>
      </w:r>
      <w:r>
        <w:rPr>
          <w:rFonts w:hint="eastAsia" w:ascii="宋体" w:hAnsi="宋体" w:cs="宋体"/>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1.投标保证金金额：</w:t>
      </w:r>
      <w:r>
        <w:rPr>
          <w:rFonts w:ascii="宋体" w:hAnsi="宋体" w:cs="宋体"/>
          <w:bCs/>
          <w:kern w:val="0"/>
          <w:sz w:val="24"/>
          <w:highlight w:val="none"/>
          <w:u w:val="single"/>
        </w:rPr>
        <w:t xml:space="preserve"> </w:t>
      </w:r>
      <w:r>
        <w:rPr>
          <w:rFonts w:hint="eastAsia" w:ascii="宋体" w:hAnsi="宋体" w:cs="宋体"/>
          <w:bCs/>
          <w:kern w:val="0"/>
          <w:sz w:val="24"/>
          <w:highlight w:val="none"/>
          <w:u w:val="single"/>
          <w:lang w:val="en-US" w:eastAsia="zh-CN"/>
        </w:rPr>
        <w:t>2000</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元。</w:t>
      </w:r>
    </w:p>
    <w:p>
      <w:pPr>
        <w:pStyle w:val="24"/>
        <w:ind w:left="0" w:leftChars="0" w:firstLine="480"/>
        <w:jc w:val="left"/>
        <w:rPr>
          <w:rFonts w:ascii="宋体" w:hAnsi="宋体" w:cs="宋体"/>
          <w:bCs/>
          <w:kern w:val="0"/>
          <w:sz w:val="24"/>
          <w:highlight w:val="none"/>
        </w:rPr>
      </w:pPr>
      <w:r>
        <w:rPr>
          <w:rFonts w:hint="eastAsia" w:ascii="宋体" w:hAnsi="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w:t>
      </w:r>
      <w:r>
        <w:rPr>
          <w:rFonts w:hint="eastAsia" w:ascii="宋体" w:hAnsi="宋体" w:cs="宋体"/>
          <w:bCs/>
          <w:kern w:val="0"/>
          <w:sz w:val="24"/>
          <w:highlight w:val="none"/>
          <w:lang w:eastAsia="zh-CN"/>
        </w:rPr>
        <w:t>采购人</w:t>
      </w:r>
      <w:r>
        <w:rPr>
          <w:rFonts w:hint="eastAsia" w:ascii="宋体" w:hAnsi="宋体" w:cs="宋体"/>
          <w:bCs/>
          <w:kern w:val="0"/>
          <w:sz w:val="24"/>
          <w:highlight w:val="none"/>
        </w:rPr>
        <w:t>暂时保管，待签订合同后，</w:t>
      </w:r>
      <w:r>
        <w:rPr>
          <w:rFonts w:hint="eastAsia" w:ascii="宋体" w:hAnsi="宋体" w:cs="宋体"/>
          <w:bCs/>
          <w:kern w:val="0"/>
          <w:sz w:val="24"/>
          <w:highlight w:val="none"/>
          <w:lang w:eastAsia="zh-CN"/>
        </w:rPr>
        <w:t>采购人</w:t>
      </w:r>
      <w:r>
        <w:rPr>
          <w:rFonts w:hint="eastAsia" w:ascii="宋体" w:hAnsi="宋体" w:cs="宋体"/>
          <w:bCs/>
          <w:kern w:val="0"/>
          <w:sz w:val="24"/>
          <w:highlight w:val="none"/>
        </w:rPr>
        <w:t>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①保函的受益人：</w:t>
      </w:r>
      <w:r>
        <w:rPr>
          <w:rFonts w:ascii="宋体" w:hAnsi="宋体" w:cs="宋体"/>
          <w:bCs/>
          <w:kern w:val="0"/>
          <w:sz w:val="24"/>
          <w:highlight w:val="none"/>
        </w:rPr>
        <w:t>_</w:t>
      </w:r>
      <w:r>
        <w:rPr>
          <w:rFonts w:hint="eastAsia" w:cs="宋体"/>
          <w:b w:val="0"/>
          <w:sz w:val="24"/>
          <w:szCs w:val="24"/>
          <w:highlight w:val="none"/>
          <w:u w:val="single"/>
          <w:lang w:eastAsia="zh-CN"/>
        </w:rPr>
        <w:t>台州湾新区管理委员会</w:t>
      </w:r>
      <w:r>
        <w:rPr>
          <w:rFonts w:hint="eastAsia" w:ascii="宋体" w:hAnsi="宋体" w:cs="宋体"/>
          <w:bCs/>
          <w:kern w:val="0"/>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（1）若是投标人的法定代表人递交保函的，应持法定代表人身份证明原件（姓名须与全国建设市场监管与诚信信息发布平台查询的相一致），否则保函不予签收。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（2）若是投标人委托代理人递交保函的，应持针对本工程的法定代表人授权委托书原件（投标文件格式十三）及身份证原件，否则保函不予签收。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（3）递交保函时所要求提供的法定代表人授权委托书或法定代表人身份证明中的人员须与投标文件组成中提供的人员一致，若提供的不一致则以无效标处理。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提交时间：</w:t>
      </w:r>
      <w:r>
        <w:rPr>
          <w:rFonts w:ascii="宋体" w:hAnsi="宋体" w:cs="宋体"/>
          <w:bCs/>
          <w:color w:val="auto"/>
          <w:kern w:val="0"/>
          <w:sz w:val="24"/>
          <w:highlight w:val="none"/>
          <w:u w:val="single"/>
        </w:rPr>
        <w:t>2023年</w:t>
      </w:r>
      <w:r>
        <w:rPr>
          <w:rFonts w:hint="eastAsia" w:ascii="宋体" w:hAnsi="宋体" w:cs="宋体"/>
          <w:bCs/>
          <w:color w:val="auto"/>
          <w:kern w:val="0"/>
          <w:sz w:val="24"/>
          <w:highlight w:val="none"/>
          <w:u w:val="single"/>
          <w:lang w:val="en-US" w:eastAsia="zh-CN"/>
        </w:rPr>
        <w:t>11</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28</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14</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3</w:t>
      </w:r>
      <w:r>
        <w:rPr>
          <w:rFonts w:hint="eastAsia" w:ascii="宋体" w:hAnsi="宋体" w:cs="宋体"/>
          <w:bCs/>
          <w:color w:val="auto"/>
          <w:kern w:val="0"/>
          <w:sz w:val="24"/>
          <w:highlight w:val="none"/>
          <w:u w:val="single"/>
        </w:rPr>
        <w:t>0-</w:t>
      </w:r>
      <w:r>
        <w:rPr>
          <w:rFonts w:hint="eastAsia" w:ascii="宋体" w:hAnsi="宋体" w:cs="宋体"/>
          <w:bCs/>
          <w:color w:val="auto"/>
          <w:kern w:val="0"/>
          <w:sz w:val="24"/>
          <w:highlight w:val="none"/>
          <w:u w:val="single"/>
          <w:lang w:val="en-US" w:eastAsia="zh-CN"/>
        </w:rPr>
        <w:t>15</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0</w:t>
      </w:r>
      <w:r>
        <w:rPr>
          <w:rFonts w:hint="eastAsia" w:ascii="宋体" w:hAnsi="宋体" w:cs="宋体"/>
          <w:bCs/>
          <w:color w:val="auto"/>
          <w:kern w:val="0"/>
          <w:sz w:val="24"/>
          <w:highlight w:val="none"/>
          <w:u w:val="single"/>
        </w:rPr>
        <w:t>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lang w:eastAsia="zh-CN"/>
        </w:rPr>
        <w:t>台州市永阳科技有限公司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lang w:val="en-US" w:eastAsia="zh-CN"/>
        </w:rPr>
        <w:t>18958682891</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3、注意事项</w:t>
      </w:r>
    </w:p>
    <w:p>
      <w:pPr>
        <w:pStyle w:val="3"/>
        <w:ind w:firstLine="480" w:firstLineChars="200"/>
        <w:rPr>
          <w:rFonts w:cs="宋体"/>
          <w:b w:val="0"/>
          <w:bCs/>
          <w:kern w:val="0"/>
          <w:sz w:val="24"/>
          <w:szCs w:val="24"/>
          <w:highlight w:val="none"/>
        </w:rPr>
      </w:pPr>
      <w:r>
        <w:rPr>
          <w:rFonts w:hint="eastAsia" w:cs="宋体"/>
          <w:b w:val="0"/>
          <w:bCs/>
          <w:kern w:val="0"/>
          <w:sz w:val="24"/>
          <w:szCs w:val="24"/>
          <w:highlight w:val="none"/>
        </w:rPr>
        <w:t>① 若招标文件允许联合体投标且投标人以联合体身份投标的，由联合体牵头人提交投标保证金；</w:t>
      </w:r>
    </w:p>
    <w:p>
      <w:pPr>
        <w:pStyle w:val="3"/>
        <w:ind w:firstLine="480" w:firstLineChars="200"/>
        <w:rPr>
          <w:rFonts w:cs="宋体"/>
          <w:b w:val="0"/>
          <w:bCs/>
          <w:kern w:val="0"/>
          <w:sz w:val="24"/>
          <w:szCs w:val="24"/>
          <w:highlight w:val="none"/>
        </w:rPr>
      </w:pPr>
      <w:r>
        <w:rPr>
          <w:rFonts w:hint="eastAsia" w:cs="宋体"/>
          <w:b w:val="0"/>
          <w:bCs/>
          <w:kern w:val="0"/>
          <w:sz w:val="24"/>
          <w:szCs w:val="24"/>
          <w:highlight w:val="none"/>
        </w:rPr>
        <w:t>② 现金转账账号根据不同</w:t>
      </w:r>
      <w:r>
        <w:rPr>
          <w:rFonts w:hint="eastAsia" w:cs="宋体"/>
          <w:b w:val="0"/>
          <w:bCs/>
          <w:kern w:val="0"/>
          <w:sz w:val="24"/>
          <w:szCs w:val="24"/>
          <w:highlight w:val="none"/>
          <w:lang w:val="en-US" w:eastAsia="zh-CN"/>
        </w:rPr>
        <w:t>项目（标段）</w:t>
      </w:r>
      <w:r>
        <w:rPr>
          <w:rFonts w:hint="eastAsia" w:cs="宋体"/>
          <w:b w:val="0"/>
          <w:bCs/>
          <w:kern w:val="0"/>
          <w:sz w:val="24"/>
          <w:szCs w:val="24"/>
          <w:highlight w:val="none"/>
        </w:rPr>
        <w:t>由系统随机生成，此账号只在本</w:t>
      </w:r>
      <w:r>
        <w:rPr>
          <w:rFonts w:hint="eastAsia" w:cs="宋体"/>
          <w:b w:val="0"/>
          <w:bCs/>
          <w:kern w:val="0"/>
          <w:sz w:val="24"/>
          <w:szCs w:val="24"/>
          <w:highlight w:val="none"/>
          <w:lang w:val="en-US" w:eastAsia="zh-CN"/>
        </w:rPr>
        <w:t>项目</w:t>
      </w:r>
      <w:r>
        <w:rPr>
          <w:rFonts w:hint="eastAsia" w:cs="宋体"/>
          <w:b w:val="0"/>
          <w:bCs/>
          <w:kern w:val="0"/>
          <w:sz w:val="24"/>
          <w:szCs w:val="24"/>
          <w:highlight w:val="none"/>
        </w:rPr>
        <w:t>（标段）中使用有效，请注意核对。账号漏填、混填或错填均视为未按时缴纳保证金。</w:t>
      </w:r>
    </w:p>
    <w:p>
      <w:pPr>
        <w:pStyle w:val="3"/>
        <w:ind w:firstLine="482" w:firstLineChars="200"/>
        <w:rPr>
          <w:rFonts w:cs="宋体"/>
          <w:kern w:val="0"/>
          <w:sz w:val="24"/>
          <w:szCs w:val="24"/>
          <w:highlight w:val="none"/>
        </w:rPr>
      </w:pPr>
      <w:r>
        <w:rPr>
          <w:rFonts w:hint="eastAsia" w:cs="宋体"/>
          <w:kern w:val="0"/>
          <w:sz w:val="24"/>
          <w:szCs w:val="24"/>
          <w:highlight w:val="none"/>
        </w:rPr>
        <w:t>③ 以现金转账形式提交的投标保证金应当从投标人基本账户转出，购买保函的费用应当从投标人基本账户支付；</w:t>
      </w:r>
    </w:p>
    <w:p>
      <w:pPr>
        <w:pStyle w:val="3"/>
        <w:ind w:firstLine="482" w:firstLineChars="200"/>
        <w:rPr>
          <w:rFonts w:cs="宋体"/>
          <w:kern w:val="0"/>
          <w:sz w:val="24"/>
          <w:szCs w:val="24"/>
          <w:highlight w:val="none"/>
        </w:rPr>
      </w:pPr>
      <w:r>
        <w:rPr>
          <w:rFonts w:hint="eastAsia" w:cs="宋体"/>
          <w:kern w:val="0"/>
          <w:sz w:val="24"/>
          <w:szCs w:val="24"/>
          <w:highlight w:val="none"/>
        </w:rPr>
        <w:t>④ 电子保函或现金转账的缴款凭证，其扫描件（加盖公章）放进投标文件中。</w:t>
      </w:r>
    </w:p>
    <w:p>
      <w:pPr>
        <w:pStyle w:val="3"/>
        <w:ind w:firstLine="480" w:firstLineChars="200"/>
        <w:rPr>
          <w:rFonts w:cs="宋体"/>
          <w:b w:val="0"/>
          <w:bCs/>
          <w:kern w:val="0"/>
          <w:sz w:val="24"/>
          <w:szCs w:val="24"/>
          <w:highlight w:val="none"/>
        </w:rPr>
      </w:pPr>
      <w:r>
        <w:rPr>
          <w:rFonts w:hint="eastAsia" w:cs="宋体"/>
          <w:b w:val="0"/>
          <w:bCs/>
          <w:kern w:val="0"/>
          <w:sz w:val="24"/>
          <w:szCs w:val="24"/>
          <w:highlight w:val="none"/>
        </w:rPr>
        <w:t>⑤ 若有疑问，请咨询技术服务热线：0576-88865501</w:t>
      </w:r>
    </w:p>
    <w:p>
      <w:pPr>
        <w:pStyle w:val="3"/>
        <w:ind w:firstLine="480" w:firstLineChars="200"/>
        <w:rPr>
          <w:rFonts w:cs="宋体"/>
          <w:b w:val="0"/>
          <w:bCs/>
          <w:kern w:val="0"/>
          <w:sz w:val="24"/>
          <w:szCs w:val="24"/>
          <w:highlight w:val="none"/>
        </w:rPr>
      </w:pPr>
      <w:r>
        <w:rPr>
          <w:rFonts w:hint="eastAsia" w:cs="宋体"/>
          <w:b w:val="0"/>
          <w:bCs/>
          <w:kern w:val="0"/>
          <w:sz w:val="24"/>
          <w:szCs w:val="24"/>
          <w:highlight w:val="none"/>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购买电子保函截止时</w:t>
      </w:r>
      <w:r>
        <w:rPr>
          <w:rFonts w:hint="eastAsia" w:ascii="宋体" w:hAnsi="宋体" w:cs="宋体"/>
          <w:bCs/>
          <w:color w:val="auto"/>
          <w:kern w:val="0"/>
          <w:sz w:val="24"/>
          <w:highlight w:val="none"/>
        </w:rPr>
        <w:t>间：</w:t>
      </w:r>
      <w:r>
        <w:rPr>
          <w:rFonts w:hint="eastAsia" w:ascii="宋体" w:hAnsi="宋体" w:cs="宋体"/>
          <w:b/>
          <w:bCs/>
          <w:color w:val="auto"/>
          <w:kern w:val="0"/>
          <w:sz w:val="24"/>
          <w:highlight w:val="none"/>
          <w:u w:val="single"/>
        </w:rPr>
        <w:t xml:space="preserve"> 2023 </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u w:val="single"/>
          <w:lang w:val="en-US" w:eastAsia="zh-CN"/>
        </w:rPr>
        <w:t>11</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27</w:t>
      </w:r>
      <w:r>
        <w:rPr>
          <w:rFonts w:hint="eastAsia" w:ascii="宋体" w:hAnsi="宋体" w:cs="宋体"/>
          <w:b/>
          <w:bCs/>
          <w:color w:val="auto"/>
          <w:kern w:val="0"/>
          <w:sz w:val="24"/>
          <w:highlight w:val="none"/>
        </w:rPr>
        <w:t>下午16点前</w:t>
      </w:r>
    </w:p>
    <w:p>
      <w:pPr>
        <w:pStyle w:val="3"/>
        <w:ind w:right="0" w:firstLine="482" w:firstLineChars="200"/>
        <w:rPr>
          <w:rFonts w:cs="宋体"/>
          <w:bCs/>
          <w:sz w:val="24"/>
          <w:szCs w:val="24"/>
          <w:highlight w:val="none"/>
        </w:rPr>
      </w:pPr>
      <w:bookmarkStart w:id="36" w:name="_Toc28359085"/>
      <w:bookmarkStart w:id="37" w:name="_Toc35393796"/>
      <w:bookmarkStart w:id="38" w:name="_Toc35393627"/>
      <w:bookmarkStart w:id="39" w:name="_Toc28359008"/>
      <w:r>
        <w:rPr>
          <w:rFonts w:hint="eastAsia" w:cs="宋体"/>
          <w:bCs/>
          <w:sz w:val="24"/>
          <w:szCs w:val="24"/>
          <w:highlight w:val="none"/>
        </w:rPr>
        <w:t>八、</w:t>
      </w:r>
      <w:bookmarkEnd w:id="36"/>
      <w:bookmarkEnd w:id="37"/>
      <w:bookmarkEnd w:id="38"/>
      <w:bookmarkEnd w:id="39"/>
      <w:r>
        <w:rPr>
          <w:rFonts w:hint="eastAsia" w:cs="宋体"/>
          <w:bCs/>
          <w:sz w:val="24"/>
          <w:szCs w:val="24"/>
          <w:highlight w:val="none"/>
        </w:rPr>
        <w:t>联系方式</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（一）采购人 </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名称：</w:t>
      </w:r>
      <w:r>
        <w:rPr>
          <w:rFonts w:hint="eastAsia" w:cs="宋体"/>
          <w:sz w:val="24"/>
          <w:highlight w:val="none"/>
          <w:u w:val="none"/>
        </w:rPr>
        <w:t>台州湾新区管理委员会</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地址：台州市甲南大道东段9号</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联系人：</w:t>
      </w:r>
      <w:bookmarkStart w:id="40" w:name="_Toc28359086"/>
      <w:bookmarkStart w:id="41" w:name="_Toc28359009"/>
      <w:r>
        <w:rPr>
          <w:rFonts w:hint="eastAsia" w:ascii="宋体" w:hAnsi="宋体" w:cs="宋体"/>
          <w:sz w:val="24"/>
          <w:highlight w:val="none"/>
          <w:u w:val="none"/>
          <w:lang w:val="en-US" w:eastAsia="zh-CN"/>
        </w:rPr>
        <w:t>徐先生</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联系电话：0576</w:t>
      </w:r>
      <w:r>
        <w:rPr>
          <w:rFonts w:hint="eastAsia" w:ascii="宋体" w:hAnsi="宋体" w:cs="宋体"/>
          <w:sz w:val="24"/>
          <w:highlight w:val="none"/>
          <w:u w:val="none"/>
          <w:lang w:val="en-US" w:eastAsia="zh-CN"/>
        </w:rPr>
        <w:t>-</w:t>
      </w:r>
      <w:r>
        <w:rPr>
          <w:rFonts w:hint="eastAsia" w:ascii="宋体" w:hAnsi="宋体" w:cs="宋体"/>
          <w:sz w:val="24"/>
          <w:highlight w:val="none"/>
          <w:u w:val="none"/>
        </w:rPr>
        <w:t>88217513</w:t>
      </w:r>
      <w:r>
        <w:rPr>
          <w:rFonts w:ascii="宋体" w:hAnsi="宋体" w:cs="宋体"/>
          <w:sz w:val="24"/>
          <w:highlight w:val="none"/>
          <w:u w:val="none"/>
        </w:rPr>
        <w:t xml:space="preserve">       </w:t>
      </w:r>
      <w:r>
        <w:rPr>
          <w:rFonts w:hint="eastAsia" w:ascii="宋体" w:hAnsi="宋体" w:cs="宋体"/>
          <w:sz w:val="24"/>
          <w:highlight w:val="none"/>
          <w:u w:val="none"/>
        </w:rPr>
        <w:t xml:space="preserve"> </w:t>
      </w:r>
    </w:p>
    <w:bookmarkEnd w:id="40"/>
    <w:bookmarkEnd w:id="41"/>
    <w:p>
      <w:pPr>
        <w:spacing w:line="360" w:lineRule="auto"/>
        <w:ind w:firstLine="482" w:firstLineChars="200"/>
        <w:rPr>
          <w:rFonts w:ascii="宋体" w:hAnsi="宋体" w:cs="宋体"/>
          <w:b/>
          <w:sz w:val="24"/>
          <w:highlight w:val="none"/>
          <w:u w:val="none"/>
        </w:rPr>
      </w:pPr>
      <w:r>
        <w:rPr>
          <w:rFonts w:hint="eastAsia" w:ascii="宋体" w:hAnsi="宋体" w:cs="宋体"/>
          <w:b/>
          <w:bCs/>
          <w:sz w:val="24"/>
          <w:highlight w:val="none"/>
          <w:u w:val="none"/>
        </w:rPr>
        <w:t>（二）采购组织机构</w:t>
      </w:r>
    </w:p>
    <w:p>
      <w:pPr>
        <w:spacing w:line="360" w:lineRule="auto"/>
        <w:ind w:firstLine="480" w:firstLineChars="200"/>
        <w:rPr>
          <w:rFonts w:ascii="宋体" w:hAnsi="宋体" w:cs="宋体"/>
          <w:sz w:val="24"/>
          <w:highlight w:val="none"/>
          <w:u w:val="none"/>
        </w:rPr>
      </w:pPr>
      <w:bookmarkStart w:id="42" w:name="_Toc28359010"/>
      <w:bookmarkStart w:id="43" w:name="_Toc28359087"/>
      <w:r>
        <w:rPr>
          <w:rFonts w:hint="eastAsia" w:ascii="宋体" w:hAnsi="宋体" w:cs="宋体"/>
          <w:sz w:val="24"/>
          <w:highlight w:val="none"/>
          <w:u w:val="none"/>
        </w:rPr>
        <w:t>名称：台州市永阳科技有限公司</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地址：台州市黄岩区大桥路与北院大道交汇处中国模具博览城19栋209室</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lang w:val="en-US" w:eastAsia="zh-CN"/>
        </w:rPr>
        <w:t>项目</w:t>
      </w:r>
      <w:r>
        <w:rPr>
          <w:rFonts w:hint="eastAsia" w:ascii="宋体" w:hAnsi="宋体" w:cs="宋体"/>
          <w:sz w:val="24"/>
          <w:highlight w:val="none"/>
          <w:u w:val="none"/>
        </w:rPr>
        <w:t>联系人：</w:t>
      </w:r>
      <w:r>
        <w:rPr>
          <w:rFonts w:hint="eastAsia" w:ascii="宋体" w:hAnsi="宋体" w:cs="宋体"/>
          <w:sz w:val="24"/>
          <w:highlight w:val="none"/>
          <w:u w:val="none"/>
          <w:lang w:val="en-US" w:eastAsia="zh-CN"/>
        </w:rPr>
        <w:t>周先生</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联系电话：</w:t>
      </w:r>
      <w:r>
        <w:rPr>
          <w:rFonts w:hint="eastAsia" w:ascii="宋体" w:hAnsi="宋体" w:cs="宋体"/>
          <w:sz w:val="24"/>
          <w:highlight w:val="none"/>
          <w:u w:val="none"/>
          <w:lang w:val="en-US" w:eastAsia="zh-CN"/>
        </w:rPr>
        <w:t>18958682891</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受理联系人：</w:t>
      </w:r>
      <w:r>
        <w:rPr>
          <w:rFonts w:hint="eastAsia" w:ascii="宋体" w:hAnsi="宋体" w:cs="宋体"/>
          <w:sz w:val="24"/>
          <w:highlight w:val="none"/>
          <w:u w:val="none"/>
          <w:lang w:val="en-US" w:eastAsia="zh-CN"/>
        </w:rPr>
        <w:t>金先生</w:t>
      </w:r>
      <w:r>
        <w:rPr>
          <w:rFonts w:hint="eastAsia" w:ascii="宋体" w:hAnsi="宋体" w:cs="宋体"/>
          <w:b/>
          <w:bCs/>
          <w:sz w:val="24"/>
          <w:highlight w:val="none"/>
        </w:rPr>
        <w:t>（受理招标文件相关质疑及答复）</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联系电话：15757655840</w:t>
      </w:r>
    </w:p>
    <w:p>
      <w:pPr>
        <w:spacing w:line="360" w:lineRule="auto"/>
        <w:ind w:firstLine="482" w:firstLineChars="200"/>
        <w:rPr>
          <w:rFonts w:ascii="宋体" w:hAnsi="宋体" w:cs="宋体"/>
          <w:b/>
          <w:sz w:val="24"/>
          <w:highlight w:val="none"/>
          <w:u w:val="none"/>
        </w:rPr>
      </w:pPr>
      <w:r>
        <w:rPr>
          <w:rFonts w:hint="eastAsia" w:ascii="宋体" w:hAnsi="宋体" w:cs="宋体"/>
          <w:b/>
          <w:sz w:val="24"/>
          <w:highlight w:val="none"/>
          <w:u w:val="none"/>
        </w:rPr>
        <w:t>（三）同级政府采购监管机构</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名 称：</w:t>
      </w:r>
      <w:r>
        <w:rPr>
          <w:rFonts w:hint="eastAsia" w:asciiTheme="minorEastAsia" w:hAnsiTheme="minorEastAsia" w:eastAsiaTheme="minorEastAsia" w:cstheme="minorEastAsia"/>
          <w:sz w:val="24"/>
          <w:highlight w:val="none"/>
          <w:u w:val="none"/>
        </w:rPr>
        <w:t>台州湾新区司法审计局</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地 址：台州市甲南大道东段9号</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联系人：徐先生</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联系电话：0576-88538849</w:t>
      </w:r>
    </w:p>
    <w:p>
      <w:pPr>
        <w:spacing w:line="360" w:lineRule="auto"/>
        <w:ind w:firstLine="482" w:firstLineChars="200"/>
        <w:rPr>
          <w:rFonts w:ascii="宋体" w:hAnsi="宋体" w:cs="宋体"/>
          <w:b/>
          <w:sz w:val="24"/>
          <w:highlight w:val="none"/>
          <w:u w:val="none"/>
        </w:rPr>
      </w:pPr>
      <w:r>
        <w:rPr>
          <w:rFonts w:hint="eastAsia" w:ascii="宋体" w:hAnsi="宋体" w:cs="宋体"/>
          <w:b/>
          <w:sz w:val="24"/>
          <w:highlight w:val="none"/>
          <w:u w:val="none"/>
        </w:rPr>
        <w:t>（四）台州湾新区小额工程电子交易平台</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联系人：蔡先生、王女士</w:t>
      </w:r>
    </w:p>
    <w:p>
      <w:pPr>
        <w:spacing w:line="360" w:lineRule="auto"/>
        <w:ind w:firstLine="480" w:firstLineChars="200"/>
        <w:rPr>
          <w:rFonts w:ascii="宋体" w:hAnsi="宋体" w:cs="宋体"/>
          <w:sz w:val="24"/>
          <w:highlight w:val="none"/>
          <w:u w:val="none"/>
          <w:shd w:val="clear" w:color="auto" w:fill="FFFFFF"/>
        </w:rPr>
      </w:pPr>
      <w:r>
        <w:rPr>
          <w:rFonts w:hint="eastAsia" w:ascii="宋体" w:hAnsi="宋体" w:cs="宋体"/>
          <w:sz w:val="24"/>
          <w:highlight w:val="none"/>
          <w:u w:val="none"/>
        </w:rPr>
        <w:t>联系电话：13454667697、13757680207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highlight w:val="none"/>
        </w:rPr>
      </w:pPr>
      <w:r>
        <w:rPr>
          <w:rFonts w:hint="eastAsia" w:ascii="宋体" w:hAnsi="宋体" w:cs="宋体"/>
          <w:sz w:val="24"/>
          <w:highlight w:val="none"/>
          <w:shd w:val="clear" w:color="auto" w:fill="FFFFFF"/>
          <w:lang w:eastAsia="zh-CN"/>
        </w:rPr>
        <w:t>台州市永阳科技有限公司</w:t>
      </w:r>
      <w:r>
        <w:rPr>
          <w:rFonts w:hint="eastAsia" w:ascii="宋体" w:hAnsi="宋体" w:cs="宋体"/>
          <w:kern w:val="0"/>
          <w:sz w:val="24"/>
          <w:highlight w:val="none"/>
        </w:rPr>
        <w:t xml:space="preserve">  </w:t>
      </w:r>
    </w:p>
    <w:p>
      <w:pPr>
        <w:widowControl/>
        <w:spacing w:line="360" w:lineRule="auto"/>
        <w:ind w:firstLine="200"/>
        <w:jc w:val="right"/>
        <w:rPr>
          <w:rFonts w:asciiTheme="minorEastAsia" w:hAnsiTheme="minorEastAsia" w:eastAsiaTheme="minorEastAsia" w:cstheme="minorEastAsia"/>
          <w:kern w:val="0"/>
          <w:sz w:val="24"/>
          <w:highlight w:val="none"/>
        </w:rPr>
      </w:pPr>
      <w:r>
        <w:rPr>
          <w:rFonts w:hint="eastAsia" w:ascii="宋体" w:hAnsi="宋体" w:cs="宋体"/>
          <w:kern w:val="0"/>
          <w:sz w:val="24"/>
          <w:highlight w:val="none"/>
        </w:rPr>
        <w:t xml:space="preserve">                                                      </w:t>
      </w:r>
      <w:r>
        <w:rPr>
          <w:rFonts w:hint="eastAsia" w:asciiTheme="minorEastAsia" w:hAnsiTheme="minorEastAsia" w:eastAsiaTheme="minorEastAsia" w:cstheme="minorEastAsia"/>
          <w:kern w:val="0"/>
          <w:sz w:val="24"/>
          <w:highlight w:val="none"/>
        </w:rPr>
        <w:t>2023年</w:t>
      </w:r>
      <w:r>
        <w:rPr>
          <w:rFonts w:hint="eastAsia" w:asciiTheme="minorEastAsia" w:hAnsiTheme="minorEastAsia" w:eastAsiaTheme="minorEastAsia" w:cstheme="minorEastAsia"/>
          <w:sz w:val="24"/>
          <w:highlight w:val="none"/>
          <w:lang w:val="en-US" w:eastAsia="zh-CN"/>
        </w:rPr>
        <w:t>11</w:t>
      </w:r>
      <w:r>
        <w:rPr>
          <w:rFonts w:hint="eastAsia" w:asciiTheme="minorEastAsia" w:hAnsiTheme="minorEastAsia" w:eastAsiaTheme="minorEastAsia" w:cstheme="minorEastAsia"/>
          <w:kern w:val="0"/>
          <w:sz w:val="24"/>
          <w:highlight w:val="none"/>
        </w:rPr>
        <w:t>月</w:t>
      </w:r>
    </w:p>
    <w:p>
      <w:pPr>
        <w:pStyle w:val="32"/>
        <w:ind w:firstLine="480"/>
        <w:rPr>
          <w:rFonts w:asciiTheme="minorEastAsia" w:hAnsiTheme="minorEastAsia" w:eastAsiaTheme="minorEastAsia" w:cstheme="minorEastAsia"/>
          <w:kern w:val="0"/>
          <w:highlight w:val="none"/>
        </w:rPr>
      </w:pPr>
    </w:p>
    <w:p>
      <w:pPr>
        <w:pStyle w:val="32"/>
        <w:ind w:firstLine="480"/>
        <w:rPr>
          <w:rFonts w:asciiTheme="minorEastAsia" w:hAnsiTheme="minorEastAsia" w:eastAsiaTheme="minorEastAsia" w:cstheme="minorEastAsia"/>
          <w:kern w:val="0"/>
          <w:highlight w:val="none"/>
        </w:rPr>
      </w:pPr>
    </w:p>
    <w:p>
      <w:pPr>
        <w:pStyle w:val="32"/>
        <w:ind w:firstLine="0" w:firstLineChars="0"/>
        <w:rPr>
          <w:rFonts w:hint="eastAsia" w:asciiTheme="minorEastAsia" w:hAnsiTheme="minorEastAsia" w:eastAsiaTheme="minorEastAsia" w:cstheme="minorEastAsia"/>
          <w:kern w:val="0"/>
          <w:highlight w:val="none"/>
        </w:rPr>
      </w:pPr>
    </w:p>
    <w:bookmarkEnd w:id="42"/>
    <w:bookmarkEnd w:id="43"/>
    <w:p>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pPr>
        <w:numPr>
          <w:ilvl w:val="0"/>
          <w:numId w:val="6"/>
        </w:numPr>
        <w:spacing w:line="360" w:lineRule="auto"/>
        <w:jc w:val="center"/>
        <w:outlineLvl w:val="0"/>
        <w:rPr>
          <w:rFonts w:asciiTheme="minorEastAsia" w:hAnsiTheme="minorEastAsia" w:eastAsiaTheme="minorEastAsia"/>
          <w:b/>
          <w:sz w:val="36"/>
          <w:szCs w:val="36"/>
          <w:highlight w:val="none"/>
        </w:rPr>
      </w:pPr>
      <w:bookmarkStart w:id="44" w:name="_Toc9531"/>
      <w:r>
        <w:rPr>
          <w:rFonts w:hint="eastAsia" w:asciiTheme="minorEastAsia" w:hAnsiTheme="minorEastAsia" w:eastAsiaTheme="minorEastAsia"/>
          <w:b/>
          <w:sz w:val="36"/>
          <w:szCs w:val="36"/>
          <w:highlight w:val="none"/>
        </w:rPr>
        <w:t>投标人须知</w:t>
      </w:r>
      <w:bookmarkEnd w:id="44"/>
    </w:p>
    <w:p>
      <w:pPr>
        <w:numPr>
          <w:ilvl w:val="0"/>
          <w:numId w:val="7"/>
        </w:numPr>
        <w:ind w:firstLine="482" w:firstLineChars="200"/>
        <w:rPr>
          <w:highlight w:val="none"/>
        </w:rPr>
      </w:pPr>
      <w:r>
        <w:rPr>
          <w:rFonts w:hint="eastAsia" w:asciiTheme="minorEastAsia" w:hAnsiTheme="minorEastAsia" w:eastAsiaTheme="minorEastAsia"/>
          <w:b/>
          <w:sz w:val="24"/>
          <w:highlight w:val="none"/>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46"/>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序 号</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事 项</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是否允许联合体</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highlight w:val="none"/>
              </w:rPr>
            </w:pPr>
            <w:r>
              <w:rPr>
                <w:rFonts w:hint="eastAsia" w:ascii="宋体"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2</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是否允许分包</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hint="eastAsia" w:ascii="宋体" w:hAnsi="宋体" w:eastAsia="宋体" w:cs="宋体"/>
                <w:highlight w:val="none"/>
                <w:lang w:val="en-US" w:eastAsia="zh-CN"/>
              </w:rPr>
            </w:pPr>
            <w:r>
              <w:rPr>
                <w:rFonts w:hint="eastAsia" w:ascii="宋体" w:hAnsi="宋体" w:cs="宋体"/>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3</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答疑会或</w:t>
            </w:r>
          </w:p>
          <w:p>
            <w:pPr>
              <w:spacing w:line="300" w:lineRule="auto"/>
              <w:jc w:val="center"/>
              <w:rPr>
                <w:rFonts w:ascii="宋体" w:hAnsi="宋体" w:cs="宋体"/>
                <w:highlight w:val="none"/>
              </w:rPr>
            </w:pPr>
            <w:r>
              <w:rPr>
                <w:rFonts w:hint="eastAsia" w:ascii="宋体" w:hAnsi="宋体" w:cs="宋体"/>
                <w:highlight w:val="none"/>
              </w:rPr>
              <w:t>现场踏勘</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highlight w:val="none"/>
              </w:rPr>
            </w:pPr>
            <w:r>
              <w:rPr>
                <w:rFonts w:hint="eastAsia" w:ascii="宋体" w:hAnsi="宋体" w:cs="宋体"/>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4</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投标文件的制作和投标</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highlight w:val="none"/>
              </w:rPr>
            </w:pPr>
            <w:r>
              <w:rPr>
                <w:rFonts w:hint="eastAsia" w:ascii="宋体" w:hAnsi="宋体" w:cs="宋体"/>
                <w:highlight w:val="none"/>
              </w:rPr>
              <w:t>2、电子投标文件上传步骤：</w:t>
            </w:r>
          </w:p>
          <w:p>
            <w:pPr>
              <w:spacing w:line="300" w:lineRule="auto"/>
              <w:ind w:firstLine="420" w:firstLineChars="200"/>
              <w:rPr>
                <w:rFonts w:ascii="宋体" w:hAnsi="宋体" w:cs="宋体"/>
                <w:highlight w:val="none"/>
              </w:rPr>
            </w:pPr>
            <w:r>
              <w:rPr>
                <w:rFonts w:hint="eastAsia" w:ascii="宋体" w:hAnsi="宋体" w:cs="宋体"/>
                <w:highlight w:val="none"/>
              </w:rPr>
              <w:t>1) 台州湾新区小额工程电子交易平台（网址：http://www.tzwztb.com/）；</w:t>
            </w:r>
          </w:p>
          <w:p>
            <w:pPr>
              <w:spacing w:line="300" w:lineRule="auto"/>
              <w:ind w:firstLine="420" w:firstLineChars="200"/>
              <w:rPr>
                <w:rFonts w:ascii="宋体" w:hAnsi="宋体" w:cs="宋体"/>
                <w:highlight w:val="none"/>
              </w:rPr>
            </w:pPr>
            <w:r>
              <w:rPr>
                <w:rFonts w:hint="eastAsia" w:ascii="宋体" w:hAnsi="宋体" w:cs="宋体"/>
                <w:highlight w:val="none"/>
              </w:rPr>
              <w:t>2) 投标人应提前办好ca锁（办理网址：http://www.tseal.cn/tcloud/common.xhtml?projId=295），绑定平台账户。</w:t>
            </w:r>
          </w:p>
          <w:p>
            <w:pPr>
              <w:spacing w:line="300" w:lineRule="auto"/>
              <w:ind w:firstLine="420" w:firstLineChars="200"/>
              <w:rPr>
                <w:rFonts w:ascii="宋体" w:hAnsi="宋体" w:cs="宋体"/>
                <w:highlight w:val="none"/>
              </w:rPr>
            </w:pPr>
            <w:r>
              <w:rPr>
                <w:rFonts w:hint="eastAsia" w:ascii="宋体" w:hAnsi="宋体" w:cs="宋体"/>
                <w:highlight w:val="none"/>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5</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投标与开标</w:t>
            </w:r>
          </w:p>
          <w:p>
            <w:pPr>
              <w:spacing w:line="300" w:lineRule="auto"/>
              <w:jc w:val="center"/>
              <w:rPr>
                <w:rFonts w:ascii="宋体" w:hAnsi="宋体" w:cs="宋体"/>
                <w:highlight w:val="none"/>
              </w:rPr>
            </w:pPr>
            <w:r>
              <w:rPr>
                <w:rFonts w:hint="eastAsia" w:ascii="宋体" w:hAnsi="宋体" w:cs="宋体"/>
                <w:highlight w:val="none"/>
              </w:rPr>
              <w:t>注意事项</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1.本项目实行电子投标，投标人自行承担投标一切费用。</w:t>
            </w:r>
          </w:p>
          <w:p>
            <w:pPr>
              <w:spacing w:line="300" w:lineRule="auto"/>
              <w:ind w:firstLine="420" w:firstLineChars="200"/>
              <w:rPr>
                <w:rFonts w:ascii="宋体" w:hAnsi="宋体" w:cs="宋体"/>
                <w:highlight w:val="none"/>
              </w:rPr>
            </w:pPr>
            <w:r>
              <w:rPr>
                <w:rFonts w:hint="eastAsia" w:ascii="宋体" w:hAnsi="宋体" w:cs="宋体"/>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6</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信用信息</w:t>
            </w:r>
          </w:p>
          <w:p>
            <w:pPr>
              <w:spacing w:line="300" w:lineRule="auto"/>
              <w:jc w:val="center"/>
              <w:rPr>
                <w:rFonts w:ascii="宋体" w:hAnsi="宋体" w:cs="宋体"/>
                <w:highlight w:val="none"/>
              </w:rPr>
            </w:pPr>
            <w:r>
              <w:rPr>
                <w:rFonts w:hint="eastAsia" w:ascii="宋体" w:hAnsi="宋体" w:cs="宋体"/>
                <w:highlight w:val="none"/>
              </w:rPr>
              <w:t>查询渠道</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ascii="宋体" w:hAnsi="宋体" w:cs="宋体"/>
                <w:highlight w:val="none"/>
              </w:rPr>
              <w:fldChar w:fldCharType="end"/>
            </w:r>
            <w:r>
              <w:rPr>
                <w:rFonts w:hint="eastAsia" w:ascii="宋体" w:hAnsi="宋体" w:cs="宋体"/>
                <w:highlight w:val="none"/>
              </w:rPr>
              <w:t>）</w:t>
            </w:r>
          </w:p>
          <w:p>
            <w:pPr>
              <w:spacing w:line="300" w:lineRule="auto"/>
              <w:ind w:firstLine="420" w:firstLineChars="200"/>
              <w:rPr>
                <w:rFonts w:ascii="宋体" w:hAnsi="宋体" w:cs="宋体"/>
                <w:highlight w:val="none"/>
              </w:rPr>
            </w:pPr>
            <w:r>
              <w:rPr>
                <w:rFonts w:hint="eastAsia" w:ascii="宋体" w:hAnsi="宋体" w:cs="宋体"/>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7</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质疑渠道</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8</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lang w:val="zh-CN"/>
              </w:rPr>
              <w:t>实质性条款</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9</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4"/>
                <w:highlight w:val="none"/>
                <w:lang w:val="en-US" w:eastAsia="zh-CN" w:bidi="ar-SA"/>
              </w:rPr>
            </w:pPr>
            <w:r>
              <w:rPr>
                <w:rFonts w:hint="eastAsia" w:ascii="宋体" w:hAnsi="宋体" w:cs="宋体"/>
                <w:highlight w:val="none"/>
              </w:rPr>
              <w:t>书面形式</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eastAsia="宋体" w:cs="宋体"/>
                <w:kern w:val="2"/>
                <w:sz w:val="21"/>
                <w:szCs w:val="24"/>
                <w:highlight w:val="none"/>
                <w:lang w:val="en-US" w:eastAsia="zh-CN" w:bidi="ar-SA"/>
              </w:rPr>
            </w:pPr>
            <w:r>
              <w:rPr>
                <w:rFonts w:hint="eastAsia" w:ascii="宋体" w:hAnsi="宋体" w:cs="宋体"/>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10</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4"/>
                <w:highlight w:val="none"/>
                <w:lang w:val="en-US" w:eastAsia="zh-CN" w:bidi="ar-SA"/>
              </w:rPr>
            </w:pPr>
            <w:r>
              <w:rPr>
                <w:rFonts w:hint="eastAsia" w:ascii="宋体" w:hAnsi="宋体" w:cs="宋体"/>
                <w:highlight w:val="none"/>
              </w:rPr>
              <w:t>解释权</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eastAsia="宋体" w:cs="宋体"/>
                <w:kern w:val="2"/>
                <w:sz w:val="21"/>
                <w:szCs w:val="24"/>
                <w:highlight w:val="none"/>
                <w:lang w:val="en-US" w:eastAsia="zh-CN" w:bidi="ar-SA"/>
              </w:rPr>
            </w:pPr>
            <w:r>
              <w:rPr>
                <w:rFonts w:hint="eastAsia" w:ascii="宋体" w:hAnsi="宋体" w:cs="宋体"/>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11</w:t>
            </w:r>
          </w:p>
        </w:tc>
        <w:tc>
          <w:tcPr>
            <w:tcW w:w="17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4"/>
                <w:highlight w:val="none"/>
                <w:lang w:val="en-US" w:eastAsia="zh-CN" w:bidi="ar-SA"/>
              </w:rPr>
            </w:pPr>
            <w:r>
              <w:rPr>
                <w:rFonts w:hint="eastAsia" w:ascii="宋体" w:hAnsi="宋体" w:cs="宋体"/>
                <w:highlight w:val="none"/>
              </w:rPr>
              <w:t>投标报价及费用</w:t>
            </w:r>
          </w:p>
        </w:tc>
        <w:tc>
          <w:tcPr>
            <w:tcW w:w="64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highlight w:val="none"/>
              </w:rPr>
            </w:pPr>
            <w:r>
              <w:rPr>
                <w:rFonts w:hint="eastAsia" w:ascii="宋体" w:hAnsi="宋体" w:cs="宋体"/>
                <w:highlight w:val="none"/>
              </w:rPr>
              <w:t>本项目投标应以人民币报价；</w:t>
            </w:r>
          </w:p>
          <w:p>
            <w:pPr>
              <w:spacing w:line="300" w:lineRule="auto"/>
              <w:rPr>
                <w:rFonts w:ascii="宋体" w:hAnsi="宋体" w:eastAsia="宋体" w:cs="宋体"/>
                <w:kern w:val="2"/>
                <w:sz w:val="21"/>
                <w:szCs w:val="24"/>
                <w:highlight w:val="none"/>
                <w:lang w:val="en-US" w:eastAsia="zh-CN" w:bidi="ar-SA"/>
              </w:rPr>
            </w:pPr>
            <w:r>
              <w:rPr>
                <w:rFonts w:hint="eastAsia" w:ascii="宋体" w:hAnsi="宋体" w:cs="宋体"/>
                <w:highlight w:val="none"/>
              </w:rPr>
              <w:t>不论投标结果如何，投标人均应自行承担所有与投标有关的全部费用。</w:t>
            </w:r>
            <w:r>
              <w:rPr>
                <w:rFonts w:hint="eastAsia" w:ascii="宋体" w:hAnsi="宋体" w:cs="宋体"/>
                <w:szCs w:val="21"/>
                <w:highlight w:val="none"/>
              </w:rPr>
              <w:t>本项目招标代理服务费</w:t>
            </w:r>
            <w:r>
              <w:rPr>
                <w:rFonts w:hint="eastAsia" w:ascii="宋体" w:hAnsi="宋体" w:cs="宋体"/>
                <w:szCs w:val="21"/>
                <w:highlight w:val="none"/>
                <w:lang w:val="en-US" w:eastAsia="zh-CN"/>
              </w:rPr>
              <w:t>6000</w:t>
            </w:r>
            <w:r>
              <w:rPr>
                <w:rFonts w:hint="eastAsia" w:ascii="宋体" w:hAnsi="宋体" w:cs="宋体"/>
                <w:szCs w:val="21"/>
                <w:highlight w:val="none"/>
              </w:rPr>
              <w:t>元，由中标单位支付，请各投标人报价时综合考虑。</w:t>
            </w:r>
          </w:p>
        </w:tc>
      </w:tr>
    </w:tbl>
    <w:p>
      <w:pPr>
        <w:rPr>
          <w:rFonts w:hint="eastAsia" w:asciiTheme="minorEastAsia" w:hAnsiTheme="minorEastAsia" w:eastAsiaTheme="minorEastAsia"/>
          <w:b/>
          <w:sz w:val="24"/>
          <w:highlight w:val="none"/>
        </w:rPr>
      </w:pPr>
    </w:p>
    <w:p>
      <w:pP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pPr>
        <w:pStyle w:val="7"/>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二、说 明</w:t>
      </w:r>
    </w:p>
    <w:p>
      <w:pPr>
        <w:pStyle w:val="14"/>
        <w:numPr>
          <w:ilvl w:val="0"/>
          <w:numId w:val="8"/>
        </w:numPr>
        <w:spacing w:line="360" w:lineRule="auto"/>
        <w:ind w:left="0" w:leftChars="0"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本招标文件</w:t>
      </w:r>
      <w:r>
        <w:rPr>
          <w:rFonts w:hint="eastAsia" w:asciiTheme="minorEastAsia" w:hAnsiTheme="minorEastAsia" w:eastAsiaTheme="minorEastAsia"/>
          <w:sz w:val="24"/>
          <w:highlight w:val="none"/>
          <w:lang w:val="en-US" w:eastAsia="zh-CN"/>
        </w:rPr>
        <w:t>参考</w:t>
      </w:r>
      <w:r>
        <w:rPr>
          <w:rFonts w:asciiTheme="minorEastAsia" w:hAnsiTheme="minorEastAsia" w:eastAsiaTheme="minorEastAsia"/>
          <w:sz w:val="24"/>
          <w:highlight w:val="none"/>
        </w:rPr>
        <w:t>《中华人民共和国政府采购法》、《中华人民共和国政府采购法实施条例》（国务院令第658号）和《政府采购货物和服务招标投标管理办法》（财政部令第87号）及国家和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hint="eastAsia"/>
          <w:sz w:val="24"/>
          <w:highlight w:val="none"/>
        </w:rPr>
        <w:t>承担。</w:t>
      </w:r>
    </w:p>
    <w:p>
      <w:pPr>
        <w:numPr>
          <w:ilvl w:val="0"/>
          <w:numId w:val="8"/>
        </w:numPr>
        <w:snapToGrid w:val="0"/>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pPr>
        <w:pStyle w:val="10"/>
        <w:spacing w:line="360" w:lineRule="auto"/>
        <w:ind w:firstLine="480" w:firstLineChars="200"/>
        <w:rPr>
          <w:highlight w:val="none"/>
        </w:rPr>
      </w:pPr>
      <w:r>
        <w:rPr>
          <w:highlight w:val="none"/>
        </w:rP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highlight w:val="none"/>
        </w:rPr>
      </w:pPr>
      <w:r>
        <w:rPr>
          <w:rFonts w:hint="eastAsia" w:asciiTheme="minorEastAsia" w:hAnsiTheme="minorEastAsia" w:eastAsiaTheme="minorEastAsia"/>
          <w:sz w:val="24"/>
          <w:szCs w:val="24"/>
          <w:highlight w:val="none"/>
        </w:rPr>
        <w:t>1.</w:t>
      </w:r>
      <w:r>
        <w:rPr>
          <w:rFonts w:hint="eastAsia"/>
          <w:bCs w:val="0"/>
          <w:sz w:val="24"/>
          <w:szCs w:val="24"/>
          <w:highlight w:val="none"/>
          <w:lang w:val="zh-CN"/>
        </w:rPr>
        <w:t>采购组织机构：</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w:t>
      </w:r>
      <w:r>
        <w:rPr>
          <w:rFonts w:hint="eastAsia" w:ascii="宋体" w:hAnsi="宋体" w:cs="宋体"/>
          <w:sz w:val="24"/>
          <w:highlight w:val="none"/>
          <w:u w:val="none"/>
        </w:rPr>
        <w:t>台州市永阳科技有限公司</w:t>
      </w:r>
      <w:r>
        <w:rPr>
          <w:rFonts w:hint="eastAsia"/>
          <w:bCs w:val="0"/>
          <w:sz w:val="24"/>
          <w:szCs w:val="24"/>
          <w:highlight w:val="none"/>
          <w:lang w:val="zh-CN"/>
        </w:rPr>
        <w:t>；</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2.采购人：是指台州湾新区管理委员会；</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响应招标、参加投标竞争的法人、其他组织或者自然人；</w:t>
      </w:r>
    </w:p>
    <w:p>
      <w:pPr>
        <w:snapToGrid w:val="0"/>
        <w:spacing w:line="360" w:lineRule="auto"/>
        <w:ind w:firstLine="480" w:firstLineChars="200"/>
        <w:rPr>
          <w:rFonts w:ascii="宋体" w:hAnsi="宋体"/>
          <w:sz w:val="24"/>
          <w:highlight w:val="none"/>
          <w:lang w:val="zh-CN"/>
        </w:rPr>
      </w:pPr>
      <w:r>
        <w:rPr>
          <w:rFonts w:hint="eastAsia" w:ascii="宋体" w:hAnsi="宋体"/>
          <w:sz w:val="24"/>
          <w:highlight w:val="none"/>
        </w:rPr>
        <w:t>4.</w:t>
      </w: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p>
    <w:p>
      <w:pPr>
        <w:snapToGrid w:val="0"/>
        <w:spacing w:line="360" w:lineRule="auto"/>
        <w:ind w:firstLine="480" w:firstLineChars="200"/>
        <w:rPr>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pPr>
        <w:snapToGrid w:val="0"/>
        <w:spacing w:line="360" w:lineRule="auto"/>
        <w:ind w:firstLine="482" w:firstLineChars="200"/>
        <w:rPr>
          <w:b/>
          <w:bCs/>
          <w:sz w:val="24"/>
          <w:highlight w:val="none"/>
        </w:rPr>
      </w:pPr>
      <w:r>
        <w:rPr>
          <w:rFonts w:hint="eastAsia"/>
          <w:b/>
          <w:bCs/>
          <w:sz w:val="24"/>
          <w:highlight w:val="none"/>
        </w:rPr>
        <w:t>（四）</w:t>
      </w:r>
      <w:r>
        <w:rPr>
          <w:b/>
          <w:bCs/>
          <w:sz w:val="24"/>
          <w:highlight w:val="none"/>
        </w:rPr>
        <w:t>以联合体形式投标的，应符合以下规定</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本项目不接受联合体投标。</w:t>
      </w:r>
    </w:p>
    <w:p>
      <w:pPr>
        <w:snapToGrid w:val="0"/>
        <w:spacing w:line="360" w:lineRule="auto"/>
        <w:ind w:firstLine="482" w:firstLineChars="200"/>
        <w:rPr>
          <w:b/>
          <w:bCs/>
          <w:sz w:val="24"/>
          <w:highlight w:val="none"/>
        </w:rPr>
      </w:pPr>
      <w:r>
        <w:rPr>
          <w:rFonts w:hint="eastAsia"/>
          <w:b/>
          <w:bCs/>
          <w:sz w:val="24"/>
          <w:highlight w:val="none"/>
        </w:rPr>
        <w:t>（五）</w:t>
      </w:r>
      <w:r>
        <w:rPr>
          <w:b/>
          <w:bCs/>
          <w:sz w:val="24"/>
          <w:highlight w:val="none"/>
        </w:rPr>
        <w:t>语言文字以及度量衡单位</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1.投标文件以及投标人与</w:t>
      </w:r>
      <w:r>
        <w:rPr>
          <w:rFonts w:hint="eastAsia" w:ascii="宋体" w:hAnsi="宋体" w:cs="宋体" w:eastAsiaTheme="minorEastAsia"/>
          <w:kern w:val="0"/>
          <w:sz w:val="24"/>
          <w:highlight w:val="none"/>
          <w:lang w:eastAsia="zh-CN"/>
        </w:rPr>
        <w:t>台州市永阳科技有限公司</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2.所有计量均采用中国法定的计量单位。</w:t>
      </w:r>
    </w:p>
    <w:p>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3.所有</w:t>
      </w:r>
      <w:r>
        <w:rPr>
          <w:sz w:val="24"/>
          <w:highlight w:val="none"/>
        </w:rPr>
        <w:t>报价一律使用人民币，货币单位：元。</w:t>
      </w:r>
    </w:p>
    <w:p>
      <w:pPr>
        <w:snapToGrid w:val="0"/>
        <w:spacing w:line="360" w:lineRule="auto"/>
        <w:ind w:firstLine="482" w:firstLineChars="200"/>
        <w:rPr>
          <w:b/>
          <w:bCs/>
          <w:sz w:val="24"/>
          <w:highlight w:val="none"/>
        </w:rPr>
      </w:pPr>
      <w:r>
        <w:rPr>
          <w:rFonts w:hint="eastAsia"/>
          <w:b/>
          <w:bCs/>
          <w:sz w:val="24"/>
          <w:highlight w:val="none"/>
        </w:rPr>
        <w:t>（六）</w:t>
      </w:r>
      <w:r>
        <w:rPr>
          <w:b/>
          <w:bCs/>
          <w:sz w:val="24"/>
          <w:highlight w:val="none"/>
        </w:rPr>
        <w:t>现场踏勘</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1.本项目不组织现场踏勘。</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2.投标人自行承担踏勘现场发生的责任、风险和自身费用。</w:t>
      </w:r>
    </w:p>
    <w:p>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3.采购人</w:t>
      </w:r>
      <w:r>
        <w:rPr>
          <w:sz w:val="24"/>
          <w:highlight w:val="none"/>
        </w:rPr>
        <w:t>在踏勘现场中介绍的资料和数据等，不构成对招标文件的修改或不作为投标人编制投标文件的依据。</w:t>
      </w:r>
    </w:p>
    <w:p>
      <w:pPr>
        <w:pStyle w:val="7"/>
        <w:snapToGrid w:val="0"/>
        <w:spacing w:line="360" w:lineRule="auto"/>
        <w:ind w:left="2" w:leftChars="1" w:firstLine="482" w:firstLineChars="200"/>
        <w:rPr>
          <w:rFonts w:hAnsi="宋体"/>
          <w:b/>
          <w:sz w:val="24"/>
          <w:highlight w:val="none"/>
        </w:rPr>
      </w:pPr>
      <w:r>
        <w:rPr>
          <w:rFonts w:hint="eastAsia" w:hAnsi="宋体"/>
          <w:b/>
          <w:sz w:val="24"/>
          <w:highlight w:val="none"/>
        </w:rPr>
        <w:t>（七）特别说明</w:t>
      </w:r>
    </w:p>
    <w:p>
      <w:pPr>
        <w:pStyle w:val="7"/>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。投标人投标所使用的采购项目实施人员必须为本法人员工</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本项目涉及的裁判人员、医生除外</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w:t>
      </w:r>
    </w:p>
    <w:p>
      <w:pPr>
        <w:pStyle w:val="35"/>
        <w:snapToGrid w:val="0"/>
        <w:spacing w:line="360" w:lineRule="auto"/>
        <w:ind w:firstLine="480"/>
        <w:rPr>
          <w:rFonts w:ascii="宋体" w:hAnsi="宋体" w:cs="宋体"/>
          <w:sz w:val="24"/>
          <w:szCs w:val="24"/>
          <w:highlight w:val="none"/>
        </w:rPr>
      </w:pPr>
      <w:r>
        <w:rPr>
          <w:rFonts w:hint="eastAsia" w:asciiTheme="minorEastAsia" w:hAnsiTheme="minorEastAsia" w:eastAsiaTheme="minorEastAsia" w:cstheme="minorBidi"/>
          <w:sz w:val="24"/>
          <w:szCs w:val="24"/>
          <w:highlight w:val="none"/>
        </w:rPr>
        <w:t>2.</w:t>
      </w:r>
      <w:r>
        <w:rPr>
          <w:rFonts w:hint="eastAsia" w:ascii="宋体" w:hAnsi="宋体" w:cs="宋体"/>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三、招标文件</w:t>
      </w:r>
    </w:p>
    <w:p>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（一）招标文件由招标文件目录所列内容组成。</w:t>
      </w:r>
    </w:p>
    <w:p>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（二）投标人在规定的时间内未对招标文件提出疑问、质疑或要求澄清的，将视其为无异议。</w:t>
      </w:r>
    </w:p>
    <w:p>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（三）对招标文件中描述有歧义或前后不一致的地方，评标委员会有权进行评判，但对同一条款的评判应适用于每个投标人。</w:t>
      </w:r>
    </w:p>
    <w:p>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（四）采购组织机构对招标文件进行必要的澄清更正的，澄清或者修改的内容可能影响投标文件编制的，于投标截止时间的3日前在</w:t>
      </w:r>
      <w:r>
        <w:rPr>
          <w:rFonts w:hint="eastAsia" w:asciiTheme="minorEastAsia" w:hAnsiTheme="minorEastAsia" w:eastAsiaTheme="minorEastAsia" w:cstheme="minorBidi"/>
          <w:sz w:val="24"/>
          <w:highlight w:val="none"/>
          <w:lang w:eastAsia="zh-CN"/>
        </w:rPr>
        <w:t>台州湾新区小额工程电子交易平台</w:t>
      </w:r>
      <w:r>
        <w:rPr>
          <w:rFonts w:hint="eastAsia" w:asciiTheme="minorEastAsia" w:hAnsiTheme="minorEastAsia" w:eastAsiaTheme="minorEastAsia" w:cstheme="minorBidi"/>
          <w:sz w:val="24"/>
          <w:highlight w:val="none"/>
        </w:rPr>
        <w:t>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w:t>
      </w:r>
    </w:p>
    <w:p>
      <w:pPr>
        <w:pStyle w:val="6"/>
        <w:spacing w:line="360" w:lineRule="auto"/>
        <w:ind w:firstLine="482" w:firstLineChars="200"/>
        <w:rPr>
          <w:rFonts w:hint="eastAsia" w:asciiTheme="minorEastAsia" w:hAnsiTheme="minorEastAsia" w:eastAsiaTheme="minorEastAsia"/>
          <w:b/>
          <w:bCs w:val="0"/>
          <w:kern w:val="0"/>
          <w:sz w:val="24"/>
          <w:highlight w:val="none"/>
          <w:lang w:val="en-US" w:eastAsia="zh-CN"/>
        </w:rPr>
      </w:pPr>
      <w:r>
        <w:rPr>
          <w:rFonts w:hint="eastAsia" w:asciiTheme="minorEastAsia" w:hAnsiTheme="minorEastAsia" w:eastAsiaTheme="minorEastAsia"/>
          <w:b/>
          <w:bCs w:val="0"/>
          <w:kern w:val="0"/>
          <w:sz w:val="24"/>
          <w:highlight w:val="none"/>
        </w:rPr>
        <w:t>（一）</w:t>
      </w:r>
      <w:r>
        <w:rPr>
          <w:rFonts w:hint="eastAsia" w:ascii="宋体" w:hAnsi="宋体" w:cs="宋体"/>
          <w:b/>
          <w:bCs w:val="0"/>
          <w:highlight w:val="none"/>
        </w:rPr>
        <w:t>▲</w:t>
      </w:r>
      <w:r>
        <w:rPr>
          <w:rFonts w:hint="eastAsia" w:asciiTheme="minorEastAsia" w:hAnsiTheme="minorEastAsia" w:eastAsiaTheme="minorEastAsia"/>
          <w:b/>
          <w:bCs w:val="0"/>
          <w:kern w:val="0"/>
          <w:sz w:val="24"/>
          <w:highlight w:val="none"/>
        </w:rPr>
        <w:t>投标文件</w:t>
      </w:r>
      <w:r>
        <w:rPr>
          <w:rFonts w:hint="eastAsia" w:asciiTheme="minorEastAsia" w:hAnsiTheme="minorEastAsia" w:eastAsiaTheme="minorEastAsia"/>
          <w:b/>
          <w:bCs w:val="0"/>
          <w:kern w:val="0"/>
          <w:sz w:val="24"/>
          <w:highlight w:val="none"/>
          <w:lang w:val="en-US" w:eastAsia="zh-CN"/>
        </w:rPr>
        <w:t>组成</w:t>
      </w:r>
    </w:p>
    <w:p>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（1）投标声明书（附件1）；</w:t>
      </w:r>
    </w:p>
    <w:p>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（2）授权委托书（法定代表人亲自办理投标事宜的，则无需提交；附件2）；</w:t>
      </w:r>
    </w:p>
    <w:p>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（3）法人或者其他组织的营业执照等证明文件；</w:t>
      </w:r>
    </w:p>
    <w:p>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（4）具有依法缴纳税收和社会保障资金证明的承诺函（附件3）；</w:t>
      </w:r>
    </w:p>
    <w:p>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（5）具有良好的商业信誉和健全的财务会计制度的承诺函（附件4）；</w:t>
      </w:r>
    </w:p>
    <w:p>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（6）具有履行合同所必须的设备和专业技术能力的承诺函（附件5）；</w:t>
      </w:r>
    </w:p>
    <w:p>
      <w:pPr>
        <w:snapToGrid w:val="0"/>
        <w:spacing w:line="360" w:lineRule="auto"/>
        <w:ind w:firstLine="482" w:firstLineChars="200"/>
        <w:rPr>
          <w:rFonts w:ascii="Calibri" w:hAnsi="Calibri" w:cs="Calibri"/>
          <w:b/>
          <w:bCs w:val="0"/>
          <w:sz w:val="24"/>
          <w:highlight w:val="none"/>
        </w:rPr>
      </w:pPr>
      <w:r>
        <w:rPr>
          <w:rFonts w:hint="eastAsia" w:ascii="宋体" w:hAnsi="宋体"/>
          <w:b/>
          <w:bCs w:val="0"/>
          <w:sz w:val="24"/>
          <w:highlight w:val="none"/>
        </w:rPr>
        <w:t>（</w:t>
      </w:r>
      <w:r>
        <w:rPr>
          <w:rFonts w:hint="eastAsia" w:ascii="宋体" w:hAnsi="宋体"/>
          <w:b/>
          <w:bCs w:val="0"/>
          <w:sz w:val="24"/>
          <w:highlight w:val="none"/>
          <w:lang w:val="en-US" w:eastAsia="zh-CN"/>
        </w:rPr>
        <w:t>7</w:t>
      </w:r>
      <w:r>
        <w:rPr>
          <w:rFonts w:hint="eastAsia" w:ascii="宋体" w:hAnsi="宋体"/>
          <w:b/>
          <w:bCs w:val="0"/>
          <w:sz w:val="24"/>
          <w:highlight w:val="none"/>
        </w:rPr>
        <w:t>）</w:t>
      </w:r>
      <w:r>
        <w:rPr>
          <w:rFonts w:hint="eastAsia" w:ascii="Calibri" w:hAnsi="Calibri" w:cs="Calibri"/>
          <w:b/>
          <w:bCs w:val="0"/>
          <w:sz w:val="24"/>
          <w:highlight w:val="none"/>
          <w:lang w:eastAsia="zh-CN"/>
        </w:rPr>
        <w:t>需求响应表</w:t>
      </w:r>
      <w:r>
        <w:rPr>
          <w:rFonts w:hint="eastAsia" w:ascii="Calibri" w:hAnsi="Calibri" w:cs="Calibri"/>
          <w:b/>
          <w:bCs w:val="0"/>
          <w:sz w:val="24"/>
          <w:highlight w:val="none"/>
        </w:rPr>
        <w:t>（附件</w:t>
      </w:r>
      <w:r>
        <w:rPr>
          <w:rFonts w:hint="eastAsia" w:ascii="Calibri" w:hAnsi="Calibri" w:cs="Calibri"/>
          <w:b/>
          <w:bCs w:val="0"/>
          <w:sz w:val="24"/>
          <w:highlight w:val="none"/>
          <w:lang w:val="en-US" w:eastAsia="zh-CN"/>
        </w:rPr>
        <w:t>6</w:t>
      </w:r>
      <w:r>
        <w:rPr>
          <w:rFonts w:hint="eastAsia" w:ascii="Calibri" w:hAnsi="Calibri" w:cs="Calibri"/>
          <w:b/>
          <w:bCs w:val="0"/>
          <w:sz w:val="24"/>
          <w:highlight w:val="none"/>
        </w:rPr>
        <w:t>）；</w:t>
      </w:r>
    </w:p>
    <w:p>
      <w:pPr>
        <w:autoSpaceDE w:val="0"/>
        <w:autoSpaceDN w:val="0"/>
        <w:adjustRightInd w:val="0"/>
        <w:spacing w:line="360" w:lineRule="auto"/>
        <w:ind w:firstLine="482" w:firstLineChars="200"/>
        <w:rPr>
          <w:rFonts w:asciiTheme="minorEastAsia" w:hAnsiTheme="minorEastAsia" w:eastAsiaTheme="minorEastAsia"/>
          <w:kern w:val="0"/>
          <w:sz w:val="24"/>
          <w:highlight w:val="none"/>
        </w:rPr>
      </w:pPr>
      <w:r>
        <w:rPr>
          <w:rFonts w:hint="eastAsia" w:asciiTheme="minorEastAsia" w:hAnsiTheme="minorEastAsia" w:eastAsiaTheme="minorEastAsia"/>
          <w:b/>
          <w:bCs w:val="0"/>
          <w:kern w:val="0"/>
          <w:sz w:val="24"/>
          <w:highlight w:val="none"/>
        </w:rPr>
        <w:t>（</w:t>
      </w:r>
      <w:r>
        <w:rPr>
          <w:rFonts w:hint="eastAsia" w:asciiTheme="minorEastAsia" w:hAnsiTheme="minorEastAsia" w:eastAsiaTheme="minorEastAsia"/>
          <w:b/>
          <w:bCs w:val="0"/>
          <w:kern w:val="0"/>
          <w:sz w:val="24"/>
          <w:highlight w:val="none"/>
          <w:lang w:val="en-US" w:eastAsia="zh-CN"/>
        </w:rPr>
        <w:t>8</w:t>
      </w:r>
      <w:r>
        <w:rPr>
          <w:rFonts w:hint="eastAsia" w:asciiTheme="minorEastAsia" w:hAnsiTheme="minorEastAsia" w:eastAsiaTheme="minorEastAsia"/>
          <w:b/>
          <w:bCs w:val="0"/>
          <w:kern w:val="0"/>
          <w:sz w:val="24"/>
          <w:highlight w:val="none"/>
        </w:rPr>
        <w:t>）开标一览表（附件</w:t>
      </w:r>
      <w:r>
        <w:rPr>
          <w:rFonts w:hint="eastAsia" w:asciiTheme="minorEastAsia" w:hAnsiTheme="minorEastAsia" w:eastAsiaTheme="minorEastAsia"/>
          <w:b/>
          <w:bCs w:val="0"/>
          <w:kern w:val="0"/>
          <w:sz w:val="24"/>
          <w:highlight w:val="none"/>
          <w:lang w:val="en-US" w:eastAsia="zh-CN"/>
        </w:rPr>
        <w:t>7</w:t>
      </w:r>
      <w:r>
        <w:rPr>
          <w:rFonts w:hint="eastAsia" w:asciiTheme="minorEastAsia" w:hAnsiTheme="minorEastAsia" w:eastAsiaTheme="minorEastAsia"/>
          <w:b/>
          <w:bCs w:val="0"/>
          <w:kern w:val="0"/>
          <w:sz w:val="24"/>
          <w:highlight w:val="none"/>
        </w:rPr>
        <w:t>）</w:t>
      </w:r>
      <w:r>
        <w:rPr>
          <w:rFonts w:hint="eastAsia" w:asciiTheme="minorEastAsia" w:hAnsiTheme="minorEastAsia" w:eastAsiaTheme="minorEastAsia"/>
          <w:kern w:val="0"/>
          <w:sz w:val="24"/>
          <w:highlight w:val="none"/>
        </w:rPr>
        <w:t>。</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b/>
          <w:kern w:val="0"/>
          <w:sz w:val="24"/>
          <w:highlight w:val="none"/>
        </w:rPr>
        <w:t>（二）投标报价</w:t>
      </w:r>
    </w:p>
    <w:p>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2.投标报价是履行合同的最终价格</w:t>
      </w:r>
      <w:r>
        <w:rPr>
          <w:rFonts w:hint="eastAsia" w:asciiTheme="minorEastAsia" w:hAnsiTheme="minorEastAsia" w:eastAsiaTheme="minorEastAsia"/>
          <w:bCs/>
          <w:kern w:val="0"/>
          <w:sz w:val="24"/>
          <w:highlight w:val="none"/>
          <w:lang w:eastAsia="zh-CN"/>
        </w:rPr>
        <w:t>，</w:t>
      </w:r>
      <w:r>
        <w:rPr>
          <w:rFonts w:hint="eastAsia" w:asciiTheme="minorEastAsia" w:hAnsiTheme="minorEastAsia" w:eastAsiaTheme="minorEastAsia"/>
          <w:bCs/>
          <w:kern w:val="0"/>
          <w:sz w:val="24"/>
          <w:highlight w:val="none"/>
        </w:rPr>
        <w:t>供应商须充分考虑实际服务内容和需求，针对自身实际情况，核算所需的成本及合理的利润，自行报价，结算时由供应商开具正式发票。</w:t>
      </w:r>
    </w:p>
    <w:p>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（三）投标文件的有效期</w:t>
      </w:r>
    </w:p>
    <w:p>
      <w:pPr>
        <w:pStyle w:val="6"/>
        <w:spacing w:line="360" w:lineRule="auto"/>
        <w:ind w:firstLine="480" w:firstLineChars="200"/>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1.投标文件有效期为</w:t>
      </w:r>
      <w:r>
        <w:rPr>
          <w:rFonts w:hint="eastAsia" w:asciiTheme="minorEastAsia" w:hAnsiTheme="minorEastAsia" w:eastAsiaTheme="minorEastAsia" w:cstheme="minorEastAsia"/>
          <w:sz w:val="24"/>
          <w:highlight w:val="none"/>
          <w:lang w:val="en-GB"/>
        </w:rPr>
        <w:t>投标截止日起90天。</w:t>
      </w:r>
    </w:p>
    <w:p>
      <w:pPr>
        <w:pStyle w:val="6"/>
        <w:spacing w:line="360" w:lineRule="auto"/>
        <w:ind w:firstLine="480" w:firstLineChars="200"/>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（四）投标文件的签署</w:t>
      </w:r>
    </w:p>
    <w:p>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1.投标文件需由法定代表人或经其正式授权的代表签字或盖章。授权代表须出具书面授权证明，其《法定代表人授权书》应附在投标文件中。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highlight w:val="none"/>
        </w:rPr>
      </w:pPr>
      <w:r>
        <w:rPr>
          <w:rFonts w:hint="eastAsia" w:asciiTheme="minorEastAsia" w:hAnsiTheme="minorEastAsia"/>
          <w:b/>
          <w:bCs/>
          <w:sz w:val="24"/>
          <w:highlight w:val="none"/>
        </w:rPr>
        <w:t>（五）</w:t>
      </w:r>
      <w:r>
        <w:rPr>
          <w:rFonts w:hint="eastAsia" w:asciiTheme="minorEastAsia" w:hAnsiTheme="minorEastAsia" w:eastAsiaTheme="minorEastAsia"/>
          <w:b/>
          <w:bCs/>
          <w:sz w:val="24"/>
          <w:highlight w:val="none"/>
        </w:rPr>
        <w:t>投标文件</w:t>
      </w:r>
      <w:r>
        <w:rPr>
          <w:rFonts w:hint="eastAsia" w:asciiTheme="minorEastAsia" w:hAnsiTheme="minorEastAsia"/>
          <w:b/>
          <w:bCs/>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五、开标</w:t>
      </w:r>
    </w:p>
    <w:p>
      <w:pPr>
        <w:pStyle w:val="7"/>
        <w:snapToGrid w:val="0"/>
        <w:spacing w:line="360" w:lineRule="auto"/>
        <w:ind w:firstLine="413" w:firstLineChars="196"/>
        <w:rPr>
          <w:rFonts w:hAnsi="宋体"/>
          <w:b/>
          <w:bCs/>
          <w:highlight w:val="none"/>
        </w:rPr>
      </w:pPr>
      <w:r>
        <w:rPr>
          <w:rFonts w:hAnsi="宋体"/>
          <w:b/>
          <w:bCs/>
          <w:highlight w:val="none"/>
        </w:rPr>
        <w:t>（一）开标</w:t>
      </w:r>
    </w:p>
    <w:p>
      <w:pPr>
        <w:pStyle w:val="21"/>
        <w:widowControl w:val="0"/>
        <w:snapToGrid w:val="0"/>
        <w:spacing w:before="156" w:beforeLines="50" w:beforeAutospacing="0" w:after="0" w:afterAutospacing="0" w:line="360" w:lineRule="auto"/>
        <w:ind w:firstLine="480" w:firstLineChars="200"/>
        <w:jc w:val="both"/>
        <w:rPr>
          <w:rFonts w:hint="default"/>
          <w:bCs/>
          <w:highlight w:val="none"/>
        </w:rPr>
      </w:pPr>
      <w:r>
        <w:rPr>
          <w:szCs w:val="21"/>
          <w:highlight w:val="none"/>
        </w:rPr>
        <w:t>投标人代表一律不参加现场开标，通过在线直播参与监督开标过程。直播网络地址：</w:t>
      </w:r>
      <w:r>
        <w:rPr>
          <w:highlight w:val="none"/>
        </w:rPr>
        <w:fldChar w:fldCharType="begin"/>
      </w:r>
      <w:r>
        <w:rPr>
          <w:highlight w:val="none"/>
        </w:rPr>
        <w:instrText xml:space="preserve"> HYPERLINK "http://www.tzwztb.com/live/" </w:instrText>
      </w:r>
      <w:r>
        <w:rPr>
          <w:highlight w:val="none"/>
        </w:rPr>
        <w:fldChar w:fldCharType="separate"/>
      </w:r>
      <w:r>
        <w:rPr>
          <w:rStyle w:val="28"/>
          <w:highlight w:val="none"/>
        </w:rPr>
        <w:t>http://www.tzwztb.com/live/</w:t>
      </w:r>
      <w:r>
        <w:rPr>
          <w:rStyle w:val="28"/>
          <w:highlight w:val="none"/>
        </w:rPr>
        <w:fldChar w:fldCharType="end"/>
      </w:r>
      <w:r>
        <w:rPr>
          <w:rFonts w:hint="default"/>
          <w:highlight w:val="none"/>
        </w:rPr>
        <w:t xml:space="preserve"> </w:t>
      </w:r>
      <w:r>
        <w:rPr>
          <w:highlight w:val="none"/>
        </w:rPr>
        <w:t>。</w:t>
      </w:r>
    </w:p>
    <w:p>
      <w:pPr>
        <w:pStyle w:val="7"/>
        <w:snapToGrid w:val="0"/>
        <w:spacing w:before="120" w:after="120" w:line="360" w:lineRule="auto"/>
        <w:ind w:firstLine="482" w:firstLineChars="200"/>
        <w:rPr>
          <w:rFonts w:hAnsi="宋体" w:cs="宋体"/>
          <w:b/>
          <w:bCs/>
          <w:sz w:val="24"/>
          <w:highlight w:val="none"/>
        </w:rPr>
      </w:pPr>
      <w:r>
        <w:rPr>
          <w:rFonts w:hAnsi="宋体" w:cs="宋体"/>
          <w:b/>
          <w:bCs/>
          <w:sz w:val="24"/>
          <w:highlight w:val="none"/>
        </w:rPr>
        <w:t>（二） 开标程序：</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1、开标由采购代理机构工作人员主持</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2、投标人</w:t>
      </w:r>
      <w:r>
        <w:rPr>
          <w:rFonts w:hint="eastAsia" w:ascii="宋体" w:hAnsi="宋体" w:cs="宋体"/>
          <w:sz w:val="24"/>
          <w:highlight w:val="none"/>
        </w:rPr>
        <w:t>可</w:t>
      </w:r>
      <w:r>
        <w:rPr>
          <w:rFonts w:ascii="宋体" w:hAnsi="宋体" w:cs="宋体"/>
          <w:sz w:val="24"/>
          <w:highlight w:val="none"/>
        </w:rPr>
        <w:t>进行在线</w:t>
      </w:r>
      <w:r>
        <w:rPr>
          <w:rFonts w:hint="eastAsia" w:ascii="宋体" w:hAnsi="宋体" w:cs="宋体"/>
          <w:sz w:val="24"/>
          <w:highlight w:val="none"/>
        </w:rPr>
        <w:t>沟通</w:t>
      </w:r>
      <w:r>
        <w:rPr>
          <w:rFonts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3、开启各投标人</w:t>
      </w:r>
      <w:r>
        <w:rPr>
          <w:rFonts w:hint="eastAsia" w:ascii="宋体" w:hAnsi="宋体" w:cs="宋体"/>
          <w:sz w:val="24"/>
          <w:highlight w:val="none"/>
          <w:lang w:val="en-US" w:eastAsia="zh-CN"/>
        </w:rPr>
        <w:t>投标</w:t>
      </w:r>
      <w:r>
        <w:rPr>
          <w:rFonts w:ascii="宋体" w:hAnsi="宋体" w:cs="宋体"/>
          <w:sz w:val="24"/>
          <w:highlight w:val="none"/>
        </w:rPr>
        <w:t>文件。</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en-US" w:eastAsia="zh-CN"/>
        </w:rPr>
        <w:t>4</w:t>
      </w:r>
      <w:r>
        <w:rPr>
          <w:rFonts w:ascii="宋体" w:hAnsi="宋体" w:cs="宋体"/>
          <w:sz w:val="24"/>
          <w:highlight w:val="none"/>
        </w:rPr>
        <w:t>、当场制作并打印开标记录表，由记录人、监督人当场签字确认。唱标结束后，由评标委员会对报价的合理性、准确性等进行审查核实。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5</w:t>
      </w:r>
      <w:r>
        <w:rPr>
          <w:rFonts w:ascii="宋体" w:hAnsi="宋体" w:cs="宋体"/>
          <w:sz w:val="24"/>
          <w:highlight w:val="none"/>
        </w:rPr>
        <w:t>、评标结束后，主持人公布推荐中标候选人排序名单。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ascii="宋体" w:hAnsi="宋体" w:cs="宋体"/>
          <w:sz w:val="24"/>
          <w:highlight w:val="none"/>
        </w:rPr>
        <w:t>、开标会议结束。</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7</w:t>
      </w:r>
      <w:r>
        <w:rPr>
          <w:rFonts w:ascii="宋体" w:hAnsi="宋体" w:cs="宋体"/>
          <w:sz w:val="24"/>
          <w:highlight w:val="none"/>
        </w:rPr>
        <w:t>、其他注意事项：</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开标当日，投标人不必抵达开标现场，通过台州湾新区小额工程电子交易平台不见面开标大厅参加开标会议，并根据需要使用开标系统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2)、因投标人网络与电源不稳定、未按操作手册要求配置软硬件等自身原因，导致投标文件未在规定时间内上传，视为投标人放弃投标；因</w:t>
      </w:r>
      <w:r>
        <w:rPr>
          <w:rFonts w:hint="eastAsia" w:ascii="宋体" w:hAnsi="宋体" w:cs="宋体"/>
          <w:sz w:val="24"/>
          <w:highlight w:val="none"/>
          <w:lang w:eastAsia="zh-CN"/>
        </w:rPr>
        <w:t>采购人</w:t>
      </w:r>
      <w:r>
        <w:rPr>
          <w:rFonts w:hint="eastAsia" w:ascii="宋体" w:hAnsi="宋体" w:cs="宋体"/>
          <w:sz w:val="24"/>
          <w:highlight w:val="none"/>
        </w:rPr>
        <w:t>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highlight w:val="none"/>
        </w:rPr>
      </w:pPr>
      <w:r>
        <w:rPr>
          <w:rFonts w:hint="eastAsia" w:ascii="宋体" w:hAnsi="宋体"/>
          <w:b/>
          <w:sz w:val="24"/>
          <w:highlight w:val="none"/>
        </w:rPr>
        <w:t>重要事项说明：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（1）开标项目的时间均以国家授时中心发布的时间为准。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（2）若投标人已申请多把CA锁，请注意使用差别。因ca锁使用错误引发的问题，由投标人自己负责。</w:t>
      </w:r>
    </w:p>
    <w:p>
      <w:pPr>
        <w:snapToGrid w:val="0"/>
        <w:spacing w:line="360" w:lineRule="auto"/>
        <w:ind w:firstLine="480" w:firstLineChars="200"/>
        <w:rPr>
          <w:rFonts w:hAnsi="宋体"/>
          <w:bCs/>
          <w:highlight w:val="none"/>
        </w:rPr>
      </w:pPr>
      <w:r>
        <w:rPr>
          <w:rFonts w:hint="eastAsia" w:ascii="宋体" w:hAnsi="宋体" w:cs="宋体"/>
          <w:sz w:val="24"/>
          <w:highlight w:val="none"/>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kern w:val="0"/>
          <w:sz w:val="24"/>
          <w:highlight w:val="none"/>
        </w:rPr>
      </w:pPr>
      <w:r>
        <w:rPr>
          <w:rFonts w:hint="eastAsia" w:ascii="宋体" w:hAnsi="宋体"/>
          <w:b/>
          <w:kern w:val="0"/>
          <w:sz w:val="24"/>
          <w:highlight w:val="none"/>
        </w:rPr>
        <w:t>（三） 异常情况处理：</w:t>
      </w:r>
    </w:p>
    <w:p>
      <w:pPr>
        <w:snapToGrid w:val="0"/>
        <w:spacing w:line="360" w:lineRule="auto"/>
        <w:ind w:firstLine="480" w:firstLineChars="200"/>
        <w:rPr>
          <w:rFonts w:ascii="宋体" w:hAnsi="宋体"/>
          <w:sz w:val="24"/>
          <w:highlight w:val="none"/>
        </w:rPr>
      </w:pPr>
      <w:r>
        <w:rPr>
          <w:rFonts w:hint="eastAsia" w:ascii="宋体" w:hAnsi="宋体"/>
          <w:sz w:val="24"/>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1、电子交易平台发生故障而无法登录访问的；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2、电子交易平台应用或数据库出现错误，不能进行正常操作的；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3、电子交易平台发现严重安全漏洞，有潜在泄密危险的；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4、病毒发作导致不能进行正常操作的；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5、其他无法保证电子交易的公平、公正和安全的情况。</w:t>
      </w:r>
    </w:p>
    <w:p>
      <w:pPr>
        <w:pStyle w:val="6"/>
        <w:spacing w:line="360" w:lineRule="auto"/>
        <w:ind w:firstLine="480" w:firstLineChars="200"/>
        <w:rPr>
          <w:rFonts w:ascii="宋体" w:hAnsi="宋体"/>
          <w:sz w:val="24"/>
          <w:highlight w:val="none"/>
        </w:rPr>
      </w:pPr>
      <w:r>
        <w:rPr>
          <w:rFonts w:hint="eastAsia" w:ascii="宋体" w:hAnsi="宋体"/>
          <w:sz w:val="24"/>
          <w:highlight w:val="none"/>
        </w:rPr>
        <w:t>出现前款规定情形，不影响采购公平、公正性的，采购组织机构可以待上述情形消除后继续组织电子交易活动。</w:t>
      </w:r>
    </w:p>
    <w:p>
      <w:pPr>
        <w:pStyle w:val="6"/>
        <w:spacing w:line="360" w:lineRule="auto"/>
        <w:ind w:firstLine="723" w:firstLineChars="300"/>
        <w:rPr>
          <w:b/>
          <w:bCs/>
          <w:sz w:val="24"/>
          <w:szCs w:val="22"/>
          <w:highlight w:val="none"/>
        </w:rPr>
      </w:pPr>
      <w:r>
        <w:rPr>
          <w:rFonts w:hint="eastAsia"/>
          <w:b/>
          <w:bCs/>
          <w:sz w:val="24"/>
          <w:szCs w:val="22"/>
          <w:highlight w:val="none"/>
        </w:rPr>
        <w:t>（四）开标异议</w:t>
      </w:r>
    </w:p>
    <w:p>
      <w:pPr>
        <w:pStyle w:val="6"/>
        <w:spacing w:line="360" w:lineRule="auto"/>
        <w:ind w:firstLine="480" w:firstLineChars="200"/>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723" w:firstLineChars="300"/>
        <w:rPr>
          <w:sz w:val="24"/>
          <w:szCs w:val="22"/>
          <w:highlight w:val="none"/>
        </w:rPr>
      </w:pPr>
      <w:r>
        <w:rPr>
          <w:rFonts w:hint="eastAsia"/>
          <w:b/>
          <w:bCs/>
          <w:sz w:val="24"/>
          <w:szCs w:val="22"/>
          <w:highlight w:val="none"/>
        </w:rPr>
        <w:t>（五）</w:t>
      </w:r>
      <w:r>
        <w:rPr>
          <w:rFonts w:hint="eastAsia"/>
          <w:sz w:val="24"/>
          <w:szCs w:val="22"/>
          <w:highlight w:val="none"/>
        </w:rPr>
        <w:t>投标人不足三家，不得开标。</w:t>
      </w:r>
    </w:p>
    <w:p>
      <w:pPr>
        <w:pStyle w:val="7"/>
        <w:snapToGrid w:val="0"/>
        <w:spacing w:line="360" w:lineRule="auto"/>
        <w:ind w:firstLine="482" w:firstLineChars="200"/>
        <w:rPr>
          <w:rFonts w:asciiTheme="minorEastAsia" w:hAnsiTheme="minorEastAsia"/>
          <w:b/>
          <w:sz w:val="24"/>
          <w:highlight w:val="none"/>
        </w:rPr>
      </w:pPr>
      <w:r>
        <w:rPr>
          <w:rFonts w:hint="eastAsia" w:asciiTheme="minorEastAsia" w:hAnsiTheme="minorEastAsia" w:eastAsiaTheme="minorEastAsia"/>
          <w:b/>
          <w:sz w:val="24"/>
          <w:highlight w:val="none"/>
        </w:rPr>
        <w:t>五、评标（详见第四章）</w:t>
      </w:r>
    </w:p>
    <w:p>
      <w:pPr>
        <w:pStyle w:val="21"/>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六、定标</w:t>
      </w:r>
    </w:p>
    <w:p>
      <w:pPr>
        <w:spacing w:line="360" w:lineRule="auto"/>
        <w:ind w:firstLine="482" w:firstLineChars="200"/>
        <w:rPr>
          <w:rFonts w:ascii="宋体" w:hAnsi="宋体"/>
          <w:b/>
          <w:bCs/>
          <w:kern w:val="0"/>
          <w:sz w:val="24"/>
          <w:highlight w:val="none"/>
        </w:rPr>
      </w:pPr>
      <w:r>
        <w:rPr>
          <w:rFonts w:hint="eastAsia" w:asciiTheme="minorEastAsia" w:hAnsiTheme="minorEastAsia" w:eastAsiaTheme="minorEastAsia"/>
          <w:b/>
          <w:bCs/>
          <w:sz w:val="24"/>
          <w:highlight w:val="none"/>
        </w:rPr>
        <w:t>（一）</w:t>
      </w: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结果公示</w:t>
      </w:r>
    </w:p>
    <w:p>
      <w:pPr>
        <w:spacing w:line="360" w:lineRule="auto"/>
        <w:ind w:firstLine="480" w:firstLineChars="200"/>
        <w:rPr>
          <w:rFonts w:ascii="宋体" w:hAnsi="宋体"/>
          <w:kern w:val="0"/>
          <w:sz w:val="24"/>
          <w:highlight w:val="none"/>
        </w:rPr>
      </w:pPr>
      <w:r>
        <w:rPr>
          <w:rFonts w:hint="eastAsia" w:ascii="宋体" w:hAnsi="宋体" w:eastAsia="宋体" w:cs="宋体"/>
          <w:kern w:val="0"/>
          <w:sz w:val="24"/>
        </w:rPr>
        <w:t>在全部满足采购文件实质性要求的前提下，以报价由低到高的顺序推荐2名中标候选人</w:t>
      </w:r>
      <w:r>
        <w:rPr>
          <w:rFonts w:hint="eastAsia" w:ascii="宋体" w:hAnsi="宋体"/>
          <w:kern w:val="0"/>
          <w:sz w:val="24"/>
          <w:highlight w:val="none"/>
        </w:rPr>
        <w:t>，如</w:t>
      </w:r>
      <w:r>
        <w:rPr>
          <w:rFonts w:hint="eastAsia" w:ascii="宋体" w:hAnsi="宋体"/>
          <w:kern w:val="0"/>
          <w:sz w:val="24"/>
          <w:highlight w:val="none"/>
          <w:lang w:val="en-US" w:eastAsia="zh-CN"/>
        </w:rPr>
        <w:t>报价</w:t>
      </w:r>
      <w:r>
        <w:rPr>
          <w:rFonts w:hint="eastAsia" w:ascii="宋体" w:hAnsi="宋体"/>
          <w:kern w:val="0"/>
          <w:sz w:val="24"/>
          <w:highlight w:val="none"/>
        </w:rPr>
        <w:t>相同的，则</w:t>
      </w:r>
      <w:r>
        <w:rPr>
          <w:rFonts w:hint="eastAsia" w:ascii="宋体" w:hAnsi="宋体"/>
          <w:kern w:val="0"/>
          <w:sz w:val="24"/>
          <w:highlight w:val="none"/>
          <w:lang w:val="en-US" w:eastAsia="zh-CN"/>
        </w:rPr>
        <w:t>由采购人</w:t>
      </w:r>
      <w:r>
        <w:rPr>
          <w:rFonts w:hint="eastAsia" w:ascii="宋体" w:hAnsi="宋体"/>
          <w:kern w:val="0"/>
          <w:sz w:val="24"/>
          <w:highlight w:val="none"/>
        </w:rPr>
        <w:t>抽签确定名次。如有效标不足三家使得投标明显缺乏竞争时，评标委员会可以否决全部报价，经评审后有效标不足三家但并非均高于上限价，评标委员会认为有效报价仍具有竞争性的，开标继续有效。</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highlight w:val="none"/>
        </w:rPr>
      </w:pPr>
      <w:r>
        <w:rPr>
          <w:highlight w:val="none"/>
        </w:rPr>
        <w:t>采购组织机构自中标候选人确定之日起3个工作日内，在</w:t>
      </w:r>
      <w:r>
        <w:rPr>
          <w:rFonts w:cs="宋体"/>
          <w:highlight w:val="none"/>
        </w:rPr>
        <w:t>台州湾新区小额工程电子交易平台</w:t>
      </w:r>
      <w:r>
        <w:rPr>
          <w:highlight w:val="none"/>
        </w:rPr>
        <w:t>公告中标结果，中标结果公示期为3日。</w:t>
      </w:r>
    </w:p>
    <w:p>
      <w:pPr>
        <w:pStyle w:val="21"/>
        <w:spacing w:before="0" w:beforeAutospacing="0" w:after="0" w:afterAutospacing="0" w:line="360" w:lineRule="auto"/>
        <w:ind w:firstLine="482" w:firstLineChars="200"/>
        <w:jc w:val="both"/>
        <w:rPr>
          <w:rFonts w:hint="default"/>
          <w:b/>
          <w:bCs/>
          <w:highlight w:val="none"/>
        </w:rPr>
      </w:pPr>
      <w:r>
        <w:rPr>
          <w:rFonts w:asciiTheme="minorEastAsia" w:hAnsiTheme="minorEastAsia" w:eastAsiaTheme="minorEastAsia"/>
          <w:b/>
          <w:bCs/>
          <w:highlight w:val="none"/>
        </w:rPr>
        <w:t>（二）</w:t>
      </w:r>
      <w:r>
        <w:rPr>
          <w:b/>
          <w:bCs/>
          <w:highlight w:val="none"/>
        </w:rPr>
        <w:t>确定中标人</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本项目确定一名中标人，公示期满后，采购人应确定本项目第一中标候选人为本项目中标人。</w:t>
      </w:r>
    </w:p>
    <w:p>
      <w:pPr>
        <w:pStyle w:val="9"/>
        <w:numPr>
          <w:ilvl w:val="0"/>
          <w:numId w:val="8"/>
        </w:numPr>
        <w:spacing w:line="360" w:lineRule="auto"/>
        <w:ind w:firstLine="482" w:firstLineChars="200"/>
        <w:jc w:val="both"/>
        <w:rPr>
          <w:b/>
          <w:bCs/>
          <w:sz w:val="24"/>
          <w:highlight w:val="none"/>
        </w:rPr>
      </w:pPr>
      <w:r>
        <w:rPr>
          <w:rFonts w:hint="eastAsia"/>
          <w:b/>
          <w:bCs/>
          <w:sz w:val="24"/>
          <w:highlight w:val="none"/>
        </w:rPr>
        <w:t>发放中标通知书</w:t>
      </w:r>
    </w:p>
    <w:p>
      <w:pPr>
        <w:pStyle w:val="10"/>
        <w:tabs>
          <w:tab w:val="left" w:pos="574"/>
        </w:tabs>
        <w:spacing w:line="360" w:lineRule="auto"/>
        <w:ind w:firstLine="480" w:firstLineChars="200"/>
        <w:rPr>
          <w:highlight w:val="none"/>
        </w:rPr>
      </w:pPr>
      <w:r>
        <w:rPr>
          <w:rFonts w:hint="eastAsia"/>
          <w:szCs w:val="32"/>
          <w:highlight w:val="none"/>
        </w:rPr>
        <w:t>采购人应当确定第一中标候选人为中标人。如涉及第二中标候选人和其他投标人资格无效的，评标结果不作调整。</w:t>
      </w:r>
    </w:p>
    <w:p>
      <w:pPr>
        <w:pStyle w:val="10"/>
        <w:tabs>
          <w:tab w:val="left" w:pos="574"/>
        </w:tabs>
        <w:spacing w:line="360" w:lineRule="auto"/>
        <w:ind w:firstLine="480" w:firstLineChars="200"/>
        <w:rPr>
          <w:highlight w:val="none"/>
        </w:rPr>
      </w:pPr>
      <w:r>
        <w:rPr>
          <w:rFonts w:hint="eastAsia"/>
          <w:szCs w:val="32"/>
          <w:highlight w:val="none"/>
        </w:rPr>
        <w:t>第一中标候选人放弃中标，或者因不可抗力提出不能履行合同，或者因违反规定造成其资格无效的，</w:t>
      </w:r>
      <w:r>
        <w:rPr>
          <w:rFonts w:hint="eastAsia"/>
          <w:szCs w:val="32"/>
          <w:highlight w:val="none"/>
          <w:lang w:eastAsia="zh-CN"/>
        </w:rPr>
        <w:t>采购人</w:t>
      </w:r>
      <w:r>
        <w:rPr>
          <w:rFonts w:hint="eastAsia"/>
          <w:szCs w:val="32"/>
          <w:highlight w:val="none"/>
        </w:rPr>
        <w:t>可以确定第二中标候选人为中标人。如涉及其他投标人资格无效的，评标结果不作调整。如第二中标候选人存在上述同样情形的，本次招标失败，重新组织招标。</w:t>
      </w:r>
    </w:p>
    <w:p>
      <w:pPr>
        <w:pStyle w:val="10"/>
        <w:tabs>
          <w:tab w:val="left" w:pos="574"/>
        </w:tabs>
        <w:spacing w:line="360" w:lineRule="auto"/>
        <w:ind w:firstLine="480" w:firstLineChars="200"/>
        <w:rPr>
          <w:highlight w:val="none"/>
        </w:rPr>
      </w:pPr>
      <w:r>
        <w:rPr>
          <w:rFonts w:hint="eastAsia"/>
          <w:szCs w:val="32"/>
          <w:highlight w:val="none"/>
        </w:rPr>
        <w:t>中标人确定后，采购人应当向中标人发出《中标通知书》。</w:t>
      </w:r>
    </w:p>
    <w:p>
      <w:pPr>
        <w:pStyle w:val="10"/>
        <w:tabs>
          <w:tab w:val="left" w:pos="574"/>
        </w:tabs>
        <w:spacing w:line="360" w:lineRule="auto"/>
        <w:ind w:firstLine="480" w:firstLineChars="200"/>
        <w:rPr>
          <w:szCs w:val="32"/>
          <w:highlight w:val="none"/>
        </w:rPr>
      </w:pPr>
      <w:r>
        <w:rPr>
          <w:rFonts w:hint="eastAsia"/>
          <w:szCs w:val="32"/>
          <w:highlight w:val="none"/>
        </w:rPr>
        <w:t>采购人在发出《中标通知书》的同时，应当将中标结果在交易场所（发布招标公告的媒体上）通知所有未中标的投标人。</w:t>
      </w:r>
    </w:p>
    <w:p>
      <w:pPr>
        <w:pStyle w:val="10"/>
        <w:tabs>
          <w:tab w:val="left" w:pos="574"/>
        </w:tabs>
        <w:spacing w:line="360" w:lineRule="auto"/>
        <w:ind w:firstLine="480" w:firstLineChars="200"/>
        <w:rPr>
          <w:szCs w:val="32"/>
          <w:highlight w:val="none"/>
        </w:rPr>
      </w:pPr>
      <w:r>
        <w:rPr>
          <w:rFonts w:hint="eastAsia"/>
          <w:szCs w:val="32"/>
          <w:highlight w:val="none"/>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kern w:val="0"/>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w:t>
      </w:r>
      <w:r>
        <w:rPr>
          <w:rFonts w:hint="eastAsia" w:ascii="宋体" w:hAnsi="宋体"/>
          <w:b/>
          <w:kern w:val="0"/>
          <w:sz w:val="24"/>
          <w:highlight w:val="none"/>
        </w:rPr>
        <w:t>合同签订</w:t>
      </w:r>
    </w:p>
    <w:p>
      <w:pPr>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w:t>
      </w:r>
      <w:r>
        <w:rPr>
          <w:rFonts w:hint="eastAsia" w:asciiTheme="minorEastAsia" w:hAnsiTheme="minorEastAsia" w:eastAsiaTheme="minorEastAsia" w:cstheme="minorEastAsia"/>
          <w:highlight w:val="none"/>
          <w:lang w:val="en-US" w:eastAsia="zh-CN"/>
        </w:rPr>
        <w:t>3</w:t>
      </w:r>
      <w:r>
        <w:rPr>
          <w:rFonts w:asciiTheme="minorEastAsia" w:hAnsiTheme="minorEastAsia" w:eastAsiaTheme="minorEastAsia" w:cstheme="minorEastAsia"/>
          <w:highlight w:val="none"/>
        </w:rPr>
        <w:t>日内，按照招标文件和中标人投标文件内容要求，与中标人签订合同。所签订的合同不得对招标文件确定的事项和中标人投标文件作实质性修改。</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2.采购人不得向中标人提出任何不合理的要求作为签订合同的条件。</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3.中标人无故拖延、拒签合同的，将取消中标资格。</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w:t>
      </w:r>
    </w:p>
    <w:p>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rPr>
        <w:t>八、询问、质疑与投诉</w:t>
      </w:r>
    </w:p>
    <w:p>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rPr>
        <w:t>（一）询问</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rPr>
        <w:t>（二）质疑</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1.报名本项目的投标人认为招标文件、采购过程和中标结果使自己的权益受到损害的，通过书面形式一次性向采购人或采购组织机构提出质疑：</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（1）投标人认为招标文件的内容损害其权益的，应当</w:t>
      </w:r>
      <w:r>
        <w:rPr>
          <w:rFonts w:hint="eastAsia" w:ascii="宋体" w:hAnsi="宋体"/>
          <w:sz w:val="24"/>
          <w:highlight w:val="none"/>
          <w:lang w:val="en-US" w:eastAsia="zh-CN"/>
        </w:rPr>
        <w:t>在开标时间以前</w:t>
      </w:r>
      <w:r>
        <w:rPr>
          <w:rFonts w:hint="eastAsia" w:ascii="宋体" w:hAnsi="宋体"/>
          <w:sz w:val="24"/>
          <w:highlight w:val="none"/>
        </w:rPr>
        <w:t>提出质疑；</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（2）投标人对采购过程提出质疑的，应当</w:t>
      </w:r>
      <w:r>
        <w:rPr>
          <w:rFonts w:hint="eastAsia" w:ascii="宋体" w:hAnsi="宋体"/>
          <w:sz w:val="24"/>
          <w:highlight w:val="none"/>
          <w:lang w:val="en-US" w:eastAsia="zh-CN"/>
        </w:rPr>
        <w:t>及时</w:t>
      </w:r>
      <w:r>
        <w:rPr>
          <w:rFonts w:hint="eastAsia" w:ascii="宋体" w:hAnsi="宋体"/>
          <w:sz w:val="24"/>
          <w:highlight w:val="none"/>
        </w:rPr>
        <w:t>提出质疑；</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（3）投标人对中标结果提出质疑的，应当在</w:t>
      </w:r>
      <w:r>
        <w:rPr>
          <w:rFonts w:hint="eastAsia" w:ascii="宋体" w:hAnsi="宋体"/>
          <w:sz w:val="24"/>
          <w:highlight w:val="none"/>
          <w:lang w:val="en-US" w:eastAsia="zh-CN"/>
        </w:rPr>
        <w:t>公示期</w:t>
      </w:r>
      <w:r>
        <w:rPr>
          <w:rFonts w:hint="eastAsia" w:ascii="宋体" w:hAnsi="宋体"/>
          <w:sz w:val="24"/>
          <w:highlight w:val="none"/>
        </w:rPr>
        <w:t>内提出质疑。</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2.采购人或采购组织机构在收到投标人的书面质疑后7个工作日内作出答复，并以书面形式回复质疑投标人和其他有关投标人，但答复内容不涉及商业秘密。</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rPr>
        <w:t>（三）投诉</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pPr>
        <w:numPr>
          <w:ilvl w:val="0"/>
          <w:numId w:val="6"/>
        </w:numPr>
        <w:spacing w:line="360" w:lineRule="auto"/>
        <w:jc w:val="center"/>
        <w:outlineLvl w:val="0"/>
        <w:rPr>
          <w:rFonts w:asciiTheme="minorEastAsia" w:hAnsiTheme="minorEastAsia" w:eastAsiaTheme="minorEastAsia"/>
          <w:b/>
          <w:sz w:val="36"/>
          <w:szCs w:val="36"/>
          <w:highlight w:val="none"/>
        </w:rPr>
      </w:pPr>
      <w:bookmarkStart w:id="45" w:name="_Toc25561"/>
      <w:r>
        <w:rPr>
          <w:rFonts w:hint="eastAsia" w:asciiTheme="minorEastAsia" w:hAnsiTheme="minorEastAsia" w:eastAsiaTheme="minorEastAsia"/>
          <w:b/>
          <w:sz w:val="36"/>
          <w:szCs w:val="36"/>
          <w:highlight w:val="none"/>
        </w:rPr>
        <w:t>招标需求</w:t>
      </w:r>
      <w:bookmarkEnd w:id="45"/>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项目背景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根据《浙江省教育厅办公室关于做好浙江省校园联网视频监控系统信号接入工作的通知》（浙教办函〔2022〕255 号）、《台州市教育局办公室关于印发2023年学校安全工作责任制责任清单的通知》（台教办安〔2023〕17号）要求，将各中小学（含幼儿园）的重点区域视频监控信号进行汇聚接入浙江省校园安全数字化管理平台。重点区域主要包括校门口、岗亭、主干道、教学楼出入口、学生宿舍出入口、化学品存放室、食堂、操场等。</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项目现状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台州湾新区已建设智安校园平台（用于辖区内各学校视频监控汇聚），智安校园平台尚未与浙江省校园安全数字化管理平台进行对接。</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建设内容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目前，台州湾新区学校重点区域监控视频数量大约为300路（以实际为准），本项目要求供应商通过对接技术与省平台调试，将学校重点区域的视频监控信号接入省平台，并支持省平台在线点播等。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中标供应商应安排人员进校，对每所学校重点区域视频监控信号，进校梳理（点位调正、规范监控命名、字符叠加、时间调整、组织树梳理等）。</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接入范围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台州湾新区范围内的所有中小学（含幼儿园）的重点区域视频监控，以及后续新增点位。现有具体点位清单如下：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序号</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台州康桥学校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台州市月湖幼儿园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三甲街道中心幼儿园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椒江区农场育苗幼儿园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三甲多彩幼儿园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74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三甲贝贝幼儿园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苡君幼儿园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小精灵幼儿园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三甲雏鹰幼儿园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三甲童星幼儿园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书生</w:t>
            </w:r>
            <w:r>
              <w:rPr>
                <w:rFonts w:hint="eastAsia" w:ascii="宋体" w:hAnsi="宋体" w:cs="宋体"/>
                <w:color w:val="auto"/>
                <w:kern w:val="0"/>
                <w:sz w:val="24"/>
                <w:szCs w:val="24"/>
                <w:vertAlign w:val="baseline"/>
                <w:lang w:val="en-US" w:eastAsia="zh-CN" w:bidi="ar"/>
              </w:rPr>
              <w:t>景</w:t>
            </w:r>
            <w:r>
              <w:rPr>
                <w:rFonts w:hint="eastAsia" w:ascii="宋体" w:hAnsi="宋体" w:eastAsia="宋体" w:cs="宋体"/>
                <w:color w:val="auto"/>
                <w:kern w:val="0"/>
                <w:sz w:val="24"/>
                <w:szCs w:val="24"/>
                <w:vertAlign w:val="baseline"/>
                <w:lang w:val="en-US" w:eastAsia="zh-CN" w:bidi="ar"/>
              </w:rPr>
              <w:t>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台州市椒江区求真幼儿园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三甲海贝幼儿园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三甲贝多多幼儿园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三甲康欢幼儿园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新步步高幼儿园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协和天童幼儿园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三甲新朝阳幼儿园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台州市白云小学甲北教学点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椒江区三甲中心校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椒江区三甲中心校石柱校区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椒江区三甲中心校新建校区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椒江区三甲中心校高闸校区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椒江区三甲中心校农场校区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台州市月湖小学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椒江区益民小学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椒江区三甲中学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台州市文华小学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台州经济开发区蓝天学校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台州经济开发区求真学校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31</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台州市云湖小学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32</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台州市云湖初级中学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33</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台州市云湖幼儿园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34</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天璟幼儿园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8"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w:t>
            </w:r>
          </w:p>
        </w:tc>
        <w:tc>
          <w:tcPr>
            <w:tcW w:w="7472"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天禧幼儿园</w:t>
            </w:r>
          </w:p>
        </w:tc>
      </w:tr>
    </w:tbl>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接入标准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详见采购需求附件-“</w:t>
      </w:r>
      <w:r>
        <w:rPr>
          <w:rFonts w:hint="default" w:ascii="宋体" w:hAnsi="宋体" w:eastAsia="宋体" w:cs="宋体"/>
          <w:b w:val="0"/>
          <w:bCs w:val="0"/>
          <w:color w:val="auto"/>
          <w:kern w:val="0"/>
          <w:sz w:val="24"/>
          <w:szCs w:val="24"/>
          <w:lang w:val="en-US" w:eastAsia="zh-CN" w:bidi="ar"/>
        </w:rPr>
        <w:t>浙江省校园联网视频监控系统信号接入技术规范</w:t>
      </w:r>
      <w:r>
        <w:rPr>
          <w:rFonts w:hint="eastAsia" w:ascii="宋体" w:hAnsi="宋体" w:eastAsia="宋体" w:cs="宋体"/>
          <w:b w:val="0"/>
          <w:bCs w:val="0"/>
          <w:color w:val="auto"/>
          <w:kern w:val="0"/>
          <w:sz w:val="24"/>
          <w:szCs w:val="24"/>
          <w:lang w:val="en-US" w:eastAsia="zh-CN" w:bidi="ar"/>
        </w:rPr>
        <w:t>”。</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color w:val="auto"/>
          <w:kern w:val="0"/>
          <w:sz w:val="24"/>
          <w:szCs w:val="24"/>
          <w:lang w:val="en-US" w:eastAsia="zh-CN" w:bidi="ar"/>
        </w:rPr>
      </w:pPr>
      <w:r>
        <w:rPr>
          <w:rFonts w:hint="default" w:ascii="宋体" w:hAnsi="宋体" w:eastAsia="宋体" w:cs="宋体"/>
          <w:b/>
          <w:bCs/>
          <w:color w:val="auto"/>
          <w:kern w:val="0"/>
          <w:sz w:val="24"/>
          <w:szCs w:val="24"/>
          <w:lang w:val="en-US" w:eastAsia="zh-CN" w:bidi="ar"/>
        </w:rPr>
        <w:t>视频监控联网服务</w:t>
      </w:r>
      <w:r>
        <w:rPr>
          <w:rFonts w:hint="eastAsia" w:ascii="宋体" w:hAnsi="宋体" w:eastAsia="宋体" w:cs="宋体"/>
          <w:b/>
          <w:bCs/>
          <w:color w:val="auto"/>
          <w:kern w:val="0"/>
          <w:sz w:val="24"/>
          <w:szCs w:val="24"/>
          <w:lang w:val="en-US" w:eastAsia="zh-CN" w:bidi="ar"/>
        </w:rPr>
        <w:t>要求</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能自动将联网范围内的组织结构树呈现出来，并自动将组织结构树数据推送到省平台并挂接到对应省级组织结构树上。实现具备与省平台的云台控制打通能力。</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根据操作需要，使用主码流或者子码流每隔若干分钟截图及查询调阅截图能力。 CIF 及以上的分辨率的 JPG 文件，每次截图保留时间不少于 7 天。</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向省平台提供全部视频资源的播放地址，支持 HTTP-FLV、HLS 等协议调看，视频流采用标准 H.264 编码。</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接口的数据传输采用 JSON 数据格式，传输过程符合请求/响应模式，有请求须有响应返回。接口和 VPN 隧道支持国家密码管理局认可的密码算法，使用国密算法加解密。各网关时间与省平台时间自动同步。</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确保联网安全：开通云端 VPN 隧道，该链路使用隧道、加解密、密钥管理、使用者与设备身份认证四项技术保证安全。和省平台间控制信令全部通过VPN隧道传输。对接接口协议采用 HTTPS 协议，降低交互复杂性、减少通信过程交互环节；支持 OAuth2.0 认证，保证接口安全调用。</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提供</w:t>
      </w:r>
      <w:r>
        <w:rPr>
          <w:rFonts w:hint="eastAsia" w:ascii="宋体" w:hAnsi="宋体" w:eastAsia="宋体" w:cs="宋体"/>
          <w:b w:val="0"/>
          <w:bCs w:val="0"/>
          <w:color w:val="auto"/>
          <w:kern w:val="0"/>
          <w:sz w:val="24"/>
          <w:szCs w:val="24"/>
          <w:lang w:val="en-US" w:eastAsia="zh-CN" w:bidi="ar"/>
        </w:rPr>
        <w:t>平台</w:t>
      </w:r>
      <w:r>
        <w:rPr>
          <w:rFonts w:hint="default" w:ascii="宋体" w:hAnsi="宋体" w:eastAsia="宋体" w:cs="宋体"/>
          <w:b w:val="0"/>
          <w:bCs w:val="0"/>
          <w:color w:val="auto"/>
          <w:kern w:val="0"/>
          <w:sz w:val="24"/>
          <w:szCs w:val="24"/>
          <w:lang w:val="en-US" w:eastAsia="zh-CN" w:bidi="ar"/>
        </w:rPr>
        <w:t>技术服务（</w:t>
      </w:r>
      <w:r>
        <w:rPr>
          <w:rFonts w:hint="eastAsia" w:ascii="宋体" w:hAnsi="宋体" w:eastAsia="宋体" w:cs="宋体"/>
          <w:b w:val="0"/>
          <w:bCs w:val="0"/>
          <w:color w:val="auto"/>
          <w:kern w:val="0"/>
          <w:sz w:val="24"/>
          <w:szCs w:val="24"/>
          <w:lang w:val="en-US" w:eastAsia="zh-CN" w:bidi="ar"/>
        </w:rPr>
        <w:t>两</w:t>
      </w:r>
      <w:r>
        <w:rPr>
          <w:rFonts w:hint="default" w:ascii="宋体" w:hAnsi="宋体" w:eastAsia="宋体" w:cs="宋体"/>
          <w:b w:val="0"/>
          <w:bCs w:val="0"/>
          <w:color w:val="auto"/>
          <w:kern w:val="0"/>
          <w:sz w:val="24"/>
          <w:szCs w:val="24"/>
          <w:lang w:val="en-US" w:eastAsia="zh-CN" w:bidi="ar"/>
        </w:rPr>
        <w:t>年）</w:t>
      </w:r>
      <w:r>
        <w:rPr>
          <w:rFonts w:hint="eastAsia" w:ascii="宋体" w:hAnsi="宋体" w:eastAsia="宋体" w:cs="宋体"/>
          <w:b w:val="0"/>
          <w:bCs w:val="0"/>
          <w:color w:val="auto"/>
          <w:kern w:val="0"/>
          <w:sz w:val="24"/>
          <w:szCs w:val="24"/>
          <w:lang w:val="en-US" w:eastAsia="zh-CN" w:bidi="ar"/>
        </w:rPr>
        <w:t>，</w:t>
      </w:r>
      <w:r>
        <w:rPr>
          <w:rFonts w:hint="default" w:ascii="宋体" w:hAnsi="宋体" w:eastAsia="宋体" w:cs="宋体"/>
          <w:b w:val="0"/>
          <w:bCs w:val="0"/>
          <w:color w:val="auto"/>
          <w:kern w:val="0"/>
          <w:sz w:val="24"/>
          <w:szCs w:val="24"/>
          <w:lang w:val="en-US" w:eastAsia="zh-CN" w:bidi="ar"/>
        </w:rPr>
        <w:t>包含：</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bCs/>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持续保障与浙江省校园安全数字化管理平台视频对接的能力</w:t>
      </w:r>
      <w:r>
        <w:rPr>
          <w:rFonts w:hint="eastAsia" w:ascii="宋体" w:hAnsi="宋体" w:eastAsia="宋体" w:cs="宋体"/>
          <w:b w:val="0"/>
          <w:bCs w:val="0"/>
          <w:color w:val="auto"/>
          <w:kern w:val="0"/>
          <w:sz w:val="24"/>
          <w:szCs w:val="24"/>
          <w:lang w:val="en-US" w:eastAsia="zh-CN" w:bidi="ar"/>
        </w:rPr>
        <w:t>（期限为两年）</w:t>
      </w:r>
      <w:r>
        <w:rPr>
          <w:rFonts w:hint="default" w:ascii="宋体" w:hAnsi="宋体" w:eastAsia="宋体" w:cs="宋体"/>
          <w:b w:val="0"/>
          <w:bCs w:val="0"/>
          <w:color w:val="auto"/>
          <w:kern w:val="0"/>
          <w:sz w:val="24"/>
          <w:szCs w:val="24"/>
          <w:lang w:val="en-US" w:eastAsia="zh-CN" w:bidi="ar"/>
        </w:rPr>
        <w:t xml:space="preserve">，如有影响对接能力的软件部分基础功能升级，提供免费升级服务。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bCs/>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与浙江省校园安全数字化管理平台的对接调试服务。</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视频接入网关技术参数及数量（1台）</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支持VGA/HDMI输出</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硬盘接口：不小于1×SATA</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网络接口：不少于2×100M/1000M</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USB接口:不少于4×USB 2.0</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工作电压:DC 12V/AC 220V</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额定功率:不大于30W</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工作环境温度:0℃～60℃</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工作环境湿度:0～90% 非冷凝</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能够调用省校安平台提供的接口进行数据上传。</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color w:val="auto"/>
          <w:kern w:val="0"/>
          <w:sz w:val="24"/>
          <w:szCs w:val="24"/>
          <w:lang w:val="en-US" w:eastAsia="zh-CN" w:bidi="ar"/>
        </w:rPr>
      </w:pPr>
      <w:r>
        <w:rPr>
          <w:rFonts w:hint="default" w:ascii="宋体" w:hAnsi="宋体" w:eastAsia="宋体" w:cs="宋体"/>
          <w:b/>
          <w:bCs/>
          <w:color w:val="auto"/>
          <w:kern w:val="0"/>
          <w:sz w:val="24"/>
          <w:szCs w:val="24"/>
          <w:lang w:val="en-US" w:eastAsia="zh-CN" w:bidi="ar"/>
        </w:rPr>
        <w:t>▲视频联网网关必须具备与浙江省校园安全数字化管理平台的云台控制打通能力。具体要求：实现和浙江省校园安全数字化管理平台组织体系对接，按照省平台的组织编号进行视频的归集和视频上传，实现可以在浙江省平台控制学校云台摄像机的能力。</w:t>
      </w:r>
      <w:r>
        <w:rPr>
          <w:rFonts w:hint="eastAsia" w:ascii="宋体" w:hAnsi="宋体" w:cs="宋体"/>
          <w:b/>
          <w:bCs/>
          <w:color w:val="auto"/>
          <w:kern w:val="0"/>
          <w:sz w:val="24"/>
          <w:szCs w:val="24"/>
          <w:lang w:val="en-US" w:eastAsia="zh-CN" w:bidi="ar"/>
        </w:rPr>
        <w:t>签订合同前提供证明资料（如截图），未按要求提供的取消中标资格。</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接口的数据传输采用JSON数据格式，传输过程符合请求/响应模式，有请求须有响应返回。</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提供推送和中止摄像机视频流的接口以及云台控制接口及其他访问接口，如组织结构树上传。</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对接接口协议采用HTTPS协议，降低交互复杂性、减少通信过程交互环节；支持OAuth2.0认证，保证接口安全调用。</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支持厂家原生SDK接入：要求网关具备厂家原生SDK接入能力，使用厂家SDK接入海康、大华、宇视、华为好望等主流厂家的视频设备，包括IPC及NVR等。原生SDK是指由设备厂商自己开发的SDK，这里指指主流厂家自己提供的官方sdk，就是可以直接使用主流厂家的共有和私有协议直接接入ip或NVR。</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支持协议型视频设备、平台的接入：支持RTSP、onvif、GB/T 28181-2016等协议型设备、平台的接入。</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针对具体摄像机可自定义录像计划并选中主次码流进行录像并一键复制录像计划到其他通道。支持IPSAN及JBOD。</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 xml:space="preserve">支持录像文件预取入库，无论视频设备的录像或者是集中录像文件，均可实现录像文件预入库及自动跟踪删除功能。 </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自带播放界面，在各种浏览器上均可实现无插件播放，无需安装任何插件或者控件，也不依赖FLASH，包括对H265设备的支持。</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提供一个WEB播放控件给其他应用调用用以实现预览播放功能，播放器支持http,https,ws等多种协议，支持FLV、HLS等多种播放制式，支持云台控制，抓图，主子码流切换、全屏放大缩小、等功能。</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根据需要给出rtsp,rtmp，http,https,ws等各种格式的取流地址。</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自带回放界面，支持在各种浏览器上实现无插件的、基于时间轴的快速回放。可随意拖动时间并开始播放，支持快进、倍速等功能。切换日期时，时间轴要求1秒内实现刷新。</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提供无插件播放器支持回放功能，支持抓图。</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支持高性能流媒体，支持多种码流分发。</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支持按需取流，一种码流仅从设备端取一路流</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支持基于GPU/CPU的视频压缩功能。WEB管理界面中可针对每个通道配置压缩规则，规则包括码流设置、分辨率、帧率设置。</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可全局配置窄带压缩传输功能的参数，包括是全部都进行窄带压缩还是最大负载多少路或者根据CPU条件来进行窄带压缩传输。</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支持H265变换为H264。</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 xml:space="preserve">对应无插件播放器可以主、子、低三种码流进行切换。 </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支持同时与多个上级28181节点级联功能，且每个上级均可单独设置推送的摄像机列表。</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支持私有化协议对接，支持跨域私网的主动视频上报功能并能提供对接SDK/API。</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color w:val="auto"/>
          <w:kern w:val="0"/>
          <w:sz w:val="24"/>
          <w:szCs w:val="24"/>
          <w:lang w:val="en-US" w:eastAsia="zh-CN" w:bidi="ar"/>
        </w:rPr>
      </w:pPr>
      <w:r>
        <w:rPr>
          <w:rFonts w:hint="default" w:ascii="宋体" w:hAnsi="宋体" w:eastAsia="宋体" w:cs="宋体"/>
          <w:b/>
          <w:bCs/>
          <w:color w:val="auto"/>
          <w:kern w:val="0"/>
          <w:sz w:val="24"/>
          <w:szCs w:val="24"/>
          <w:lang w:val="en-US" w:eastAsia="zh-CN" w:bidi="ar"/>
        </w:rPr>
        <w:t>▲无缝对接浙江省校园安全数字化管理平台，实现浙江省校园安全数字化平台上无插件播放。具体要求：实现和浙江省校园安全数字化管理平台组织体系对接，按照省平台的组织编号进行视频的归集和视频上传，实现可以提供的视频流可在浙江省平台无插件播放的能力</w:t>
      </w:r>
      <w:r>
        <w:rPr>
          <w:rFonts w:hint="eastAsia" w:ascii="宋体" w:hAnsi="宋体" w:eastAsia="宋体" w:cs="宋体"/>
          <w:b/>
          <w:bCs/>
          <w:color w:val="auto"/>
          <w:kern w:val="0"/>
          <w:sz w:val="24"/>
          <w:szCs w:val="24"/>
          <w:lang w:val="en-US" w:eastAsia="zh-CN" w:bidi="ar"/>
        </w:rPr>
        <w:t>。</w:t>
      </w:r>
      <w:r>
        <w:rPr>
          <w:rFonts w:hint="eastAsia" w:ascii="宋体" w:hAnsi="宋体" w:cs="宋体"/>
          <w:b/>
          <w:bCs/>
          <w:color w:val="auto"/>
          <w:kern w:val="0"/>
          <w:sz w:val="24"/>
          <w:szCs w:val="24"/>
          <w:lang w:val="en-US" w:eastAsia="zh-CN" w:bidi="ar"/>
        </w:rPr>
        <w:t>签订合同前提供证明资料（如截图），未按要求提供的取消中标资格。</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支持多个应用的开发，从设备管理到录像、播放等功能均支持第三方接口调用，要求提供详细接口文档。要求符合http+json规范；包括账户登录登出、设备管理、预览、回放、录像配置、查询28181配置、级联配置、自定义组管理、账户管理、区域管理等多种接口且能调试通过。</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val="0"/>
          <w:color w:val="auto"/>
          <w:kern w:val="0"/>
          <w:sz w:val="24"/>
          <w:szCs w:val="24"/>
          <w:lang w:val="en-US" w:eastAsia="zh-CN" w:bidi="ar"/>
        </w:rPr>
      </w:pPr>
      <w:r>
        <w:rPr>
          <w:rFonts w:hint="default" w:ascii="宋体" w:hAnsi="宋体" w:eastAsia="宋体" w:cs="宋体"/>
          <w:b w:val="0"/>
          <w:bCs w:val="0"/>
          <w:color w:val="auto"/>
          <w:kern w:val="0"/>
          <w:sz w:val="24"/>
          <w:szCs w:val="24"/>
          <w:lang w:val="en-US" w:eastAsia="zh-CN" w:bidi="ar"/>
        </w:rPr>
        <w:t>提供WEB管理工具：可实现设备管理，包括添加、删除、编辑等功能，另外也包括设备状态管理，画面预览、回放、自定义组、轮询、录像配置等功能。</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color w:val="auto"/>
          <w:kern w:val="0"/>
          <w:sz w:val="24"/>
          <w:szCs w:val="24"/>
          <w:highlight w:val="none"/>
          <w:lang w:val="en-US" w:eastAsia="zh-CN" w:bidi="ar"/>
        </w:rPr>
      </w:pPr>
      <w:r>
        <w:rPr>
          <w:rFonts w:hint="default" w:ascii="宋体" w:hAnsi="宋体" w:eastAsia="宋体" w:cs="宋体"/>
          <w:b/>
          <w:bCs/>
          <w:color w:val="auto"/>
          <w:kern w:val="0"/>
          <w:sz w:val="24"/>
          <w:szCs w:val="24"/>
          <w:highlight w:val="none"/>
          <w:lang w:val="en-US" w:eastAsia="zh-CN" w:bidi="ar"/>
        </w:rPr>
        <w:t>▲授权管理:支持对接入系统的视频数量在线授权不少于400路。</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商务需求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default"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付款方式：完成项目所有工作内容并通过验收合格之日起15日历天内一次性付清。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default"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服务期：</w:t>
      </w:r>
      <w:r>
        <w:rPr>
          <w:rFonts w:hint="eastAsia" w:ascii="宋体" w:hAnsi="宋体" w:cs="宋体"/>
          <w:b/>
          <w:bCs/>
          <w:color w:val="auto"/>
          <w:kern w:val="0"/>
          <w:sz w:val="24"/>
          <w:szCs w:val="24"/>
          <w:highlight w:val="none"/>
          <w:lang w:val="en-US" w:eastAsia="zh-CN" w:bidi="ar"/>
        </w:rPr>
        <w:t>合同生效后7天内</w:t>
      </w:r>
      <w:r>
        <w:rPr>
          <w:rFonts w:hint="eastAsia" w:ascii="宋体" w:hAnsi="宋体" w:eastAsia="宋体" w:cs="宋体"/>
          <w:b/>
          <w:bCs/>
          <w:color w:val="auto"/>
          <w:kern w:val="0"/>
          <w:sz w:val="24"/>
          <w:szCs w:val="24"/>
          <w:highlight w:val="none"/>
          <w:lang w:val="en-US" w:eastAsia="zh-CN" w:bidi="ar"/>
        </w:rPr>
        <w:t>完成所有工作内容直至验收合格。</w:t>
      </w:r>
    </w:p>
    <w:p>
      <w:pPr>
        <w:pStyle w:val="81"/>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b/>
          <w:bCs/>
          <w:color w:val="auto"/>
          <w:sz w:val="24"/>
          <w:szCs w:val="24"/>
          <w:highlight w:val="none"/>
          <w:lang w:val="en-US" w:eastAsia="zh-CN"/>
        </w:rPr>
      </w:pPr>
      <w:r>
        <w:rPr>
          <w:rFonts w:hint="default"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有关费用说明：本项目实施过程中可能涉及的因数据采集及对接所产生的费用已包含在总报价，</w:t>
      </w:r>
      <w:r>
        <w:rPr>
          <w:rFonts w:hint="default" w:ascii="宋体" w:hAnsi="宋体" w:eastAsia="宋体" w:cs="宋体"/>
          <w:b/>
          <w:bCs/>
          <w:color w:val="auto"/>
          <w:kern w:val="0"/>
          <w:sz w:val="24"/>
          <w:szCs w:val="24"/>
          <w:highlight w:val="none"/>
          <w:lang w:val="en-US" w:eastAsia="zh-CN" w:bidi="ar"/>
        </w:rPr>
        <w:t>台州湾新区智安校园平台</w:t>
      </w:r>
      <w:r>
        <w:rPr>
          <w:rFonts w:hint="eastAsia" w:ascii="宋体" w:hAnsi="宋体" w:eastAsia="宋体" w:cs="宋体"/>
          <w:b/>
          <w:bCs/>
          <w:color w:val="auto"/>
          <w:kern w:val="0"/>
          <w:sz w:val="24"/>
          <w:szCs w:val="24"/>
          <w:highlight w:val="none"/>
          <w:lang w:val="en-US" w:eastAsia="zh-CN" w:bidi="ar"/>
        </w:rPr>
        <w:t>的对接单位为浙江省公众信息产业有限公司。项目实施过程中所需的网关设备、布线、材料费、人工费、技术服务费等费用均包含在总报价内，采购人不再支付其它费用。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szCs w:val="24"/>
          <w:lang w:val="en-US" w:eastAsia="zh-CN" w:bidi="ar"/>
        </w:rPr>
      </w:pPr>
    </w:p>
    <w:p>
      <w:pPr>
        <w:spacing w:line="360" w:lineRule="auto"/>
        <w:rPr>
          <w:color w:val="auto"/>
          <w:sz w:val="24"/>
          <w:szCs w:val="24"/>
        </w:rPr>
      </w:pPr>
      <w:r>
        <w:rPr>
          <w:color w:val="auto"/>
          <w:sz w:val="24"/>
          <w:szCs w:val="24"/>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采购需求附件</w:t>
      </w:r>
    </w:p>
    <w:p>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浙江省校园联网视频监控系统信号接入技术规范</w:t>
      </w:r>
    </w:p>
    <w:p>
      <w:pPr>
        <w:pageBreakBefore w:val="0"/>
        <w:widowControl w:val="0"/>
        <w:numPr>
          <w:ilvl w:val="0"/>
          <w:numId w:val="13"/>
        </w:numPr>
        <w:kinsoku/>
        <w:wordWrap/>
        <w:overflowPunct/>
        <w:topLinePunct w:val="0"/>
        <w:autoSpaceDE/>
        <w:autoSpaceDN/>
        <w:bidi w:val="0"/>
        <w:adjustRightInd/>
        <w:snapToGrid/>
        <w:spacing w:beforeAutospacing="0" w:afterAutospacing="0" w:line="360" w:lineRule="auto"/>
        <w:ind w:left="0" w:leftChars="0"/>
        <w:jc w:val="left"/>
        <w:textAlignment w:val="auto"/>
        <w:outlineLvl w:val="0"/>
        <w:rPr>
          <w:rFonts w:hint="eastAsia" w:ascii="宋体" w:hAnsi="宋体" w:eastAsia="宋体" w:cs="宋体"/>
          <w:b/>
          <w:bCs/>
          <w:color w:val="auto"/>
          <w:sz w:val="24"/>
          <w:szCs w:val="24"/>
        </w:rPr>
      </w:pPr>
      <w:bookmarkStart w:id="46" w:name="_Toc23009"/>
      <w:r>
        <w:rPr>
          <w:rFonts w:hint="eastAsia" w:ascii="宋体" w:hAnsi="宋体" w:eastAsia="宋体" w:cs="宋体"/>
          <w:b/>
          <w:bCs/>
          <w:color w:val="auto"/>
          <w:sz w:val="24"/>
          <w:szCs w:val="24"/>
        </w:rPr>
        <w:t>适用说明</w:t>
      </w:r>
      <w:bookmarkEnd w:id="46"/>
      <w:r>
        <w:rPr>
          <w:rFonts w:hint="eastAsia" w:ascii="宋体" w:hAnsi="宋体" w:eastAsia="宋体" w:cs="宋体"/>
          <w:b/>
          <w:bCs/>
          <w:color w:val="auto"/>
          <w:sz w:val="24"/>
          <w:szCs w:val="24"/>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本技术要求适用于浙江省校园视频联网监测和共享。 </w:t>
      </w:r>
    </w:p>
    <w:p>
      <w:pPr>
        <w:pageBreakBefore w:val="0"/>
        <w:widowControl w:val="0"/>
        <w:numPr>
          <w:ilvl w:val="0"/>
          <w:numId w:val="13"/>
        </w:numPr>
        <w:kinsoku/>
        <w:wordWrap/>
        <w:overflowPunct/>
        <w:topLinePunct w:val="0"/>
        <w:autoSpaceDE/>
        <w:autoSpaceDN/>
        <w:bidi w:val="0"/>
        <w:adjustRightInd/>
        <w:snapToGrid/>
        <w:spacing w:beforeAutospacing="0" w:afterAutospacing="0" w:line="360" w:lineRule="auto"/>
        <w:ind w:left="0" w:leftChars="0"/>
        <w:jc w:val="left"/>
        <w:textAlignment w:val="auto"/>
        <w:outlineLvl w:val="0"/>
        <w:rPr>
          <w:rFonts w:hint="eastAsia" w:ascii="宋体" w:hAnsi="宋体" w:eastAsia="宋体" w:cs="宋体"/>
          <w:color w:val="auto"/>
          <w:sz w:val="24"/>
          <w:szCs w:val="24"/>
        </w:rPr>
      </w:pPr>
      <w:bookmarkStart w:id="47" w:name="_Toc18510"/>
      <w:r>
        <w:rPr>
          <w:rFonts w:hint="eastAsia" w:ascii="宋体" w:hAnsi="宋体" w:eastAsia="宋体" w:cs="宋体"/>
          <w:b/>
          <w:bCs/>
          <w:color w:val="auto"/>
          <w:sz w:val="24"/>
          <w:szCs w:val="24"/>
        </w:rPr>
        <w:t>规范性引用文件</w:t>
      </w:r>
      <w:bookmarkEnd w:id="47"/>
      <w:r>
        <w:rPr>
          <w:rFonts w:hint="eastAsia" w:ascii="宋体" w:hAnsi="宋体" w:eastAsia="宋体" w:cs="宋体"/>
          <w:color w:val="auto"/>
          <w:sz w:val="24"/>
          <w:szCs w:val="24"/>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下列文件中的条款通过引用而成为本技术要求的条款。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凡是注日期的引用文件，仅注日期的版本适用于本技术要求。凡是不注日期的引用文件，其最新版本（包括所有的修改单）适用于本技术要求。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22239-2019 信息安全技术 网络安全等级保护基本要求</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35114-2017 公共安全视频监控联网信息安全技术要求</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GB37300-2018 公共安全重点区域视频图像信息采集规范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GB/T 28181-2016 公共安全视频监控联网系统信息传输、交换、控制技术要求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ISO/IEC 14496.2 信息技术 音频-视频对象编码 第 2部12分：视频（Information technology-Coding of audio-visual objects-Part 2：Visual）</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ISO/IEC 14496.10 信息技术 音频-视频对象编码 第10部分：先进视频编码（Information technology-Coding of audio-visual objects-Part 10：Advanced Video Coding） </w:t>
      </w:r>
    </w:p>
    <w:p>
      <w:pPr>
        <w:pageBreakBefore w:val="0"/>
        <w:widowControl w:val="0"/>
        <w:numPr>
          <w:ilvl w:val="0"/>
          <w:numId w:val="13"/>
        </w:numPr>
        <w:kinsoku/>
        <w:wordWrap/>
        <w:overflowPunct/>
        <w:topLinePunct w:val="0"/>
        <w:autoSpaceDE/>
        <w:autoSpaceDN/>
        <w:bidi w:val="0"/>
        <w:adjustRightInd/>
        <w:snapToGrid/>
        <w:spacing w:beforeAutospacing="0" w:afterAutospacing="0" w:line="360" w:lineRule="auto"/>
        <w:ind w:left="0" w:leftChars="0"/>
        <w:jc w:val="left"/>
        <w:textAlignment w:val="auto"/>
        <w:outlineLvl w:val="0"/>
        <w:rPr>
          <w:rFonts w:hint="eastAsia" w:ascii="宋体" w:hAnsi="宋体" w:eastAsia="宋体" w:cs="宋体"/>
          <w:b/>
          <w:bCs/>
          <w:color w:val="auto"/>
          <w:sz w:val="24"/>
          <w:szCs w:val="24"/>
        </w:rPr>
      </w:pPr>
      <w:bookmarkStart w:id="48" w:name="_Toc6376"/>
      <w:r>
        <w:rPr>
          <w:rFonts w:hint="eastAsia" w:ascii="宋体" w:hAnsi="宋体" w:eastAsia="宋体" w:cs="宋体"/>
          <w:b/>
          <w:bCs/>
          <w:color w:val="auto"/>
          <w:sz w:val="24"/>
          <w:szCs w:val="24"/>
        </w:rPr>
        <w:t>术语、定义和缩略语</w:t>
      </w:r>
      <w:bookmarkEnd w:id="48"/>
      <w:r>
        <w:rPr>
          <w:rFonts w:hint="eastAsia" w:ascii="宋体" w:hAnsi="宋体" w:eastAsia="宋体" w:cs="宋体"/>
          <w:b/>
          <w:bCs/>
          <w:color w:val="auto"/>
          <w:sz w:val="24"/>
          <w:szCs w:val="24"/>
        </w:rPr>
        <w:t xml:space="preserve"> </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3.1 术语、定义 </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3.1.1 浙江省校园安全数字化管理平台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面向全省统一的校园安全管理数字化平台，可满足省教育厅视频联网应用需求，实现全省校园视频图像资源汇聚并联网应用的平台，本文件中统一简称为“省平台”，未来省级平台支持向上级平台提供视频调用、控制服务。</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3.1.2 视频联网网关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接不同厂家、不同型号的摄像机设备或者平台，获取摄像机视频流后，以统一、标准的视频压缩格式和传输协议，将视频流和相关组织结构数据推送至省平台，该设备主要部署在市、县（市、区）教育局或高校。</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3.2 缩略语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下列缩略语适用于本文件。 </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VPN：虚拟专用网（Virtual Private Network）；</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CIF：常用标准化图像格式（ Common Intermediate Format）；</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bps：比特率（Bits Per Second）； </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RTMP：实时消息传输协议（Real Time Messaging4 Protocol）；</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HTTP-FLV：基于FLV封装的 HTTP 视频流协议； </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HLS：基于HTTP的实时流协议 (HTTP Live Streaming)； </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JPEG:常见的一种图像格式（Joint Photographic Experts Group）；</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HTTPS：超文本传输安全协议（Hyper Text Transfer Protocol over Secure Socket Layer 或 Hypertext Transfer Protocol Secure）； </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OAuth2.0：一种用户验证和授权标准（ Open Authorization 的简写）； </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JSON：一种轻量级的数据交换格式（JavaScript Object Notation 的简写）。 </w:t>
      </w:r>
    </w:p>
    <w:p>
      <w:pPr>
        <w:pageBreakBefore w:val="0"/>
        <w:widowControl w:val="0"/>
        <w:numPr>
          <w:ilvl w:val="0"/>
          <w:numId w:val="13"/>
        </w:numPr>
        <w:kinsoku/>
        <w:wordWrap/>
        <w:overflowPunct/>
        <w:topLinePunct w:val="0"/>
        <w:autoSpaceDE/>
        <w:autoSpaceDN/>
        <w:bidi w:val="0"/>
        <w:adjustRightInd/>
        <w:snapToGrid/>
        <w:spacing w:beforeAutospacing="0" w:afterAutospacing="0" w:line="360" w:lineRule="auto"/>
        <w:ind w:left="0" w:leftChars="0"/>
        <w:jc w:val="left"/>
        <w:textAlignment w:val="auto"/>
        <w:outlineLvl w:val="0"/>
        <w:rPr>
          <w:rFonts w:hint="eastAsia" w:ascii="宋体" w:hAnsi="宋体" w:eastAsia="宋体" w:cs="宋体"/>
          <w:b/>
          <w:bCs/>
          <w:color w:val="auto"/>
          <w:sz w:val="24"/>
          <w:szCs w:val="24"/>
        </w:rPr>
      </w:pPr>
      <w:bookmarkStart w:id="49" w:name="_Toc27428"/>
      <w:r>
        <w:rPr>
          <w:rFonts w:hint="eastAsia" w:ascii="宋体" w:hAnsi="宋体" w:eastAsia="宋体" w:cs="宋体"/>
          <w:b/>
          <w:bCs/>
          <w:color w:val="auto"/>
          <w:sz w:val="24"/>
          <w:szCs w:val="24"/>
        </w:rPr>
        <w:t>联网方式与技术要求</w:t>
      </w:r>
      <w:bookmarkEnd w:id="49"/>
      <w:r>
        <w:rPr>
          <w:rFonts w:hint="eastAsia" w:ascii="宋体" w:hAnsi="宋体" w:eastAsia="宋体" w:cs="宋体"/>
          <w:b/>
          <w:bCs/>
          <w:color w:val="auto"/>
          <w:sz w:val="24"/>
          <w:szCs w:val="24"/>
        </w:rPr>
        <w:t xml:space="preserve"> </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4.1视频资源要求 </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4.1.1视频资源编号命名规则</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按统一标准规范命名学校监控点位。中小学幼儿园摄像机命名要求：统一按市区县名称+学校名称+监控点位的规则对推送的摄像机进行命名， 如安装于杭州市钱塘区金沙湖实验学校东门的1号摄像机，其命名为：杭州钱塘金沙湖实验学校-东门01。高校按学校名称+监控点位的规则对推送的摄像机进行命名，如安装于浙江经济职业技术学院东门的1号摄像机，其命名为：浙江经济职业技术学院-东门01。</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4.1.2字符叠加</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OSD 叠加位置要求时间位于图像左上，摄像机名称位于图像右下角。</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4.1.2时钟同步</w:t>
      </w:r>
    </w:p>
    <w:p>
      <w:pPr>
        <w:pStyle w:val="82"/>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要求推送的摄像机均可自动实现和省平台的时钟同步。</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4.2组织结构树要求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要求联网网关能自动将联网范围内的组织结构树呈现出来，并自动将组织结构树数据推送到省平台并挂接到对应省级组织结构树上。</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4.3联网要求 </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4.3.1云台控制</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省平台具备摄像机云台控制能力，视频联网网关必须具备与省平台的云台控制打通能力。 </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4.3.2截图及调阅截图能力</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省平台根据操作需要，可选择使用主码流或者子码流每隔若干分钟截图及查询调阅截图能力。省平台截图要求 CIF 及以上的分辨率的 JPG 文件，每次截图保留时间不少于 7 天。 </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4.3.3视频传输和数据上报要求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省平台根据情况，可选择使用主码流或者子码流调阅网关上报的每路视频。网关应向省平台提供全部视频资源的播放地址，支持 HTTP-FLV、HLS 等协议调看，视频流应采用标准 H.264 编码。 </w:t>
      </w:r>
    </w:p>
    <w:p>
      <w:pPr>
        <w:pageBreakBefore w:val="0"/>
        <w:widowControl w:val="0"/>
        <w:numPr>
          <w:ilvl w:val="0"/>
          <w:numId w:val="13"/>
        </w:numPr>
        <w:kinsoku/>
        <w:wordWrap/>
        <w:overflowPunct/>
        <w:topLinePunct w:val="0"/>
        <w:autoSpaceDE/>
        <w:autoSpaceDN/>
        <w:bidi w:val="0"/>
        <w:adjustRightInd/>
        <w:snapToGrid/>
        <w:spacing w:beforeAutospacing="0" w:afterAutospacing="0" w:line="360" w:lineRule="auto"/>
        <w:ind w:left="0" w:leftChars="0"/>
        <w:jc w:val="left"/>
        <w:textAlignment w:val="auto"/>
        <w:outlineLvl w:val="0"/>
        <w:rPr>
          <w:rFonts w:hint="eastAsia" w:ascii="宋体" w:hAnsi="宋体" w:eastAsia="宋体" w:cs="宋体"/>
          <w:b/>
          <w:bCs/>
          <w:color w:val="auto"/>
          <w:sz w:val="24"/>
          <w:szCs w:val="24"/>
        </w:rPr>
      </w:pPr>
      <w:bookmarkStart w:id="50" w:name="_Toc8518"/>
      <w:r>
        <w:rPr>
          <w:rFonts w:hint="eastAsia" w:ascii="宋体" w:hAnsi="宋体" w:eastAsia="宋体" w:cs="宋体"/>
          <w:b/>
          <w:bCs/>
          <w:color w:val="auto"/>
          <w:sz w:val="24"/>
          <w:szCs w:val="24"/>
        </w:rPr>
        <w:t>接入软硬件技术要求</w:t>
      </w:r>
      <w:bookmarkEnd w:id="50"/>
      <w:r>
        <w:rPr>
          <w:rFonts w:hint="eastAsia" w:ascii="宋体" w:hAnsi="宋体" w:eastAsia="宋体" w:cs="宋体"/>
          <w:b/>
          <w:bCs/>
          <w:color w:val="auto"/>
          <w:sz w:val="24"/>
          <w:szCs w:val="24"/>
        </w:rPr>
        <w:t xml:space="preserve"> </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5.1 通用性要求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各市、县（市、区）教育局及高校应将辖区校园内重点区域摄像机的点位信息提供给省平台。网关能够调用省平台提供的接口进行数据上传。接口的数据传输采用 JSON 数据格式，传输过程符合请求/响应模式，有请求须有响应返回。接口和 VPN 隧道支持国家密码管理局认可的密码算法，优先使用国密算法加解密。各网关时间须与省平台时间自动同步。 </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5.2 网关软硬件要求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网关硬软一体化，提供推送和中止摄像机视频流的接口以及云台控制接口及其他访问接口，如组织结构树上传。 </w:t>
      </w:r>
    </w:p>
    <w:p>
      <w:pPr>
        <w:pageBreakBefore w:val="0"/>
        <w:widowControl w:val="0"/>
        <w:numPr>
          <w:ilvl w:val="0"/>
          <w:numId w:val="13"/>
        </w:numPr>
        <w:kinsoku/>
        <w:wordWrap/>
        <w:overflowPunct/>
        <w:topLinePunct w:val="0"/>
        <w:autoSpaceDE/>
        <w:autoSpaceDN/>
        <w:bidi w:val="0"/>
        <w:adjustRightInd/>
        <w:snapToGrid/>
        <w:spacing w:beforeAutospacing="0" w:afterAutospacing="0" w:line="360" w:lineRule="auto"/>
        <w:ind w:left="0" w:leftChars="0"/>
        <w:jc w:val="left"/>
        <w:textAlignment w:val="auto"/>
        <w:outlineLvl w:val="0"/>
        <w:rPr>
          <w:rFonts w:hint="eastAsia" w:ascii="宋体" w:hAnsi="宋体" w:eastAsia="宋体" w:cs="宋体"/>
          <w:b/>
          <w:bCs/>
          <w:color w:val="auto"/>
          <w:sz w:val="24"/>
          <w:szCs w:val="24"/>
        </w:rPr>
      </w:pPr>
      <w:bookmarkStart w:id="51" w:name="_Toc19861"/>
      <w:r>
        <w:rPr>
          <w:rFonts w:hint="eastAsia" w:ascii="宋体" w:hAnsi="宋体" w:eastAsia="宋体" w:cs="宋体"/>
          <w:b/>
          <w:bCs/>
          <w:color w:val="auto"/>
          <w:sz w:val="24"/>
          <w:szCs w:val="24"/>
        </w:rPr>
        <w:t>联网安全要求</w:t>
      </w:r>
      <w:bookmarkEnd w:id="51"/>
      <w:r>
        <w:rPr>
          <w:rFonts w:hint="eastAsia" w:ascii="宋体" w:hAnsi="宋体" w:eastAsia="宋体" w:cs="宋体"/>
          <w:b/>
          <w:bCs/>
          <w:color w:val="auto"/>
          <w:sz w:val="24"/>
          <w:szCs w:val="24"/>
        </w:rPr>
        <w:t xml:space="preserve"> </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6.1视频传输安全要求</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6.1.1网关和省平台间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开通云端 VPN 隧道，该链路使用隧道、加解密、密钥管理、使用者与设备身份认证四项技术保证安全。网关和省平台间控制信令全部通过VPN隧道传输。</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 URL 鉴权功能</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提高视频资源防盗能力，URL 由播放地址、验证串组成，验证串包含失效时间，视频流数据在传输过程中要用 SSL 加密。</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6.1.3接口安全要求</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对接接口协议采用 HTTPS 协议，降低交互复杂性、减少通信过程交互环节；支持 OAuth2.0 认证，保证接口安全调用。 </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outlineLvl w:val="0"/>
        <w:rPr>
          <w:rFonts w:hint="eastAsia" w:ascii="宋体" w:hAnsi="宋体" w:eastAsia="宋体" w:cs="宋体"/>
          <w:color w:val="auto"/>
          <w:sz w:val="24"/>
          <w:szCs w:val="24"/>
        </w:rPr>
      </w:pPr>
      <w:bookmarkStart w:id="52" w:name="_Toc7415"/>
      <w:r>
        <w:rPr>
          <w:rFonts w:hint="eastAsia" w:ascii="宋体" w:hAnsi="宋体" w:eastAsia="宋体" w:cs="宋体"/>
          <w:color w:val="auto"/>
          <w:sz w:val="24"/>
          <w:szCs w:val="24"/>
        </w:rPr>
        <w:t xml:space="preserve">【附录1】 </w:t>
      </w:r>
      <w:r>
        <w:rPr>
          <w:rFonts w:hint="eastAsia" w:ascii="宋体" w:hAnsi="宋体" w:eastAsia="宋体" w:cs="宋体"/>
          <w:b/>
          <w:bCs/>
          <w:color w:val="auto"/>
          <w:sz w:val="24"/>
          <w:szCs w:val="24"/>
        </w:rPr>
        <w:t>OAuth 2.0 认证</w:t>
      </w:r>
      <w:bookmarkEnd w:id="52"/>
      <w:r>
        <w:rPr>
          <w:rFonts w:hint="eastAsia" w:ascii="宋体" w:hAnsi="宋体" w:eastAsia="宋体" w:cs="宋体"/>
          <w:color w:val="auto"/>
          <w:sz w:val="24"/>
          <w:szCs w:val="24"/>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此接口协议约定采用 OAuth2.0 的客户端模式，第一次初始令牌环通过线下方式获得，网关设备向省平台发起获取令牌环申请，申请时带上网关设备编号的BASE64 值、用户名、初始令牌环，平台返回新令牌环，网关和省平台在接口通讯过程中，需携带此令牌环，当此令牌环失效后，网关设备需向平台重新发起令牌环刷新指令，获取新的有效令牌环。遵循“谁开发接口，谁分配平台编号”的原则。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令牌获取的接口和访问形式：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https://[ip:port]/service/video.TokenInfo?deviceCode=xxx&amp;user=xxx&amp;token=xxxx，方括号内为可变参数。 </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HTTP头参数要求：需指定Content-Type值为aplication/json，接口请求方式：GET。</w: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数字签名sign生成方法为：使用平台分配的私钥对 deviceCode=deviceCode&amp;user=user&amp;token=token进行国密 SM2 算法加密得到，私钥为线下发放。 </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outlineLvl w:val="0"/>
        <w:rPr>
          <w:rFonts w:hint="eastAsia" w:ascii="宋体" w:hAnsi="宋体" w:eastAsia="宋体" w:cs="宋体"/>
          <w:color w:val="auto"/>
          <w:sz w:val="24"/>
          <w:szCs w:val="24"/>
        </w:rPr>
      </w:pPr>
      <w:bookmarkStart w:id="53" w:name="_Toc12432"/>
      <w:r>
        <w:rPr>
          <w:rFonts w:hint="eastAsia" w:ascii="宋体" w:hAnsi="宋体" w:eastAsia="宋体" w:cs="宋体"/>
          <w:color w:val="auto"/>
          <w:sz w:val="24"/>
          <w:szCs w:val="24"/>
        </w:rPr>
        <w:t>【附录2】省平台验证对接环境地址</w:t>
      </w:r>
      <w:bookmarkEnd w:id="53"/>
      <w:r>
        <w:rPr>
          <w:rFonts w:hint="eastAsia" w:ascii="宋体" w:hAnsi="宋体" w:eastAsia="宋体" w:cs="宋体"/>
          <w:color w:val="auto"/>
          <w:sz w:val="24"/>
          <w:szCs w:val="24"/>
        </w:rPr>
        <w:t xml:space="preserve"> </w:t>
      </w:r>
    </w:p>
    <w:p>
      <w:pPr>
        <w:pStyle w:val="82"/>
        <w:pageBreakBefore w:val="0"/>
        <w:widowControl w:val="0"/>
        <w:kinsoku/>
        <w:wordWrap/>
        <w:overflowPunct/>
        <w:topLinePunct w:val="0"/>
        <w:autoSpaceDE/>
        <w:autoSpaceDN/>
        <w:bidi w:val="0"/>
        <w:adjustRightInd/>
        <w:snapToGrid/>
        <w:spacing w:beforeAutospacing="0" w:after="0" w:afterAutospacing="0"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教育网：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"http://10.145.114.153" </w:instrText>
      </w:r>
      <w:r>
        <w:rPr>
          <w:rFonts w:hint="eastAsia" w:ascii="宋体" w:hAnsi="宋体" w:eastAsia="宋体" w:cs="宋体"/>
          <w:color w:val="auto"/>
          <w:sz w:val="24"/>
          <w:szCs w:val="24"/>
        </w:rPr>
        <w:fldChar w:fldCharType="separate"/>
      </w:r>
      <w:r>
        <w:rPr>
          <w:rStyle w:val="28"/>
          <w:rFonts w:hint="eastAsia" w:ascii="宋体" w:hAnsi="宋体" w:eastAsia="宋体" w:cs="宋体"/>
          <w:color w:val="auto"/>
          <w:sz w:val="24"/>
          <w:szCs w:val="24"/>
        </w:rPr>
        <w:t>http://10.145.114.153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，流端口地址9501。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政务外网：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"http://223.4.77.125" </w:instrText>
      </w:r>
      <w:r>
        <w:rPr>
          <w:rFonts w:hint="eastAsia" w:ascii="宋体" w:hAnsi="宋体" w:eastAsia="宋体" w:cs="宋体"/>
          <w:color w:val="auto"/>
          <w:sz w:val="24"/>
          <w:szCs w:val="24"/>
        </w:rPr>
        <w:fldChar w:fldCharType="separate"/>
      </w:r>
      <w:r>
        <w:rPr>
          <w:rStyle w:val="28"/>
          <w:rFonts w:hint="eastAsia" w:ascii="宋体" w:hAnsi="宋体" w:eastAsia="宋体" w:cs="宋体"/>
          <w:color w:val="auto"/>
          <w:sz w:val="24"/>
          <w:szCs w:val="24"/>
        </w:rPr>
        <w:t>http://223.4.77.125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，流端口地址9501。</w:t>
      </w:r>
    </w:p>
    <w:p>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pPr>
        <w:numPr>
          <w:ilvl w:val="0"/>
          <w:numId w:val="6"/>
        </w:numPr>
        <w:spacing w:line="360" w:lineRule="auto"/>
        <w:jc w:val="center"/>
        <w:outlineLvl w:val="0"/>
        <w:rPr>
          <w:rFonts w:asciiTheme="minorEastAsia" w:hAnsiTheme="minorEastAsia" w:eastAsiaTheme="minorEastAsia"/>
          <w:b/>
          <w:sz w:val="36"/>
          <w:szCs w:val="36"/>
          <w:highlight w:val="none"/>
        </w:rPr>
      </w:pPr>
      <w:bookmarkStart w:id="54" w:name="_Toc13430"/>
      <w:r>
        <w:rPr>
          <w:rFonts w:hint="eastAsia" w:asciiTheme="minorEastAsia" w:hAnsiTheme="minorEastAsia" w:eastAsiaTheme="minorEastAsia"/>
          <w:b/>
          <w:sz w:val="36"/>
          <w:szCs w:val="36"/>
          <w:highlight w:val="none"/>
        </w:rPr>
        <w:t>评标</w:t>
      </w:r>
      <w:bookmarkEnd w:id="54"/>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一、评标原则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二、评标方法</w:t>
      </w:r>
    </w:p>
    <w:p>
      <w:pPr>
        <w:spacing w:line="360" w:lineRule="auto"/>
        <w:ind w:firstLine="480" w:firstLineChars="200"/>
        <w:rPr>
          <w:highlight w:val="none"/>
        </w:rPr>
      </w:pPr>
      <w:r>
        <w:rPr>
          <w:rFonts w:hint="eastAsia" w:ascii="宋体" w:hAnsi="宋体" w:cs="宋体"/>
          <w:sz w:val="24"/>
          <w:highlight w:val="none"/>
        </w:rPr>
        <w:t>最低评标价法，是指投标文件满足招标文件全部实质性要求，且</w:t>
      </w:r>
      <w:r>
        <w:rPr>
          <w:rFonts w:hint="eastAsia" w:ascii="宋体" w:hAnsi="宋体" w:cs="宋体"/>
          <w:sz w:val="24"/>
          <w:highlight w:val="none"/>
          <w:lang w:val="en-US" w:eastAsia="zh-CN"/>
        </w:rPr>
        <w:t>投标报价最低</w:t>
      </w:r>
      <w:r>
        <w:rPr>
          <w:rFonts w:hint="eastAsia" w:ascii="宋体" w:hAnsi="宋体" w:cs="宋体"/>
          <w:sz w:val="24"/>
          <w:highlight w:val="none"/>
        </w:rPr>
        <w:t>的投标人为中标候选人的评标方法。</w:t>
      </w:r>
    </w:p>
    <w:p>
      <w:pPr>
        <w:pStyle w:val="24"/>
        <w:spacing w:after="0" w:line="360" w:lineRule="auto"/>
        <w:ind w:left="0" w:leftChars="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三、评标委员会</w:t>
      </w:r>
    </w:p>
    <w:p>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（一）本项目评标委员会由采购人代表和评审专家组成。</w:t>
      </w:r>
    </w:p>
    <w:p>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1.参加采购活动前3年内与供应商存在劳动关系；</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2.参加采购活动前3年内担任供应商的董事、监事；</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6.法律法规规定的其他情形。</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2.要求投标人对投标文件有关事项作出澄清或者说明；</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3.对投标文件进行比较和评价；</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pPr>
        <w:pStyle w:val="21"/>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四、无效标情形</w:t>
      </w:r>
    </w:p>
    <w:p>
      <w:pPr>
        <w:pStyle w:val="21"/>
        <w:numPr>
          <w:ilvl w:val="0"/>
          <w:numId w:val="14"/>
        </w:numPr>
        <w:tabs>
          <w:tab w:val="left" w:pos="7380"/>
        </w:tabs>
        <w:adjustRightInd w:val="0"/>
        <w:snapToGrid w:val="0"/>
        <w:spacing w:before="0" w:beforeAutospacing="0" w:after="0" w:afterAutospacing="0" w:line="360" w:lineRule="auto"/>
        <w:ind w:left="0" w:leftChars="0" w:firstLine="420" w:firstLineChars="0"/>
        <w:jc w:val="both"/>
        <w:rPr>
          <w:rFonts w:hint="default" w:asciiTheme="minorEastAsia" w:hAnsiTheme="minorEastAsia" w:eastAsiaTheme="minorEastAsia"/>
          <w:highlight w:val="none"/>
        </w:rPr>
      </w:pPr>
      <w:r>
        <w:rPr>
          <w:rFonts w:asciiTheme="minorEastAsia" w:hAnsiTheme="minorEastAsia" w:eastAsiaTheme="minorEastAsia"/>
          <w:highlight w:val="none"/>
        </w:rPr>
        <w:t>不具备招标文件中规定的资格要求的；</w:t>
      </w:r>
      <w:r>
        <w:rPr>
          <w:rFonts w:hint="default" w:asciiTheme="minorEastAsia" w:hAnsiTheme="minorEastAsia" w:eastAsiaTheme="minorEastAsia"/>
          <w:highlight w:val="none"/>
        </w:rPr>
        <w:tab/>
      </w:r>
    </w:p>
    <w:p>
      <w:pPr>
        <w:pStyle w:val="21"/>
        <w:numPr>
          <w:ilvl w:val="0"/>
          <w:numId w:val="14"/>
        </w:numPr>
        <w:adjustRightInd w:val="0"/>
        <w:snapToGrid w:val="0"/>
        <w:spacing w:before="0" w:beforeAutospacing="0" w:after="0" w:afterAutospacing="0" w:line="360" w:lineRule="auto"/>
        <w:ind w:left="0" w:leftChars="0" w:firstLine="420" w:firstLineChars="0"/>
        <w:jc w:val="both"/>
        <w:rPr>
          <w:rFonts w:hint="default" w:asciiTheme="minorEastAsia" w:hAnsiTheme="minorEastAsia" w:eastAsiaTheme="minorEastAsia"/>
          <w:highlight w:val="none"/>
        </w:rPr>
      </w:pPr>
      <w:r>
        <w:rPr>
          <w:rFonts w:asciiTheme="minorEastAsia" w:hAnsiTheme="minorEastAsia" w:eastAsiaTheme="minorEastAsia"/>
          <w:highlight w:val="none"/>
        </w:rPr>
        <w:t>投标文件含有采购人不能接受的附加条件的；</w:t>
      </w:r>
    </w:p>
    <w:p>
      <w:pPr>
        <w:pStyle w:val="9"/>
        <w:numPr>
          <w:ilvl w:val="0"/>
          <w:numId w:val="14"/>
        </w:numPr>
        <w:spacing w:line="360" w:lineRule="auto"/>
        <w:ind w:left="0" w:leftChars="0" w:firstLine="420" w:firstLineChars="0"/>
        <w:jc w:val="both"/>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1"/>
        <w:numPr>
          <w:ilvl w:val="0"/>
          <w:numId w:val="14"/>
        </w:numPr>
        <w:adjustRightInd w:val="0"/>
        <w:snapToGrid w:val="0"/>
        <w:spacing w:before="0" w:beforeAutospacing="0" w:after="0" w:afterAutospacing="0" w:line="360" w:lineRule="auto"/>
        <w:ind w:left="0" w:leftChars="0" w:firstLine="420" w:firstLineChars="0"/>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报价超过招标文件中规定的预算金额或未填写投标报价的； </w:t>
      </w:r>
    </w:p>
    <w:p>
      <w:pPr>
        <w:numPr>
          <w:ilvl w:val="0"/>
          <w:numId w:val="14"/>
        </w:numPr>
        <w:tabs>
          <w:tab w:val="left" w:pos="1898"/>
        </w:tabs>
        <w:autoSpaceDE w:val="0"/>
        <w:autoSpaceDN w:val="0"/>
        <w:adjustRightInd w:val="0"/>
        <w:snapToGrid w:val="0"/>
        <w:spacing w:line="360" w:lineRule="auto"/>
        <w:ind w:left="0" w:leftChars="0" w:firstLine="420" w:firstLineChars="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投标文件存在虚假材料的； </w:t>
      </w:r>
    </w:p>
    <w:p>
      <w:pPr>
        <w:numPr>
          <w:ilvl w:val="0"/>
          <w:numId w:val="14"/>
        </w:numPr>
        <w:tabs>
          <w:tab w:val="left" w:pos="1898"/>
        </w:tabs>
        <w:autoSpaceDE w:val="0"/>
        <w:autoSpaceDN w:val="0"/>
        <w:adjustRightInd w:val="0"/>
        <w:snapToGrid w:val="0"/>
        <w:spacing w:line="360" w:lineRule="auto"/>
        <w:ind w:left="0" w:leftChars="0" w:firstLine="420" w:firstLineChars="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有</w:t>
      </w:r>
      <w:r>
        <w:rPr>
          <w:rFonts w:asciiTheme="minorEastAsia" w:hAnsiTheme="minorEastAsia" w:eastAsiaTheme="minorEastAsia"/>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不同投标人的投标文件由同一单位或者个人编制；</w:t>
      </w:r>
    </w:p>
    <w:p>
      <w:pPr>
        <w:pStyle w:val="2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2.不同投标人委托同一单位或者个人办理投标事宜；</w:t>
      </w:r>
    </w:p>
    <w:p>
      <w:pPr>
        <w:pStyle w:val="2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3.不同投标人的投标文件载明的项目管理成员或者联系人员为同一人；</w:t>
      </w:r>
    </w:p>
    <w:p>
      <w:pPr>
        <w:pStyle w:val="2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4.不同投标人的投标文件异常一致或者投标报价呈规律性差异；</w:t>
      </w:r>
    </w:p>
    <w:p>
      <w:pPr>
        <w:pStyle w:val="21"/>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5.不同投标人的投标文件相互混装。</w:t>
      </w:r>
    </w:p>
    <w:p>
      <w:pPr>
        <w:pStyle w:val="21"/>
        <w:numPr>
          <w:ilvl w:val="0"/>
          <w:numId w:val="14"/>
        </w:numPr>
        <w:spacing w:before="0" w:beforeAutospacing="0" w:after="0" w:afterAutospacing="0" w:line="360" w:lineRule="auto"/>
        <w:ind w:left="0" w:leftChars="0" w:firstLine="420" w:firstLineChars="0"/>
        <w:jc w:val="both"/>
        <w:rPr>
          <w:rFonts w:hint="default" w:asciiTheme="minorEastAsia" w:hAnsiTheme="minorEastAsia"/>
          <w:highlight w:val="none"/>
        </w:rPr>
      </w:pPr>
      <w:r>
        <w:rPr>
          <w:rFonts w:cs="宋体"/>
          <w:highlight w:val="none"/>
        </w:rPr>
        <w:t>实质性要求（招标文件中打“▲”内容）不响应的；</w:t>
      </w:r>
    </w:p>
    <w:p>
      <w:pPr>
        <w:pStyle w:val="6"/>
        <w:numPr>
          <w:ilvl w:val="0"/>
          <w:numId w:val="14"/>
        </w:numPr>
        <w:spacing w:line="360" w:lineRule="auto"/>
        <w:ind w:left="0" w:leftChars="0" w:firstLine="420" w:firstLineChars="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投标文件有效期不足的；</w:t>
      </w:r>
    </w:p>
    <w:p>
      <w:pPr>
        <w:pStyle w:val="6"/>
        <w:numPr>
          <w:ilvl w:val="0"/>
          <w:numId w:val="14"/>
        </w:numPr>
        <w:spacing w:line="360" w:lineRule="auto"/>
        <w:ind w:left="0" w:leftChars="0" w:firstLine="420" w:firstLineChars="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逾期或未按要求提交投标文件的；</w:t>
      </w:r>
    </w:p>
    <w:p>
      <w:pPr>
        <w:pStyle w:val="6"/>
        <w:numPr>
          <w:ilvl w:val="0"/>
          <w:numId w:val="14"/>
        </w:numPr>
        <w:spacing w:line="360" w:lineRule="auto"/>
        <w:ind w:left="0" w:leftChars="0" w:firstLine="420" w:firstLineChars="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两家或两家以上投标单位上传投标文件的ip地址（或工程清单锁地址）相同，视为串标行为，取消评标资格。</w:t>
      </w:r>
    </w:p>
    <w:p>
      <w:pPr>
        <w:pStyle w:val="6"/>
        <w:numPr>
          <w:ilvl w:val="0"/>
          <w:numId w:val="14"/>
        </w:numPr>
        <w:spacing w:line="360" w:lineRule="auto"/>
        <w:ind w:left="0" w:leftChars="0" w:firstLine="420" w:firstLineChars="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被拒绝的投标文件为无效</w:t>
      </w:r>
      <w:r>
        <w:rPr>
          <w:rFonts w:hint="eastAsia" w:asciiTheme="minorEastAsia" w:hAnsiTheme="minorEastAsia" w:eastAsiaTheme="minorEastAsia"/>
          <w:kern w:val="0"/>
          <w:sz w:val="24"/>
          <w:szCs w:val="24"/>
          <w:highlight w:val="none"/>
          <w:lang w:val="en-US" w:eastAsia="zh-CN"/>
        </w:rPr>
        <w:t>投标</w:t>
      </w:r>
      <w:r>
        <w:rPr>
          <w:rFonts w:hint="eastAsia" w:asciiTheme="minorEastAsia" w:hAnsiTheme="minorEastAsia" w:eastAsiaTheme="minorEastAsia"/>
          <w:kern w:val="0"/>
          <w:sz w:val="24"/>
          <w:szCs w:val="24"/>
          <w:highlight w:val="none"/>
        </w:rPr>
        <w:t>。</w:t>
      </w:r>
    </w:p>
    <w:p>
      <w:pPr>
        <w:pStyle w:val="6"/>
        <w:numPr>
          <w:ilvl w:val="0"/>
          <w:numId w:val="14"/>
        </w:numPr>
        <w:spacing w:line="360" w:lineRule="auto"/>
        <w:ind w:left="0" w:leftChars="0" w:firstLine="420" w:firstLineChars="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其他不符合法律法规相关规定的。</w:t>
      </w:r>
    </w:p>
    <w:p>
      <w:pPr>
        <w:autoSpaceDE w:val="0"/>
        <w:autoSpaceDN w:val="0"/>
        <w:adjustRightIn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五、废标情形</w:t>
      </w:r>
    </w:p>
    <w:p>
      <w:pPr>
        <w:pStyle w:val="21"/>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（一）</w:t>
      </w:r>
      <w:r>
        <w:rPr>
          <w:rFonts w:cs="宋体"/>
          <w:highlight w:val="none"/>
        </w:rPr>
        <w:t>出现影响采购公正的违法、违规行为的；</w:t>
      </w:r>
    </w:p>
    <w:p>
      <w:pPr>
        <w:pStyle w:val="21"/>
        <w:spacing w:before="0" w:beforeAutospacing="0" w:after="0" w:afterAutospacing="0" w:line="360" w:lineRule="auto"/>
        <w:ind w:firstLine="480" w:firstLineChars="200"/>
        <w:jc w:val="both"/>
        <w:rPr>
          <w:rFonts w:hint="default" w:cs="宋体"/>
          <w:b/>
          <w:bCs/>
          <w:highlight w:val="none"/>
        </w:rPr>
      </w:pPr>
      <w:r>
        <w:rPr>
          <w:rFonts w:asciiTheme="minorEastAsia" w:hAnsiTheme="minorEastAsia" w:eastAsiaTheme="minorEastAsia"/>
          <w:highlight w:val="none"/>
        </w:rPr>
        <w:t>（二）</w:t>
      </w:r>
      <w:r>
        <w:rPr>
          <w:rFonts w:cs="宋体"/>
          <w:highlight w:val="none"/>
        </w:rPr>
        <w:t>评标委员会发现招标文件存在歧义、重大缺陷导致评标工作无法进行，或者招标文件内容违反国家有关强制性规定的；</w:t>
      </w:r>
    </w:p>
    <w:p>
      <w:pPr>
        <w:pStyle w:val="21"/>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（三）</w:t>
      </w:r>
      <w:r>
        <w:rPr>
          <w:rFonts w:cs="宋体"/>
          <w:highlight w:val="none"/>
        </w:rPr>
        <w:t>因重大变故，采购任务取消的；</w:t>
      </w:r>
    </w:p>
    <w:p>
      <w:pPr>
        <w:pStyle w:val="21"/>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（四）</w:t>
      </w:r>
      <w:r>
        <w:rPr>
          <w:rFonts w:cs="宋体"/>
          <w:highlight w:val="none"/>
        </w:rPr>
        <w:t>法律、法规和招标文件规定的其他导致评标结果无效的。</w:t>
      </w:r>
    </w:p>
    <w:p>
      <w:pPr>
        <w:autoSpaceDE w:val="0"/>
        <w:autoSpaceDN w:val="0"/>
        <w:adjustRightIn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六、投标人有下列情形之一的，投标保证金将不予退还</w:t>
      </w:r>
    </w:p>
    <w:p>
      <w:pPr>
        <w:snapToGrid w:val="0"/>
        <w:spacing w:line="400" w:lineRule="exact"/>
        <w:ind w:firstLine="470" w:firstLineChars="196"/>
        <w:jc w:val="left"/>
        <w:rPr>
          <w:rFonts w:ascii="宋体" w:hAnsi="宋体"/>
          <w:sz w:val="24"/>
          <w:highlight w:val="none"/>
        </w:rPr>
      </w:pPr>
      <w:r>
        <w:rPr>
          <w:rFonts w:hint="eastAsia" w:ascii="宋体" w:hAnsi="宋体"/>
          <w:sz w:val="24"/>
          <w:highlight w:val="none"/>
        </w:rPr>
        <w:t>（一）投标人在投标有效期内撤回投标文件的；</w:t>
      </w:r>
    </w:p>
    <w:p>
      <w:pPr>
        <w:snapToGrid w:val="0"/>
        <w:spacing w:line="400" w:lineRule="exact"/>
        <w:ind w:firstLine="470" w:firstLineChars="196"/>
        <w:jc w:val="left"/>
        <w:rPr>
          <w:rFonts w:ascii="宋体" w:hAnsi="宋体"/>
          <w:sz w:val="24"/>
          <w:highlight w:val="none"/>
        </w:rPr>
      </w:pPr>
      <w:r>
        <w:rPr>
          <w:rFonts w:hint="eastAsia" w:ascii="宋体" w:hAnsi="宋体"/>
          <w:sz w:val="24"/>
          <w:highlight w:val="none"/>
        </w:rPr>
        <w:t>（二）未按规定提交履约保证金的；</w:t>
      </w:r>
    </w:p>
    <w:p>
      <w:pPr>
        <w:snapToGrid w:val="0"/>
        <w:spacing w:line="400" w:lineRule="exact"/>
        <w:ind w:firstLine="470" w:firstLineChars="196"/>
        <w:jc w:val="left"/>
        <w:rPr>
          <w:rFonts w:ascii="宋体" w:hAnsi="宋体"/>
          <w:sz w:val="24"/>
          <w:highlight w:val="none"/>
        </w:rPr>
      </w:pPr>
      <w:r>
        <w:rPr>
          <w:rFonts w:hint="eastAsia" w:ascii="宋体" w:hAnsi="宋体"/>
          <w:sz w:val="24"/>
          <w:highlight w:val="none"/>
        </w:rPr>
        <w:t>（三）投标人在投标过程中弄虚作假，提供虚假材料的；</w:t>
      </w:r>
    </w:p>
    <w:p>
      <w:pPr>
        <w:snapToGrid w:val="0"/>
        <w:spacing w:line="400" w:lineRule="exact"/>
        <w:ind w:firstLine="470" w:firstLineChars="196"/>
        <w:rPr>
          <w:rFonts w:ascii="宋体" w:hAnsi="宋体"/>
          <w:sz w:val="24"/>
          <w:highlight w:val="none"/>
        </w:rPr>
      </w:pPr>
      <w:r>
        <w:rPr>
          <w:rFonts w:hint="eastAsia" w:ascii="宋体" w:hAnsi="宋体"/>
          <w:sz w:val="24"/>
          <w:highlight w:val="none"/>
        </w:rPr>
        <w:t>（四）中标人无正当理由不与采购</w:t>
      </w:r>
      <w:r>
        <w:rPr>
          <w:rFonts w:hint="eastAsia" w:ascii="宋体" w:hAnsi="宋体"/>
          <w:sz w:val="24"/>
          <w:highlight w:val="none"/>
          <w:lang w:val="en-US" w:eastAsia="zh-CN"/>
        </w:rPr>
        <w:t>人</w:t>
      </w:r>
      <w:r>
        <w:rPr>
          <w:rFonts w:hint="eastAsia" w:ascii="宋体" w:hAnsi="宋体"/>
          <w:sz w:val="24"/>
          <w:highlight w:val="none"/>
        </w:rPr>
        <w:t>签订合同的；</w:t>
      </w:r>
    </w:p>
    <w:p>
      <w:pPr>
        <w:snapToGrid w:val="0"/>
        <w:spacing w:line="400" w:lineRule="exact"/>
        <w:ind w:firstLine="470" w:firstLineChars="196"/>
        <w:rPr>
          <w:rFonts w:ascii="宋体" w:hAnsi="宋体"/>
          <w:sz w:val="24"/>
          <w:highlight w:val="none"/>
        </w:rPr>
      </w:pPr>
      <w:r>
        <w:rPr>
          <w:rFonts w:hint="eastAsia" w:ascii="宋体" w:hAnsi="宋体"/>
          <w:sz w:val="24"/>
          <w:highlight w:val="none"/>
        </w:rPr>
        <w:t>（五）</w:t>
      </w:r>
      <w:r>
        <w:rPr>
          <w:rFonts w:hint="eastAsia" w:ascii="宋体" w:hAnsi="宋体"/>
          <w:bCs/>
          <w:sz w:val="24"/>
          <w:highlight w:val="none"/>
        </w:rPr>
        <w:t>将中标项目转让给他人或者将中标项目分包给他人的；</w:t>
      </w:r>
    </w:p>
    <w:p>
      <w:pPr>
        <w:snapToGrid w:val="0"/>
        <w:spacing w:line="400" w:lineRule="exact"/>
        <w:ind w:firstLine="480" w:firstLineChars="200"/>
        <w:rPr>
          <w:rFonts w:hint="eastAsia" w:ascii="宋体" w:hAnsi="宋体" w:eastAsia="宋体"/>
          <w:sz w:val="24"/>
          <w:highlight w:val="none"/>
          <w:lang w:eastAsia="zh-CN"/>
        </w:rPr>
      </w:pPr>
      <w:r>
        <w:rPr>
          <w:rFonts w:hint="eastAsia" w:ascii="宋体" w:hAnsi="宋体"/>
          <w:sz w:val="24"/>
          <w:highlight w:val="none"/>
        </w:rPr>
        <w:t>（六）拒绝履行合同义务的</w:t>
      </w:r>
      <w:r>
        <w:rPr>
          <w:rFonts w:hint="eastAsia" w:ascii="宋体" w:hAnsi="宋体"/>
          <w:sz w:val="24"/>
          <w:highlight w:val="none"/>
          <w:lang w:eastAsia="zh-CN"/>
        </w:rPr>
        <w:t>。</w:t>
      </w:r>
    </w:p>
    <w:p>
      <w:pPr>
        <w:autoSpaceDE w:val="0"/>
        <w:autoSpaceDN w:val="0"/>
        <w:adjustRightIn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七、评标过程的监控</w:t>
      </w:r>
    </w:p>
    <w:p>
      <w:pPr>
        <w:pStyle w:val="21"/>
        <w:spacing w:before="0" w:beforeAutospacing="0" w:after="0" w:afterAutospacing="0" w:line="360" w:lineRule="auto"/>
        <w:ind w:firstLine="480" w:firstLineChars="200"/>
        <w:jc w:val="both"/>
        <w:rPr>
          <w:rFonts w:hint="default"/>
          <w:highlight w:val="none"/>
        </w:rPr>
      </w:pPr>
      <w:r>
        <w:rPr>
          <w:highlight w:val="none"/>
        </w:rPr>
        <w:t>本项目评标过程实行全程录音、录像监控，投标人在评标过程中所进行的试图影响评标结果的不公正活动，可能导致其投标被拒绝。</w:t>
      </w:r>
    </w:p>
    <w:p>
      <w:pPr>
        <w:pStyle w:val="7"/>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八、</w:t>
      </w:r>
      <w:r>
        <w:rPr>
          <w:rFonts w:asciiTheme="minorEastAsia" w:hAnsiTheme="minorEastAsia" w:eastAsiaTheme="minorEastAsia"/>
          <w:b/>
          <w:bCs/>
          <w:sz w:val="24"/>
          <w:highlight w:val="none"/>
        </w:rPr>
        <w:t>评标程序</w:t>
      </w:r>
    </w:p>
    <w:p>
      <w:pPr>
        <w:snapToGrid w:val="0"/>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（一）资格</w:t>
      </w:r>
      <w:r>
        <w:rPr>
          <w:rFonts w:asciiTheme="minorEastAsia" w:hAnsiTheme="minorEastAsia" w:eastAsiaTheme="minorEastAsia"/>
          <w:b/>
          <w:bCs/>
          <w:sz w:val="24"/>
          <w:highlight w:val="none"/>
        </w:rPr>
        <w:t>审查</w:t>
      </w:r>
    </w:p>
    <w:p>
      <w:pPr>
        <w:pStyle w:val="9"/>
        <w:spacing w:line="360" w:lineRule="auto"/>
        <w:ind w:firstLine="480" w:firstLineChars="200"/>
        <w:jc w:val="both"/>
        <w:rPr>
          <w:rFonts w:asciiTheme="minorEastAsia" w:hAnsiTheme="minorEastAsia" w:eastAsiaTheme="minorEastAsia"/>
          <w:sz w:val="24"/>
          <w:highlight w:val="none"/>
        </w:rPr>
      </w:pPr>
      <w:r>
        <w:rPr>
          <w:rFonts w:hint="eastAsia" w:ascii="宋体" w:hAnsi="宋体" w:cs="宋体"/>
          <w:sz w:val="24"/>
          <w:highlight w:val="none"/>
        </w:rPr>
        <w:t>投标文件解密后</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评审委员会</w:t>
      </w:r>
      <w:r>
        <w:rPr>
          <w:rFonts w:asciiTheme="minorEastAsia" w:hAnsiTheme="minorEastAsia" w:eastAsiaTheme="minorEastAsia"/>
          <w:sz w:val="24"/>
          <w:highlight w:val="none"/>
        </w:rPr>
        <w:t>依法对投标人的资格进行审查，对审查发现无效的进行必要的</w:t>
      </w:r>
      <w:r>
        <w:rPr>
          <w:rFonts w:hint="eastAsia" w:ascii="宋体" w:hAnsi="宋体" w:cs="宋体"/>
          <w:sz w:val="24"/>
          <w:highlight w:val="none"/>
        </w:rPr>
        <w:t>询问</w:t>
      </w:r>
      <w:r>
        <w:rPr>
          <w:rFonts w:asciiTheme="minorEastAsia" w:hAnsiTheme="minorEastAsia" w:eastAsiaTheme="minorEastAsia"/>
          <w:sz w:val="24"/>
          <w:highlight w:val="none"/>
        </w:rPr>
        <w:t>，</w:t>
      </w:r>
      <w:r>
        <w:rPr>
          <w:rFonts w:hint="eastAsia"/>
          <w:sz w:val="24"/>
          <w:highlight w:val="none"/>
        </w:rPr>
        <w:t>在</w:t>
      </w:r>
      <w:r>
        <w:rPr>
          <w:rFonts w:hint="eastAsia" w:ascii="宋体" w:hAnsi="宋体" w:cs="宋体"/>
          <w:sz w:val="24"/>
          <w:highlight w:val="none"/>
        </w:rPr>
        <w:t>台州湾新区小额工程电子交易平台</w:t>
      </w:r>
      <w:r>
        <w:rPr>
          <w:rFonts w:hint="eastAsia"/>
          <w:sz w:val="24"/>
          <w:highlight w:val="none"/>
        </w:rPr>
        <w:t>公布</w:t>
      </w:r>
      <w:r>
        <w:rPr>
          <w:rFonts w:asciiTheme="minorEastAsia" w:hAnsiTheme="minorEastAsia" w:eastAsiaTheme="minorEastAsia"/>
          <w:sz w:val="24"/>
          <w:highlight w:val="none"/>
        </w:rPr>
        <w:t>无效投标的投标人名单、投标无效的原因。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szCs w:val="21"/>
                <w:highlight w:val="none"/>
              </w:rPr>
            </w:pPr>
            <w:r>
              <w:rPr>
                <w:rFonts w:hint="eastAsia"/>
                <w:szCs w:val="21"/>
                <w:highlight w:val="none"/>
              </w:rPr>
              <w:t>具有独立承担民事责任的能力</w:t>
            </w:r>
          </w:p>
        </w:tc>
        <w:tc>
          <w:tcPr>
            <w:tcW w:w="7092" w:type="dxa"/>
            <w:tcMar>
              <w:top w:w="57" w:type="dxa"/>
              <w:left w:w="108" w:type="dxa"/>
              <w:bottom w:w="0" w:type="dxa"/>
              <w:right w:w="108" w:type="dxa"/>
            </w:tcMar>
            <w:vAlign w:val="center"/>
          </w:tcPr>
          <w:p>
            <w:pPr>
              <w:pStyle w:val="54"/>
              <w:spacing w:line="300" w:lineRule="auto"/>
              <w:ind w:left="15" w:leftChars="7" w:right="-17" w:rightChars="-8" w:firstLine="403" w:firstLineChars="192"/>
              <w:rPr>
                <w:szCs w:val="21"/>
                <w:highlight w:val="none"/>
              </w:rPr>
            </w:pPr>
            <w:r>
              <w:rPr>
                <w:rFonts w:hint="eastAsia"/>
                <w:szCs w:val="21"/>
                <w:highlight w:val="none"/>
              </w:rPr>
              <w:t>在中华人民共和国境内注册的法人或其他组织或自然人，投标时提交有效的营业执照（或事业法人登记证等相关证明）扫描件。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1" w:line="300" w:lineRule="auto"/>
              <w:ind w:right="3" w:hanging="10"/>
              <w:jc w:val="center"/>
              <w:rPr>
                <w:szCs w:val="21"/>
                <w:highlight w:val="none"/>
              </w:rPr>
            </w:pPr>
            <w:r>
              <w:rPr>
                <w:rFonts w:hint="eastAsia"/>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4"/>
              <w:spacing w:line="300" w:lineRule="auto"/>
              <w:ind w:left="15" w:leftChars="7" w:right="-17" w:rightChars="-8" w:firstLine="403" w:firstLineChars="192"/>
              <w:rPr>
                <w:szCs w:val="21"/>
                <w:highlight w:val="none"/>
              </w:rPr>
            </w:pPr>
            <w:r>
              <w:rPr>
                <w:rFonts w:hint="eastAsia"/>
                <w:szCs w:val="21"/>
                <w:highlight w:val="none"/>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szCs w:val="21"/>
                <w:highlight w:val="none"/>
              </w:rPr>
            </w:pPr>
            <w:r>
              <w:rPr>
                <w:rFonts w:hint="eastAsia"/>
                <w:szCs w:val="21"/>
                <w:highlight w:val="none"/>
              </w:rPr>
              <w:t>具有良好的商业信誉和健全的财务会计制度</w:t>
            </w:r>
          </w:p>
        </w:tc>
        <w:tc>
          <w:tcPr>
            <w:tcW w:w="7092" w:type="dxa"/>
            <w:tcMar>
              <w:top w:w="57" w:type="dxa"/>
              <w:left w:w="108" w:type="dxa"/>
              <w:bottom w:w="0" w:type="dxa"/>
              <w:right w:w="108" w:type="dxa"/>
            </w:tcMar>
            <w:vAlign w:val="center"/>
          </w:tcPr>
          <w:p>
            <w:pPr>
              <w:pStyle w:val="54"/>
              <w:spacing w:before="117" w:line="300" w:lineRule="auto"/>
              <w:ind w:left="15" w:leftChars="7" w:right="-17" w:rightChars="-8" w:firstLine="403" w:firstLineChars="192"/>
              <w:rPr>
                <w:szCs w:val="21"/>
                <w:highlight w:val="none"/>
              </w:rPr>
            </w:pPr>
            <w:r>
              <w:rPr>
                <w:rFonts w:hint="eastAsia"/>
                <w:szCs w:val="21"/>
                <w:highlight w:val="none"/>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1" w:line="300" w:lineRule="auto"/>
              <w:ind w:right="3" w:hanging="10"/>
              <w:jc w:val="center"/>
              <w:rPr>
                <w:szCs w:val="21"/>
                <w:highlight w:val="none"/>
              </w:rPr>
            </w:pPr>
            <w:r>
              <w:rPr>
                <w:rFonts w:hint="eastAsia"/>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4"/>
              <w:spacing w:before="1" w:line="300" w:lineRule="auto"/>
              <w:ind w:left="15" w:leftChars="7" w:right="-17" w:rightChars="-8" w:firstLine="403" w:firstLineChars="192"/>
              <w:rPr>
                <w:szCs w:val="21"/>
                <w:highlight w:val="none"/>
              </w:rPr>
            </w:pPr>
            <w:r>
              <w:rPr>
                <w:rFonts w:hint="eastAsia"/>
                <w:szCs w:val="21"/>
                <w:highlight w:val="none"/>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szCs w:val="21"/>
                <w:highlight w:val="none"/>
              </w:rPr>
            </w:pPr>
            <w:r>
              <w:rPr>
                <w:rFonts w:hint="eastAsia"/>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szCs w:val="21"/>
                <w:highlight w:val="none"/>
              </w:rPr>
            </w:pPr>
            <w:r>
              <w:rPr>
                <w:rFonts w:hint="eastAsia"/>
                <w:szCs w:val="21"/>
                <w:highlight w:val="none"/>
              </w:rPr>
              <w:t>参照投标声明书相关承诺内容。重大违法记录，是指投标人因违法经营受到刑事处罚或者责令停产停业、吊销许可证或者执照、较大数额罚款等行政处罚。以联合体形式投标时，联合体各方均须满足该条款。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line="300" w:lineRule="auto"/>
              <w:ind w:right="3" w:hanging="10"/>
              <w:jc w:val="center"/>
              <w:rPr>
                <w:szCs w:val="21"/>
                <w:highlight w:val="none"/>
              </w:rPr>
            </w:pPr>
            <w:r>
              <w:rPr>
                <w:rFonts w:hint="eastAsia"/>
                <w:szCs w:val="21"/>
                <w:highlight w:val="none"/>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1.截止时点：开标后评标前。</w:t>
            </w:r>
          </w:p>
          <w:p>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szCs w:val="21"/>
                <w:highlight w:val="none"/>
              </w:rPr>
            </w:pPr>
            <w:r>
              <w:rPr>
                <w:rFonts w:hint="eastAsia"/>
                <w:szCs w:val="21"/>
                <w:highlight w:val="none"/>
              </w:rPr>
              <w:t>必须符合法律、行政法规规定的其他条件</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szCs w:val="21"/>
                <w:highlight w:val="none"/>
              </w:rPr>
            </w:pPr>
            <w:r>
              <w:rPr>
                <w:rFonts w:hint="eastAsia"/>
                <w:szCs w:val="21"/>
                <w:highlight w:val="none"/>
              </w:rPr>
              <w:t>1.单位负责人为同一人或者存在直接控股、管理关系的不同供应商，不得同时参加本项目投标。</w:t>
            </w:r>
          </w:p>
          <w:p>
            <w:pPr>
              <w:pStyle w:val="54"/>
              <w:spacing w:before="48" w:line="300" w:lineRule="auto"/>
              <w:ind w:left="15" w:leftChars="7" w:right="-17" w:rightChars="-8" w:firstLine="403" w:firstLineChars="192"/>
              <w:rPr>
                <w:szCs w:val="21"/>
                <w:highlight w:val="none"/>
              </w:rPr>
            </w:pPr>
            <w:r>
              <w:rPr>
                <w:rFonts w:hint="eastAsia"/>
                <w:szCs w:val="21"/>
                <w:highlight w:val="none"/>
              </w:rPr>
              <w:t>2.为本项目提供整体设计、规范编制或者项目管理、监理、检测等服务的供应商，不得再参与本项目投标。</w:t>
            </w:r>
          </w:p>
          <w:p>
            <w:pPr>
              <w:pStyle w:val="54"/>
              <w:spacing w:before="48" w:line="300" w:lineRule="auto"/>
              <w:ind w:left="15" w:leftChars="7" w:right="-17" w:rightChars="-8" w:firstLine="403" w:firstLineChars="192"/>
              <w:rPr>
                <w:szCs w:val="21"/>
                <w:highlight w:val="none"/>
              </w:rPr>
            </w:pPr>
            <w:r>
              <w:rPr>
                <w:rFonts w:hint="eastAsia"/>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48" w:line="300" w:lineRule="auto"/>
              <w:ind w:right="3" w:hanging="10"/>
              <w:jc w:val="center"/>
              <w:rPr>
                <w:szCs w:val="21"/>
                <w:highlight w:val="none"/>
              </w:rPr>
            </w:pPr>
            <w:r>
              <w:rPr>
                <w:rFonts w:hint="eastAsia"/>
                <w:szCs w:val="21"/>
                <w:highlight w:val="none"/>
              </w:rPr>
              <w:t>联合体投标</w:t>
            </w:r>
          </w:p>
        </w:tc>
        <w:tc>
          <w:tcPr>
            <w:tcW w:w="7092" w:type="dxa"/>
            <w:shd w:val="clear" w:color="auto" w:fill="F6F6F6"/>
            <w:tcMar>
              <w:top w:w="57" w:type="dxa"/>
              <w:left w:w="108" w:type="dxa"/>
              <w:bottom w:w="0" w:type="dxa"/>
              <w:right w:w="108" w:type="dxa"/>
            </w:tcMar>
            <w:vAlign w:val="center"/>
          </w:tcPr>
          <w:p>
            <w:pPr>
              <w:pStyle w:val="54"/>
              <w:spacing w:before="48" w:line="300" w:lineRule="auto"/>
              <w:ind w:left="15" w:leftChars="7" w:right="-17" w:rightChars="-8" w:firstLine="403" w:firstLineChars="192"/>
              <w:rPr>
                <w:szCs w:val="21"/>
                <w:highlight w:val="none"/>
              </w:rPr>
            </w:pPr>
            <w:r>
              <w:rPr>
                <w:rFonts w:hint="eastAsia"/>
                <w:szCs w:val="21"/>
                <w:highlight w:val="none"/>
              </w:rPr>
              <w:t>本项目不接受联合体投标。</w:t>
            </w:r>
          </w:p>
        </w:tc>
      </w:tr>
    </w:tbl>
    <w:p>
      <w:pPr>
        <w:pStyle w:val="9"/>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pPr>
        <w:pStyle w:val="9"/>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在台州湾新区小额工程电子交易平台公布无效投标的投标人名单、投标无效的原因</w:t>
      </w:r>
      <w:r>
        <w:rPr>
          <w:rFonts w:hint="eastAsia" w:asciiTheme="minorEastAsia" w:hAnsiTheme="minorEastAsia" w:eastAsiaTheme="minorEastAsia"/>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szCs w:val="21"/>
                <w:highlight w:val="none"/>
              </w:rPr>
            </w:pPr>
            <w:r>
              <w:rPr>
                <w:rFonts w:hint="eastAsia"/>
                <w:szCs w:val="21"/>
                <w:highlight w:val="none"/>
              </w:rPr>
              <w:t>“▲”实质性条款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highlight w:val="none"/>
              </w:rPr>
            </w:pPr>
            <w:r>
              <w:rPr>
                <w:rFonts w:hint="eastAsia"/>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szCs w:val="21"/>
                <w:highlight w:val="none"/>
              </w:rPr>
            </w:pPr>
            <w:r>
              <w:rPr>
                <w:rFonts w:hint="eastAsia"/>
                <w:szCs w:val="21"/>
                <w:highlight w:val="none"/>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highlight w:val="none"/>
              </w:rPr>
            </w:pPr>
            <w:r>
              <w:rPr>
                <w:rFonts w:hint="eastAsia"/>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szCs w:val="21"/>
                <w:highlight w:val="none"/>
              </w:rPr>
            </w:pPr>
            <w:r>
              <w:rPr>
                <w:rFonts w:hint="eastAsia"/>
                <w:szCs w:val="21"/>
                <w:highlight w:val="none"/>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highlight w:val="none"/>
              </w:rPr>
            </w:pPr>
            <w:r>
              <w:rPr>
                <w:rFonts w:hint="eastAsia"/>
                <w:highlight w:val="none"/>
              </w:rPr>
              <w:t>投标文件未含有采购人不可接受的附加条件。</w:t>
            </w:r>
          </w:p>
        </w:tc>
      </w:tr>
    </w:tbl>
    <w:p>
      <w:pPr>
        <w:rPr>
          <w:rFonts w:asciiTheme="minorEastAsia" w:hAnsiTheme="minorEastAsia" w:eastAsiaTheme="minorEastAsia"/>
          <w:b/>
          <w:bCs/>
          <w:highlight w:val="none"/>
        </w:rPr>
      </w:pPr>
    </w:p>
    <w:p>
      <w:pPr>
        <w:pStyle w:val="21"/>
        <w:spacing w:before="0" w:beforeAutospacing="0" w:after="0" w:afterAutospacing="0" w:line="360" w:lineRule="auto"/>
        <w:ind w:firstLine="482" w:firstLineChars="200"/>
        <w:jc w:val="both"/>
        <w:rPr>
          <w:rFonts w:hint="default" w:asciiTheme="minorEastAsia" w:hAnsiTheme="minorEastAsia" w:eastAsiaTheme="minorEastAsia"/>
          <w:highlight w:val="none"/>
        </w:rPr>
      </w:pPr>
      <w:r>
        <w:rPr>
          <w:rFonts w:asciiTheme="minorEastAsia" w:hAnsiTheme="minorEastAsia" w:eastAsiaTheme="minorEastAsia"/>
          <w:b/>
          <w:bCs/>
          <w:highlight w:val="none"/>
        </w:rPr>
        <w:t>（三）</w:t>
      </w:r>
      <w:r>
        <w:rPr>
          <w:rFonts w:hint="eastAsia" w:ascii="Arial" w:hAnsi="Arial" w:cs="Arial" w:eastAsiaTheme="minorEastAsia"/>
          <w:b/>
          <w:bCs/>
          <w:highlight w:val="none"/>
          <w:lang w:val="en-US" w:eastAsia="zh-CN"/>
        </w:rPr>
        <w:t>报价</w:t>
      </w:r>
      <w:r>
        <w:rPr>
          <w:rFonts w:ascii="Arial" w:hAnsi="Arial" w:cs="Arial" w:eastAsiaTheme="minorEastAsia"/>
          <w:b/>
          <w:bCs/>
          <w:highlight w:val="none"/>
        </w:rPr>
        <w:t>评审</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1</w:t>
      </w:r>
      <w:r>
        <w:rPr>
          <w:rFonts w:hint="eastAsia" w:ascii="宋体" w:hAnsi="宋体" w:cs="宋体"/>
          <w:b/>
          <w:bCs/>
          <w:sz w:val="24"/>
          <w:highlight w:val="none"/>
        </w:rPr>
        <w:t>）对于投标文件报价出现前后不一致的，除招标文件另有规定外，按照下列规定修正：</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②投标文件中开标一览表（报价表）内容与投标文件中相应内容不一致的，以开标一览表（报价表）为准；</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③大写金额和小写金额不一致的，以大写金额为准。</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同时出现两种以上不一致的，按照前款规定的顺序修正。修正应当采用询标的形式，并加盖公章。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highlight w:val="none"/>
        </w:rPr>
      </w:pPr>
      <w:r>
        <w:rPr>
          <w:rFonts w:hint="eastAsia" w:ascii="宋体" w:hAnsi="宋体" w:cs="宋体"/>
          <w:b/>
          <w:bCs/>
          <w:sz w:val="24"/>
          <w:highlight w:val="none"/>
        </w:rPr>
        <w:t>（四）结果汇总及排序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在全部满足采购文件实质性要求的前提下，以报价由低到高的顺序推荐2名中标候选人。如投标报价相同，则由采购人抽签确定</w:t>
      </w:r>
      <w:r>
        <w:rPr>
          <w:rFonts w:hint="eastAsia" w:ascii="宋体" w:hAnsi="宋体"/>
          <w:bCs/>
          <w:sz w:val="24"/>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（五）评标报告撰写</w:t>
      </w:r>
    </w:p>
    <w:p>
      <w:pPr>
        <w:spacing w:line="360" w:lineRule="auto"/>
        <w:ind w:firstLine="480"/>
        <w:rPr>
          <w:rFonts w:asciiTheme="minorEastAsia" w:hAnsiTheme="minorEastAsia" w:eastAsiaTheme="minorEastAsia"/>
          <w:b/>
          <w:sz w:val="36"/>
          <w:szCs w:val="36"/>
          <w:highlight w:val="none"/>
        </w:rPr>
      </w:pPr>
      <w:r>
        <w:rPr>
          <w:rFonts w:hint="eastAsia" w:ascii="宋体" w:hAnsi="宋体" w:cs="宋体"/>
          <w:sz w:val="24"/>
          <w:highlight w:val="none"/>
        </w:rPr>
        <w:t>评标委员会根据全体评标成员签字的原始评标记录和评标结果编写评标报告。</w:t>
      </w:r>
    </w:p>
    <w:p>
      <w:pPr>
        <w:pStyle w:val="11"/>
        <w:ind w:firstLine="480"/>
        <w:rPr>
          <w:highlight w:val="none"/>
        </w:rPr>
      </w:pPr>
    </w:p>
    <w:p>
      <w:pPr>
        <w:pStyle w:val="11"/>
        <w:ind w:firstLine="480"/>
        <w:rPr>
          <w:rFonts w:ascii="仿宋" w:hAnsi="仿宋" w:eastAsia="仿宋" w:cs="仿宋"/>
          <w:highlight w:val="none"/>
        </w:rPr>
      </w:pPr>
    </w:p>
    <w:p>
      <w:pPr>
        <w:spacing w:line="360" w:lineRule="auto"/>
        <w:jc w:val="center"/>
        <w:rPr>
          <w:rFonts w:ascii="仿宋" w:hAnsi="仿宋" w:eastAsia="仿宋" w:cs="仿宋"/>
          <w:b/>
          <w:sz w:val="36"/>
          <w:szCs w:val="36"/>
          <w:highlight w:val="none"/>
        </w:rPr>
      </w:pPr>
    </w:p>
    <w:p>
      <w:pPr>
        <w:spacing w:line="360" w:lineRule="auto"/>
        <w:jc w:val="center"/>
        <w:rPr>
          <w:rFonts w:ascii="仿宋" w:hAnsi="仿宋" w:eastAsia="仿宋" w:cs="仿宋"/>
          <w:b/>
          <w:sz w:val="36"/>
          <w:szCs w:val="36"/>
          <w:highlight w:val="none"/>
        </w:rPr>
      </w:pPr>
    </w:p>
    <w:p>
      <w:pPr>
        <w:spacing w:line="360" w:lineRule="auto"/>
        <w:rPr>
          <w:rFonts w:ascii="仿宋" w:hAnsi="仿宋" w:eastAsia="仿宋" w:cs="仿宋"/>
          <w:b/>
          <w:sz w:val="36"/>
          <w:szCs w:val="36"/>
          <w:highlight w:val="none"/>
        </w:rPr>
      </w:pPr>
    </w:p>
    <w:p>
      <w:pPr>
        <w:pStyle w:val="10"/>
        <w:rPr>
          <w:rFonts w:ascii="仿宋" w:hAnsi="仿宋" w:eastAsia="仿宋" w:cs="仿宋"/>
          <w:b/>
          <w:sz w:val="36"/>
          <w:szCs w:val="36"/>
          <w:highlight w:val="none"/>
        </w:rPr>
      </w:pPr>
    </w:p>
    <w:p>
      <w:pPr>
        <w:pStyle w:val="11"/>
        <w:ind w:firstLine="723"/>
        <w:rPr>
          <w:rFonts w:ascii="仿宋" w:hAnsi="仿宋" w:eastAsia="仿宋" w:cs="仿宋"/>
          <w:b/>
          <w:sz w:val="36"/>
          <w:szCs w:val="36"/>
          <w:highlight w:val="none"/>
        </w:rPr>
      </w:pPr>
    </w:p>
    <w:p>
      <w:pPr>
        <w:pStyle w:val="19"/>
        <w:rPr>
          <w:rFonts w:ascii="仿宋" w:hAnsi="仿宋" w:eastAsia="仿宋" w:cs="仿宋"/>
          <w:b/>
          <w:sz w:val="36"/>
          <w:szCs w:val="36"/>
          <w:highlight w:val="none"/>
        </w:rPr>
      </w:pPr>
    </w:p>
    <w:p>
      <w:pPr>
        <w:rPr>
          <w:rFonts w:ascii="仿宋" w:hAnsi="仿宋" w:eastAsia="仿宋" w:cs="仿宋"/>
          <w:b/>
          <w:sz w:val="36"/>
          <w:szCs w:val="36"/>
          <w:highlight w:val="none"/>
        </w:rPr>
      </w:pPr>
    </w:p>
    <w:p>
      <w:pPr>
        <w:pStyle w:val="10"/>
        <w:rPr>
          <w:rFonts w:ascii="仿宋" w:hAnsi="仿宋" w:eastAsia="仿宋" w:cs="仿宋"/>
          <w:b/>
          <w:sz w:val="36"/>
          <w:szCs w:val="36"/>
          <w:highlight w:val="none"/>
        </w:rPr>
      </w:pPr>
    </w:p>
    <w:p>
      <w:pPr>
        <w:pStyle w:val="11"/>
        <w:ind w:firstLine="723"/>
        <w:rPr>
          <w:rFonts w:ascii="仿宋" w:hAnsi="仿宋" w:eastAsia="仿宋" w:cs="仿宋"/>
          <w:b/>
          <w:sz w:val="36"/>
          <w:szCs w:val="36"/>
          <w:highlight w:val="none"/>
        </w:rPr>
      </w:pPr>
    </w:p>
    <w:p>
      <w:pPr>
        <w:pStyle w:val="19"/>
        <w:rPr>
          <w:rFonts w:ascii="仿宋" w:hAnsi="仿宋" w:eastAsia="仿宋" w:cs="仿宋"/>
          <w:b/>
          <w:sz w:val="36"/>
          <w:szCs w:val="36"/>
          <w:highlight w:val="none"/>
        </w:rPr>
      </w:pPr>
    </w:p>
    <w:p>
      <w:pPr>
        <w:rPr>
          <w:rFonts w:ascii="仿宋" w:hAnsi="仿宋" w:eastAsia="仿宋" w:cs="仿宋"/>
          <w:b/>
          <w:sz w:val="36"/>
          <w:szCs w:val="36"/>
          <w:highlight w:val="none"/>
        </w:rPr>
      </w:pPr>
    </w:p>
    <w:p>
      <w:pPr>
        <w:pStyle w:val="10"/>
        <w:rPr>
          <w:rFonts w:ascii="仿宋" w:hAnsi="仿宋" w:eastAsia="仿宋" w:cs="仿宋"/>
          <w:b/>
          <w:sz w:val="36"/>
          <w:szCs w:val="36"/>
          <w:highlight w:val="none"/>
        </w:rPr>
      </w:pPr>
    </w:p>
    <w:p>
      <w:pPr>
        <w:pStyle w:val="11"/>
        <w:ind w:firstLine="723"/>
        <w:rPr>
          <w:rFonts w:ascii="仿宋" w:hAnsi="仿宋" w:eastAsia="仿宋" w:cs="仿宋"/>
          <w:b/>
          <w:sz w:val="36"/>
          <w:szCs w:val="36"/>
          <w:highlight w:val="none"/>
        </w:rPr>
      </w:pPr>
    </w:p>
    <w:p>
      <w:pPr>
        <w:pStyle w:val="19"/>
        <w:rPr>
          <w:rFonts w:ascii="仿宋" w:hAnsi="仿宋" w:eastAsia="仿宋" w:cs="仿宋"/>
          <w:b/>
          <w:sz w:val="36"/>
          <w:szCs w:val="36"/>
          <w:highlight w:val="none"/>
        </w:rPr>
      </w:pPr>
    </w:p>
    <w:p>
      <w:pPr>
        <w:rPr>
          <w:rFonts w:ascii="仿宋" w:hAnsi="仿宋" w:eastAsia="仿宋" w:cs="仿宋"/>
          <w:b/>
          <w:sz w:val="36"/>
          <w:szCs w:val="36"/>
          <w:highlight w:val="none"/>
        </w:rPr>
      </w:pPr>
    </w:p>
    <w:p>
      <w:pPr>
        <w:pStyle w:val="10"/>
        <w:rPr>
          <w:rFonts w:ascii="仿宋" w:hAnsi="仿宋" w:eastAsia="仿宋" w:cs="仿宋"/>
          <w:b/>
          <w:sz w:val="36"/>
          <w:szCs w:val="36"/>
          <w:highlight w:val="none"/>
        </w:rPr>
      </w:pPr>
    </w:p>
    <w:p>
      <w:pPr>
        <w:pStyle w:val="11"/>
        <w:ind w:firstLine="723"/>
        <w:rPr>
          <w:rFonts w:ascii="仿宋" w:hAnsi="仿宋" w:eastAsia="仿宋" w:cs="仿宋"/>
          <w:b/>
          <w:sz w:val="36"/>
          <w:szCs w:val="36"/>
          <w:highlight w:val="none"/>
        </w:rPr>
      </w:pPr>
    </w:p>
    <w:p>
      <w:pPr>
        <w:pStyle w:val="19"/>
        <w:rPr>
          <w:rFonts w:ascii="仿宋" w:hAnsi="仿宋" w:eastAsia="仿宋" w:cs="仿宋"/>
          <w:b/>
          <w:sz w:val="36"/>
          <w:szCs w:val="36"/>
          <w:highlight w:val="none"/>
        </w:rPr>
      </w:pPr>
    </w:p>
    <w:p>
      <w:pPr>
        <w:rPr>
          <w:rFonts w:ascii="仿宋" w:hAnsi="仿宋" w:eastAsia="仿宋" w:cs="仿宋"/>
          <w:b/>
          <w:sz w:val="36"/>
          <w:szCs w:val="36"/>
          <w:highlight w:val="none"/>
        </w:rPr>
      </w:pPr>
    </w:p>
    <w:p>
      <w:pPr>
        <w:pStyle w:val="10"/>
        <w:rPr>
          <w:rFonts w:ascii="仿宋" w:hAnsi="仿宋" w:eastAsia="仿宋" w:cs="仿宋"/>
          <w:b/>
          <w:sz w:val="36"/>
          <w:szCs w:val="36"/>
          <w:highlight w:val="none"/>
        </w:rPr>
      </w:pPr>
    </w:p>
    <w:p>
      <w:pPr>
        <w:pStyle w:val="11"/>
        <w:ind w:firstLine="723"/>
        <w:rPr>
          <w:rFonts w:ascii="仿宋" w:hAnsi="仿宋" w:eastAsia="仿宋" w:cs="仿宋"/>
          <w:b/>
          <w:sz w:val="36"/>
          <w:szCs w:val="36"/>
          <w:highlight w:val="none"/>
        </w:rPr>
      </w:pPr>
    </w:p>
    <w:p>
      <w:pPr>
        <w:pStyle w:val="10"/>
        <w:rPr>
          <w:rFonts w:ascii="仿宋" w:hAnsi="仿宋" w:eastAsia="仿宋" w:cs="仿宋"/>
          <w:b/>
          <w:sz w:val="36"/>
          <w:szCs w:val="36"/>
          <w:highlight w:val="none"/>
        </w:rPr>
      </w:pPr>
    </w:p>
    <w:p>
      <w:pPr>
        <w:pStyle w:val="11"/>
        <w:ind w:firstLine="480"/>
        <w:rPr>
          <w:highlight w:val="none"/>
        </w:rPr>
      </w:pPr>
    </w:p>
    <w:p>
      <w:pPr>
        <w:pStyle w:val="10"/>
        <w:rPr>
          <w:highlight w:val="none"/>
        </w:rPr>
      </w:pPr>
    </w:p>
    <w:p>
      <w:pPr>
        <w:pStyle w:val="11"/>
        <w:ind w:firstLine="480"/>
        <w:rPr>
          <w:highlight w:val="none"/>
        </w:rPr>
      </w:pPr>
    </w:p>
    <w:p>
      <w:pPr>
        <w:pStyle w:val="19"/>
        <w:rPr>
          <w:highlight w:val="none"/>
        </w:rPr>
      </w:pPr>
    </w:p>
    <w:p>
      <w:pPr>
        <w:rPr>
          <w:highlight w:val="none"/>
        </w:rPr>
      </w:pPr>
    </w:p>
    <w:p>
      <w:pPr>
        <w:pStyle w:val="31"/>
        <w:rPr>
          <w:highlight w:val="none"/>
        </w:rPr>
      </w:pPr>
    </w:p>
    <w:p>
      <w:pPr>
        <w:pStyle w:val="31"/>
        <w:rPr>
          <w:highlight w:val="none"/>
        </w:rPr>
      </w:pPr>
    </w:p>
    <w:p>
      <w:pPr>
        <w:pStyle w:val="11"/>
        <w:ind w:firstLine="480"/>
        <w:rPr>
          <w:highlight w:val="none"/>
        </w:rPr>
      </w:pPr>
    </w:p>
    <w:p>
      <w:pPr>
        <w:numPr>
          <w:ilvl w:val="0"/>
          <w:numId w:val="6"/>
        </w:numPr>
        <w:spacing w:line="360" w:lineRule="auto"/>
        <w:jc w:val="center"/>
        <w:outlineLvl w:val="0"/>
        <w:rPr>
          <w:rFonts w:asciiTheme="minorEastAsia" w:hAnsiTheme="minorEastAsia" w:eastAsiaTheme="minorEastAsia"/>
          <w:b/>
          <w:sz w:val="36"/>
          <w:szCs w:val="36"/>
          <w:highlight w:val="none"/>
        </w:rPr>
      </w:pPr>
      <w:bookmarkStart w:id="55" w:name="_Toc24806"/>
      <w:r>
        <w:rPr>
          <w:rFonts w:hint="eastAsia" w:asciiTheme="minorEastAsia" w:hAnsiTheme="minorEastAsia" w:eastAsiaTheme="minorEastAsia"/>
          <w:b/>
          <w:sz w:val="36"/>
          <w:szCs w:val="36"/>
          <w:highlight w:val="none"/>
        </w:rPr>
        <w:t>拟签订的合同文本</w:t>
      </w:r>
      <w:bookmarkEnd w:id="55"/>
    </w:p>
    <w:p>
      <w:pPr>
        <w:jc w:val="center"/>
        <w:rPr>
          <w:b/>
          <w:bCs/>
          <w:sz w:val="52"/>
          <w:szCs w:val="52"/>
          <w:highlight w:val="none"/>
        </w:rPr>
      </w:pPr>
      <w:r>
        <w:rPr>
          <w:rFonts w:hint="eastAsia"/>
          <w:b/>
          <w:bCs/>
          <w:sz w:val="52"/>
          <w:szCs w:val="52"/>
          <w:highlight w:val="none"/>
          <w:lang w:eastAsia="zh-CN"/>
        </w:rPr>
        <w:t>台州湾新区校园联网视频监控系统信号接入项目</w:t>
      </w:r>
      <w:r>
        <w:rPr>
          <w:rFonts w:hint="eastAsia"/>
          <w:b/>
          <w:bCs/>
          <w:sz w:val="52"/>
          <w:szCs w:val="52"/>
          <w:highlight w:val="none"/>
        </w:rPr>
        <w:t>合同</w:t>
      </w: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sz w:val="30"/>
          <w:szCs w:val="30"/>
          <w:highlight w:val="none"/>
        </w:rPr>
      </w:pPr>
    </w:p>
    <w:p>
      <w:pPr>
        <w:ind w:firstLine="1807" w:firstLineChars="600"/>
        <w:rPr>
          <w:b/>
          <w:bCs/>
          <w:sz w:val="30"/>
          <w:szCs w:val="30"/>
          <w:highlight w:val="none"/>
        </w:rPr>
      </w:pPr>
    </w:p>
    <w:p>
      <w:pPr>
        <w:ind w:firstLine="1807" w:firstLineChars="600"/>
        <w:rPr>
          <w:b/>
          <w:bCs/>
          <w:sz w:val="30"/>
          <w:szCs w:val="30"/>
          <w:highlight w:val="none"/>
        </w:rPr>
      </w:pPr>
    </w:p>
    <w:p>
      <w:pPr>
        <w:ind w:firstLine="1807" w:firstLineChars="600"/>
        <w:rPr>
          <w:b/>
          <w:bCs/>
          <w:sz w:val="30"/>
          <w:szCs w:val="30"/>
          <w:highlight w:val="none"/>
        </w:rPr>
      </w:pPr>
    </w:p>
    <w:p>
      <w:pPr>
        <w:widowControl/>
        <w:snapToGrid w:val="0"/>
        <w:spacing w:before="100" w:beforeAutospacing="1" w:after="100" w:afterAutospacing="1" w:line="320" w:lineRule="atLeast"/>
        <w:ind w:firstLine="420" w:firstLineChars="150"/>
        <w:jc w:val="left"/>
        <w:rPr>
          <w:rFonts w:hint="eastAsia" w:ascii="宋体" w:hAnsi="宋体" w:eastAsia="宋体" w:cs="宋体"/>
          <w:kern w:val="0"/>
          <w:sz w:val="28"/>
          <w:szCs w:val="28"/>
          <w:highlight w:val="none"/>
          <w:u w:val="single"/>
          <w:lang w:eastAsia="zh-CN"/>
        </w:rPr>
      </w:pPr>
      <w:r>
        <w:rPr>
          <w:rFonts w:hint="eastAsia" w:ascii="宋体" w:hAnsi="宋体" w:cs="宋体"/>
          <w:kern w:val="0"/>
          <w:sz w:val="28"/>
          <w:szCs w:val="28"/>
          <w:highlight w:val="none"/>
        </w:rPr>
        <w:t>项  目 名  称：</w:t>
      </w:r>
      <w:r>
        <w:rPr>
          <w:rFonts w:hint="eastAsia" w:ascii="宋体" w:hAnsi="宋体" w:cs="宋体"/>
          <w:kern w:val="0"/>
          <w:sz w:val="28"/>
          <w:szCs w:val="28"/>
          <w:highlight w:val="none"/>
          <w:u w:val="single"/>
          <w:lang w:eastAsia="zh-CN"/>
        </w:rPr>
        <w:t>台州湾新区校园联网视频监控系统信号接入项目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项  目 地  点：</w:t>
      </w:r>
      <w:r>
        <w:rPr>
          <w:rFonts w:hint="eastAsia" w:ascii="宋体" w:hAnsi="宋体" w:cs="宋体"/>
          <w:kern w:val="0"/>
          <w:sz w:val="28"/>
          <w:szCs w:val="28"/>
          <w:highlight w:val="none"/>
          <w:u w:val="single"/>
        </w:rPr>
        <w:t>台州湾新区</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u w:val="single"/>
        </w:rPr>
      </w:pPr>
      <w:r>
        <w:rPr>
          <w:rFonts w:hint="eastAsia" w:ascii="宋体" w:hAnsi="宋体" w:cs="宋体"/>
          <w:kern w:val="0"/>
          <w:sz w:val="28"/>
          <w:szCs w:val="28"/>
          <w:highlight w:val="none"/>
        </w:rPr>
        <w:t>发  包  人：</w:t>
      </w:r>
      <w:r>
        <w:rPr>
          <w:rFonts w:hint="eastAsia" w:ascii="宋体" w:hAnsi="宋体"/>
          <w:sz w:val="28"/>
          <w:highlight w:val="none"/>
          <w:u w:val="single"/>
          <w:lang w:eastAsia="zh-CN"/>
        </w:rPr>
        <w:t>台州湾新区管理委员会</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承  包  人：</w:t>
      </w:r>
      <w:r>
        <w:rPr>
          <w:rFonts w:hint="eastAsia" w:ascii="宋体" w:hAnsi="宋体" w:cs="宋体"/>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签  订  日  期：</w:t>
      </w:r>
      <w:r>
        <w:rPr>
          <w:rFonts w:hint="eastAsia" w:ascii="宋体" w:hAnsi="宋体" w:cs="宋体"/>
          <w:kern w:val="0"/>
          <w:sz w:val="28"/>
          <w:szCs w:val="28"/>
          <w:highlight w:val="none"/>
          <w:u w:val="single"/>
        </w:rPr>
        <w:t xml:space="preserve">                                              </w:t>
      </w:r>
    </w:p>
    <w:p>
      <w:pPr>
        <w:rPr>
          <w:rFonts w:hint="eastAsia" w:ascii="黑体"/>
          <w:b/>
          <w:sz w:val="30"/>
          <w:szCs w:val="30"/>
          <w:highlight w:val="none"/>
        </w:rPr>
      </w:pPr>
      <w:bookmarkStart w:id="56" w:name="_Toc5209"/>
      <w:r>
        <w:rPr>
          <w:rFonts w:hint="eastAsia" w:ascii="黑体"/>
          <w:b/>
          <w:sz w:val="30"/>
          <w:szCs w:val="30"/>
          <w:highlight w:val="none"/>
        </w:rPr>
        <w:br w:type="page"/>
      </w:r>
    </w:p>
    <w:bookmarkEnd w:id="56"/>
    <w:p>
      <w:pPr>
        <w:pStyle w:val="7"/>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甲方：台州湾新区管理委员会                                                          </w:t>
      </w:r>
    </w:p>
    <w:p>
      <w:pPr>
        <w:pStyle w:val="7"/>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乙方：                          </w:t>
      </w:r>
    </w:p>
    <w:p>
      <w:pPr>
        <w:keepNext w:val="0"/>
        <w:keepLines w:val="0"/>
        <w:pageBreakBefore w:val="0"/>
        <w:widowControl/>
        <w:shd w:val="clear" w:color="auto" w:fill="FFFFFF"/>
        <w:kinsoku/>
        <w:wordWrap/>
        <w:overflowPunct/>
        <w:topLinePunct w:val="0"/>
        <w:autoSpaceDE/>
        <w:autoSpaceDN/>
        <w:bidi w:val="0"/>
        <w:adjustRightInd/>
        <w:snapToGrid/>
        <w:spacing w:line="375" w:lineRule="atLeas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甲、乙双方根据</w:t>
      </w:r>
      <w:r>
        <w:rPr>
          <w:rFonts w:hint="eastAsia" w:ascii="宋体" w:hAnsi="宋体" w:cs="宋体"/>
          <w:b/>
          <w:bCs/>
          <w:sz w:val="24"/>
          <w:szCs w:val="24"/>
          <w:highlight w:val="none"/>
          <w:lang w:eastAsia="zh-CN"/>
        </w:rPr>
        <w:t>台州湾新区校园联网视频监控系统信号接入项目（</w:t>
      </w:r>
      <w:r>
        <w:rPr>
          <w:rFonts w:hint="eastAsia" w:ascii="宋体" w:hAnsi="宋体" w:cs="宋体"/>
          <w:b/>
          <w:bCs/>
          <w:sz w:val="24"/>
          <w:szCs w:val="24"/>
          <w:highlight w:val="none"/>
          <w:lang w:val="en-US" w:eastAsia="zh-CN"/>
        </w:rPr>
        <w:t>项目编号：TZYY-2311-005号</w:t>
      </w:r>
      <w:r>
        <w:rPr>
          <w:rFonts w:hint="eastAsia" w:ascii="宋体" w:hAnsi="宋体" w:cs="宋体"/>
          <w:b/>
          <w:bCs/>
          <w:sz w:val="24"/>
          <w:szCs w:val="24"/>
          <w:highlight w:val="none"/>
          <w:lang w:eastAsia="zh-CN"/>
        </w:rPr>
        <w:t>）</w:t>
      </w:r>
      <w:r>
        <w:rPr>
          <w:rFonts w:hint="eastAsia" w:ascii="宋体" w:hAnsi="宋体" w:eastAsia="宋体" w:cs="宋体"/>
          <w:sz w:val="24"/>
          <w:szCs w:val="24"/>
          <w:highlight w:val="none"/>
        </w:rPr>
        <w:t>公开招标的结果，签署本合同。</w:t>
      </w:r>
    </w:p>
    <w:p>
      <w:pPr>
        <w:numPr>
          <w:ilvl w:val="0"/>
          <w:numId w:val="15"/>
        </w:numPr>
        <w:spacing w:line="360" w:lineRule="auto"/>
        <w:ind w:left="0" w:leftChars="0" w:firstLine="420" w:firstLineChars="0"/>
        <w:outlineLvl w:val="1"/>
        <w:rPr>
          <w:rFonts w:ascii="宋体"/>
          <w:b/>
          <w:bCs w:val="0"/>
          <w:color w:val="000000"/>
          <w:sz w:val="24"/>
          <w:szCs w:val="24"/>
          <w:highlight w:val="none"/>
          <w:lang w:val="zh-CN"/>
        </w:rPr>
      </w:pPr>
      <w:bookmarkStart w:id="57" w:name="_Toc14053"/>
      <w:bookmarkStart w:id="58" w:name="_Toc14348"/>
      <w:r>
        <w:rPr>
          <w:rFonts w:hint="eastAsia" w:ascii="宋体"/>
          <w:b/>
          <w:bCs w:val="0"/>
          <w:color w:val="000000"/>
          <w:sz w:val="24"/>
          <w:szCs w:val="24"/>
          <w:highlight w:val="none"/>
          <w:lang w:val="zh-CN"/>
        </w:rPr>
        <w:t>合同文件：</w:t>
      </w:r>
      <w:bookmarkEnd w:id="57"/>
      <w:bookmarkEnd w:id="58"/>
      <w:r>
        <w:rPr>
          <w:rFonts w:hint="eastAsia" w:ascii="宋体"/>
          <w:b/>
          <w:bCs w:val="0"/>
          <w:color w:val="000000"/>
          <w:sz w:val="24"/>
          <w:szCs w:val="24"/>
          <w:highlight w:val="none"/>
          <w:lang w:val="zh-CN"/>
        </w:rPr>
        <w:t xml:space="preserve"> </w:t>
      </w:r>
    </w:p>
    <w:p>
      <w:pPr>
        <w:numPr>
          <w:ilvl w:val="0"/>
          <w:numId w:val="16"/>
        </w:numPr>
        <w:spacing w:line="360" w:lineRule="auto"/>
        <w:ind w:left="0" w:leftChars="0" w:firstLine="480" w:firstLineChars="200"/>
        <w:rPr>
          <w:rFonts w:ascii="宋体"/>
          <w:color w:val="000000"/>
          <w:sz w:val="24"/>
          <w:szCs w:val="24"/>
          <w:highlight w:val="none"/>
          <w:lang w:val="zh-CN"/>
        </w:rPr>
      </w:pPr>
      <w:r>
        <w:rPr>
          <w:rFonts w:hint="eastAsia" w:ascii="宋体"/>
          <w:color w:val="000000"/>
          <w:sz w:val="24"/>
          <w:szCs w:val="24"/>
          <w:highlight w:val="none"/>
          <w:lang w:val="zh-CN"/>
        </w:rPr>
        <w:t>合同条款。</w:t>
      </w:r>
    </w:p>
    <w:p>
      <w:pPr>
        <w:numPr>
          <w:ilvl w:val="0"/>
          <w:numId w:val="16"/>
        </w:numPr>
        <w:spacing w:line="360" w:lineRule="auto"/>
        <w:ind w:left="0" w:leftChars="0" w:firstLine="480" w:firstLineChars="200"/>
        <w:rPr>
          <w:rFonts w:ascii="宋体"/>
          <w:color w:val="000000"/>
          <w:sz w:val="24"/>
          <w:szCs w:val="24"/>
          <w:highlight w:val="none"/>
          <w:lang w:val="zh-CN"/>
        </w:rPr>
      </w:pPr>
      <w:r>
        <w:rPr>
          <w:rFonts w:hint="eastAsia" w:ascii="宋体"/>
          <w:color w:val="000000"/>
          <w:sz w:val="24"/>
          <w:szCs w:val="24"/>
          <w:highlight w:val="none"/>
          <w:lang w:val="zh-CN"/>
        </w:rPr>
        <w:t>中标通知书。</w:t>
      </w:r>
    </w:p>
    <w:p>
      <w:pPr>
        <w:numPr>
          <w:ilvl w:val="0"/>
          <w:numId w:val="16"/>
        </w:numPr>
        <w:spacing w:line="360" w:lineRule="auto"/>
        <w:ind w:left="0" w:leftChars="0" w:firstLine="480" w:firstLineChars="200"/>
        <w:rPr>
          <w:rFonts w:ascii="宋体"/>
          <w:color w:val="000000"/>
          <w:sz w:val="24"/>
          <w:szCs w:val="24"/>
          <w:highlight w:val="none"/>
          <w:lang w:val="zh-CN"/>
        </w:rPr>
      </w:pPr>
      <w:r>
        <w:rPr>
          <w:rFonts w:hint="eastAsia" w:ascii="宋体"/>
          <w:color w:val="000000"/>
          <w:sz w:val="24"/>
          <w:szCs w:val="24"/>
          <w:highlight w:val="none"/>
          <w:lang w:val="zh-CN"/>
        </w:rPr>
        <w:t>更正补充文件。</w:t>
      </w:r>
    </w:p>
    <w:p>
      <w:pPr>
        <w:numPr>
          <w:ilvl w:val="0"/>
          <w:numId w:val="16"/>
        </w:numPr>
        <w:spacing w:line="360" w:lineRule="auto"/>
        <w:ind w:left="0" w:leftChars="0" w:firstLine="480" w:firstLineChars="200"/>
        <w:rPr>
          <w:rFonts w:ascii="宋体"/>
          <w:color w:val="000000"/>
          <w:sz w:val="24"/>
          <w:szCs w:val="24"/>
          <w:highlight w:val="none"/>
          <w:lang w:val="zh-CN"/>
        </w:rPr>
      </w:pPr>
      <w:r>
        <w:rPr>
          <w:rFonts w:hint="eastAsia" w:ascii="宋体"/>
          <w:color w:val="000000"/>
          <w:sz w:val="24"/>
          <w:szCs w:val="24"/>
          <w:highlight w:val="none"/>
          <w:lang w:val="zh-CN"/>
        </w:rPr>
        <w:t>招标文件。</w:t>
      </w:r>
    </w:p>
    <w:p>
      <w:pPr>
        <w:numPr>
          <w:ilvl w:val="0"/>
          <w:numId w:val="16"/>
        </w:numPr>
        <w:spacing w:line="360" w:lineRule="auto"/>
        <w:ind w:left="0" w:leftChars="0" w:firstLine="480" w:firstLineChars="200"/>
        <w:rPr>
          <w:rFonts w:ascii="宋体"/>
          <w:color w:val="000000"/>
          <w:sz w:val="24"/>
          <w:szCs w:val="24"/>
          <w:highlight w:val="none"/>
          <w:lang w:val="zh-CN"/>
        </w:rPr>
      </w:pPr>
      <w:r>
        <w:rPr>
          <w:rFonts w:hint="eastAsia" w:ascii="宋体"/>
          <w:color w:val="000000"/>
          <w:sz w:val="24"/>
          <w:szCs w:val="24"/>
          <w:highlight w:val="none"/>
          <w:lang w:val="zh-CN"/>
        </w:rPr>
        <w:t>中标供应商投标文件。</w:t>
      </w:r>
    </w:p>
    <w:p>
      <w:pPr>
        <w:numPr>
          <w:ilvl w:val="0"/>
          <w:numId w:val="16"/>
        </w:numPr>
        <w:spacing w:line="360" w:lineRule="auto"/>
        <w:ind w:left="0" w:leftChars="0" w:firstLine="480" w:firstLineChars="200"/>
        <w:rPr>
          <w:rFonts w:ascii="宋体"/>
          <w:color w:val="000000"/>
          <w:sz w:val="24"/>
          <w:szCs w:val="24"/>
          <w:highlight w:val="none"/>
          <w:lang w:val="zh-CN"/>
        </w:rPr>
      </w:pPr>
      <w:r>
        <w:rPr>
          <w:rFonts w:hint="eastAsia" w:ascii="宋体"/>
          <w:color w:val="000000"/>
          <w:sz w:val="24"/>
          <w:szCs w:val="24"/>
          <w:highlight w:val="none"/>
          <w:lang w:val="zh-CN"/>
        </w:rPr>
        <w:t>其他。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50" w:line="375" w:lineRule="atLeast"/>
        <w:ind w:left="0" w:leftChars="0" w:firstLine="480" w:firstLineChars="200"/>
        <w:jc w:val="left"/>
        <w:textAlignment w:val="auto"/>
        <w:rPr>
          <w:rFonts w:hint="eastAsia" w:ascii="宋体" w:hAnsi="宋体" w:eastAsia="宋体" w:cs="宋体"/>
          <w:b/>
          <w:color w:val="333333"/>
          <w:kern w:val="0"/>
          <w:sz w:val="24"/>
          <w:szCs w:val="24"/>
          <w:highlight w:val="none"/>
        </w:rPr>
      </w:pPr>
      <w:r>
        <w:rPr>
          <w:rFonts w:hint="eastAsia"/>
          <w:color w:val="000000"/>
          <w:sz w:val="24"/>
          <w:szCs w:val="24"/>
          <w:highlight w:val="none"/>
          <w:lang w:val="zh-CN"/>
        </w:rPr>
        <w:t>上述所指合同文件应认为是互相补充和解释的，但是有模棱两可或互相矛盾之处，以其所列内容顺序为准。</w:t>
      </w:r>
    </w:p>
    <w:p>
      <w:pPr>
        <w:widowControl/>
        <w:numPr>
          <w:ilvl w:val="0"/>
          <w:numId w:val="15"/>
        </w:numPr>
        <w:shd w:val="clear" w:color="auto" w:fill="FFFFFF"/>
        <w:spacing w:after="150" w:line="375" w:lineRule="atLeast"/>
        <w:ind w:left="0" w:leftChars="0" w:firstLine="420" w:firstLineChars="0"/>
        <w:jc w:val="left"/>
        <w:outlineLvl w:val="1"/>
        <w:rPr>
          <w:rFonts w:hint="eastAsia" w:ascii="宋体" w:hAnsi="宋体" w:eastAsia="宋体" w:cs="宋体"/>
          <w:b/>
          <w:bCs w:val="0"/>
          <w:color w:val="333333"/>
          <w:kern w:val="0"/>
          <w:sz w:val="24"/>
          <w:szCs w:val="24"/>
          <w:highlight w:val="none"/>
        </w:rPr>
      </w:pPr>
      <w:bookmarkStart w:id="59" w:name="_Toc26657"/>
      <w:bookmarkStart w:id="60" w:name="_Toc25574"/>
      <w:r>
        <w:rPr>
          <w:rFonts w:hint="eastAsia" w:ascii="宋体" w:hAnsi="宋体" w:eastAsia="宋体" w:cs="宋体"/>
          <w:b/>
          <w:bCs w:val="0"/>
          <w:color w:val="333333"/>
          <w:kern w:val="0"/>
          <w:sz w:val="24"/>
          <w:szCs w:val="24"/>
          <w:highlight w:val="none"/>
        </w:rPr>
        <w:t>合同内容及服务标准</w:t>
      </w:r>
      <w:bookmarkEnd w:id="59"/>
      <w:bookmarkEnd w:id="60"/>
    </w:p>
    <w:p>
      <w:pPr>
        <w:widowControl/>
        <w:shd w:val="clear" w:color="auto" w:fill="FFFFFF"/>
        <w:spacing w:after="150" w:line="375" w:lineRule="atLeast"/>
        <w:ind w:firstLine="480"/>
        <w:jc w:val="left"/>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（具体见项目需求）</w:t>
      </w:r>
    </w:p>
    <w:p>
      <w:pPr>
        <w:pStyle w:val="7"/>
        <w:numPr>
          <w:ilvl w:val="0"/>
          <w:numId w:val="15"/>
        </w:numPr>
        <w:snapToGrid w:val="0"/>
        <w:spacing w:before="120" w:after="120" w:line="360" w:lineRule="auto"/>
        <w:ind w:left="0" w:leftChars="0" w:firstLine="420" w:firstLineChars="0"/>
        <w:outlineLvl w:val="1"/>
        <w:rPr>
          <w:rFonts w:hint="eastAsia" w:ascii="宋体" w:hAnsi="宋体" w:eastAsia="宋体" w:cs="宋体"/>
          <w:b/>
          <w:bCs w:val="0"/>
          <w:sz w:val="24"/>
          <w:szCs w:val="24"/>
          <w:highlight w:val="none"/>
        </w:rPr>
      </w:pPr>
      <w:bookmarkStart w:id="61" w:name="_Toc15125"/>
      <w:bookmarkStart w:id="62" w:name="_Toc7882"/>
      <w:r>
        <w:rPr>
          <w:rFonts w:hint="eastAsia" w:ascii="宋体" w:hAnsi="宋体" w:eastAsia="宋体" w:cs="宋体"/>
          <w:b/>
          <w:bCs w:val="0"/>
          <w:sz w:val="24"/>
          <w:szCs w:val="24"/>
          <w:highlight w:val="none"/>
        </w:rPr>
        <w:t>合同金额</w:t>
      </w:r>
      <w:bookmarkEnd w:id="61"/>
      <w:bookmarkEnd w:id="62"/>
    </w:p>
    <w:p>
      <w:pPr>
        <w:pStyle w:val="7"/>
        <w:keepNext w:val="0"/>
        <w:keepLines w:val="0"/>
        <w:pageBreakBefore w:val="0"/>
        <w:kinsoku/>
        <w:wordWrap/>
        <w:overflowPunct/>
        <w:topLinePunct w:val="0"/>
        <w:bidi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本合同金额为（大写）：______________元（￥__________元）人民币。</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82" w:firstLineChars="200"/>
        <w:textAlignment w:val="auto"/>
        <w:outlineLvl w:val="1"/>
        <w:rPr>
          <w:rFonts w:hint="eastAsia" w:ascii="宋体" w:hAnsi="宋体" w:eastAsia="宋体" w:cs="宋体"/>
          <w:b/>
          <w:bCs w:val="0"/>
          <w:sz w:val="24"/>
          <w:szCs w:val="24"/>
          <w:highlight w:val="none"/>
        </w:rPr>
      </w:pPr>
      <w:bookmarkStart w:id="63" w:name="_Toc21699"/>
      <w:bookmarkStart w:id="64" w:name="_Toc23596"/>
      <w:r>
        <w:rPr>
          <w:rFonts w:hint="eastAsia" w:ascii="宋体" w:hAnsi="宋体" w:eastAsia="宋体" w:cs="宋体"/>
          <w:b/>
          <w:bCs w:val="0"/>
          <w:sz w:val="24"/>
          <w:szCs w:val="24"/>
          <w:highlight w:val="none"/>
        </w:rPr>
        <w:t>转包或分包</w:t>
      </w:r>
      <w:bookmarkEnd w:id="63"/>
      <w:bookmarkEnd w:id="64"/>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本合同范围的服务，应由乙方直接供应，不得转让他人供应</w:t>
      </w:r>
      <w:r>
        <w:rPr>
          <w:rFonts w:hint="eastAsia" w:ascii="宋体" w:hAnsi="宋体" w:eastAsia="宋体" w:cs="宋体"/>
          <w:sz w:val="24"/>
          <w:szCs w:val="24"/>
          <w:highlight w:val="none"/>
          <w:lang w:eastAsia="zh-CN"/>
        </w:rPr>
        <w:t>。</w:t>
      </w:r>
    </w:p>
    <w:p>
      <w:pPr>
        <w:pStyle w:val="7"/>
        <w:keepNext w:val="0"/>
        <w:keepLines w:val="0"/>
        <w:pageBreakBefore w:val="0"/>
        <w:widowControl w:val="0"/>
        <w:numPr>
          <w:ilvl w:val="0"/>
          <w:numId w:val="15"/>
        </w:numPr>
        <w:kinsoku/>
        <w:wordWrap/>
        <w:overflowPunct/>
        <w:topLinePunct w:val="0"/>
        <w:autoSpaceDE/>
        <w:autoSpaceDN/>
        <w:bidi w:val="0"/>
        <w:snapToGrid w:val="0"/>
        <w:spacing w:line="360" w:lineRule="auto"/>
        <w:ind w:left="0" w:leftChars="0" w:firstLine="482" w:firstLineChars="200"/>
        <w:textAlignment w:val="auto"/>
        <w:outlineLvl w:val="1"/>
        <w:rPr>
          <w:rFonts w:hint="eastAsia" w:ascii="宋体" w:hAnsi="宋体" w:eastAsia="宋体" w:cs="宋体"/>
          <w:b/>
          <w:bCs w:val="0"/>
          <w:sz w:val="24"/>
          <w:szCs w:val="24"/>
          <w:highlight w:val="none"/>
        </w:rPr>
      </w:pPr>
      <w:bookmarkStart w:id="65" w:name="_Toc591"/>
      <w:bookmarkStart w:id="66" w:name="_Toc28441"/>
      <w:r>
        <w:rPr>
          <w:rFonts w:hint="eastAsia" w:ascii="宋体" w:hAnsi="宋体" w:eastAsia="宋体" w:cs="宋体"/>
          <w:b/>
          <w:bCs w:val="0"/>
          <w:sz w:val="24"/>
          <w:szCs w:val="24"/>
          <w:highlight w:val="none"/>
        </w:rPr>
        <w:t>合同履行时间</w:t>
      </w:r>
      <w:bookmarkEnd w:id="65"/>
      <w:bookmarkEnd w:id="66"/>
    </w:p>
    <w:p>
      <w:pPr>
        <w:pStyle w:val="7"/>
        <w:keepNext w:val="0"/>
        <w:keepLines w:val="0"/>
        <w:pageBreakBefore w:val="0"/>
        <w:widowControl w:val="0"/>
        <w:numPr>
          <w:ilvl w:val="0"/>
          <w:numId w:val="15"/>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color w:val="000000"/>
          <w:sz w:val="24"/>
          <w:szCs w:val="24"/>
          <w:highlight w:val="none"/>
        </w:rPr>
      </w:pPr>
      <w:bookmarkStart w:id="67" w:name="_Toc21504"/>
      <w:bookmarkStart w:id="68" w:name="_Toc18065"/>
      <w:r>
        <w:rPr>
          <w:rFonts w:hint="eastAsia" w:ascii="宋体" w:hAnsi="宋体" w:eastAsia="宋体" w:cs="宋体"/>
          <w:b/>
          <w:bCs w:val="0"/>
          <w:color w:val="000000"/>
          <w:sz w:val="24"/>
          <w:szCs w:val="24"/>
          <w:highlight w:val="none"/>
        </w:rPr>
        <w:t>款项支付</w:t>
      </w:r>
      <w:bookmarkEnd w:id="67"/>
      <w:bookmarkEnd w:id="68"/>
    </w:p>
    <w:p>
      <w:pPr>
        <w:keepNext w:val="0"/>
        <w:keepLines w:val="0"/>
        <w:pageBreakBefore w:val="0"/>
        <w:numPr>
          <w:ilvl w:val="0"/>
          <w:numId w:val="15"/>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sz w:val="24"/>
          <w:szCs w:val="24"/>
          <w:highlight w:val="none"/>
        </w:rPr>
      </w:pPr>
      <w:bookmarkStart w:id="69" w:name="_Toc2274"/>
      <w:bookmarkStart w:id="70" w:name="_Toc21135"/>
      <w:r>
        <w:rPr>
          <w:rFonts w:hint="eastAsia" w:ascii="宋体" w:hAnsi="宋体" w:eastAsia="宋体" w:cs="宋体"/>
          <w:b/>
          <w:bCs w:val="0"/>
          <w:sz w:val="24"/>
          <w:szCs w:val="24"/>
          <w:highlight w:val="none"/>
        </w:rPr>
        <w:t>税费</w:t>
      </w:r>
      <w:bookmarkEnd w:id="69"/>
      <w:bookmarkEnd w:id="70"/>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本合同执行中相关的一切税费均由乙方负担。</w:t>
      </w:r>
    </w:p>
    <w:p>
      <w:pPr>
        <w:pStyle w:val="7"/>
        <w:keepNext w:val="0"/>
        <w:keepLines w:val="0"/>
        <w:pageBreakBefore w:val="0"/>
        <w:numPr>
          <w:ilvl w:val="0"/>
          <w:numId w:val="15"/>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sz w:val="24"/>
          <w:szCs w:val="24"/>
          <w:highlight w:val="none"/>
        </w:rPr>
      </w:pPr>
      <w:bookmarkStart w:id="71" w:name="_Toc12933"/>
      <w:bookmarkStart w:id="72" w:name="_Toc17032"/>
      <w:r>
        <w:rPr>
          <w:rFonts w:hint="eastAsia" w:ascii="宋体" w:hAnsi="宋体" w:eastAsia="宋体" w:cs="宋体"/>
          <w:b/>
          <w:bCs w:val="0"/>
          <w:sz w:val="24"/>
          <w:szCs w:val="24"/>
          <w:highlight w:val="none"/>
        </w:rPr>
        <w:t>违约责任</w:t>
      </w:r>
      <w:bookmarkEnd w:id="71"/>
      <w:bookmarkEnd w:id="72"/>
    </w:p>
    <w:p>
      <w:pPr>
        <w:pStyle w:val="7"/>
        <w:keepNext w:val="0"/>
        <w:keepLines w:val="0"/>
        <w:pageBreakBefore w:val="0"/>
        <w:numPr>
          <w:ilvl w:val="0"/>
          <w:numId w:val="17"/>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甲方无正当理由拒收接</w:t>
      </w:r>
      <w:r>
        <w:rPr>
          <w:rFonts w:hint="eastAsia" w:ascii="宋体" w:hAnsi="宋体" w:eastAsia="宋体" w:cs="宋体"/>
          <w:color w:val="auto"/>
          <w:sz w:val="24"/>
          <w:szCs w:val="24"/>
          <w:highlight w:val="none"/>
        </w:rPr>
        <w:t>受服务的，甲方向乙方偿付合同款项百分之五作为违约金。</w:t>
      </w:r>
    </w:p>
    <w:p>
      <w:pPr>
        <w:pStyle w:val="7"/>
        <w:keepNext w:val="0"/>
        <w:keepLines w:val="0"/>
        <w:pageBreakBefore w:val="0"/>
        <w:numPr>
          <w:ilvl w:val="0"/>
          <w:numId w:val="17"/>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甲方无故逾期验收和办理款项支付手续的,甲方应按逾期付款总额每日万分之五向乙方支付违约金。</w:t>
      </w:r>
    </w:p>
    <w:p>
      <w:pPr>
        <w:pStyle w:val="7"/>
        <w:keepNext w:val="0"/>
        <w:keepLines w:val="0"/>
        <w:pageBreakBefore w:val="0"/>
        <w:numPr>
          <w:ilvl w:val="0"/>
          <w:numId w:val="17"/>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乙方未能如期提供服务的，每日向甲方支付合同款项的</w:t>
      </w:r>
      <w:r>
        <w:rPr>
          <w:rFonts w:hint="eastAsia" w:hAnsi="宋体" w:cs="宋体"/>
          <w:color w:val="auto"/>
          <w:sz w:val="24"/>
          <w:szCs w:val="24"/>
          <w:highlight w:val="none"/>
          <w:lang w:eastAsia="zh-CN"/>
        </w:rPr>
        <w:t>万分之五</w:t>
      </w:r>
      <w:r>
        <w:rPr>
          <w:rFonts w:hint="eastAsia" w:ascii="宋体" w:hAnsi="宋体" w:eastAsia="宋体" w:cs="宋体"/>
          <w:color w:val="auto"/>
          <w:sz w:val="24"/>
          <w:szCs w:val="24"/>
          <w:highlight w:val="none"/>
        </w:rPr>
        <w:t xml:space="preserve">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7"/>
        <w:keepNext w:val="0"/>
        <w:keepLines w:val="0"/>
        <w:pageBreakBefore w:val="0"/>
        <w:numPr>
          <w:ilvl w:val="0"/>
          <w:numId w:val="15"/>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color w:val="auto"/>
          <w:sz w:val="24"/>
          <w:szCs w:val="24"/>
          <w:highlight w:val="none"/>
        </w:rPr>
      </w:pPr>
      <w:bookmarkStart w:id="73" w:name="_Toc571"/>
      <w:bookmarkStart w:id="74" w:name="_Toc22535"/>
      <w:r>
        <w:rPr>
          <w:rFonts w:hint="eastAsia" w:ascii="宋体" w:hAnsi="宋体" w:eastAsia="宋体" w:cs="宋体"/>
          <w:b/>
          <w:bCs w:val="0"/>
          <w:color w:val="auto"/>
          <w:sz w:val="24"/>
          <w:szCs w:val="24"/>
          <w:highlight w:val="none"/>
        </w:rPr>
        <w:t>不可抗力事件处理</w:t>
      </w:r>
      <w:bookmarkEnd w:id="73"/>
      <w:bookmarkEnd w:id="74"/>
    </w:p>
    <w:p>
      <w:pPr>
        <w:pStyle w:val="7"/>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在合同有效期内，任何一方因不可抗力事件导致不能履行合同，双方应通过友好协商，确定是否继续履行合同。</w:t>
      </w:r>
    </w:p>
    <w:p>
      <w:pPr>
        <w:pStyle w:val="7"/>
        <w:keepNext w:val="0"/>
        <w:keepLines w:val="0"/>
        <w:pageBreakBefore w:val="0"/>
        <w:numPr>
          <w:ilvl w:val="0"/>
          <w:numId w:val="15"/>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color w:val="auto"/>
          <w:sz w:val="24"/>
          <w:szCs w:val="24"/>
          <w:highlight w:val="none"/>
        </w:rPr>
      </w:pPr>
      <w:bookmarkStart w:id="75" w:name="_Toc16918"/>
      <w:bookmarkStart w:id="76" w:name="_Toc21992"/>
      <w:r>
        <w:rPr>
          <w:rFonts w:hint="eastAsia" w:ascii="宋体" w:hAnsi="宋体" w:eastAsia="宋体" w:cs="宋体"/>
          <w:b/>
          <w:bCs w:val="0"/>
          <w:color w:val="auto"/>
          <w:sz w:val="24"/>
          <w:szCs w:val="24"/>
          <w:highlight w:val="none"/>
        </w:rPr>
        <w:t>解决争议的方法</w:t>
      </w:r>
      <w:bookmarkEnd w:id="75"/>
      <w:bookmarkEnd w:id="76"/>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如双方在履行合同时发生纠纷，应协商解决；</w:t>
      </w:r>
      <w:r>
        <w:rPr>
          <w:rFonts w:ascii="宋体" w:hAnsi="宋体" w:eastAsia="宋体" w:cs="宋体"/>
          <w:color w:val="auto"/>
          <w:kern w:val="0"/>
          <w:sz w:val="24"/>
          <w:szCs w:val="24"/>
          <w:highlight w:val="none"/>
          <w:lang w:val="en-US" w:eastAsia="zh-CN"/>
        </w:rPr>
        <w:t>协商不成时</w:t>
      </w:r>
      <w:r>
        <w:rPr>
          <w:rFonts w:hint="eastAsia" w:hAnsi="宋体" w:cs="宋体"/>
          <w:color w:val="auto"/>
          <w:kern w:val="0"/>
          <w:sz w:val="24"/>
          <w:szCs w:val="24"/>
          <w:highlight w:val="none"/>
          <w:lang w:val="en-US" w:eastAsia="zh-CN"/>
        </w:rPr>
        <w:t>，</w:t>
      </w:r>
      <w:r>
        <w:rPr>
          <w:rFonts w:ascii="宋体" w:hAnsi="宋体" w:eastAsia="宋体" w:cs="宋体"/>
          <w:color w:val="auto"/>
          <w:kern w:val="0"/>
          <w:sz w:val="24"/>
          <w:szCs w:val="24"/>
          <w:highlight w:val="none"/>
          <w:lang w:val="en-US" w:eastAsia="zh-CN"/>
        </w:rPr>
        <w:t>依法向</w:t>
      </w:r>
      <w:r>
        <w:rPr>
          <w:rFonts w:hint="eastAsia" w:hAnsi="宋体" w:cs="宋体"/>
          <w:color w:val="auto"/>
          <w:kern w:val="0"/>
          <w:sz w:val="24"/>
          <w:szCs w:val="24"/>
          <w:highlight w:val="none"/>
          <w:lang w:val="en-US" w:eastAsia="zh-CN"/>
        </w:rPr>
        <w:t>甲方所在地</w:t>
      </w:r>
      <w:r>
        <w:rPr>
          <w:rFonts w:ascii="宋体" w:hAnsi="宋体" w:eastAsia="宋体" w:cs="宋体"/>
          <w:color w:val="auto"/>
          <w:kern w:val="0"/>
          <w:sz w:val="24"/>
          <w:szCs w:val="24"/>
          <w:highlight w:val="none"/>
          <w:lang w:val="en-US" w:eastAsia="zh-CN"/>
        </w:rPr>
        <w:t>人民法院提起诉讼</w:t>
      </w:r>
      <w:r>
        <w:rPr>
          <w:rFonts w:hint="eastAsia" w:hAnsi="宋体" w:cs="宋体"/>
          <w:color w:val="auto"/>
          <w:kern w:val="0"/>
          <w:sz w:val="24"/>
          <w:szCs w:val="24"/>
          <w:highlight w:val="none"/>
          <w:lang w:val="en-US" w:eastAsia="zh-CN"/>
        </w:rPr>
        <w:t>解决</w:t>
      </w:r>
      <w:r>
        <w:rPr>
          <w:rFonts w:hint="eastAsia" w:ascii="宋体" w:hAnsi="宋体" w:eastAsia="宋体" w:cs="宋体"/>
          <w:color w:val="auto"/>
          <w:kern w:val="0"/>
          <w:sz w:val="24"/>
          <w:szCs w:val="24"/>
          <w:highlight w:val="none"/>
          <w:lang w:val="en-US" w:eastAsia="zh-CN"/>
        </w:rPr>
        <w:t>。</w:t>
      </w:r>
    </w:p>
    <w:p>
      <w:pPr>
        <w:pStyle w:val="7"/>
        <w:keepNext w:val="0"/>
        <w:keepLines w:val="0"/>
        <w:pageBreakBefore w:val="0"/>
        <w:numPr>
          <w:ilvl w:val="0"/>
          <w:numId w:val="15"/>
        </w:numPr>
        <w:kinsoku/>
        <w:wordWrap/>
        <w:overflowPunct/>
        <w:topLinePunct w:val="0"/>
        <w:autoSpaceDE/>
        <w:autoSpaceDN/>
        <w:bidi w:val="0"/>
        <w:adjustRightInd/>
        <w:snapToGrid w:val="0"/>
        <w:spacing w:line="360" w:lineRule="auto"/>
        <w:ind w:left="0" w:leftChars="0" w:firstLine="482" w:firstLineChars="200"/>
        <w:textAlignment w:val="auto"/>
        <w:outlineLvl w:val="1"/>
        <w:rPr>
          <w:rFonts w:hint="eastAsia" w:ascii="宋体" w:hAnsi="宋体" w:eastAsia="宋体" w:cs="宋体"/>
          <w:b/>
          <w:bCs w:val="0"/>
          <w:color w:val="auto"/>
          <w:sz w:val="24"/>
          <w:szCs w:val="24"/>
          <w:highlight w:val="none"/>
        </w:rPr>
      </w:pPr>
      <w:bookmarkStart w:id="77" w:name="_Toc4330"/>
      <w:bookmarkStart w:id="78" w:name="_Toc18041"/>
      <w:r>
        <w:rPr>
          <w:rFonts w:hint="eastAsia" w:ascii="宋体" w:hAnsi="宋体" w:eastAsia="宋体" w:cs="宋体"/>
          <w:b/>
          <w:bCs w:val="0"/>
          <w:color w:val="auto"/>
          <w:sz w:val="24"/>
          <w:szCs w:val="24"/>
          <w:highlight w:val="none"/>
        </w:rPr>
        <w:t>合同生效及其它</w:t>
      </w:r>
      <w:bookmarkEnd w:id="77"/>
      <w:bookmarkEnd w:id="78"/>
    </w:p>
    <w:p>
      <w:pPr>
        <w:pStyle w:val="7"/>
        <w:keepNext w:val="0"/>
        <w:keepLines w:val="0"/>
        <w:pageBreakBefore w:val="0"/>
        <w:numPr>
          <w:ilvl w:val="0"/>
          <w:numId w:val="18"/>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合同经双方法定代表人或授权代表签字并加盖单位公章后生效。</w:t>
      </w:r>
    </w:p>
    <w:p>
      <w:pPr>
        <w:pStyle w:val="7"/>
        <w:keepNext w:val="0"/>
        <w:keepLines w:val="0"/>
        <w:pageBreakBefore w:val="0"/>
        <w:numPr>
          <w:ilvl w:val="0"/>
          <w:numId w:val="18"/>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本合同未尽事宜，遵照《</w:t>
      </w:r>
      <w:r>
        <w:rPr>
          <w:rFonts w:hint="eastAsia" w:hAnsi="宋体" w:cs="宋体"/>
          <w:color w:val="auto"/>
          <w:sz w:val="24"/>
          <w:szCs w:val="24"/>
          <w:highlight w:val="none"/>
          <w:lang w:eastAsia="zh-CN"/>
        </w:rPr>
        <w:t>中</w:t>
      </w:r>
      <w:r>
        <w:rPr>
          <w:rFonts w:hint="eastAsia" w:hAnsi="宋体" w:cs="宋体"/>
          <w:sz w:val="24"/>
          <w:szCs w:val="24"/>
          <w:highlight w:val="none"/>
          <w:lang w:eastAsia="zh-CN"/>
        </w:rPr>
        <w:t>华人民共和国民法典</w:t>
      </w:r>
      <w:r>
        <w:rPr>
          <w:rFonts w:hint="eastAsia" w:ascii="宋体" w:hAnsi="宋体" w:eastAsia="宋体" w:cs="宋体"/>
          <w:sz w:val="24"/>
          <w:szCs w:val="24"/>
          <w:highlight w:val="none"/>
        </w:rPr>
        <w:t>》有关条文执行。</w:t>
      </w:r>
    </w:p>
    <w:p>
      <w:pPr>
        <w:keepNext w:val="0"/>
        <w:keepLines w:val="0"/>
        <w:pageBreakBefore w:val="0"/>
        <w:widowControl/>
        <w:numPr>
          <w:ilvl w:val="0"/>
          <w:numId w:val="18"/>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rPr>
        <w:t>本合同</w:t>
      </w:r>
      <w:r>
        <w:rPr>
          <w:rFonts w:hint="eastAsia" w:ascii="宋体" w:hAnsi="宋体" w:cs="宋体"/>
          <w:sz w:val="24"/>
          <w:szCs w:val="24"/>
          <w:highlight w:val="none"/>
          <w:lang w:eastAsia="zh-CN"/>
        </w:rPr>
        <w:t>一式</w:t>
      </w:r>
      <w:r>
        <w:rPr>
          <w:rFonts w:hint="eastAsia" w:ascii="宋体" w:hAnsi="宋体" w:cs="宋体"/>
          <w:sz w:val="24"/>
          <w:szCs w:val="24"/>
          <w:highlight w:val="none"/>
          <w:lang w:val="en-US" w:eastAsia="zh-CN"/>
        </w:rPr>
        <w:t>肆</w:t>
      </w:r>
      <w:r>
        <w:rPr>
          <w:rFonts w:hint="eastAsia" w:ascii="宋体" w:hAnsi="宋体" w:cs="宋体"/>
          <w:sz w:val="24"/>
          <w:szCs w:val="24"/>
          <w:highlight w:val="none"/>
          <w:lang w:eastAsia="zh-CN"/>
        </w:rPr>
        <w:t>份。甲、乙双方各执贰份</w:t>
      </w:r>
      <w:r>
        <w:rPr>
          <w:rFonts w:hint="eastAsia" w:ascii="宋体" w:hAnsi="宋体" w:eastAsia="宋体" w:cs="宋体"/>
          <w:b w:val="0"/>
          <w:bCs/>
          <w:color w:val="auto"/>
          <w:sz w:val="24"/>
          <w:szCs w:val="24"/>
          <w:highlight w:val="none"/>
        </w:rPr>
        <w:t>。本项目未尽事宜以</w:t>
      </w:r>
      <w:r>
        <w:rPr>
          <w:rFonts w:hint="eastAsia" w:ascii="宋体" w:hAnsi="宋体" w:cs="宋体"/>
          <w:b w:val="0"/>
          <w:bCs/>
          <w:color w:val="auto"/>
          <w:sz w:val="24"/>
          <w:szCs w:val="24"/>
          <w:highlight w:val="none"/>
          <w:lang w:eastAsia="zh-CN"/>
        </w:rPr>
        <w:t>采购文件</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投标</w:t>
      </w:r>
      <w:r>
        <w:rPr>
          <w:rFonts w:hint="eastAsia" w:ascii="宋体" w:hAnsi="宋体" w:eastAsia="宋体" w:cs="宋体"/>
          <w:b w:val="0"/>
          <w:bCs/>
          <w:color w:val="auto"/>
          <w:sz w:val="24"/>
          <w:szCs w:val="24"/>
          <w:highlight w:val="none"/>
        </w:rPr>
        <w:t>文件及澄清文件等为准。</w:t>
      </w:r>
    </w:p>
    <w:p>
      <w:pPr>
        <w:widowControl/>
        <w:spacing w:line="360" w:lineRule="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以下无内容：</w:t>
      </w:r>
    </w:p>
    <w:tbl>
      <w:tblPr>
        <w:tblStyle w:val="25"/>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tcPr>
          <w:p>
            <w:pPr>
              <w:pStyle w:val="54"/>
              <w:spacing w:line="334" w:lineRule="exact"/>
              <w:ind w:left="50"/>
              <w:rPr>
                <w:sz w:val="24"/>
                <w:highlight w:val="none"/>
              </w:rPr>
            </w:pPr>
            <w:r>
              <w:rPr>
                <w:rFonts w:hint="eastAsia" w:eastAsia="宋体"/>
                <w:sz w:val="24"/>
                <w:highlight w:val="none"/>
              </w:rPr>
              <w:t>甲</w:t>
            </w:r>
            <w:r>
              <w:rPr>
                <w:sz w:val="24"/>
                <w:highlight w:val="none"/>
              </w:rPr>
              <w:t>方：</w:t>
            </w:r>
          </w:p>
        </w:tc>
        <w:tc>
          <w:tcPr>
            <w:tcW w:w="600" w:type="dxa"/>
          </w:tcPr>
          <w:p>
            <w:pPr>
              <w:pStyle w:val="54"/>
              <w:rPr>
                <w:rFonts w:ascii="Times New Roman"/>
                <w:sz w:val="22"/>
                <w:highlight w:val="none"/>
              </w:rPr>
            </w:pPr>
          </w:p>
        </w:tc>
        <w:tc>
          <w:tcPr>
            <w:tcW w:w="600" w:type="dxa"/>
          </w:tcPr>
          <w:p>
            <w:pPr>
              <w:pStyle w:val="54"/>
              <w:rPr>
                <w:rFonts w:ascii="Times New Roman"/>
                <w:sz w:val="22"/>
                <w:highlight w:val="none"/>
              </w:rPr>
            </w:pPr>
          </w:p>
        </w:tc>
        <w:tc>
          <w:tcPr>
            <w:tcW w:w="1620" w:type="dxa"/>
          </w:tcPr>
          <w:p>
            <w:pPr>
              <w:pStyle w:val="54"/>
              <w:rPr>
                <w:rFonts w:ascii="Times New Roman"/>
                <w:sz w:val="22"/>
                <w:highlight w:val="none"/>
              </w:rPr>
            </w:pPr>
          </w:p>
        </w:tc>
        <w:tc>
          <w:tcPr>
            <w:tcW w:w="3890" w:type="dxa"/>
          </w:tcPr>
          <w:p>
            <w:pPr>
              <w:pStyle w:val="54"/>
              <w:spacing w:line="334" w:lineRule="exact"/>
              <w:rPr>
                <w:sz w:val="24"/>
                <w:highlight w:val="none"/>
              </w:rPr>
            </w:pPr>
            <w:r>
              <w:rPr>
                <w:rFonts w:hint="eastAsia" w:eastAsia="宋体"/>
                <w:sz w:val="24"/>
                <w:highlight w:val="none"/>
              </w:rPr>
              <w:t>乙</w:t>
            </w:r>
            <w:r>
              <w:rPr>
                <w:sz w:val="24"/>
                <w:highlight w:val="none"/>
              </w:rPr>
              <w:t>方：</w:t>
            </w:r>
          </w:p>
        </w:tc>
      </w:tr>
      <w:tr>
        <w:tblPrEx>
          <w:tblCellMar>
            <w:top w:w="0" w:type="dxa"/>
            <w:left w:w="0" w:type="dxa"/>
            <w:bottom w:w="0" w:type="dxa"/>
            <w:right w:w="0" w:type="dxa"/>
          </w:tblCellMar>
        </w:tblPrEx>
        <w:trPr>
          <w:trHeight w:val="467" w:hRule="atLeast"/>
        </w:trPr>
        <w:tc>
          <w:tcPr>
            <w:tcW w:w="1670" w:type="dxa"/>
          </w:tcPr>
          <w:p>
            <w:pPr>
              <w:pStyle w:val="54"/>
              <w:spacing w:line="448" w:lineRule="exact"/>
              <w:ind w:left="50"/>
              <w:rPr>
                <w:sz w:val="24"/>
                <w:highlight w:val="none"/>
              </w:rPr>
            </w:pPr>
            <w:r>
              <w:rPr>
                <w:sz w:val="24"/>
                <w:highlight w:val="none"/>
              </w:rPr>
              <w:t>地址：</w:t>
            </w:r>
          </w:p>
        </w:tc>
        <w:tc>
          <w:tcPr>
            <w:tcW w:w="600" w:type="dxa"/>
          </w:tcPr>
          <w:p>
            <w:pPr>
              <w:pStyle w:val="54"/>
              <w:rPr>
                <w:rFonts w:ascii="Times New Roman"/>
                <w:sz w:val="22"/>
                <w:highlight w:val="none"/>
              </w:rPr>
            </w:pPr>
          </w:p>
        </w:tc>
        <w:tc>
          <w:tcPr>
            <w:tcW w:w="600" w:type="dxa"/>
          </w:tcPr>
          <w:p>
            <w:pPr>
              <w:pStyle w:val="54"/>
              <w:rPr>
                <w:rFonts w:ascii="Times New Roman"/>
                <w:sz w:val="22"/>
                <w:highlight w:val="none"/>
              </w:rPr>
            </w:pPr>
          </w:p>
        </w:tc>
        <w:tc>
          <w:tcPr>
            <w:tcW w:w="1620" w:type="dxa"/>
          </w:tcPr>
          <w:p>
            <w:pPr>
              <w:pStyle w:val="54"/>
              <w:rPr>
                <w:rFonts w:ascii="Times New Roman"/>
                <w:sz w:val="22"/>
                <w:highlight w:val="none"/>
              </w:rPr>
            </w:pPr>
          </w:p>
        </w:tc>
        <w:tc>
          <w:tcPr>
            <w:tcW w:w="3890" w:type="dxa"/>
          </w:tcPr>
          <w:p>
            <w:pPr>
              <w:pStyle w:val="54"/>
              <w:spacing w:line="448" w:lineRule="exact"/>
              <w:jc w:val="left"/>
              <w:rPr>
                <w:sz w:val="24"/>
                <w:highlight w:val="none"/>
              </w:rPr>
            </w:pPr>
            <w:r>
              <w:rPr>
                <w:sz w:val="24"/>
                <w:highlight w:val="none"/>
              </w:rPr>
              <w:t>地址：</w:t>
            </w:r>
          </w:p>
        </w:tc>
      </w:tr>
      <w:tr>
        <w:tblPrEx>
          <w:tblCellMar>
            <w:top w:w="0" w:type="dxa"/>
            <w:left w:w="0" w:type="dxa"/>
            <w:bottom w:w="0" w:type="dxa"/>
            <w:right w:w="0" w:type="dxa"/>
          </w:tblCellMar>
        </w:tblPrEx>
        <w:trPr>
          <w:trHeight w:val="468" w:hRule="atLeast"/>
        </w:trPr>
        <w:tc>
          <w:tcPr>
            <w:tcW w:w="1670" w:type="dxa"/>
            <w:vAlign w:val="top"/>
          </w:tcPr>
          <w:p>
            <w:pPr>
              <w:pStyle w:val="54"/>
              <w:spacing w:line="448" w:lineRule="exact"/>
              <w:ind w:left="50" w:leftChars="0"/>
              <w:rPr>
                <w:sz w:val="24"/>
                <w:highlight w:val="none"/>
              </w:rPr>
            </w:pPr>
            <w:r>
              <w:rPr>
                <w:sz w:val="24"/>
                <w:highlight w:val="none"/>
              </w:rPr>
              <w:t>法定代表人：</w:t>
            </w:r>
          </w:p>
        </w:tc>
        <w:tc>
          <w:tcPr>
            <w:tcW w:w="600" w:type="dxa"/>
            <w:vAlign w:val="top"/>
          </w:tcPr>
          <w:p>
            <w:pPr>
              <w:pStyle w:val="54"/>
              <w:rPr>
                <w:rFonts w:ascii="Times New Roman"/>
                <w:sz w:val="22"/>
                <w:highlight w:val="none"/>
              </w:rPr>
            </w:pPr>
          </w:p>
        </w:tc>
        <w:tc>
          <w:tcPr>
            <w:tcW w:w="600" w:type="dxa"/>
            <w:vAlign w:val="top"/>
          </w:tcPr>
          <w:p>
            <w:pPr>
              <w:pStyle w:val="54"/>
              <w:rPr>
                <w:rFonts w:ascii="Times New Roman"/>
                <w:sz w:val="22"/>
                <w:highlight w:val="none"/>
              </w:rPr>
            </w:pPr>
          </w:p>
        </w:tc>
        <w:tc>
          <w:tcPr>
            <w:tcW w:w="1620" w:type="dxa"/>
            <w:vAlign w:val="top"/>
          </w:tcPr>
          <w:p>
            <w:pPr>
              <w:pStyle w:val="54"/>
              <w:rPr>
                <w:rFonts w:ascii="Times New Roman"/>
                <w:sz w:val="22"/>
                <w:highlight w:val="none"/>
              </w:rPr>
            </w:pPr>
          </w:p>
        </w:tc>
        <w:tc>
          <w:tcPr>
            <w:tcW w:w="3890" w:type="dxa"/>
            <w:vAlign w:val="top"/>
          </w:tcPr>
          <w:p>
            <w:pPr>
              <w:pStyle w:val="54"/>
              <w:spacing w:line="448" w:lineRule="exact"/>
              <w:rPr>
                <w:sz w:val="24"/>
                <w:highlight w:val="none"/>
              </w:rPr>
            </w:pPr>
            <w:r>
              <w:rPr>
                <w:sz w:val="24"/>
                <w:highlight w:val="none"/>
              </w:rPr>
              <w:t>法定代表人：</w:t>
            </w:r>
          </w:p>
        </w:tc>
      </w:tr>
      <w:tr>
        <w:tblPrEx>
          <w:tblCellMar>
            <w:top w:w="0" w:type="dxa"/>
            <w:left w:w="0" w:type="dxa"/>
            <w:bottom w:w="0" w:type="dxa"/>
            <w:right w:w="0" w:type="dxa"/>
          </w:tblCellMar>
        </w:tblPrEx>
        <w:trPr>
          <w:trHeight w:val="468" w:hRule="atLeast"/>
        </w:trPr>
        <w:tc>
          <w:tcPr>
            <w:tcW w:w="1670" w:type="dxa"/>
            <w:vAlign w:val="top"/>
          </w:tcPr>
          <w:p>
            <w:pPr>
              <w:pStyle w:val="54"/>
              <w:spacing w:line="448" w:lineRule="exact"/>
              <w:ind w:left="50" w:leftChars="0"/>
              <w:rPr>
                <w:sz w:val="24"/>
                <w:highlight w:val="none"/>
              </w:rPr>
            </w:pPr>
            <w:r>
              <w:rPr>
                <w:rFonts w:hint="eastAsia"/>
                <w:sz w:val="24"/>
                <w:highlight w:val="none"/>
                <w:lang w:val="en-US" w:eastAsia="zh-CN"/>
              </w:rPr>
              <w:t>或授权代表:</w:t>
            </w:r>
          </w:p>
        </w:tc>
        <w:tc>
          <w:tcPr>
            <w:tcW w:w="600" w:type="dxa"/>
            <w:vAlign w:val="top"/>
          </w:tcPr>
          <w:p>
            <w:pPr>
              <w:pStyle w:val="54"/>
              <w:rPr>
                <w:rFonts w:ascii="Times New Roman"/>
                <w:sz w:val="22"/>
                <w:highlight w:val="none"/>
              </w:rPr>
            </w:pPr>
          </w:p>
        </w:tc>
        <w:tc>
          <w:tcPr>
            <w:tcW w:w="600" w:type="dxa"/>
            <w:vAlign w:val="top"/>
          </w:tcPr>
          <w:p>
            <w:pPr>
              <w:pStyle w:val="54"/>
              <w:rPr>
                <w:rFonts w:ascii="Times New Roman"/>
                <w:sz w:val="22"/>
                <w:highlight w:val="none"/>
              </w:rPr>
            </w:pPr>
          </w:p>
        </w:tc>
        <w:tc>
          <w:tcPr>
            <w:tcW w:w="1620" w:type="dxa"/>
            <w:vAlign w:val="top"/>
          </w:tcPr>
          <w:p>
            <w:pPr>
              <w:pStyle w:val="54"/>
              <w:rPr>
                <w:rFonts w:ascii="Times New Roman"/>
                <w:sz w:val="22"/>
                <w:highlight w:val="none"/>
              </w:rPr>
            </w:pPr>
          </w:p>
        </w:tc>
        <w:tc>
          <w:tcPr>
            <w:tcW w:w="3890" w:type="dxa"/>
            <w:vAlign w:val="top"/>
          </w:tcPr>
          <w:p>
            <w:pPr>
              <w:pStyle w:val="54"/>
              <w:spacing w:line="448" w:lineRule="exact"/>
              <w:rPr>
                <w:sz w:val="24"/>
                <w:highlight w:val="none"/>
              </w:rPr>
            </w:pPr>
            <w:r>
              <w:rPr>
                <w:rFonts w:hint="eastAsia"/>
                <w:sz w:val="24"/>
                <w:highlight w:val="none"/>
                <w:lang w:val="en-US" w:eastAsia="zh-CN"/>
              </w:rPr>
              <w:t>或授权代表:</w:t>
            </w:r>
          </w:p>
        </w:tc>
      </w:tr>
      <w:tr>
        <w:tblPrEx>
          <w:tblCellMar>
            <w:top w:w="0" w:type="dxa"/>
            <w:left w:w="0" w:type="dxa"/>
            <w:bottom w:w="0" w:type="dxa"/>
            <w:right w:w="0" w:type="dxa"/>
          </w:tblCellMar>
        </w:tblPrEx>
        <w:trPr>
          <w:trHeight w:val="468" w:hRule="atLeast"/>
        </w:trPr>
        <w:tc>
          <w:tcPr>
            <w:tcW w:w="1670" w:type="dxa"/>
          </w:tcPr>
          <w:p>
            <w:pPr>
              <w:pStyle w:val="54"/>
              <w:spacing w:line="448" w:lineRule="exact"/>
              <w:ind w:left="50"/>
              <w:rPr>
                <w:sz w:val="24"/>
                <w:highlight w:val="none"/>
              </w:rPr>
            </w:pPr>
            <w:r>
              <w:rPr>
                <w:sz w:val="24"/>
                <w:highlight w:val="none"/>
              </w:rPr>
              <w:t>联系方式：</w:t>
            </w:r>
          </w:p>
        </w:tc>
        <w:tc>
          <w:tcPr>
            <w:tcW w:w="600" w:type="dxa"/>
          </w:tcPr>
          <w:p>
            <w:pPr>
              <w:pStyle w:val="54"/>
              <w:rPr>
                <w:rFonts w:ascii="Times New Roman"/>
                <w:sz w:val="22"/>
                <w:highlight w:val="none"/>
              </w:rPr>
            </w:pPr>
          </w:p>
        </w:tc>
        <w:tc>
          <w:tcPr>
            <w:tcW w:w="600" w:type="dxa"/>
          </w:tcPr>
          <w:p>
            <w:pPr>
              <w:pStyle w:val="54"/>
              <w:rPr>
                <w:rFonts w:ascii="Times New Roman"/>
                <w:sz w:val="22"/>
                <w:highlight w:val="none"/>
              </w:rPr>
            </w:pPr>
          </w:p>
        </w:tc>
        <w:tc>
          <w:tcPr>
            <w:tcW w:w="1620" w:type="dxa"/>
          </w:tcPr>
          <w:p>
            <w:pPr>
              <w:pStyle w:val="54"/>
              <w:rPr>
                <w:rFonts w:ascii="Times New Roman"/>
                <w:sz w:val="22"/>
                <w:highlight w:val="none"/>
              </w:rPr>
            </w:pPr>
          </w:p>
        </w:tc>
        <w:tc>
          <w:tcPr>
            <w:tcW w:w="3890" w:type="dxa"/>
          </w:tcPr>
          <w:p>
            <w:pPr>
              <w:pStyle w:val="54"/>
              <w:spacing w:line="448" w:lineRule="exact"/>
              <w:rPr>
                <w:sz w:val="24"/>
                <w:highlight w:val="none"/>
              </w:rPr>
            </w:pPr>
            <w:r>
              <w:rPr>
                <w:sz w:val="24"/>
                <w:highlight w:val="none"/>
              </w:rPr>
              <w:t>联系方式：</w:t>
            </w:r>
          </w:p>
        </w:tc>
      </w:tr>
      <w:tr>
        <w:tblPrEx>
          <w:tblCellMar>
            <w:top w:w="0" w:type="dxa"/>
            <w:left w:w="0" w:type="dxa"/>
            <w:bottom w:w="0" w:type="dxa"/>
            <w:right w:w="0" w:type="dxa"/>
          </w:tblCellMar>
        </w:tblPrEx>
        <w:trPr>
          <w:trHeight w:val="467" w:hRule="atLeast"/>
        </w:trPr>
        <w:tc>
          <w:tcPr>
            <w:tcW w:w="1670" w:type="dxa"/>
          </w:tcPr>
          <w:p>
            <w:pPr>
              <w:pStyle w:val="54"/>
              <w:spacing w:line="448" w:lineRule="exact"/>
              <w:ind w:left="50"/>
              <w:rPr>
                <w:sz w:val="24"/>
                <w:highlight w:val="none"/>
              </w:rPr>
            </w:pPr>
          </w:p>
        </w:tc>
        <w:tc>
          <w:tcPr>
            <w:tcW w:w="600" w:type="dxa"/>
          </w:tcPr>
          <w:p>
            <w:pPr>
              <w:pStyle w:val="54"/>
              <w:rPr>
                <w:rFonts w:ascii="Times New Roman"/>
                <w:sz w:val="22"/>
                <w:highlight w:val="none"/>
              </w:rPr>
            </w:pPr>
          </w:p>
        </w:tc>
        <w:tc>
          <w:tcPr>
            <w:tcW w:w="600" w:type="dxa"/>
          </w:tcPr>
          <w:p>
            <w:pPr>
              <w:pStyle w:val="54"/>
              <w:rPr>
                <w:rFonts w:ascii="Times New Roman"/>
                <w:sz w:val="22"/>
                <w:highlight w:val="none"/>
              </w:rPr>
            </w:pPr>
          </w:p>
        </w:tc>
        <w:tc>
          <w:tcPr>
            <w:tcW w:w="1620" w:type="dxa"/>
          </w:tcPr>
          <w:p>
            <w:pPr>
              <w:pStyle w:val="54"/>
              <w:rPr>
                <w:rFonts w:ascii="Times New Roman"/>
                <w:sz w:val="22"/>
                <w:highlight w:val="none"/>
              </w:rPr>
            </w:pPr>
          </w:p>
        </w:tc>
        <w:tc>
          <w:tcPr>
            <w:tcW w:w="3890" w:type="dxa"/>
          </w:tcPr>
          <w:p>
            <w:pPr>
              <w:pStyle w:val="54"/>
              <w:spacing w:line="448" w:lineRule="exact"/>
              <w:rPr>
                <w:sz w:val="24"/>
                <w:highlight w:val="none"/>
              </w:rPr>
            </w:pPr>
            <w:r>
              <w:rPr>
                <w:sz w:val="24"/>
                <w:highlight w:val="none"/>
              </w:rPr>
              <w:t>开户行：</w:t>
            </w:r>
          </w:p>
        </w:tc>
      </w:tr>
      <w:tr>
        <w:tblPrEx>
          <w:tblCellMar>
            <w:top w:w="0" w:type="dxa"/>
            <w:left w:w="0" w:type="dxa"/>
            <w:bottom w:w="0" w:type="dxa"/>
            <w:right w:w="0" w:type="dxa"/>
          </w:tblCellMar>
        </w:tblPrEx>
        <w:trPr>
          <w:trHeight w:val="468" w:hRule="atLeast"/>
        </w:trPr>
        <w:tc>
          <w:tcPr>
            <w:tcW w:w="1670" w:type="dxa"/>
          </w:tcPr>
          <w:p>
            <w:pPr>
              <w:pStyle w:val="54"/>
              <w:spacing w:line="448" w:lineRule="exact"/>
              <w:ind w:left="50"/>
              <w:rPr>
                <w:sz w:val="24"/>
                <w:highlight w:val="none"/>
              </w:rPr>
            </w:pPr>
          </w:p>
        </w:tc>
        <w:tc>
          <w:tcPr>
            <w:tcW w:w="600" w:type="dxa"/>
          </w:tcPr>
          <w:p>
            <w:pPr>
              <w:pStyle w:val="54"/>
              <w:rPr>
                <w:rFonts w:ascii="Times New Roman"/>
                <w:sz w:val="22"/>
                <w:highlight w:val="none"/>
              </w:rPr>
            </w:pPr>
          </w:p>
        </w:tc>
        <w:tc>
          <w:tcPr>
            <w:tcW w:w="600" w:type="dxa"/>
          </w:tcPr>
          <w:p>
            <w:pPr>
              <w:pStyle w:val="54"/>
              <w:rPr>
                <w:rFonts w:ascii="Times New Roman"/>
                <w:sz w:val="22"/>
                <w:highlight w:val="none"/>
              </w:rPr>
            </w:pPr>
          </w:p>
        </w:tc>
        <w:tc>
          <w:tcPr>
            <w:tcW w:w="1620" w:type="dxa"/>
          </w:tcPr>
          <w:p>
            <w:pPr>
              <w:pStyle w:val="54"/>
              <w:rPr>
                <w:rFonts w:ascii="Times New Roman"/>
                <w:sz w:val="22"/>
                <w:highlight w:val="none"/>
              </w:rPr>
            </w:pPr>
          </w:p>
        </w:tc>
        <w:tc>
          <w:tcPr>
            <w:tcW w:w="3890" w:type="dxa"/>
          </w:tcPr>
          <w:p>
            <w:pPr>
              <w:pStyle w:val="54"/>
              <w:spacing w:line="448" w:lineRule="exact"/>
              <w:rPr>
                <w:sz w:val="24"/>
                <w:highlight w:val="none"/>
              </w:rPr>
            </w:pPr>
            <w:r>
              <w:rPr>
                <w:sz w:val="24"/>
                <w:highlight w:val="none"/>
              </w:rPr>
              <w:t>账号：</w:t>
            </w:r>
          </w:p>
        </w:tc>
      </w:tr>
      <w:tr>
        <w:tblPrEx>
          <w:tblCellMar>
            <w:top w:w="0" w:type="dxa"/>
            <w:left w:w="0" w:type="dxa"/>
            <w:bottom w:w="0" w:type="dxa"/>
            <w:right w:w="0" w:type="dxa"/>
          </w:tblCellMar>
        </w:tblPrEx>
        <w:trPr>
          <w:trHeight w:val="354" w:hRule="atLeast"/>
        </w:trPr>
        <w:tc>
          <w:tcPr>
            <w:tcW w:w="1670" w:type="dxa"/>
          </w:tcPr>
          <w:p>
            <w:pPr>
              <w:pStyle w:val="54"/>
              <w:spacing w:line="334" w:lineRule="exact"/>
              <w:ind w:left="50"/>
              <w:rPr>
                <w:sz w:val="24"/>
                <w:highlight w:val="none"/>
              </w:rPr>
            </w:pPr>
            <w:r>
              <w:rPr>
                <w:sz w:val="24"/>
                <w:highlight w:val="none"/>
              </w:rPr>
              <w:t>签字日期：</w:t>
            </w:r>
          </w:p>
        </w:tc>
        <w:tc>
          <w:tcPr>
            <w:tcW w:w="600" w:type="dxa"/>
          </w:tcPr>
          <w:p>
            <w:pPr>
              <w:pStyle w:val="54"/>
              <w:spacing w:line="334" w:lineRule="exact"/>
              <w:ind w:left="179"/>
              <w:rPr>
                <w:sz w:val="24"/>
                <w:highlight w:val="none"/>
              </w:rPr>
            </w:pPr>
            <w:r>
              <w:rPr>
                <w:sz w:val="24"/>
                <w:highlight w:val="none"/>
              </w:rPr>
              <w:t>年</w:t>
            </w:r>
          </w:p>
        </w:tc>
        <w:tc>
          <w:tcPr>
            <w:tcW w:w="600" w:type="dxa"/>
          </w:tcPr>
          <w:p>
            <w:pPr>
              <w:pStyle w:val="54"/>
              <w:spacing w:line="334" w:lineRule="exact"/>
              <w:ind w:left="179"/>
              <w:rPr>
                <w:sz w:val="24"/>
                <w:highlight w:val="none"/>
              </w:rPr>
            </w:pPr>
            <w:r>
              <w:rPr>
                <w:sz w:val="24"/>
                <w:highlight w:val="none"/>
              </w:rPr>
              <w:t>月</w:t>
            </w:r>
          </w:p>
        </w:tc>
        <w:tc>
          <w:tcPr>
            <w:tcW w:w="1620" w:type="dxa"/>
          </w:tcPr>
          <w:p>
            <w:pPr>
              <w:pStyle w:val="54"/>
              <w:spacing w:line="334" w:lineRule="exact"/>
              <w:ind w:left="179"/>
              <w:rPr>
                <w:sz w:val="24"/>
                <w:highlight w:val="none"/>
              </w:rPr>
            </w:pPr>
            <w:r>
              <w:rPr>
                <w:sz w:val="24"/>
                <w:highlight w:val="none"/>
              </w:rPr>
              <w:t>日</w:t>
            </w:r>
          </w:p>
        </w:tc>
        <w:tc>
          <w:tcPr>
            <w:tcW w:w="3890" w:type="dxa"/>
          </w:tcPr>
          <w:p>
            <w:pPr>
              <w:pStyle w:val="54"/>
              <w:rPr>
                <w:rFonts w:ascii="Times New Roman"/>
                <w:sz w:val="22"/>
                <w:highlight w:val="none"/>
              </w:rPr>
            </w:pPr>
          </w:p>
        </w:tc>
      </w:tr>
    </w:tbl>
    <w:p>
      <w:pPr>
        <w:spacing w:line="460" w:lineRule="exact"/>
        <w:ind w:firstLine="495"/>
        <w:rPr>
          <w:highlight w:val="none"/>
        </w:rPr>
      </w:pPr>
    </w:p>
    <w:p>
      <w:pPr>
        <w:pStyle w:val="2"/>
        <w:numPr>
          <w:ilvl w:val="0"/>
          <w:numId w:val="0"/>
        </w:numPr>
        <w:spacing w:before="0" w:after="0" w:line="360" w:lineRule="auto"/>
        <w:ind w:left="425"/>
        <w:jc w:val="both"/>
        <w:outlineLvl w:val="9"/>
        <w:rPr>
          <w:sz w:val="32"/>
          <w:szCs w:val="32"/>
          <w:highlight w:val="none"/>
        </w:rPr>
      </w:pPr>
    </w:p>
    <w:p>
      <w:pPr>
        <w:rPr>
          <w:rFonts w:ascii="仿宋" w:hAnsi="仿宋" w:eastAsia="仿宋" w:cs="仿宋"/>
          <w:highlight w:val="none"/>
        </w:rPr>
      </w:pPr>
    </w:p>
    <w:p>
      <w:pPr>
        <w:autoSpaceDE w:val="0"/>
        <w:autoSpaceDN w:val="0"/>
        <w:spacing w:line="360" w:lineRule="exact"/>
        <w:ind w:firstLine="767" w:firstLineChars="273"/>
        <w:jc w:val="center"/>
        <w:rPr>
          <w:rFonts w:hAnsi="宋体"/>
          <w:b/>
          <w:sz w:val="28"/>
          <w:szCs w:val="28"/>
          <w:highlight w:val="none"/>
        </w:rPr>
        <w:sectPr>
          <w:footerReference r:id="rId6" w:type="default"/>
          <w:pgSz w:w="11906" w:h="16838"/>
          <w:pgMar w:top="1247" w:right="1361" w:bottom="1247" w:left="1361" w:header="851" w:footer="851" w:gutter="0"/>
          <w:pgNumType w:fmt="decimal" w:start="1"/>
          <w:cols w:space="720" w:num="1"/>
          <w:docGrid w:type="lines" w:linePitch="312" w:charSpace="0"/>
        </w:sectPr>
      </w:pPr>
    </w:p>
    <w:p>
      <w:pPr>
        <w:spacing w:line="360" w:lineRule="auto"/>
        <w:jc w:val="center"/>
        <w:outlineLvl w:val="0"/>
        <w:rPr>
          <w:rFonts w:asciiTheme="minorEastAsia" w:hAnsiTheme="minorEastAsia" w:eastAsiaTheme="minorEastAsia"/>
          <w:b/>
          <w:sz w:val="36"/>
          <w:szCs w:val="36"/>
          <w:highlight w:val="none"/>
        </w:rPr>
      </w:pPr>
      <w:bookmarkStart w:id="79" w:name="_Toc5792"/>
      <w:r>
        <w:rPr>
          <w:rFonts w:hint="eastAsia" w:asciiTheme="minorEastAsia" w:hAnsiTheme="minorEastAsia" w:eastAsiaTheme="minorEastAsia"/>
          <w:b/>
          <w:sz w:val="36"/>
          <w:szCs w:val="36"/>
          <w:highlight w:val="none"/>
        </w:rPr>
        <w:t>第六章 投标文件格式</w:t>
      </w:r>
      <w:bookmarkEnd w:id="79"/>
    </w:p>
    <w:p>
      <w:pPr>
        <w:rPr>
          <w:rFonts w:ascii="宋体" w:hAnsi="宋体"/>
          <w:b/>
          <w:sz w:val="30"/>
          <w:szCs w:val="30"/>
          <w:highlight w:val="none"/>
        </w:rPr>
      </w:pPr>
    </w:p>
    <w:p>
      <w:pPr>
        <w:rPr>
          <w:rFonts w:ascii="宋体" w:hAnsi="宋体"/>
          <w:b/>
          <w:kern w:val="0"/>
          <w:sz w:val="28"/>
          <w:szCs w:val="28"/>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p>
    <w:p>
      <w:pPr>
        <w:spacing w:line="360" w:lineRule="auto"/>
        <w:rPr>
          <w:rFonts w:asciiTheme="minorEastAsia" w:hAnsiTheme="minorEastAsia" w:eastAsiaTheme="minorEastAsia"/>
          <w:b/>
          <w:sz w:val="30"/>
          <w:szCs w:val="30"/>
          <w:highlight w:val="none"/>
        </w:rPr>
      </w:pPr>
    </w:p>
    <w:p>
      <w:pPr>
        <w:jc w:val="center"/>
        <w:rPr>
          <w:rFonts w:hint="eastAsia" w:eastAsia="宋体"/>
          <w:sz w:val="44"/>
          <w:szCs w:val="44"/>
          <w:highlight w:val="none"/>
          <w:lang w:eastAsia="zh-CN"/>
        </w:rPr>
      </w:pPr>
      <w:r>
        <w:rPr>
          <w:rFonts w:hint="eastAsia"/>
          <w:sz w:val="44"/>
          <w:szCs w:val="44"/>
          <w:highlight w:val="none"/>
          <w:lang w:eastAsia="zh-CN"/>
        </w:rPr>
        <w:t>台州湾新区校园联网视频监控系统信号接入项目</w:t>
      </w:r>
    </w:p>
    <w:p>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TZYY-2311-005号</w:t>
      </w:r>
    </w:p>
    <w:p>
      <w:pPr>
        <w:pStyle w:val="24"/>
        <w:rPr>
          <w:highlight w:val="none"/>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pStyle w:val="24"/>
        <w:rPr>
          <w:highlight w:val="none"/>
        </w:rPr>
      </w:pP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w:t>
      </w: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地    址：</w:t>
      </w: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时    间：</w:t>
      </w:r>
    </w:p>
    <w:p>
      <w:pPr>
        <w:snapToGrid w:val="0"/>
        <w:spacing w:before="50" w:after="50" w:line="360" w:lineRule="auto"/>
        <w:rPr>
          <w:rFonts w:ascii="仿宋_GB2312" w:hAnsi="宋体" w:eastAsia="仿宋_GB2312"/>
          <w:b/>
          <w:sz w:val="36"/>
          <w:szCs w:val="36"/>
          <w:highlight w:val="none"/>
        </w:rPr>
      </w:pPr>
    </w:p>
    <w:p>
      <w:pPr>
        <w:pStyle w:val="10"/>
        <w:rPr>
          <w:rFonts w:ascii="仿宋_GB2312" w:hAnsi="宋体" w:eastAsia="仿宋_GB2312"/>
          <w:b/>
          <w:sz w:val="36"/>
          <w:szCs w:val="36"/>
          <w:highlight w:val="none"/>
        </w:rPr>
      </w:pPr>
    </w:p>
    <w:p>
      <w:pPr>
        <w:pStyle w:val="11"/>
        <w:ind w:firstLine="480"/>
        <w:rPr>
          <w:highlight w:val="none"/>
        </w:rPr>
      </w:pPr>
    </w:p>
    <w:p>
      <w:pPr>
        <w:pStyle w:val="6"/>
        <w:rPr>
          <w:rFonts w:ascii="仿宋_GB2312" w:hAnsi="宋体" w:eastAsia="仿宋_GB2312"/>
          <w:b/>
          <w:sz w:val="36"/>
          <w:szCs w:val="36"/>
          <w:highlight w:val="none"/>
        </w:rPr>
      </w:pPr>
    </w:p>
    <w:p>
      <w:pPr>
        <w:spacing w:line="360" w:lineRule="auto"/>
        <w:jc w:val="center"/>
        <w:rPr>
          <w:b/>
          <w:bCs/>
          <w:sz w:val="36"/>
          <w:szCs w:val="36"/>
          <w:highlight w:val="none"/>
        </w:rPr>
      </w:pPr>
      <w:r>
        <w:rPr>
          <w:rFonts w:hint="eastAsia"/>
          <w:b/>
          <w:bCs/>
          <w:sz w:val="36"/>
          <w:szCs w:val="36"/>
          <w:highlight w:val="none"/>
        </w:rPr>
        <w:t>目录</w:t>
      </w:r>
    </w:p>
    <w:p>
      <w:pPr>
        <w:spacing w:line="360" w:lineRule="auto"/>
        <w:ind w:firstLine="560" w:firstLineChars="200"/>
        <w:rPr>
          <w:sz w:val="28"/>
          <w:szCs w:val="36"/>
          <w:highlight w:val="none"/>
        </w:rPr>
      </w:pP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（1）投标声明书（附件1）；</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（2）授权委托书（法定代表人亲自办理投标事宜的，则无需提交；附件2）；</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（3）法人或者其他组织的营业执照等证明文件；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（4）具有依法缴纳税收和社会保障资金证明的承诺函（附件3）；</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（5）具有良好的商业信誉和健全的财务会计制度的承诺函（附件4）；</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（6）具有履行合同所必须的设备和专业技术能力的承诺函（附件5）；</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（7）需求响应表（附件6）；</w:t>
      </w:r>
    </w:p>
    <w:p>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（8）开标一览表（附件7）</w:t>
      </w:r>
      <w:r>
        <w:rPr>
          <w:rFonts w:hint="eastAsia" w:ascii="宋体" w:hAnsi="宋体" w:cs="宋体"/>
          <w:sz w:val="24"/>
          <w:highlight w:val="none"/>
          <w:lang w:eastAsia="zh-CN"/>
        </w:rPr>
        <w:t>。</w:t>
      </w:r>
    </w:p>
    <w:p>
      <w:pPr>
        <w:spacing w:line="360" w:lineRule="auto"/>
        <w:rPr>
          <w:rFonts w:ascii="宋体" w:hAnsi="宋体"/>
          <w:b/>
          <w:sz w:val="28"/>
          <w:highlight w:val="none"/>
        </w:rPr>
      </w:pPr>
    </w:p>
    <w:p>
      <w:pPr>
        <w:spacing w:line="360" w:lineRule="auto"/>
        <w:ind w:left="420"/>
        <w:rPr>
          <w:rFonts w:ascii="宋体" w:hAnsi="宋体"/>
          <w:b/>
          <w:sz w:val="28"/>
          <w:highlight w:val="none"/>
        </w:rPr>
      </w:pPr>
    </w:p>
    <w:p>
      <w:pPr>
        <w:pStyle w:val="34"/>
        <w:rPr>
          <w:rFonts w:ascii="宋体" w:hAnsi="宋体"/>
          <w:b/>
          <w:sz w:val="28"/>
          <w:highlight w:val="none"/>
        </w:rPr>
      </w:pPr>
    </w:p>
    <w:p>
      <w:pPr>
        <w:pStyle w:val="34"/>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rPr>
          <w:rFonts w:ascii="宋体" w:hAnsi="宋体"/>
          <w:b/>
          <w:sz w:val="28"/>
          <w:highlight w:val="none"/>
        </w:rPr>
      </w:pPr>
    </w:p>
    <w:p>
      <w:pPr>
        <w:pStyle w:val="2"/>
        <w:numPr>
          <w:ilvl w:val="0"/>
          <w:numId w:val="0"/>
        </w:numPr>
        <w:ind w:left="425"/>
        <w:jc w:val="both"/>
        <w:outlineLvl w:val="9"/>
        <w:rPr>
          <w:highlight w:val="none"/>
        </w:rPr>
      </w:pPr>
    </w:p>
    <w:p>
      <w:pPr>
        <w:rPr>
          <w:highlight w:val="none"/>
        </w:rPr>
      </w:pPr>
    </w:p>
    <w:p>
      <w:pPr>
        <w:pStyle w:val="6"/>
        <w:rPr>
          <w:rFonts w:ascii="宋体" w:hAnsi="宋体"/>
          <w:b/>
          <w:sz w:val="28"/>
          <w:highlight w:val="none"/>
        </w:rPr>
      </w:pPr>
    </w:p>
    <w:p>
      <w:pPr>
        <w:pStyle w:val="6"/>
        <w:rPr>
          <w:rFonts w:ascii="宋体" w:hAnsi="宋体"/>
          <w:b/>
          <w:sz w:val="28"/>
          <w:highlight w:val="none"/>
        </w:rPr>
      </w:pPr>
    </w:p>
    <w:p>
      <w:pPr>
        <w:pStyle w:val="6"/>
        <w:rPr>
          <w:rFonts w:ascii="宋体" w:hAnsi="宋体"/>
          <w:b/>
          <w:sz w:val="28"/>
          <w:highlight w:val="none"/>
        </w:rPr>
      </w:pPr>
    </w:p>
    <w:p>
      <w:pPr>
        <w:spacing w:line="312" w:lineRule="auto"/>
        <w:rPr>
          <w:rFonts w:ascii="宋体" w:hAnsi="宋体"/>
          <w:b/>
          <w:sz w:val="28"/>
          <w:highlight w:val="none"/>
        </w:rPr>
      </w:pPr>
      <w:r>
        <w:rPr>
          <w:rFonts w:hint="eastAsia" w:ascii="宋体" w:hAnsi="宋体"/>
          <w:b/>
          <w:sz w:val="28"/>
          <w:highlight w:val="none"/>
        </w:rPr>
        <w:t>附件1</w:t>
      </w:r>
    </w:p>
    <w:p>
      <w:pPr>
        <w:adjustRightInd w:val="0"/>
        <w:snapToGrid w:val="0"/>
        <w:spacing w:line="312" w:lineRule="auto"/>
        <w:ind w:right="480"/>
        <w:jc w:val="center"/>
        <w:rPr>
          <w:rFonts w:ascii="宋体" w:hAnsi="宋体"/>
          <w:b/>
          <w:kern w:val="0"/>
          <w:sz w:val="32"/>
          <w:szCs w:val="32"/>
          <w:highlight w:val="none"/>
          <w:lang w:val="zh-CN"/>
        </w:rPr>
      </w:pPr>
      <w:bookmarkStart w:id="80" w:name="_Toc30723_WPSOffice_Level1"/>
      <w:bookmarkStart w:id="81" w:name="_Toc31708_WPSOffice_Level1"/>
      <w:r>
        <w:rPr>
          <w:rFonts w:hint="eastAsia" w:ascii="宋体" w:hAnsi="宋体"/>
          <w:b/>
          <w:kern w:val="0"/>
          <w:sz w:val="32"/>
          <w:szCs w:val="32"/>
          <w:highlight w:val="none"/>
          <w:lang w:val="zh-CN"/>
        </w:rPr>
        <w:t>投标声明书</w:t>
      </w:r>
      <w:bookmarkEnd w:id="80"/>
      <w:bookmarkEnd w:id="81"/>
    </w:p>
    <w:p>
      <w:pPr>
        <w:snapToGrid w:val="0"/>
        <w:spacing w:before="156" w:beforeLines="50" w:after="50" w:line="312" w:lineRule="auto"/>
        <w:rPr>
          <w:rFonts w:ascii="宋体" w:hAnsi="宋体" w:cs="宋体"/>
          <w:kern w:val="0"/>
          <w:sz w:val="24"/>
          <w:highlight w:val="none"/>
        </w:rPr>
      </w:pPr>
      <w:r>
        <w:rPr>
          <w:rFonts w:hint="eastAsia" w:ascii="宋体" w:hAnsi="宋体" w:cs="宋体"/>
          <w:kern w:val="0"/>
          <w:sz w:val="24"/>
          <w:highlight w:val="none"/>
          <w:u w:val="single"/>
          <w:lang w:eastAsia="zh-CN"/>
        </w:rPr>
        <w:t>台州湾新区管理委员会</w:t>
      </w:r>
      <w:r>
        <w:rPr>
          <w:rFonts w:hint="eastAsia" w:ascii="宋体" w:hAnsi="宋体" w:cs="宋体"/>
          <w:kern w:val="0"/>
          <w:sz w:val="24"/>
          <w:highlight w:val="none"/>
        </w:rPr>
        <w:t>：</w:t>
      </w:r>
    </w:p>
    <w:p>
      <w:pPr>
        <w:snapToGrid w:val="0"/>
        <w:spacing w:line="360" w:lineRule="auto"/>
        <w:ind w:firstLine="480" w:firstLineChars="200"/>
        <w:rPr>
          <w:rFonts w:ascii="宋体" w:hAnsi="宋体" w:cs="宋体"/>
          <w:kern w:val="0"/>
          <w:sz w:val="24"/>
          <w:highlight w:val="none"/>
        </w:rPr>
      </w:pPr>
      <w:r>
        <w:rPr>
          <w:rFonts w:hint="eastAsia" w:ascii="宋体" w:hAnsi="宋体" w:cs="宋体"/>
          <w:color w:val="FF0000"/>
          <w:kern w:val="0"/>
          <w:sz w:val="24"/>
          <w:highlight w:val="none"/>
          <w:u w:val="single"/>
        </w:rPr>
        <w:t>（投标人名称）</w:t>
      </w:r>
      <w:r>
        <w:rPr>
          <w:rFonts w:hint="eastAsia" w:ascii="宋体" w:hAnsi="宋体" w:cs="宋体"/>
          <w:kern w:val="0"/>
          <w:sz w:val="24"/>
          <w:highlight w:val="none"/>
        </w:rPr>
        <w:t>系中华人民共和国合法企业，经营地址。</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color w:val="FF0000"/>
          <w:kern w:val="0"/>
          <w:sz w:val="24"/>
          <w:highlight w:val="none"/>
          <w:u w:val="single"/>
        </w:rPr>
        <w:t>（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w:t>
      </w:r>
      <w:r>
        <w:rPr>
          <w:rFonts w:hint="eastAsia" w:ascii="宋体" w:hAnsi="宋体" w:cs="宋体"/>
          <w:color w:val="FF0000"/>
          <w:kern w:val="0"/>
          <w:sz w:val="24"/>
          <w:highlight w:val="none"/>
          <w:u w:val="single"/>
        </w:rPr>
        <w:t>投标人名称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lang w:eastAsia="zh-CN"/>
        </w:rPr>
        <w:t>台州湾新区校园联网视频监控系统信号接入项目</w:t>
      </w:r>
      <w:r>
        <w:rPr>
          <w:rFonts w:hint="eastAsia" w:ascii="宋体" w:hAnsi="宋体" w:cs="宋体"/>
          <w:kern w:val="0"/>
          <w:sz w:val="24"/>
          <w:highlight w:val="none"/>
        </w:rPr>
        <w:t>）（编号为</w:t>
      </w:r>
      <w:r>
        <w:rPr>
          <w:rFonts w:hint="eastAsia" w:ascii="宋体" w:hAnsi="宋体" w:cs="宋体"/>
          <w:kern w:val="0"/>
          <w:sz w:val="24"/>
          <w:highlight w:val="none"/>
          <w:u w:val="single"/>
          <w:lang w:eastAsia="zh-CN"/>
        </w:rPr>
        <w:t>TZYY-2311-005号</w:t>
      </w:r>
      <w:r>
        <w:rPr>
          <w:rFonts w:hint="eastAsia" w:ascii="宋体" w:hAnsi="宋体" w:cs="宋体"/>
          <w:kern w:val="0"/>
          <w:sz w:val="24"/>
          <w:highlight w:val="none"/>
        </w:rPr>
        <w:t>）的投标，为此，我公司就本次投标有关事项郑重声明如下：</w:t>
      </w:r>
    </w:p>
    <w:p>
      <w:pPr>
        <w:numPr>
          <w:ilvl w:val="0"/>
          <w:numId w:val="19"/>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9"/>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9"/>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pPr>
        <w:numPr>
          <w:ilvl w:val="0"/>
          <w:numId w:val="19"/>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numPr>
          <w:ilvl w:val="0"/>
          <w:numId w:val="19"/>
        </w:numPr>
        <w:snapToGrid w:val="0"/>
        <w:spacing w:line="360" w:lineRule="auto"/>
        <w:ind w:left="5" w:firstLine="415"/>
        <w:rPr>
          <w:rFonts w:ascii="仿宋_GB2312" w:hAnsi="仿宋_GB2312" w:cs="仿宋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numPr>
          <w:ilvl w:val="0"/>
          <w:numId w:val="19"/>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法定代表人或投标人代表（签字</w:t>
      </w:r>
      <w:r>
        <w:rPr>
          <w:rFonts w:hint="eastAsia" w:ascii="宋体" w:hAnsi="宋体" w:cs="仿宋_GB2312"/>
          <w:color w:val="FF0000"/>
          <w:kern w:val="0"/>
          <w:sz w:val="24"/>
          <w:highlight w:val="none"/>
          <w:lang w:val="en-US" w:eastAsia="zh-CN"/>
        </w:rPr>
        <w:t>或签章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b/>
          <w:sz w:val="28"/>
          <w:highlight w:val="none"/>
        </w:rPr>
      </w:pPr>
      <w:r>
        <w:rPr>
          <w:rFonts w:hint="eastAsia" w:ascii="宋体" w:hAnsi="宋体" w:cs="仿宋_GB2312"/>
          <w:color w:val="FF0000"/>
          <w:kern w:val="0"/>
          <w:sz w:val="24"/>
          <w:highlight w:val="none"/>
          <w:lang w:val="zh-CN"/>
        </w:rPr>
        <w:t>日期：    年   月   日</w:t>
      </w:r>
    </w:p>
    <w:p>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pPr>
        <w:spacing w:line="360" w:lineRule="auto"/>
        <w:ind w:firstLine="321" w:firstLineChars="100"/>
        <w:jc w:val="center"/>
        <w:rPr>
          <w:rFonts w:hAnsi="宋体"/>
          <w:b/>
          <w:sz w:val="32"/>
          <w:szCs w:val="32"/>
          <w:highlight w:val="none"/>
          <w:u w:val="single"/>
        </w:rPr>
      </w:pPr>
      <w:bookmarkStart w:id="82" w:name="_Toc24373_WPSOffice_Level1"/>
      <w:bookmarkStart w:id="83" w:name="_Toc6870_WPSOffice_Level1"/>
      <w:r>
        <w:rPr>
          <w:b/>
          <w:sz w:val="32"/>
          <w:szCs w:val="32"/>
          <w:highlight w:val="none"/>
        </w:rPr>
        <w:t>授权</w:t>
      </w:r>
      <w:r>
        <w:rPr>
          <w:rFonts w:hint="eastAsia"/>
          <w:b/>
          <w:sz w:val="32"/>
          <w:szCs w:val="32"/>
          <w:highlight w:val="none"/>
        </w:rPr>
        <w:t>委托</w:t>
      </w:r>
      <w:r>
        <w:rPr>
          <w:b/>
          <w:sz w:val="32"/>
          <w:szCs w:val="32"/>
          <w:highlight w:val="none"/>
        </w:rPr>
        <w:t>书</w:t>
      </w:r>
      <w:bookmarkEnd w:id="82"/>
      <w:bookmarkEnd w:id="83"/>
    </w:p>
    <w:p>
      <w:pPr>
        <w:snapToGrid w:val="0"/>
        <w:spacing w:before="156" w:beforeLines="50" w:after="50" w:line="360" w:lineRule="auto"/>
        <w:rPr>
          <w:rFonts w:ascii="宋体" w:hAnsi="宋体" w:cs="宋体"/>
          <w:kern w:val="0"/>
          <w:sz w:val="24"/>
          <w:highlight w:val="none"/>
        </w:rPr>
      </w:pPr>
      <w:r>
        <w:rPr>
          <w:rFonts w:hint="eastAsia" w:ascii="宋体" w:hAnsi="宋体" w:cs="宋体"/>
          <w:kern w:val="0"/>
          <w:sz w:val="24"/>
          <w:highlight w:val="none"/>
          <w:u w:val="single"/>
          <w:lang w:eastAsia="zh-CN"/>
        </w:rPr>
        <w:t>台州湾新区管理委员会</w:t>
      </w:r>
      <w:r>
        <w:rPr>
          <w:rFonts w:hint="eastAsia" w:ascii="宋体" w:hAnsi="宋体" w:cs="宋体"/>
          <w:kern w:val="0"/>
          <w:sz w:val="24"/>
          <w:highlight w:val="none"/>
        </w:rPr>
        <w:t>：</w:t>
      </w:r>
    </w:p>
    <w:p>
      <w:pPr>
        <w:pStyle w:val="7"/>
        <w:spacing w:line="360" w:lineRule="auto"/>
        <w:ind w:firstLine="480" w:firstLineChars="200"/>
        <w:rPr>
          <w:rFonts w:hAnsi="宋体"/>
          <w:sz w:val="24"/>
          <w:highlight w:val="none"/>
        </w:rPr>
      </w:pPr>
      <w:r>
        <w:rPr>
          <w:rFonts w:hAnsi="宋体"/>
          <w:sz w:val="24"/>
          <w:highlight w:val="none"/>
          <w:u w:val="single"/>
        </w:rPr>
        <w:t xml:space="preserve">  （</w:t>
      </w:r>
      <w:r>
        <w:rPr>
          <w:rFonts w:hAnsi="宋体"/>
          <w:color w:val="FF0000"/>
          <w:sz w:val="24"/>
          <w:highlight w:val="none"/>
          <w:u w:val="single"/>
        </w:rPr>
        <w:t xml:space="preserve">投标人全称） </w:t>
      </w:r>
      <w:r>
        <w:rPr>
          <w:rFonts w:hAnsi="宋体"/>
          <w:sz w:val="24"/>
          <w:highlight w:val="none"/>
          <w:u w:val="single"/>
        </w:rPr>
        <w:t xml:space="preserve">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color w:val="FF0000"/>
          <w:sz w:val="24"/>
          <w:highlight w:val="none"/>
          <w:u w:val="single"/>
        </w:rPr>
        <w:t>（法定代表</w:t>
      </w:r>
      <w:r>
        <w:rPr>
          <w:rFonts w:hint="eastAsia" w:hAnsi="宋体"/>
          <w:color w:val="FF0000"/>
          <w:sz w:val="24"/>
          <w:highlight w:val="none"/>
          <w:u w:val="single"/>
        </w:rPr>
        <w:t>人</w:t>
      </w:r>
      <w:r>
        <w:rPr>
          <w:rFonts w:hint="eastAsia" w:ascii="Arial" w:hAnsi="Arial" w:cs="Arial"/>
          <w:color w:val="FF0000"/>
          <w:sz w:val="24"/>
          <w:highlight w:val="none"/>
          <w:u w:val="single"/>
        </w:rPr>
        <w:t>或营业执照中单位负责人</w:t>
      </w:r>
      <w:r>
        <w:rPr>
          <w:rFonts w:hAnsi="宋体"/>
          <w:color w:val="FF0000"/>
          <w:sz w:val="24"/>
          <w:highlight w:val="none"/>
          <w:u w:val="single"/>
        </w:rPr>
        <w:t>姓名）</w:t>
      </w:r>
      <w:r>
        <w:rPr>
          <w:rFonts w:hAnsi="宋体"/>
          <w:sz w:val="24"/>
          <w:highlight w:val="none"/>
          <w:u w:val="single"/>
        </w:rPr>
        <w:t xml:space="preserve"> </w:t>
      </w:r>
      <w:r>
        <w:rPr>
          <w:rFonts w:hAnsi="宋体"/>
          <w:sz w:val="24"/>
          <w:highlight w:val="none"/>
        </w:rPr>
        <w:t>授权</w:t>
      </w:r>
      <w:r>
        <w:rPr>
          <w:rFonts w:hint="eastAsia" w:hAnsi="宋体"/>
          <w:sz w:val="24"/>
          <w:highlight w:val="none"/>
          <w:u w:val="single"/>
        </w:rPr>
        <w:t xml:space="preserve">   </w:t>
      </w:r>
      <w:r>
        <w:rPr>
          <w:rFonts w:hint="eastAsia" w:hAnsi="宋体"/>
          <w:color w:val="FF0000"/>
          <w:sz w:val="24"/>
          <w:highlight w:val="none"/>
          <w:u w:val="single"/>
        </w:rPr>
        <w:t>（全权代表</w:t>
      </w:r>
      <w:r>
        <w:rPr>
          <w:rFonts w:hAnsi="宋体"/>
          <w:color w:val="FF0000"/>
          <w:sz w:val="24"/>
          <w:highlight w:val="none"/>
          <w:u w:val="single"/>
        </w:rPr>
        <w:t>姓名</w:t>
      </w:r>
      <w:r>
        <w:rPr>
          <w:rFonts w:hint="eastAsia" w:hAnsi="宋体"/>
          <w:color w:val="FF0000"/>
          <w:sz w:val="24"/>
          <w:highlight w:val="none"/>
          <w:u w:val="single"/>
        </w:rPr>
        <w:t>）</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hAnsi="宋体"/>
          <w:sz w:val="24"/>
          <w:highlight w:val="none"/>
          <w:u w:val="single"/>
          <w:lang w:eastAsia="zh-CN"/>
        </w:rPr>
        <w:t>台州湾新区校园联网视频监控系统信号接入项目</w:t>
      </w:r>
      <w:r>
        <w:rPr>
          <w:rFonts w:hint="eastAsia" w:hAnsi="宋体" w:cs="宋体"/>
          <w:kern w:val="0"/>
          <w:sz w:val="24"/>
          <w:highlight w:val="none"/>
        </w:rPr>
        <w:t>（编号为</w:t>
      </w:r>
      <w:r>
        <w:rPr>
          <w:rFonts w:hint="eastAsia" w:hAnsi="宋体" w:cs="宋体"/>
          <w:kern w:val="0"/>
          <w:sz w:val="24"/>
          <w:highlight w:val="none"/>
          <w:u w:val="single"/>
        </w:rPr>
        <w:t xml:space="preserve">   </w:t>
      </w:r>
      <w:r>
        <w:rPr>
          <w:rFonts w:hint="eastAsia" w:hAnsi="宋体" w:cs="宋体"/>
          <w:kern w:val="0"/>
          <w:sz w:val="24"/>
          <w:highlight w:val="none"/>
          <w:u w:val="single"/>
          <w:lang w:eastAsia="zh-CN"/>
        </w:rPr>
        <w:t>TZYY-2311-005号</w:t>
      </w:r>
      <w:r>
        <w:rPr>
          <w:rFonts w:hint="eastAsia"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pPr>
        <w:pStyle w:val="7"/>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7"/>
        <w:spacing w:line="360" w:lineRule="auto"/>
        <w:ind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color w:val="FF0000"/>
          <w:sz w:val="24"/>
          <w:highlight w:val="none"/>
        </w:rPr>
      </w:pPr>
      <w:r>
        <w:rPr>
          <w:rFonts w:hint="eastAsia" w:ascii="宋体"/>
          <w:color w:val="FF0000"/>
          <w:sz w:val="24"/>
          <w:highlight w:val="none"/>
        </w:rPr>
        <w:t>法定代表人</w:t>
      </w:r>
      <w:r>
        <w:rPr>
          <w:rFonts w:hint="eastAsia" w:ascii="宋体"/>
          <w:color w:val="FF0000"/>
          <w:sz w:val="24"/>
          <w:highlight w:val="none"/>
          <w:lang w:eastAsia="zh-CN"/>
        </w:rPr>
        <w:t>（</w:t>
      </w:r>
      <w:r>
        <w:rPr>
          <w:rFonts w:hint="eastAsia" w:ascii="宋体"/>
          <w:color w:val="FF0000"/>
          <w:sz w:val="24"/>
          <w:highlight w:val="none"/>
        </w:rPr>
        <w:t>签字或</w:t>
      </w:r>
      <w:r>
        <w:rPr>
          <w:rFonts w:hint="eastAsia" w:ascii="宋体"/>
          <w:color w:val="FF0000"/>
          <w:sz w:val="24"/>
          <w:highlight w:val="none"/>
          <w:lang w:val="en-US" w:eastAsia="zh-CN"/>
        </w:rPr>
        <w:t>签</w:t>
      </w:r>
      <w:r>
        <w:rPr>
          <w:rFonts w:hint="eastAsia" w:ascii="宋体"/>
          <w:color w:val="FF0000"/>
          <w:sz w:val="24"/>
          <w:highlight w:val="none"/>
        </w:rPr>
        <w:t>章</w:t>
      </w:r>
      <w:r>
        <w:rPr>
          <w:rFonts w:hint="eastAsia" w:ascii="宋体"/>
          <w:color w:val="FF0000"/>
          <w:sz w:val="24"/>
          <w:highlight w:val="none"/>
          <w:lang w:eastAsia="zh-CN"/>
        </w:rPr>
        <w:t>）</w:t>
      </w:r>
      <w:r>
        <w:rPr>
          <w:rFonts w:hint="eastAsia" w:ascii="宋体"/>
          <w:color w:val="FF0000"/>
          <w:sz w:val="24"/>
          <w:highlight w:val="none"/>
        </w:rPr>
        <w:t>：</w:t>
      </w:r>
    </w:p>
    <w:p>
      <w:pPr>
        <w:spacing w:line="360" w:lineRule="auto"/>
        <w:rPr>
          <w:color w:val="FF0000"/>
          <w:sz w:val="24"/>
          <w:highlight w:val="none"/>
        </w:rPr>
      </w:pPr>
      <w:r>
        <w:rPr>
          <w:rFonts w:hint="eastAsia" w:ascii="宋体"/>
          <w:color w:val="FF0000"/>
          <w:sz w:val="24"/>
          <w:highlight w:val="none"/>
        </w:rPr>
        <w:t>投标人全称（公章）：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25"/>
        <w:tblpPr w:leftFromText="180" w:rightFromText="180" w:vertAnchor="text" w:horzAnchor="page" w:tblpX="1767" w:tblpY="35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法定代表身份证</w:t>
            </w:r>
          </w:p>
        </w:tc>
      </w:tr>
    </w:tbl>
    <w:tbl>
      <w:tblPr>
        <w:tblStyle w:val="25"/>
        <w:tblpPr w:leftFromText="180" w:rightFromText="180" w:vertAnchor="text" w:horzAnchor="page" w:tblpX="6100" w:tblpY="364"/>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全权代表身份证</w:t>
            </w:r>
          </w:p>
        </w:tc>
      </w:tr>
    </w:tbl>
    <w:p>
      <w:pPr>
        <w:spacing w:line="360" w:lineRule="auto"/>
        <w:rPr>
          <w:b/>
          <w:sz w:val="24"/>
          <w:highlight w:val="none"/>
        </w:rPr>
      </w:pPr>
    </w:p>
    <w:p>
      <w:pPr>
        <w:spacing w:line="360" w:lineRule="auto"/>
        <w:rPr>
          <w:rFonts w:ascii="宋体"/>
          <w:sz w:val="24"/>
          <w:highlight w:val="none"/>
        </w:rPr>
      </w:pPr>
    </w:p>
    <w:p>
      <w:pPr>
        <w:rPr>
          <w:rFonts w:ascii="宋体" w:hAnsi="宋体"/>
          <w:b/>
          <w:sz w:val="28"/>
          <w:highlight w:val="none"/>
        </w:rPr>
      </w:pPr>
      <w:r>
        <w:rPr>
          <w:rFonts w:hint="eastAsia" w:ascii="宋体" w:hAnsi="宋体"/>
          <w:b/>
          <w:sz w:val="28"/>
          <w:highlight w:val="none"/>
        </w:rPr>
        <w:br w:type="page"/>
      </w:r>
      <w:bookmarkStart w:id="84" w:name="_Toc16825_WPSOffice_Level1"/>
      <w:bookmarkStart w:id="85" w:name="_Toc26389_WPSOffice_Level1"/>
      <w:bookmarkStart w:id="86" w:name="_Toc12331_WPSOffice_Level1"/>
    </w:p>
    <w:p>
      <w:pPr>
        <w:rPr>
          <w:rFonts w:ascii="宋体" w:hAnsi="宋体"/>
          <w:b/>
          <w:sz w:val="28"/>
          <w:highlight w:val="none"/>
        </w:rPr>
      </w:pPr>
      <w:r>
        <w:rPr>
          <w:rFonts w:hint="eastAsia" w:ascii="宋体" w:hAnsi="宋体"/>
          <w:b/>
          <w:sz w:val="28"/>
          <w:highlight w:val="none"/>
        </w:rPr>
        <w:t>附件3</w:t>
      </w:r>
    </w:p>
    <w:p>
      <w:pPr>
        <w:widowControl/>
        <w:adjustRightInd w:val="0"/>
        <w:snapToGrid w:val="0"/>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pPr>
        <w:widowControl/>
        <w:adjustRightInd w:val="0"/>
        <w:snapToGrid w:val="0"/>
        <w:jc w:val="center"/>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法定代表人或投标人代表（签字或签章）：</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pPr>
        <w:rPr>
          <w:rFonts w:ascii="宋体" w:hAnsi="宋体"/>
          <w:b/>
          <w:sz w:val="28"/>
          <w:highlight w:val="none"/>
        </w:rPr>
      </w:pPr>
      <w:r>
        <w:rPr>
          <w:rFonts w:hint="eastAsia" w:ascii="宋体" w:hAnsi="宋体"/>
          <w:b/>
          <w:sz w:val="28"/>
          <w:highlight w:val="none"/>
        </w:rPr>
        <w:br w:type="page"/>
      </w:r>
      <w:r>
        <w:rPr>
          <w:rFonts w:hint="eastAsia" w:ascii="宋体" w:hAnsi="宋体"/>
          <w:b/>
          <w:sz w:val="28"/>
          <w:highlight w:val="none"/>
        </w:rPr>
        <w:t>附件4</w:t>
      </w:r>
    </w:p>
    <w:p>
      <w:pPr>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pPr>
        <w:jc w:val="center"/>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hint="eastAsia"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法定代表人或投标人代表（签字或签章）：</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日期：    年   月   日</w:t>
      </w:r>
    </w:p>
    <w:p>
      <w:pPr>
        <w:jc w:val="center"/>
        <w:rPr>
          <w:rFonts w:ascii="宋体" w:hAnsi="宋体"/>
          <w:b/>
          <w:kern w:val="0"/>
          <w:sz w:val="32"/>
          <w:szCs w:val="32"/>
          <w:highlight w:val="none"/>
        </w:rPr>
      </w:pPr>
    </w:p>
    <w:p>
      <w:pPr>
        <w:jc w:val="center"/>
        <w:rPr>
          <w:rFonts w:ascii="宋体" w:hAnsi="宋体"/>
          <w:b/>
          <w:kern w:val="0"/>
          <w:sz w:val="32"/>
          <w:szCs w:val="32"/>
          <w:highlight w:val="none"/>
        </w:rPr>
      </w:pPr>
    </w:p>
    <w:p>
      <w:pPr>
        <w:rPr>
          <w:rFonts w:ascii="宋体" w:hAnsi="宋体"/>
          <w:b/>
          <w:kern w:val="0"/>
          <w:sz w:val="32"/>
          <w:szCs w:val="32"/>
          <w:highlight w:val="none"/>
        </w:rPr>
      </w:pPr>
      <w:r>
        <w:rPr>
          <w:rFonts w:ascii="宋体" w:hAnsi="宋体"/>
          <w:b/>
          <w:kern w:val="0"/>
          <w:sz w:val="32"/>
          <w:szCs w:val="32"/>
          <w:highlight w:val="none"/>
        </w:rPr>
        <w:br w:type="page"/>
      </w:r>
    </w:p>
    <w:p>
      <w:pPr>
        <w:jc w:val="left"/>
        <w:rPr>
          <w:rFonts w:ascii="宋体" w:hAnsi="宋体"/>
          <w:b/>
          <w:kern w:val="0"/>
          <w:sz w:val="32"/>
          <w:szCs w:val="32"/>
          <w:highlight w:val="none"/>
        </w:rPr>
      </w:pPr>
      <w:r>
        <w:rPr>
          <w:rFonts w:hint="eastAsia" w:ascii="宋体" w:hAnsi="宋体"/>
          <w:b/>
          <w:kern w:val="0"/>
          <w:sz w:val="32"/>
          <w:szCs w:val="32"/>
          <w:highlight w:val="none"/>
        </w:rPr>
        <w:t>附件5</w:t>
      </w:r>
    </w:p>
    <w:p>
      <w:pPr>
        <w:jc w:val="center"/>
        <w:rPr>
          <w:rFonts w:ascii="宋体" w:hAnsi="宋体"/>
          <w:b/>
          <w:sz w:val="28"/>
          <w:highlight w:val="none"/>
        </w:rPr>
      </w:pPr>
      <w:r>
        <w:rPr>
          <w:rFonts w:ascii="宋体" w:hAnsi="宋体"/>
          <w:b/>
          <w:kern w:val="0"/>
          <w:sz w:val="32"/>
          <w:szCs w:val="32"/>
          <w:highlight w:val="none"/>
        </w:rPr>
        <w:t>具有履行合同所必须的设备和专业技术能力的承诺函</w:t>
      </w:r>
    </w:p>
    <w:p>
      <w:pPr>
        <w:jc w:val="center"/>
        <w:rPr>
          <w:rFonts w:ascii="宋体" w:hAnsi="宋体"/>
          <w:b/>
          <w:sz w:val="28"/>
          <w:highlight w:val="none"/>
        </w:rPr>
      </w:pPr>
    </w:p>
    <w:p>
      <w:pPr>
        <w:widowControl/>
        <w:shd w:val="clear" w:color="auto" w:fill="FFFFFF"/>
        <w:snapToGrid w:val="0"/>
        <w:spacing w:after="50"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若我单位有幸成为</w:t>
      </w:r>
      <w:r>
        <w:rPr>
          <w:rFonts w:hint="eastAsia" w:ascii="宋体" w:hAnsi="宋体"/>
          <w:sz w:val="24"/>
          <w:highlight w:val="none"/>
          <w:u w:val="single"/>
          <w:lang w:eastAsia="zh-CN"/>
        </w:rPr>
        <w:t>台州湾新区校园联网视频监控系统信号接入项目</w:t>
      </w:r>
      <w:r>
        <w:rPr>
          <w:rFonts w:hint="eastAsia" w:hAnsi="宋体"/>
          <w:sz w:val="24"/>
          <w:highlight w:val="none"/>
        </w:rPr>
        <w:t>（</w:t>
      </w:r>
      <w:r>
        <w:rPr>
          <w:rFonts w:hint="eastAsia" w:ascii="宋体" w:hAnsi="宋体" w:cs="宋体"/>
          <w:kern w:val="0"/>
          <w:sz w:val="24"/>
          <w:highlight w:val="none"/>
        </w:rPr>
        <w:t>编号为</w:t>
      </w:r>
      <w:r>
        <w:rPr>
          <w:rFonts w:hint="eastAsia" w:ascii="宋体" w:hAnsi="宋体" w:cs="宋体"/>
          <w:kern w:val="0"/>
          <w:sz w:val="24"/>
          <w:highlight w:val="none"/>
          <w:u w:val="single"/>
          <w:lang w:eastAsia="zh-CN"/>
        </w:rPr>
        <w:t>TZYY-2311-005号</w:t>
      </w:r>
      <w:r>
        <w:rPr>
          <w:rFonts w:hint="eastAsia" w:hAnsi="宋体" w:cs="宋体"/>
          <w:kern w:val="0"/>
          <w:sz w:val="24"/>
          <w:highlight w:val="none"/>
        </w:rPr>
        <w:t>）</w:t>
      </w:r>
      <w:r>
        <w:rPr>
          <w:rFonts w:ascii="宋体" w:hAnsi="宋体"/>
          <w:kern w:val="0"/>
          <w:sz w:val="24"/>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法定代表人或投标人代表（签字或签章）：</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pPr>
        <w:jc w:val="center"/>
        <w:rPr>
          <w:sz w:val="52"/>
          <w:szCs w:val="52"/>
          <w:highlight w:val="none"/>
        </w:rPr>
      </w:pPr>
    </w:p>
    <w:p>
      <w:pPr>
        <w:jc w:val="center"/>
        <w:rPr>
          <w:sz w:val="52"/>
          <w:szCs w:val="52"/>
          <w:highlight w:val="none"/>
        </w:rPr>
      </w:pPr>
    </w:p>
    <w:p>
      <w:pPr>
        <w:jc w:val="center"/>
        <w:rPr>
          <w:sz w:val="52"/>
          <w:szCs w:val="52"/>
          <w:highlight w:val="none"/>
        </w:rPr>
      </w:pPr>
    </w:p>
    <w:p>
      <w:pPr>
        <w:rPr>
          <w:sz w:val="52"/>
          <w:szCs w:val="52"/>
          <w:highlight w:val="none"/>
        </w:rPr>
      </w:pPr>
    </w:p>
    <w:p>
      <w:pPr>
        <w:pStyle w:val="2"/>
        <w:numPr>
          <w:ilvl w:val="0"/>
          <w:numId w:val="0"/>
        </w:numPr>
        <w:jc w:val="both"/>
        <w:outlineLvl w:val="9"/>
        <w:rPr>
          <w:highlight w:val="none"/>
        </w:rPr>
      </w:pPr>
    </w:p>
    <w:p>
      <w:pPr>
        <w:jc w:val="center"/>
        <w:rPr>
          <w:sz w:val="52"/>
          <w:szCs w:val="52"/>
          <w:highlight w:val="none"/>
        </w:rPr>
      </w:pPr>
    </w:p>
    <w:p>
      <w:pPr>
        <w:pStyle w:val="2"/>
        <w:numPr>
          <w:ilvl w:val="0"/>
          <w:numId w:val="0"/>
        </w:numPr>
        <w:ind w:left="425"/>
        <w:jc w:val="both"/>
        <w:outlineLvl w:val="9"/>
        <w:rPr>
          <w:highlight w:val="none"/>
        </w:rPr>
      </w:pPr>
    </w:p>
    <w:p>
      <w:pPr>
        <w:rPr>
          <w:highlight w:val="none"/>
        </w:rPr>
      </w:pPr>
    </w:p>
    <w:bookmarkEnd w:id="84"/>
    <w:bookmarkEnd w:id="85"/>
    <w:bookmarkEnd w:id="86"/>
    <w:p>
      <w:pPr>
        <w:jc w:val="center"/>
        <w:rPr>
          <w:highlight w:val="none"/>
        </w:rPr>
      </w:pPr>
    </w:p>
    <w:p>
      <w:pPr>
        <w:jc w:val="left"/>
        <w:rPr>
          <w:rFonts w:ascii="宋体" w:hAnsi="宋体"/>
          <w:b/>
          <w:bCs/>
          <w:kern w:val="0"/>
          <w:sz w:val="32"/>
          <w:szCs w:val="32"/>
          <w:highlight w:val="none"/>
        </w:rPr>
      </w:pPr>
      <w:bookmarkStart w:id="87" w:name="_Toc26601_WPSOffice_Level1"/>
      <w:bookmarkStart w:id="88" w:name="_Toc12856_WPSOffice_Level1"/>
      <w:r>
        <w:rPr>
          <w:rFonts w:ascii="宋体" w:hAnsi="宋体"/>
          <w:b/>
          <w:bCs/>
          <w:kern w:val="0"/>
          <w:sz w:val="32"/>
          <w:szCs w:val="32"/>
          <w:highlight w:val="none"/>
        </w:rPr>
        <w:br w:type="page"/>
      </w:r>
    </w:p>
    <w:p>
      <w:pPr>
        <w:spacing w:line="360" w:lineRule="auto"/>
        <w:jc w:val="left"/>
        <w:rPr>
          <w:rFonts w:hint="eastAsia" w:ascii="宋体" w:hAnsi="宋体" w:eastAsia="宋体"/>
          <w:b/>
          <w:bCs/>
          <w:kern w:val="0"/>
          <w:sz w:val="32"/>
          <w:szCs w:val="32"/>
          <w:highlight w:val="none"/>
          <w:lang w:eastAsia="zh-CN"/>
        </w:rPr>
      </w:pPr>
      <w:r>
        <w:rPr>
          <w:rFonts w:hint="eastAsia" w:ascii="宋体" w:hAnsi="宋体"/>
          <w:b/>
          <w:bCs/>
          <w:kern w:val="0"/>
          <w:sz w:val="32"/>
          <w:szCs w:val="32"/>
          <w:highlight w:val="none"/>
        </w:rPr>
        <w:t>附件</w:t>
      </w:r>
      <w:r>
        <w:rPr>
          <w:rFonts w:hint="eastAsia" w:ascii="宋体" w:hAnsi="宋体"/>
          <w:b/>
          <w:bCs/>
          <w:kern w:val="0"/>
          <w:sz w:val="32"/>
          <w:szCs w:val="32"/>
          <w:highlight w:val="none"/>
          <w:lang w:val="en-US" w:eastAsia="zh-CN"/>
        </w:rPr>
        <w:t>6</w:t>
      </w:r>
    </w:p>
    <w:p>
      <w:pPr>
        <w:adjustRightInd w:val="0"/>
        <w:snapToGrid w:val="0"/>
        <w:ind w:firstLine="1205" w:firstLineChars="375"/>
        <w:jc w:val="center"/>
        <w:rPr>
          <w:rFonts w:hint="eastAsia" w:ascii="宋体" w:hAnsi="宋体" w:eastAsia="宋体"/>
          <w:b/>
          <w:kern w:val="0"/>
          <w:sz w:val="32"/>
          <w:szCs w:val="32"/>
          <w:highlight w:val="none"/>
          <w:lang w:eastAsia="zh-CN"/>
        </w:rPr>
      </w:pPr>
      <w:r>
        <w:rPr>
          <w:rFonts w:hint="eastAsia" w:ascii="宋体" w:hAnsi="宋体"/>
          <w:b/>
          <w:kern w:val="0"/>
          <w:sz w:val="32"/>
          <w:szCs w:val="32"/>
          <w:highlight w:val="none"/>
          <w:lang w:eastAsia="zh-CN"/>
        </w:rPr>
        <w:t>需求响应表</w:t>
      </w:r>
    </w:p>
    <w:p>
      <w:pPr>
        <w:adjustRightInd w:val="0"/>
        <w:snapToGrid w:val="0"/>
        <w:ind w:firstLine="1205" w:firstLineChars="375"/>
        <w:jc w:val="center"/>
        <w:rPr>
          <w:rFonts w:ascii="宋体" w:hAnsi="宋体"/>
          <w:b/>
          <w:kern w:val="0"/>
          <w:sz w:val="32"/>
          <w:szCs w:val="32"/>
          <w:highlight w:val="none"/>
        </w:rPr>
      </w:pPr>
    </w:p>
    <w:tbl>
      <w:tblPr>
        <w:tblStyle w:val="25"/>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4051"/>
        <w:gridCol w:w="2005"/>
        <w:gridCol w:w="124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8" w:type="pct"/>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序号</w:t>
            </w:r>
          </w:p>
        </w:tc>
        <w:tc>
          <w:tcPr>
            <w:tcW w:w="2277" w:type="pct"/>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u w:val="thick" w:color="FFFFFF"/>
              </w:rPr>
              <w:t>招标文件</w:t>
            </w:r>
            <w:r>
              <w:rPr>
                <w:rFonts w:ascii="宋体" w:hAnsi="宋体"/>
                <w:sz w:val="24"/>
                <w:highlight w:val="none"/>
              </w:rPr>
              <w:t>要求</w:t>
            </w:r>
          </w:p>
        </w:tc>
        <w:tc>
          <w:tcPr>
            <w:tcW w:w="1127" w:type="pct"/>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投标响应内容</w:t>
            </w:r>
          </w:p>
        </w:tc>
        <w:tc>
          <w:tcPr>
            <w:tcW w:w="698" w:type="pct"/>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响应情况</w:t>
            </w:r>
          </w:p>
        </w:tc>
        <w:tc>
          <w:tcPr>
            <w:tcW w:w="399" w:type="pct"/>
            <w:vAlign w:val="center"/>
          </w:tcPr>
          <w:p>
            <w:pPr>
              <w:adjustRightInd w:val="0"/>
              <w:snapToGrid w:val="0"/>
              <w:spacing w:before="100" w:beforeAutospacing="1" w:after="100" w:afterAutospacing="1"/>
              <w:jc w:val="center"/>
              <w:rPr>
                <w:rFonts w:ascii="宋体" w:hAnsi="宋体"/>
                <w:sz w:val="24"/>
                <w:highlight w:val="none"/>
              </w:rPr>
            </w:pPr>
            <w:r>
              <w:rPr>
                <w:rFonts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8" w:type="pct"/>
            <w:vAlign w:val="center"/>
          </w:tcPr>
          <w:p>
            <w:pPr>
              <w:adjustRightInd w:val="0"/>
              <w:snapToGrid w:val="0"/>
              <w:spacing w:before="100" w:beforeAutospacing="1" w:after="100" w:afterAutospacing="1"/>
              <w:jc w:val="center"/>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2277" w:type="pct"/>
            <w:vAlign w:val="center"/>
          </w:tcPr>
          <w:p>
            <w:pPr>
              <w:adjustRightInd w:val="0"/>
              <w:snapToGrid w:val="0"/>
              <w:spacing w:before="100" w:beforeAutospacing="1" w:after="100" w:afterAutospacing="1"/>
              <w:jc w:val="both"/>
              <w:rPr>
                <w:rFonts w:ascii="宋体" w:hAnsi="宋体"/>
                <w:b/>
                <w:bCs/>
                <w:sz w:val="21"/>
                <w:szCs w:val="21"/>
                <w:highlight w:val="none"/>
              </w:rPr>
            </w:pPr>
            <w:r>
              <w:rPr>
                <w:rFonts w:hint="default" w:ascii="宋体" w:hAnsi="宋体" w:eastAsia="宋体" w:cs="宋体"/>
                <w:b/>
                <w:bCs/>
                <w:color w:val="auto"/>
                <w:kern w:val="0"/>
                <w:sz w:val="21"/>
                <w:szCs w:val="21"/>
                <w:lang w:val="en-US" w:eastAsia="zh-CN" w:bidi="ar"/>
              </w:rPr>
              <w:t>▲视频联网网关必须具备与浙江省校园安全数字化管理平台的云台控制打通能力。具体要求：实现和浙江省校园安全数字化管理平台组织体系对接，按照省平台的组织编号进行视频的归集和视频上传，实现可以在浙江省平台控制学校云台摄像机的能力。签订合同前提供证明资料（如截图），未按要求提供的取消中标资格。</w:t>
            </w:r>
          </w:p>
        </w:tc>
        <w:tc>
          <w:tcPr>
            <w:tcW w:w="1127" w:type="pct"/>
            <w:vAlign w:val="center"/>
          </w:tcPr>
          <w:p>
            <w:pPr>
              <w:adjustRightInd w:val="0"/>
              <w:snapToGrid w:val="0"/>
              <w:spacing w:before="100" w:beforeAutospacing="1" w:after="100" w:afterAutospacing="1"/>
              <w:rPr>
                <w:rFonts w:ascii="宋体" w:hAnsi="宋体"/>
                <w:sz w:val="24"/>
                <w:highlight w:val="none"/>
              </w:rPr>
            </w:pPr>
          </w:p>
        </w:tc>
        <w:tc>
          <w:tcPr>
            <w:tcW w:w="698" w:type="pct"/>
            <w:vAlign w:val="center"/>
          </w:tcPr>
          <w:p>
            <w:pPr>
              <w:adjustRightInd w:val="0"/>
              <w:snapToGrid w:val="0"/>
              <w:spacing w:before="100" w:beforeAutospacing="1" w:after="100" w:afterAutospacing="1"/>
              <w:jc w:val="center"/>
              <w:rPr>
                <w:rFonts w:hint="eastAsia" w:ascii="宋体" w:hAnsi="宋体"/>
                <w:sz w:val="24"/>
                <w:highlight w:val="none"/>
                <w:lang w:val="en-US" w:eastAsia="zh-CN"/>
              </w:rPr>
            </w:pPr>
            <w:r>
              <w:rPr>
                <w:rFonts w:hint="eastAsia"/>
                <w:lang w:val="en-US" w:eastAsia="zh-CN"/>
              </w:rPr>
              <w:t>必须响应</w:t>
            </w:r>
          </w:p>
        </w:tc>
        <w:tc>
          <w:tcPr>
            <w:tcW w:w="399" w:type="pct"/>
            <w:vAlign w:val="center"/>
          </w:tcPr>
          <w:p>
            <w:pPr>
              <w:adjustRightInd w:val="0"/>
              <w:snapToGrid w:val="0"/>
              <w:spacing w:before="100" w:beforeAutospacing="1" w:after="100" w:afterAutospacing="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8" w:type="pct"/>
            <w:vAlign w:val="center"/>
          </w:tcPr>
          <w:p>
            <w:pPr>
              <w:bidi w:val="0"/>
              <w:jc w:val="center"/>
              <w:rPr>
                <w:rFonts w:hint="eastAsia" w:eastAsia="宋体"/>
                <w:lang w:val="en-US" w:eastAsia="zh-CN"/>
              </w:rPr>
            </w:pPr>
            <w:r>
              <w:rPr>
                <w:rFonts w:hint="eastAsia"/>
                <w:lang w:val="en-US" w:eastAsia="zh-CN"/>
              </w:rPr>
              <w:t>2</w:t>
            </w:r>
          </w:p>
        </w:tc>
        <w:tc>
          <w:tcPr>
            <w:tcW w:w="2277" w:type="pct"/>
            <w:vAlign w:val="center"/>
          </w:tcPr>
          <w:p>
            <w:pPr>
              <w:bidi w:val="0"/>
              <w:rPr>
                <w:b/>
                <w:bCs/>
                <w:sz w:val="21"/>
                <w:szCs w:val="21"/>
              </w:rPr>
            </w:pPr>
            <w:r>
              <w:rPr>
                <w:rFonts w:hint="default"/>
                <w:b/>
                <w:bCs/>
                <w:sz w:val="21"/>
                <w:szCs w:val="21"/>
                <w:lang w:val="en-US" w:eastAsia="zh-CN"/>
              </w:rPr>
              <w:t>▲无缝对接浙江省校园安全数字化管理平台，实现浙江省校园安全数字化平台上无插件播放。具体要求：实现和浙江省校园安全数字化管理平台组织体系对接，按照省平台的组织编号进行视频的归集和视频上传，实现可以提供的视频流可在浙江省平台无插件播放的能力</w:t>
            </w:r>
            <w:r>
              <w:rPr>
                <w:rFonts w:hint="eastAsia"/>
                <w:b/>
                <w:bCs/>
                <w:sz w:val="21"/>
                <w:szCs w:val="21"/>
                <w:lang w:val="en-US" w:eastAsia="zh-CN"/>
              </w:rPr>
              <w:t>。签订合同前提供证明资料（如截图），未按要求提供的取消中标资格。</w:t>
            </w:r>
          </w:p>
        </w:tc>
        <w:tc>
          <w:tcPr>
            <w:tcW w:w="1127" w:type="pct"/>
            <w:vAlign w:val="center"/>
          </w:tcPr>
          <w:p>
            <w:pPr>
              <w:bidi w:val="0"/>
            </w:pPr>
          </w:p>
        </w:tc>
        <w:tc>
          <w:tcPr>
            <w:tcW w:w="698" w:type="pct"/>
            <w:vAlign w:val="center"/>
          </w:tcPr>
          <w:p>
            <w:pPr>
              <w:bidi w:val="0"/>
              <w:rPr>
                <w:rFonts w:hint="eastAsia"/>
                <w:lang w:val="en-US" w:eastAsia="zh-CN"/>
              </w:rPr>
            </w:pPr>
            <w:r>
              <w:rPr>
                <w:rFonts w:hint="eastAsia"/>
                <w:lang w:val="en-US" w:eastAsia="zh-CN"/>
              </w:rPr>
              <w:t>必须响应</w:t>
            </w:r>
          </w:p>
        </w:tc>
        <w:tc>
          <w:tcPr>
            <w:tcW w:w="399" w:type="pct"/>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8" w:type="pct"/>
            <w:vAlign w:val="center"/>
          </w:tcPr>
          <w:p>
            <w:pPr>
              <w:bidi w:val="0"/>
              <w:jc w:val="center"/>
              <w:rPr>
                <w:rFonts w:hint="eastAsia" w:eastAsia="宋体"/>
                <w:lang w:val="en-US" w:eastAsia="zh-CN"/>
              </w:rPr>
            </w:pPr>
            <w:r>
              <w:rPr>
                <w:rFonts w:hint="eastAsia"/>
                <w:lang w:val="en-US" w:eastAsia="zh-CN"/>
              </w:rPr>
              <w:t>3</w:t>
            </w:r>
          </w:p>
        </w:tc>
        <w:tc>
          <w:tcPr>
            <w:tcW w:w="2277" w:type="pct"/>
            <w:vAlign w:val="center"/>
          </w:tcPr>
          <w:p>
            <w:pPr>
              <w:bidi w:val="0"/>
              <w:rPr>
                <w:b/>
                <w:bCs/>
                <w:sz w:val="21"/>
                <w:szCs w:val="21"/>
              </w:rPr>
            </w:pPr>
            <w:r>
              <w:rPr>
                <w:rFonts w:hint="default"/>
                <w:b/>
                <w:bCs/>
                <w:sz w:val="21"/>
                <w:szCs w:val="21"/>
                <w:lang w:val="en-US" w:eastAsia="zh-CN"/>
              </w:rPr>
              <w:t>▲授权管理:支持对接入系统的视频数量在线授权不少于400路</w:t>
            </w:r>
            <w:r>
              <w:rPr>
                <w:rFonts w:hint="eastAsia"/>
                <w:b/>
                <w:bCs/>
                <w:sz w:val="21"/>
                <w:szCs w:val="21"/>
                <w:lang w:val="en-US" w:eastAsia="zh-CN"/>
              </w:rPr>
              <w:t>。</w:t>
            </w:r>
          </w:p>
        </w:tc>
        <w:tc>
          <w:tcPr>
            <w:tcW w:w="1127" w:type="pct"/>
            <w:vAlign w:val="center"/>
          </w:tcPr>
          <w:p>
            <w:pPr>
              <w:bidi w:val="0"/>
            </w:pPr>
          </w:p>
        </w:tc>
        <w:tc>
          <w:tcPr>
            <w:tcW w:w="698" w:type="pct"/>
            <w:vAlign w:val="center"/>
          </w:tcPr>
          <w:p>
            <w:pPr>
              <w:bidi w:val="0"/>
              <w:rPr>
                <w:rFonts w:hint="eastAsia"/>
                <w:lang w:val="en-US" w:eastAsia="zh-CN"/>
              </w:rPr>
            </w:pPr>
            <w:r>
              <w:rPr>
                <w:rFonts w:hint="eastAsia"/>
                <w:lang w:val="en-US" w:eastAsia="zh-CN"/>
              </w:rPr>
              <w:t>必须响应</w:t>
            </w:r>
          </w:p>
        </w:tc>
        <w:tc>
          <w:tcPr>
            <w:tcW w:w="399" w:type="pct"/>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8" w:type="pct"/>
            <w:vAlign w:val="center"/>
          </w:tcPr>
          <w:p>
            <w:pPr>
              <w:bidi w:val="0"/>
              <w:jc w:val="center"/>
              <w:rPr>
                <w:rFonts w:hint="eastAsia" w:eastAsia="宋体"/>
                <w:lang w:val="en-US" w:eastAsia="zh-CN"/>
              </w:rPr>
            </w:pPr>
            <w:r>
              <w:rPr>
                <w:rFonts w:hint="eastAsia"/>
                <w:lang w:val="en-US" w:eastAsia="zh-CN"/>
              </w:rPr>
              <w:t>4</w:t>
            </w:r>
          </w:p>
        </w:tc>
        <w:tc>
          <w:tcPr>
            <w:tcW w:w="2277" w:type="pct"/>
            <w:vAlign w:val="center"/>
          </w:tcPr>
          <w:p>
            <w:pPr>
              <w:bidi w:val="0"/>
              <w:rPr>
                <w:b/>
                <w:bCs/>
                <w:sz w:val="21"/>
                <w:szCs w:val="21"/>
              </w:rPr>
            </w:pPr>
            <w:r>
              <w:rPr>
                <w:rFonts w:hint="eastAsia"/>
                <w:b/>
                <w:bCs/>
                <w:sz w:val="21"/>
                <w:szCs w:val="21"/>
                <w:lang w:val="en-US" w:eastAsia="zh-CN"/>
              </w:rPr>
              <w:t>付款方式：完成项目所有工作内容并通过验收合格之日起15日历天内一次性付清。</w:t>
            </w:r>
          </w:p>
        </w:tc>
        <w:tc>
          <w:tcPr>
            <w:tcW w:w="1127" w:type="pct"/>
            <w:vAlign w:val="center"/>
          </w:tcPr>
          <w:p>
            <w:pPr>
              <w:bidi w:val="0"/>
            </w:pPr>
          </w:p>
        </w:tc>
        <w:tc>
          <w:tcPr>
            <w:tcW w:w="698" w:type="pct"/>
            <w:vAlign w:val="center"/>
          </w:tcPr>
          <w:p>
            <w:pPr>
              <w:bidi w:val="0"/>
              <w:rPr>
                <w:rFonts w:hint="eastAsia"/>
                <w:lang w:val="en-US" w:eastAsia="zh-CN"/>
              </w:rPr>
            </w:pPr>
            <w:r>
              <w:rPr>
                <w:rFonts w:hint="eastAsia"/>
                <w:lang w:val="en-US" w:eastAsia="zh-CN"/>
              </w:rPr>
              <w:t>必须响应</w:t>
            </w:r>
          </w:p>
        </w:tc>
        <w:tc>
          <w:tcPr>
            <w:tcW w:w="399" w:type="pct"/>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8" w:type="pct"/>
            <w:vAlign w:val="center"/>
          </w:tcPr>
          <w:p>
            <w:pPr>
              <w:bidi w:val="0"/>
              <w:jc w:val="center"/>
              <w:rPr>
                <w:rFonts w:hint="default" w:eastAsia="宋体"/>
                <w:lang w:val="en-US" w:eastAsia="zh-CN"/>
              </w:rPr>
            </w:pPr>
            <w:r>
              <w:rPr>
                <w:rFonts w:hint="eastAsia"/>
                <w:lang w:val="en-US" w:eastAsia="zh-CN"/>
              </w:rPr>
              <w:t>5</w:t>
            </w:r>
          </w:p>
        </w:tc>
        <w:tc>
          <w:tcPr>
            <w:tcW w:w="2277" w:type="pct"/>
            <w:vAlign w:val="center"/>
          </w:tcPr>
          <w:p>
            <w:pPr>
              <w:bidi w:val="0"/>
              <w:rPr>
                <w:b/>
                <w:bCs/>
                <w:sz w:val="21"/>
                <w:szCs w:val="21"/>
              </w:rPr>
            </w:pPr>
            <w:r>
              <w:rPr>
                <w:rFonts w:hint="default"/>
                <w:b/>
                <w:bCs/>
                <w:sz w:val="21"/>
                <w:szCs w:val="21"/>
                <w:lang w:val="en-US" w:eastAsia="zh-CN"/>
              </w:rPr>
              <w:t>▲</w:t>
            </w:r>
            <w:r>
              <w:rPr>
                <w:rFonts w:hint="eastAsia"/>
                <w:b/>
                <w:bCs/>
                <w:sz w:val="21"/>
                <w:szCs w:val="21"/>
                <w:lang w:val="en-US" w:eastAsia="zh-CN"/>
              </w:rPr>
              <w:t>服务期：合同生效后7天内完成所有工作内容直至验收合格。</w:t>
            </w:r>
          </w:p>
        </w:tc>
        <w:tc>
          <w:tcPr>
            <w:tcW w:w="1127" w:type="pct"/>
            <w:vAlign w:val="center"/>
          </w:tcPr>
          <w:p>
            <w:pPr>
              <w:bidi w:val="0"/>
            </w:pPr>
          </w:p>
        </w:tc>
        <w:tc>
          <w:tcPr>
            <w:tcW w:w="698" w:type="pct"/>
            <w:vAlign w:val="center"/>
          </w:tcPr>
          <w:p>
            <w:pPr>
              <w:bidi w:val="0"/>
              <w:rPr>
                <w:rFonts w:hint="default"/>
                <w:lang w:val="en-US" w:eastAsia="zh-CN"/>
              </w:rPr>
            </w:pPr>
            <w:r>
              <w:rPr>
                <w:rFonts w:hint="eastAsia"/>
                <w:lang w:val="en-US" w:eastAsia="zh-CN"/>
              </w:rPr>
              <w:t>必须响应</w:t>
            </w:r>
          </w:p>
        </w:tc>
        <w:tc>
          <w:tcPr>
            <w:tcW w:w="399" w:type="pct"/>
            <w:vAlign w:val="center"/>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8" w:type="pct"/>
            <w:vAlign w:val="center"/>
          </w:tcPr>
          <w:p>
            <w:pPr>
              <w:bidi w:val="0"/>
              <w:jc w:val="center"/>
              <w:rPr>
                <w:rFonts w:hint="eastAsia" w:eastAsia="宋体"/>
                <w:lang w:eastAsia="zh-CN"/>
              </w:rPr>
            </w:pPr>
            <w:r>
              <w:rPr>
                <w:rFonts w:hint="eastAsia"/>
                <w:lang w:val="en-US" w:eastAsia="zh-CN"/>
              </w:rPr>
              <w:t>6</w:t>
            </w:r>
          </w:p>
        </w:tc>
        <w:tc>
          <w:tcPr>
            <w:tcW w:w="2277" w:type="pct"/>
            <w:vAlign w:val="center"/>
          </w:tcPr>
          <w:p>
            <w:pPr>
              <w:bidi w:val="0"/>
              <w:rPr>
                <w:rFonts w:hint="eastAsia"/>
                <w:b/>
                <w:bCs/>
                <w:sz w:val="21"/>
                <w:szCs w:val="21"/>
                <w:lang w:eastAsia="zh-CN"/>
              </w:rPr>
            </w:pPr>
            <w:r>
              <w:rPr>
                <w:rFonts w:hint="default"/>
                <w:b/>
                <w:bCs/>
                <w:sz w:val="21"/>
                <w:szCs w:val="21"/>
                <w:lang w:val="en-US" w:eastAsia="zh-CN"/>
              </w:rPr>
              <w:t>▲</w:t>
            </w:r>
            <w:r>
              <w:rPr>
                <w:rFonts w:hint="eastAsia"/>
                <w:b/>
                <w:bCs/>
                <w:sz w:val="21"/>
                <w:szCs w:val="21"/>
                <w:lang w:val="en-US" w:eastAsia="zh-CN"/>
              </w:rPr>
              <w:t>有关费用说明：本项目实施过程中可能涉及的因数据采集及对接所产生的费用已包含在总报价，</w:t>
            </w:r>
            <w:r>
              <w:rPr>
                <w:rFonts w:hint="default"/>
                <w:b/>
                <w:bCs/>
                <w:sz w:val="21"/>
                <w:szCs w:val="21"/>
                <w:lang w:val="en-US" w:eastAsia="zh-CN"/>
              </w:rPr>
              <w:t>台州湾新区智安校园平台</w:t>
            </w:r>
            <w:r>
              <w:rPr>
                <w:rFonts w:hint="eastAsia"/>
                <w:b/>
                <w:bCs/>
                <w:sz w:val="21"/>
                <w:szCs w:val="21"/>
                <w:lang w:val="en-US" w:eastAsia="zh-CN"/>
              </w:rPr>
              <w:t>的对接单位为浙江省公众信息产业有限公司。项目实施过程中所需的网关设备、布线、材料费、人工费、技术服务费等费用均包含在总报价内，采购人不再支付其它费用。</w:t>
            </w:r>
          </w:p>
        </w:tc>
        <w:tc>
          <w:tcPr>
            <w:tcW w:w="1127" w:type="pct"/>
            <w:vAlign w:val="center"/>
          </w:tcPr>
          <w:p>
            <w:pPr>
              <w:bidi w:val="0"/>
            </w:pPr>
          </w:p>
        </w:tc>
        <w:tc>
          <w:tcPr>
            <w:tcW w:w="698" w:type="pct"/>
            <w:vAlign w:val="center"/>
          </w:tcPr>
          <w:p>
            <w:pPr>
              <w:bidi w:val="0"/>
            </w:pPr>
            <w:r>
              <w:rPr>
                <w:rFonts w:hint="eastAsia"/>
                <w:lang w:val="en-US" w:eastAsia="zh-CN"/>
              </w:rPr>
              <w:t>必须响应</w:t>
            </w:r>
          </w:p>
        </w:tc>
        <w:tc>
          <w:tcPr>
            <w:tcW w:w="399" w:type="pct"/>
            <w:vAlign w:val="center"/>
          </w:tcPr>
          <w:p>
            <w:pPr>
              <w:bidi w:val="0"/>
            </w:pPr>
          </w:p>
        </w:tc>
      </w:tr>
    </w:tbl>
    <w:p>
      <w:pPr>
        <w:adjustRightInd w:val="0"/>
        <w:snapToGrid w:val="0"/>
        <w:jc w:val="left"/>
        <w:rPr>
          <w:rFonts w:ascii="宋体" w:hAnsi="宋体"/>
          <w:b/>
          <w:kern w:val="0"/>
          <w:szCs w:val="21"/>
          <w:highlight w:val="none"/>
        </w:rPr>
      </w:pPr>
      <w:r>
        <w:rPr>
          <w:rFonts w:hint="eastAsia" w:hAnsi="宋体"/>
          <w:b/>
          <w:bCs/>
          <w:color w:val="000000"/>
          <w:spacing w:val="0"/>
          <w:sz w:val="24"/>
          <w:szCs w:val="24"/>
        </w:rPr>
        <w:t>以上任意一项不满足的，均按响应无效处理。</w:t>
      </w:r>
      <w:r>
        <w:rPr>
          <w:rFonts w:hint="eastAsia" w:hAnsi="宋体"/>
          <w:b/>
          <w:bCs/>
          <w:color w:val="000000"/>
          <w:spacing w:val="0"/>
          <w:sz w:val="24"/>
          <w:szCs w:val="24"/>
          <w:lang w:val="en-US" w:eastAsia="zh-CN"/>
        </w:rPr>
        <w:t>评审时，供应商响应或承诺即可，无需提供证明资料</w:t>
      </w:r>
      <w:r>
        <w:rPr>
          <w:rFonts w:ascii="宋体" w:hAnsi="宋体"/>
          <w:b/>
          <w:szCs w:val="21"/>
          <w:highlight w:val="none"/>
        </w:rPr>
        <w:t>。</w:t>
      </w:r>
    </w:p>
    <w:bookmarkEnd w:id="87"/>
    <w:bookmarkEnd w:id="88"/>
    <w:p>
      <w:pPr>
        <w:spacing w:line="360" w:lineRule="auto"/>
        <w:ind w:left="420"/>
        <w:rPr>
          <w:rFonts w:ascii="宋体" w:hAnsi="宋体"/>
          <w:sz w:val="24"/>
          <w:highlight w:val="none"/>
          <w:u w:val="single"/>
        </w:rPr>
      </w:pPr>
      <w:r>
        <w:rPr>
          <w:rFonts w:hint="eastAsia" w:ascii="宋体" w:hAnsi="宋体"/>
          <w:sz w:val="24"/>
          <w:highlight w:val="none"/>
          <w:lang w:eastAsia="zh-CN"/>
        </w:rPr>
        <w:t>投标人（公章）</w:t>
      </w:r>
      <w:r>
        <w:rPr>
          <w:rFonts w:hint="eastAsia" w:ascii="宋体" w:hAnsi="宋体"/>
          <w:sz w:val="24"/>
          <w:highlight w:val="none"/>
        </w:rPr>
        <w:t>：</w:t>
      </w:r>
    </w:p>
    <w:p>
      <w:pPr>
        <w:spacing w:line="360" w:lineRule="auto"/>
        <w:ind w:firstLine="435"/>
        <w:rPr>
          <w:rFonts w:ascii="宋体" w:hAnsi="宋体"/>
          <w:sz w:val="24"/>
          <w:highlight w:val="none"/>
        </w:rPr>
      </w:pPr>
      <w:r>
        <w:rPr>
          <w:rFonts w:hint="eastAsia" w:ascii="宋体" w:hAnsi="宋体"/>
          <w:sz w:val="24"/>
          <w:highlight w:val="none"/>
          <w:lang w:eastAsia="zh-CN"/>
        </w:rPr>
        <w:t>法定代表人或投标人代表（签字或签章）</w:t>
      </w:r>
      <w:r>
        <w:rPr>
          <w:rFonts w:hint="eastAsia" w:ascii="宋体" w:hAnsi="宋体"/>
          <w:sz w:val="24"/>
          <w:highlight w:val="none"/>
        </w:rPr>
        <w:t>：</w:t>
      </w:r>
    </w:p>
    <w:p>
      <w:pPr>
        <w:spacing w:line="360" w:lineRule="auto"/>
        <w:ind w:firstLine="435"/>
        <w:rPr>
          <w:rFonts w:ascii="宋体" w:hAnsi="宋体"/>
          <w:b/>
          <w:sz w:val="28"/>
          <w:highlight w:val="none"/>
        </w:rPr>
      </w:pPr>
      <w:r>
        <w:rPr>
          <w:rFonts w:hint="eastAsia" w:ascii="宋体" w:hAnsi="宋体"/>
          <w:sz w:val="24"/>
          <w:highlight w:val="none"/>
        </w:rPr>
        <w:t>日        期：</w:t>
      </w:r>
    </w:p>
    <w:p>
      <w:pPr>
        <w:rPr>
          <w:rFonts w:ascii="宋体" w:hAnsi="宋体"/>
          <w:b/>
          <w:sz w:val="28"/>
          <w:highlight w:val="none"/>
        </w:rPr>
      </w:pPr>
      <w:r>
        <w:rPr>
          <w:rFonts w:hint="eastAsia" w:ascii="宋体" w:hAnsi="宋体"/>
          <w:b/>
          <w:sz w:val="28"/>
          <w:highlight w:val="none"/>
        </w:rPr>
        <w:br w:type="page"/>
      </w:r>
    </w:p>
    <w:p>
      <w:pPr>
        <w:spacing w:line="360" w:lineRule="auto"/>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7</w:t>
      </w:r>
    </w:p>
    <w:p>
      <w:pPr>
        <w:spacing w:line="360" w:lineRule="auto"/>
        <w:ind w:left="-2" w:hanging="2"/>
        <w:jc w:val="center"/>
        <w:rPr>
          <w:rFonts w:ascii="宋体" w:hAnsi="宋体"/>
          <w:b/>
          <w:sz w:val="32"/>
          <w:szCs w:val="32"/>
          <w:highlight w:val="none"/>
        </w:rPr>
      </w:pPr>
      <w:bookmarkStart w:id="89" w:name="_Toc16144_WPSOffice_Level1"/>
      <w:bookmarkStart w:id="90" w:name="_Toc30363_WPSOffice_Level1"/>
      <w:r>
        <w:rPr>
          <w:rFonts w:hint="eastAsia" w:ascii="宋体" w:hAnsi="宋体"/>
          <w:b/>
          <w:sz w:val="32"/>
          <w:szCs w:val="32"/>
          <w:highlight w:val="none"/>
        </w:rPr>
        <w:t xml:space="preserve">开标一览表 </w:t>
      </w:r>
      <w:bookmarkEnd w:id="89"/>
      <w:bookmarkEnd w:id="90"/>
    </w:p>
    <w:p>
      <w:pPr>
        <w:pStyle w:val="7"/>
        <w:spacing w:line="360" w:lineRule="auto"/>
        <w:ind w:firstLine="482" w:firstLineChars="200"/>
        <w:rPr>
          <w:rFonts w:hint="eastAsia" w:hAnsi="宋体" w:eastAsia="宋体"/>
          <w:b/>
          <w:sz w:val="24"/>
          <w:highlight w:val="none"/>
          <w:lang w:eastAsia="zh-CN"/>
        </w:rPr>
      </w:pPr>
      <w:r>
        <w:rPr>
          <w:rFonts w:hAnsi="宋体"/>
          <w:b/>
          <w:sz w:val="24"/>
          <w:highlight w:val="none"/>
        </w:rPr>
        <w:t>项目编号：</w:t>
      </w:r>
      <w:r>
        <w:rPr>
          <w:rFonts w:hint="eastAsia" w:hAnsi="宋体"/>
          <w:b/>
          <w:sz w:val="24"/>
          <w:highlight w:val="none"/>
          <w:lang w:eastAsia="zh-CN"/>
        </w:rPr>
        <w:t>TZYY-2311-005号</w:t>
      </w:r>
    </w:p>
    <w:p>
      <w:pPr>
        <w:pStyle w:val="47"/>
        <w:spacing w:line="360" w:lineRule="auto"/>
        <w:ind w:right="480" w:firstLine="482" w:firstLineChars="200"/>
        <w:jc w:val="left"/>
        <w:rPr>
          <w:rFonts w:hint="eastAsia" w:ascii="宋体" w:hAnsi="宋体" w:eastAsia="宋体"/>
          <w:sz w:val="24"/>
          <w:highlight w:val="none"/>
          <w:lang w:eastAsia="zh-CN"/>
        </w:rPr>
      </w:pPr>
      <w:r>
        <w:rPr>
          <w:rFonts w:hAnsi="宋体"/>
          <w:b/>
          <w:sz w:val="24"/>
          <w:highlight w:val="none"/>
        </w:rPr>
        <w:t>项目名称：</w:t>
      </w:r>
      <w:r>
        <w:rPr>
          <w:rFonts w:hint="eastAsia" w:ascii="宋体" w:hAnsi="宋体"/>
          <w:sz w:val="24"/>
          <w:highlight w:val="none"/>
        </w:rPr>
        <w:t xml:space="preserve"> </w:t>
      </w:r>
      <w:r>
        <w:rPr>
          <w:rFonts w:hint="eastAsia" w:ascii="宋体" w:hAnsi="宋体"/>
          <w:sz w:val="24"/>
          <w:highlight w:val="none"/>
          <w:lang w:eastAsia="zh-CN"/>
        </w:rPr>
        <w:t>台州湾新区校园联网视频监控系统信号接入项目</w:t>
      </w:r>
    </w:p>
    <w:p>
      <w:pPr>
        <w:pStyle w:val="47"/>
        <w:spacing w:line="360" w:lineRule="auto"/>
        <w:ind w:right="480" w:firstLine="480" w:firstLineChars="200"/>
        <w:jc w:val="right"/>
        <w:rPr>
          <w:rFonts w:hAnsi="宋体"/>
          <w:sz w:val="24"/>
          <w:highlight w:val="none"/>
        </w:rPr>
      </w:pPr>
      <w:r>
        <w:rPr>
          <w:rFonts w:hint="eastAsia" w:ascii="宋体" w:hAnsi="宋体"/>
          <w:sz w:val="24"/>
          <w:highlight w:val="none"/>
        </w:rPr>
        <w:t xml:space="preserve">                                [货币单位：人民币元]</w:t>
      </w:r>
    </w:p>
    <w:p>
      <w:pPr>
        <w:snapToGrid w:val="0"/>
        <w:spacing w:before="50" w:after="50" w:line="360" w:lineRule="auto"/>
        <w:jc w:val="left"/>
        <w:rPr>
          <w:rFonts w:hint="eastAsia" w:ascii="Arial" w:hAnsi="Arial" w:eastAsia="宋体" w:cs="Arial"/>
          <w:sz w:val="22"/>
          <w:szCs w:val="22"/>
          <w:highlight w:val="none"/>
          <w:lang w:eastAsia="zh-CN"/>
        </w:rPr>
      </w:pPr>
      <w:r>
        <w:rPr>
          <w:rFonts w:hint="eastAsia" w:ascii="Arial" w:hAnsi="Arial" w:cs="宋体"/>
          <w:sz w:val="22"/>
          <w:szCs w:val="22"/>
          <w:highlight w:val="none"/>
        </w:rPr>
        <w:t>致：</w:t>
      </w:r>
      <w:r>
        <w:rPr>
          <w:rFonts w:hint="eastAsia" w:ascii="Arial" w:hAnsi="Arial" w:cs="宋体"/>
          <w:sz w:val="22"/>
          <w:szCs w:val="22"/>
          <w:highlight w:val="none"/>
          <w:lang w:eastAsia="zh-CN"/>
        </w:rPr>
        <w:t>台州湾新区管理委员会</w:t>
      </w:r>
    </w:p>
    <w:p>
      <w:pPr>
        <w:snapToGrid w:val="0"/>
        <w:spacing w:line="360" w:lineRule="auto"/>
        <w:ind w:firstLine="440" w:firstLineChars="200"/>
        <w:jc w:val="left"/>
        <w:rPr>
          <w:rFonts w:ascii="新宋体" w:hAnsi="新宋体" w:eastAsia="新宋体"/>
          <w:szCs w:val="21"/>
          <w:highlight w:val="none"/>
        </w:rPr>
      </w:pPr>
      <w:r>
        <w:rPr>
          <w:rFonts w:ascii="Arial" w:hAnsi="Arial" w:cs="Arial"/>
          <w:sz w:val="22"/>
          <w:szCs w:val="22"/>
          <w:highlight w:val="none"/>
        </w:rPr>
        <w:t>经研究，我们决定参加</w:t>
      </w:r>
      <w:r>
        <w:rPr>
          <w:rFonts w:hint="eastAsia" w:ascii="Arial" w:hAnsi="Arial" w:cs="Arial"/>
          <w:sz w:val="22"/>
          <w:szCs w:val="22"/>
          <w:highlight w:val="none"/>
        </w:rPr>
        <w:t>你单位的</w:t>
      </w:r>
      <w:r>
        <w:rPr>
          <w:rFonts w:hint="eastAsia" w:ascii="宋体" w:hAnsi="宋体"/>
          <w:sz w:val="22"/>
          <w:szCs w:val="22"/>
          <w:highlight w:val="none"/>
          <w:u w:val="single"/>
          <w:lang w:eastAsia="zh-CN"/>
        </w:rPr>
        <w:t>台州湾新区校园联网视频监控系统信号接入项目</w:t>
      </w:r>
      <w:r>
        <w:rPr>
          <w:rFonts w:ascii="Arial" w:hAnsi="Arial" w:cs="Arial"/>
          <w:sz w:val="22"/>
          <w:szCs w:val="22"/>
          <w:highlight w:val="none"/>
        </w:rPr>
        <w:t>的</w:t>
      </w:r>
      <w:r>
        <w:rPr>
          <w:rFonts w:hint="eastAsia" w:ascii="Arial" w:hAnsi="Arial" w:cs="Arial"/>
          <w:sz w:val="22"/>
          <w:highlight w:val="none"/>
        </w:rPr>
        <w:t>招标</w:t>
      </w:r>
      <w:r>
        <w:rPr>
          <w:rFonts w:ascii="Arial" w:hAnsi="Arial" w:cs="Arial"/>
          <w:sz w:val="22"/>
          <w:highlight w:val="none"/>
        </w:rPr>
        <w:t>采购活动并提交</w:t>
      </w:r>
      <w:r>
        <w:rPr>
          <w:rFonts w:hint="eastAsia" w:ascii="Arial" w:hAnsi="Arial" w:cs="Arial"/>
          <w:sz w:val="22"/>
          <w:highlight w:val="none"/>
        </w:rPr>
        <w:t>投标</w:t>
      </w:r>
      <w:r>
        <w:rPr>
          <w:rFonts w:ascii="Arial" w:hAnsi="Arial" w:cs="Arial"/>
          <w:sz w:val="22"/>
          <w:highlight w:val="none"/>
        </w:rPr>
        <w:t>文件。为此，我方郑重声明以下诸点，并负法律责任。</w:t>
      </w:r>
    </w:p>
    <w:p>
      <w:pPr>
        <w:pStyle w:val="12"/>
        <w:numPr>
          <w:ilvl w:val="0"/>
          <w:numId w:val="20"/>
        </w:numPr>
        <w:adjustRightInd w:val="0"/>
        <w:snapToGrid w:val="0"/>
        <w:spacing w:line="360" w:lineRule="auto"/>
        <w:ind w:left="0" w:leftChars="0" w:firstLine="440" w:firstLineChars="200"/>
        <w:rPr>
          <w:rFonts w:ascii="Arial" w:hAnsi="Arial" w:cs="Arial"/>
          <w:sz w:val="22"/>
          <w:szCs w:val="22"/>
          <w:highlight w:val="none"/>
        </w:rPr>
      </w:pPr>
      <w:r>
        <w:rPr>
          <w:rFonts w:ascii="Arial" w:hAnsi="Arial" w:cs="Arial"/>
          <w:sz w:val="22"/>
          <w:szCs w:val="22"/>
          <w:highlight w:val="none"/>
        </w:rPr>
        <w:t>如果我们的招标文件被接受，我们将履行招标文件中规定的每一项要求，并按我们投标文件中的承诺按期、按质、按量提供服务。</w:t>
      </w:r>
    </w:p>
    <w:p>
      <w:pPr>
        <w:pStyle w:val="12"/>
        <w:numPr>
          <w:ilvl w:val="0"/>
          <w:numId w:val="20"/>
        </w:numPr>
        <w:adjustRightInd w:val="0"/>
        <w:snapToGrid w:val="0"/>
        <w:spacing w:line="360" w:lineRule="auto"/>
        <w:ind w:left="0" w:leftChars="0" w:firstLine="440" w:firstLineChars="200"/>
        <w:rPr>
          <w:rFonts w:ascii="Arial" w:hAnsi="Arial" w:cs="Arial"/>
          <w:sz w:val="22"/>
          <w:szCs w:val="22"/>
          <w:highlight w:val="none"/>
        </w:rPr>
      </w:pPr>
      <w:r>
        <w:rPr>
          <w:rFonts w:ascii="Arial" w:hAnsi="Arial" w:cs="Arial"/>
          <w:sz w:val="22"/>
          <w:szCs w:val="22"/>
          <w:highlight w:val="none"/>
        </w:rPr>
        <w:t>我们同意按采购文件规定遵守采购人有关采购的各项规定。</w:t>
      </w:r>
    </w:p>
    <w:p>
      <w:pPr>
        <w:pStyle w:val="12"/>
        <w:numPr>
          <w:ilvl w:val="0"/>
          <w:numId w:val="20"/>
        </w:numPr>
        <w:adjustRightInd w:val="0"/>
        <w:snapToGrid w:val="0"/>
        <w:spacing w:line="360" w:lineRule="auto"/>
        <w:ind w:left="0" w:leftChars="0" w:firstLine="440" w:firstLineChars="200"/>
        <w:rPr>
          <w:rFonts w:ascii="Arial" w:hAnsi="Arial" w:cs="Arial"/>
          <w:sz w:val="22"/>
          <w:szCs w:val="22"/>
          <w:highlight w:val="none"/>
        </w:rPr>
      </w:pPr>
      <w:r>
        <w:rPr>
          <w:rFonts w:ascii="Arial" w:hAnsi="Arial" w:cs="Arial"/>
          <w:sz w:val="22"/>
          <w:szCs w:val="22"/>
          <w:highlight w:val="none"/>
        </w:rPr>
        <w:t>我方同意提供按照贵方可能要求的与投标有关的一切数据或资料，我方若未成为成交投标人，采购人有权不做任何解释。</w:t>
      </w:r>
    </w:p>
    <w:p>
      <w:pPr>
        <w:numPr>
          <w:ilvl w:val="0"/>
          <w:numId w:val="20"/>
        </w:numPr>
        <w:spacing w:line="360" w:lineRule="auto"/>
        <w:ind w:left="0" w:leftChars="0" w:firstLine="440" w:firstLineChars="200"/>
        <w:rPr>
          <w:rFonts w:ascii="宋体" w:hAnsi="宋体"/>
          <w:sz w:val="22"/>
          <w:szCs w:val="22"/>
          <w:highlight w:val="none"/>
        </w:rPr>
      </w:pPr>
      <w:r>
        <w:rPr>
          <w:rFonts w:hint="eastAsia" w:ascii="Arial" w:hAnsi="Arial" w:cs="Arial"/>
          <w:sz w:val="22"/>
          <w:szCs w:val="22"/>
          <w:highlight w:val="none"/>
        </w:rPr>
        <w:t>我方如果中标，将保证履行招标文件以及招标文件修改书（如有）中的全部责任和义务，按质、按量、按期完成《民法典》中的全部任务。</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宋体" w:hAnsi="宋体" w:eastAsia="宋体"/>
                <w:color w:val="FF0000"/>
                <w:szCs w:val="21"/>
                <w:highlight w:val="none"/>
                <w:lang w:val="en-US" w:eastAsia="zh-CN"/>
              </w:rPr>
            </w:pPr>
            <w:r>
              <w:rPr>
                <w:rFonts w:hint="eastAsia" w:ascii="宋体" w:hAnsi="宋体"/>
                <w:color w:val="FF0000"/>
                <w:szCs w:val="21"/>
                <w:highlight w:val="none"/>
                <w:lang w:val="en-US" w:eastAsia="zh-CN"/>
              </w:rPr>
              <w:t>保留整数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FF0000"/>
                <w:szCs w:val="21"/>
                <w:highlight w:val="none"/>
              </w:rPr>
            </w:pPr>
            <w:r>
              <w:rPr>
                <w:rFonts w:hint="eastAsia" w:ascii="宋体" w:hAnsi="宋体"/>
                <w:color w:val="FF0000"/>
                <w:szCs w:val="21"/>
                <w:highlight w:val="none"/>
                <w:lang w:val="en-US" w:eastAsia="zh-CN"/>
              </w:rPr>
              <w:t>保留整数</w:t>
            </w:r>
          </w:p>
        </w:tc>
      </w:tr>
    </w:tbl>
    <w:p>
      <w:pPr>
        <w:spacing w:line="360" w:lineRule="auto"/>
        <w:rPr>
          <w:rFonts w:ascii="宋体" w:hAnsi="宋体"/>
          <w:sz w:val="22"/>
          <w:szCs w:val="22"/>
          <w:highlight w:val="none"/>
        </w:rPr>
      </w:pPr>
      <w:r>
        <w:rPr>
          <w:rFonts w:hint="eastAsia" w:ascii="宋体" w:hAnsi="宋体"/>
          <w:b/>
          <w:sz w:val="22"/>
          <w:szCs w:val="22"/>
          <w:highlight w:val="none"/>
        </w:rPr>
        <w:t>填报要求：</w:t>
      </w:r>
      <w:r>
        <w:rPr>
          <w:rFonts w:hint="eastAsia" w:ascii="宋体" w:hAnsi="宋体"/>
          <w:sz w:val="22"/>
          <w:szCs w:val="22"/>
          <w:highlight w:val="none"/>
        </w:rPr>
        <w:t>投标报价是履行合同的最终价格，包含但不限于项目策划、竞赛组织和</w:t>
      </w:r>
      <w:r>
        <w:rPr>
          <w:rFonts w:hint="eastAsia" w:ascii="宋体" w:hAnsi="宋体"/>
          <w:sz w:val="22"/>
          <w:szCs w:val="22"/>
          <w:highlight w:val="none"/>
          <w:lang w:eastAsia="zh-CN"/>
        </w:rPr>
        <w:t>器材保障（含器材租赁费用）</w:t>
      </w:r>
      <w:r>
        <w:rPr>
          <w:rFonts w:hint="eastAsia" w:ascii="宋体" w:hAnsi="宋体"/>
          <w:sz w:val="22"/>
          <w:szCs w:val="22"/>
          <w:highlight w:val="none"/>
        </w:rPr>
        <w:t>、场地布置、赛事活动场景布置、奖牌和证书以及各类证件和资料的制作费用，以及裁判人员及其他工作人员的劳务费、午餐费用等有关的一切费用和价款。</w:t>
      </w:r>
    </w:p>
    <w:p>
      <w:pPr>
        <w:spacing w:line="360" w:lineRule="auto"/>
        <w:ind w:left="420"/>
        <w:rPr>
          <w:rFonts w:ascii="宋体" w:hAnsi="宋体"/>
          <w:sz w:val="22"/>
          <w:szCs w:val="22"/>
          <w:highlight w:val="none"/>
        </w:rPr>
      </w:pPr>
      <w:r>
        <w:rPr>
          <w:rFonts w:hint="eastAsia" w:ascii="宋体" w:hAnsi="宋体"/>
          <w:sz w:val="22"/>
          <w:szCs w:val="22"/>
          <w:highlight w:val="none"/>
        </w:rPr>
        <w:t>投标人（公章）：</w:t>
      </w:r>
    </w:p>
    <w:p>
      <w:pPr>
        <w:spacing w:line="360" w:lineRule="auto"/>
        <w:ind w:firstLine="435"/>
        <w:rPr>
          <w:rFonts w:ascii="宋体" w:hAnsi="宋体"/>
          <w:sz w:val="22"/>
          <w:szCs w:val="22"/>
          <w:highlight w:val="none"/>
        </w:rPr>
      </w:pPr>
      <w:r>
        <w:rPr>
          <w:rFonts w:hint="eastAsia" w:ascii="宋体" w:hAnsi="宋体"/>
          <w:sz w:val="22"/>
          <w:szCs w:val="22"/>
          <w:highlight w:val="none"/>
          <w:lang w:eastAsia="zh-CN"/>
        </w:rPr>
        <w:t>法定代表人或投标人代表（签字或签章）</w:t>
      </w:r>
      <w:r>
        <w:rPr>
          <w:rFonts w:hint="eastAsia" w:ascii="宋体" w:hAnsi="宋体"/>
          <w:sz w:val="22"/>
          <w:szCs w:val="22"/>
          <w:highlight w:val="none"/>
        </w:rPr>
        <w:t>：</w:t>
      </w:r>
    </w:p>
    <w:p>
      <w:pPr>
        <w:spacing w:line="360" w:lineRule="auto"/>
        <w:ind w:firstLine="435"/>
        <w:rPr>
          <w:highlight w:val="none"/>
        </w:rPr>
      </w:pPr>
      <w:r>
        <w:rPr>
          <w:rFonts w:hint="eastAsia" w:ascii="宋体" w:hAnsi="宋体"/>
          <w:sz w:val="22"/>
          <w:szCs w:val="22"/>
          <w:highlight w:val="none"/>
        </w:rPr>
        <w:t>日        期：</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tabs>
        <w:tab w:val="left" w:pos="454"/>
        <w:tab w:val="left" w:pos="720"/>
        <w:tab w:val="left" w:pos="1200"/>
        <w:tab w:val="clear" w:pos="360"/>
      </w:tabs>
      <w:spacing w:after="120"/>
      <w:ind w:left="48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pPr>
      <w:pStyle w:val="5"/>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B500ACA7"/>
    <w:multiLevelType w:val="singleLevel"/>
    <w:tmpl w:val="B500ACA7"/>
    <w:lvl w:ilvl="0" w:tentative="0">
      <w:start w:val="1"/>
      <w:numFmt w:val="decimal"/>
      <w:suff w:val="nothing"/>
      <w:lvlText w:val="%1．"/>
      <w:lvlJc w:val="left"/>
      <w:pPr>
        <w:ind w:left="0" w:firstLine="400"/>
      </w:pPr>
      <w:rPr>
        <w:rFonts w:hint="default"/>
      </w:rPr>
    </w:lvl>
  </w:abstractNum>
  <w:abstractNum w:abstractNumId="2">
    <w:nsid w:val="B7401FE6"/>
    <w:multiLevelType w:val="singleLevel"/>
    <w:tmpl w:val="B7401FE6"/>
    <w:lvl w:ilvl="0" w:tentative="0">
      <w:start w:val="1"/>
      <w:numFmt w:val="decimal"/>
      <w:lvlText w:val="%1."/>
      <w:lvlJc w:val="left"/>
      <w:pPr>
        <w:ind w:left="425" w:hanging="425"/>
      </w:pPr>
      <w:rPr>
        <w:rFonts w:hint="default"/>
      </w:rPr>
    </w:lvl>
  </w:abstractNum>
  <w:abstractNum w:abstractNumId="3">
    <w:nsid w:val="CFED0344"/>
    <w:multiLevelType w:val="singleLevel"/>
    <w:tmpl w:val="CFED0344"/>
    <w:lvl w:ilvl="0" w:tentative="0">
      <w:start w:val="1"/>
      <w:numFmt w:val="decimal"/>
      <w:suff w:val="nothing"/>
      <w:lvlText w:val="%1．"/>
      <w:lvlJc w:val="left"/>
      <w:pPr>
        <w:ind w:left="0" w:firstLine="400"/>
      </w:pPr>
      <w:rPr>
        <w:rFonts w:hint="default"/>
      </w:rPr>
    </w:lvl>
  </w:abstractNum>
  <w:abstractNum w:abstractNumId="4">
    <w:nsid w:val="D47909C4"/>
    <w:multiLevelType w:val="singleLevel"/>
    <w:tmpl w:val="D47909C4"/>
    <w:lvl w:ilvl="0" w:tentative="0">
      <w:start w:val="1"/>
      <w:numFmt w:val="decimalEnclosedCircleChinese"/>
      <w:suff w:val="nothing"/>
      <w:lvlText w:val="%1　"/>
      <w:lvlJc w:val="left"/>
      <w:pPr>
        <w:ind w:left="0" w:firstLine="400"/>
      </w:pPr>
      <w:rPr>
        <w:rFonts w:hint="eastAsia"/>
      </w:rPr>
    </w:lvl>
  </w:abstractNum>
  <w:abstractNum w:abstractNumId="5">
    <w:nsid w:val="DF48CB86"/>
    <w:multiLevelType w:val="singleLevel"/>
    <w:tmpl w:val="DF48CB86"/>
    <w:lvl w:ilvl="0" w:tentative="0">
      <w:start w:val="1"/>
      <w:numFmt w:val="chineseCounting"/>
      <w:suff w:val="nothing"/>
      <w:lvlText w:val="（%1）"/>
      <w:lvlJc w:val="left"/>
      <w:rPr>
        <w:rFonts w:hint="eastAsia"/>
      </w:rPr>
    </w:lvl>
  </w:abstractNum>
  <w:abstractNum w:abstractNumId="6">
    <w:nsid w:val="E7171C12"/>
    <w:multiLevelType w:val="singleLevel"/>
    <w:tmpl w:val="E7171C12"/>
    <w:lvl w:ilvl="0" w:tentative="0">
      <w:start w:val="1"/>
      <w:numFmt w:val="bullet"/>
      <w:pStyle w:val="8"/>
      <w:lvlText w:val=""/>
      <w:lvlJc w:val="left"/>
      <w:pPr>
        <w:tabs>
          <w:tab w:val="left" w:pos="360"/>
        </w:tabs>
        <w:ind w:left="360" w:hanging="360"/>
      </w:pPr>
      <w:rPr>
        <w:rFonts w:hint="default" w:ascii="Wingdings" w:hAnsi="Wingdings"/>
      </w:rPr>
    </w:lvl>
  </w:abstractNum>
  <w:abstractNum w:abstractNumId="7">
    <w:nsid w:val="F6A0EF69"/>
    <w:multiLevelType w:val="singleLevel"/>
    <w:tmpl w:val="F6A0EF69"/>
    <w:lvl w:ilvl="0" w:tentative="0">
      <w:start w:val="1"/>
      <w:numFmt w:val="chineseCounting"/>
      <w:suff w:val="nothing"/>
      <w:lvlText w:val="%1、"/>
      <w:lvlJc w:val="left"/>
      <w:pPr>
        <w:ind w:left="0" w:firstLine="420"/>
      </w:pPr>
      <w:rPr>
        <w:rFonts w:hint="eastAsia"/>
      </w:rPr>
    </w:lvl>
  </w:abstractNum>
  <w:abstractNum w:abstractNumId="8">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9">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10">
    <w:nsid w:val="1A1F5B35"/>
    <w:multiLevelType w:val="singleLevel"/>
    <w:tmpl w:val="1A1F5B35"/>
    <w:lvl w:ilvl="0" w:tentative="0">
      <w:start w:val="1"/>
      <w:numFmt w:val="decimal"/>
      <w:suff w:val="nothing"/>
      <w:lvlText w:val="%1．"/>
      <w:lvlJc w:val="left"/>
      <w:pPr>
        <w:ind w:left="0" w:firstLine="400"/>
      </w:pPr>
      <w:rPr>
        <w:rFonts w:hint="default"/>
      </w:rPr>
    </w:lvl>
  </w:abstractNum>
  <w:abstractNum w:abstractNumId="11">
    <w:nsid w:val="356F36B7"/>
    <w:multiLevelType w:val="singleLevel"/>
    <w:tmpl w:val="356F36B7"/>
    <w:lvl w:ilvl="0" w:tentative="0">
      <w:start w:val="1"/>
      <w:numFmt w:val="decimal"/>
      <w:suff w:val="nothing"/>
      <w:lvlText w:val="%1．"/>
      <w:lvlJc w:val="left"/>
      <w:pPr>
        <w:ind w:left="0" w:firstLine="400"/>
      </w:pPr>
      <w:rPr>
        <w:rFonts w:hint="default"/>
      </w:rPr>
    </w:lvl>
  </w:abstractNum>
  <w:abstractNum w:abstractNumId="12">
    <w:nsid w:val="461E5E94"/>
    <w:multiLevelType w:val="singleLevel"/>
    <w:tmpl w:val="461E5E94"/>
    <w:lvl w:ilvl="0" w:tentative="0">
      <w:start w:val="2"/>
      <w:numFmt w:val="chineseCounting"/>
      <w:suff w:val="space"/>
      <w:lvlText w:val="第%1章"/>
      <w:lvlJc w:val="left"/>
      <w:rPr>
        <w:rFonts w:hint="eastAsia"/>
      </w:rPr>
    </w:lvl>
  </w:abstractNum>
  <w:abstractNum w:abstractNumId="13">
    <w:nsid w:val="543C7488"/>
    <w:multiLevelType w:val="singleLevel"/>
    <w:tmpl w:val="543C7488"/>
    <w:lvl w:ilvl="0" w:tentative="0">
      <w:start w:val="1"/>
      <w:numFmt w:val="decimal"/>
      <w:suff w:val="nothing"/>
      <w:lvlText w:val="%1．"/>
      <w:lvlJc w:val="left"/>
      <w:pPr>
        <w:ind w:left="0" w:firstLine="400"/>
      </w:pPr>
      <w:rPr>
        <w:rFonts w:hint="default"/>
      </w:rPr>
    </w:lvl>
  </w:abstractNum>
  <w:abstractNum w:abstractNumId="14">
    <w:nsid w:val="5BE338C7"/>
    <w:multiLevelType w:val="singleLevel"/>
    <w:tmpl w:val="5BE338C7"/>
    <w:lvl w:ilvl="0" w:tentative="0">
      <w:start w:val="1"/>
      <w:numFmt w:val="decimal"/>
      <w:lvlText w:val="%1."/>
      <w:lvlJc w:val="left"/>
      <w:pPr>
        <w:ind w:left="425" w:hanging="425"/>
      </w:pPr>
      <w:rPr>
        <w:rFonts w:hint="default"/>
      </w:rPr>
    </w:lvl>
  </w:abstractNum>
  <w:abstractNum w:abstractNumId="15">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6">
    <w:nsid w:val="66DDD653"/>
    <w:multiLevelType w:val="singleLevel"/>
    <w:tmpl w:val="66DDD653"/>
    <w:lvl w:ilvl="0" w:tentative="0">
      <w:start w:val="1"/>
      <w:numFmt w:val="chineseCounting"/>
      <w:suff w:val="space"/>
      <w:lvlText w:val="第%1章"/>
      <w:lvlJc w:val="left"/>
      <w:rPr>
        <w:rFonts w:hint="eastAsia"/>
      </w:rPr>
    </w:lvl>
  </w:abstractNum>
  <w:abstractNum w:abstractNumId="17">
    <w:nsid w:val="678CFB24"/>
    <w:multiLevelType w:val="singleLevel"/>
    <w:tmpl w:val="678CFB24"/>
    <w:lvl w:ilvl="0" w:tentative="0">
      <w:start w:val="1"/>
      <w:numFmt w:val="chineseCounting"/>
      <w:suff w:val="nothing"/>
      <w:lvlText w:val="%1、"/>
      <w:lvlJc w:val="left"/>
      <w:rPr>
        <w:rFonts w:hint="eastAsia"/>
      </w:rPr>
    </w:lvl>
  </w:abstractNum>
  <w:abstractNum w:abstractNumId="18">
    <w:nsid w:val="6DEC3500"/>
    <w:multiLevelType w:val="singleLevel"/>
    <w:tmpl w:val="6DEC3500"/>
    <w:lvl w:ilvl="0" w:tentative="0">
      <w:start w:val="1"/>
      <w:numFmt w:val="decimal"/>
      <w:suff w:val="nothing"/>
      <w:lvlText w:val="%1．"/>
      <w:lvlJc w:val="left"/>
      <w:pPr>
        <w:ind w:left="0" w:firstLine="400"/>
      </w:pPr>
      <w:rPr>
        <w:rFonts w:hint="default"/>
      </w:rPr>
    </w:lvl>
  </w:abstractNum>
  <w:abstractNum w:abstractNumId="19">
    <w:nsid w:val="7C2B76DD"/>
    <w:multiLevelType w:val="singleLevel"/>
    <w:tmpl w:val="7C2B76DD"/>
    <w:lvl w:ilvl="0" w:tentative="0">
      <w:start w:val="1"/>
      <w:numFmt w:val="chineseCounting"/>
      <w:suff w:val="nothing"/>
      <w:lvlText w:val="（%1）"/>
      <w:lvlJc w:val="left"/>
      <w:pPr>
        <w:ind w:left="0" w:firstLine="420"/>
      </w:pPr>
      <w:rPr>
        <w:rFonts w:hint="eastAsia"/>
      </w:rPr>
    </w:lvl>
  </w:abstractNum>
  <w:num w:numId="1">
    <w:abstractNumId w:val="15"/>
  </w:num>
  <w:num w:numId="2">
    <w:abstractNumId w:val="9"/>
  </w:num>
  <w:num w:numId="3">
    <w:abstractNumId w:val="6"/>
  </w:num>
  <w:num w:numId="4">
    <w:abstractNumId w:val="0"/>
  </w:num>
  <w:num w:numId="5">
    <w:abstractNumId w:val="16"/>
  </w:num>
  <w:num w:numId="6">
    <w:abstractNumId w:val="12"/>
  </w:num>
  <w:num w:numId="7">
    <w:abstractNumId w:val="17"/>
  </w:num>
  <w:num w:numId="8">
    <w:abstractNumId w:val="5"/>
  </w:num>
  <w:num w:numId="9">
    <w:abstractNumId w:val="7"/>
  </w:num>
  <w:num w:numId="10">
    <w:abstractNumId w:val="10"/>
  </w:num>
  <w:num w:numId="11">
    <w:abstractNumId w:val="4"/>
  </w:num>
  <w:num w:numId="12">
    <w:abstractNumId w:val="11"/>
  </w:num>
  <w:num w:numId="13">
    <w:abstractNumId w:val="2"/>
  </w:num>
  <w:num w:numId="14">
    <w:abstractNumId w:val="19"/>
  </w:num>
  <w:num w:numId="15">
    <w:abstractNumId w:val="8"/>
  </w:num>
  <w:num w:numId="16">
    <w:abstractNumId w:val="3"/>
  </w:num>
  <w:num w:numId="17">
    <w:abstractNumId w:val="1"/>
  </w:num>
  <w:num w:numId="18">
    <w:abstractNumId w:val="18"/>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lNzliOTc2MTE2MWJhNTU3YjU5MjE4MDVkMGEwZDY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1C00F6"/>
    <w:rsid w:val="01270A4D"/>
    <w:rsid w:val="016D3648"/>
    <w:rsid w:val="017E2A82"/>
    <w:rsid w:val="01851778"/>
    <w:rsid w:val="01A729ED"/>
    <w:rsid w:val="01AE11E6"/>
    <w:rsid w:val="01B729F0"/>
    <w:rsid w:val="01E96BCD"/>
    <w:rsid w:val="01F53A09"/>
    <w:rsid w:val="01FC105B"/>
    <w:rsid w:val="020016E9"/>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47FFA"/>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0FDB3838"/>
    <w:rsid w:val="0FF5596E"/>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AF593C"/>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6F4445B"/>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080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031F94"/>
    <w:rsid w:val="1F2B54B6"/>
    <w:rsid w:val="1F2F246F"/>
    <w:rsid w:val="1F3E1D5D"/>
    <w:rsid w:val="1F6E3177"/>
    <w:rsid w:val="1F6F04BA"/>
    <w:rsid w:val="1F8129BD"/>
    <w:rsid w:val="20027E74"/>
    <w:rsid w:val="2024650C"/>
    <w:rsid w:val="204663FA"/>
    <w:rsid w:val="204D4D7A"/>
    <w:rsid w:val="20624FA2"/>
    <w:rsid w:val="206A1137"/>
    <w:rsid w:val="20835E3C"/>
    <w:rsid w:val="2084196D"/>
    <w:rsid w:val="20AA1825"/>
    <w:rsid w:val="20BB1EB1"/>
    <w:rsid w:val="20C3564F"/>
    <w:rsid w:val="21144C23"/>
    <w:rsid w:val="212A75E7"/>
    <w:rsid w:val="214E67BA"/>
    <w:rsid w:val="21593740"/>
    <w:rsid w:val="215C6880"/>
    <w:rsid w:val="215E5736"/>
    <w:rsid w:val="2163612C"/>
    <w:rsid w:val="217039C6"/>
    <w:rsid w:val="21754AF5"/>
    <w:rsid w:val="217E7700"/>
    <w:rsid w:val="218158E0"/>
    <w:rsid w:val="218F0080"/>
    <w:rsid w:val="21BA53F5"/>
    <w:rsid w:val="21E169EA"/>
    <w:rsid w:val="21F91F85"/>
    <w:rsid w:val="220A22AB"/>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6F11F9"/>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C74740"/>
    <w:rsid w:val="30FE64F4"/>
    <w:rsid w:val="310D00D7"/>
    <w:rsid w:val="31441D74"/>
    <w:rsid w:val="314A5A0E"/>
    <w:rsid w:val="31673989"/>
    <w:rsid w:val="31682139"/>
    <w:rsid w:val="319957F6"/>
    <w:rsid w:val="31C036D0"/>
    <w:rsid w:val="31C90302"/>
    <w:rsid w:val="31D953B1"/>
    <w:rsid w:val="31E97D6B"/>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4246"/>
    <w:rsid w:val="34D7618A"/>
    <w:rsid w:val="34FE589B"/>
    <w:rsid w:val="3529493E"/>
    <w:rsid w:val="35330B48"/>
    <w:rsid w:val="353B29E7"/>
    <w:rsid w:val="354E7EDA"/>
    <w:rsid w:val="355D4407"/>
    <w:rsid w:val="3562042D"/>
    <w:rsid w:val="35776DE5"/>
    <w:rsid w:val="35850AE6"/>
    <w:rsid w:val="35A74497"/>
    <w:rsid w:val="35A74E2B"/>
    <w:rsid w:val="35A94199"/>
    <w:rsid w:val="35B05630"/>
    <w:rsid w:val="35BD2339"/>
    <w:rsid w:val="35C33EC5"/>
    <w:rsid w:val="35C81BD5"/>
    <w:rsid w:val="35CF6801"/>
    <w:rsid w:val="35DE1818"/>
    <w:rsid w:val="35ED404E"/>
    <w:rsid w:val="36243C2B"/>
    <w:rsid w:val="363F2605"/>
    <w:rsid w:val="36475152"/>
    <w:rsid w:val="365674EF"/>
    <w:rsid w:val="366E5884"/>
    <w:rsid w:val="367134DE"/>
    <w:rsid w:val="367729D2"/>
    <w:rsid w:val="36787E34"/>
    <w:rsid w:val="3692435D"/>
    <w:rsid w:val="36A82362"/>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1146B5"/>
    <w:rsid w:val="3B2552D7"/>
    <w:rsid w:val="3B3F7D03"/>
    <w:rsid w:val="3B714455"/>
    <w:rsid w:val="3B844B5E"/>
    <w:rsid w:val="3B970D6B"/>
    <w:rsid w:val="3BDD7DCA"/>
    <w:rsid w:val="3BE51125"/>
    <w:rsid w:val="3BE90506"/>
    <w:rsid w:val="3BEB6832"/>
    <w:rsid w:val="3BF178CC"/>
    <w:rsid w:val="3BFA2E9E"/>
    <w:rsid w:val="3C40766B"/>
    <w:rsid w:val="3C476B61"/>
    <w:rsid w:val="3C5617AD"/>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17FD5"/>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32864"/>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833747"/>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6B2D25"/>
    <w:rsid w:val="4A8E7B4C"/>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61FFC"/>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4FFC6436"/>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403220"/>
    <w:rsid w:val="555B4C1C"/>
    <w:rsid w:val="55665E4B"/>
    <w:rsid w:val="557564F8"/>
    <w:rsid w:val="557C6AE7"/>
    <w:rsid w:val="55A0704C"/>
    <w:rsid w:val="55A923B9"/>
    <w:rsid w:val="55D37E92"/>
    <w:rsid w:val="55D70990"/>
    <w:rsid w:val="55DD38ED"/>
    <w:rsid w:val="55E72D6A"/>
    <w:rsid w:val="56125FF7"/>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5C1302"/>
    <w:rsid w:val="62C31135"/>
    <w:rsid w:val="62C76106"/>
    <w:rsid w:val="62CC474C"/>
    <w:rsid w:val="62CF4125"/>
    <w:rsid w:val="62FF72FE"/>
    <w:rsid w:val="63062FA0"/>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E9765C"/>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24E0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EA3AC1"/>
    <w:rsid w:val="69F431E5"/>
    <w:rsid w:val="69FB05D9"/>
    <w:rsid w:val="69FF30B1"/>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75023"/>
    <w:rsid w:val="6D886D51"/>
    <w:rsid w:val="6D98425A"/>
    <w:rsid w:val="6D9C4CB2"/>
    <w:rsid w:val="6DAC52D8"/>
    <w:rsid w:val="6DCC4C0D"/>
    <w:rsid w:val="6DE52F24"/>
    <w:rsid w:val="6E0D5193"/>
    <w:rsid w:val="6E1D3A64"/>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72092"/>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7"/>
    <w:qFormat/>
    <w:uiPriority w:val="0"/>
    <w:pPr>
      <w:ind w:firstLine="420"/>
    </w:pPr>
    <w:rPr>
      <w:szCs w:val="20"/>
    </w:rPr>
  </w:style>
  <w:style w:type="paragraph" w:styleId="7">
    <w:name w:val="Plain Text"/>
    <w:basedOn w:val="1"/>
    <w:link w:val="67"/>
    <w:qFormat/>
    <w:uiPriority w:val="0"/>
    <w:rPr>
      <w:rFonts w:ascii="宋体" w:hAnsi="Courier New" w:cstheme="minorBidi"/>
    </w:rPr>
  </w:style>
  <w:style w:type="paragraph" w:styleId="8">
    <w:name w:val="List Bullet"/>
    <w:basedOn w:val="1"/>
    <w:next w:val="1"/>
    <w:qFormat/>
    <w:uiPriority w:val="0"/>
    <w:pPr>
      <w:numPr>
        <w:ilvl w:val="0"/>
        <w:numId w:val="3"/>
      </w:numPr>
    </w:pPr>
  </w:style>
  <w:style w:type="paragraph" w:styleId="9">
    <w:name w:val="annotation text"/>
    <w:basedOn w:val="1"/>
    <w:link w:val="75"/>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
    <w:link w:val="77"/>
    <w:qFormat/>
    <w:uiPriority w:val="0"/>
    <w:pPr>
      <w:ind w:firstLine="200" w:firstLineChars="200"/>
    </w:pPr>
  </w:style>
  <w:style w:type="paragraph" w:styleId="12">
    <w:name w:val="Body Text Indent"/>
    <w:basedOn w:val="1"/>
    <w:next w:val="1"/>
    <w:qFormat/>
    <w:uiPriority w:val="0"/>
    <w:pPr>
      <w:spacing w:after="120"/>
      <w:ind w:left="420" w:leftChars="200"/>
    </w:pPr>
  </w:style>
  <w:style w:type="paragraph" w:styleId="13">
    <w:name w:val="List Bullet 2"/>
    <w:basedOn w:val="1"/>
    <w:next w:val="8"/>
    <w:qFormat/>
    <w:uiPriority w:val="0"/>
    <w:pPr>
      <w:numPr>
        <w:ilvl w:val="0"/>
        <w:numId w:val="4"/>
      </w:numPr>
    </w:p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ind w:left="2100" w:leftChars="1000"/>
    </w:pPr>
    <w:rPr>
      <w:rFonts w:ascii="Calibri" w:hAnsi="Calibri"/>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9"/>
    <w:next w:val="9"/>
    <w:link w:val="76"/>
    <w:qFormat/>
    <w:uiPriority w:val="0"/>
    <w:rPr>
      <w:b/>
      <w:bCs/>
    </w:rPr>
  </w:style>
  <w:style w:type="paragraph" w:styleId="24">
    <w:name w:val="Body Text First Indent 2"/>
    <w:basedOn w:val="12"/>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basedOn w:val="27"/>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10"/>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7"/>
    <w:qFormat/>
    <w:uiPriority w:val="0"/>
    <w:rPr>
      <w:rFonts w:hint="default" w:ascii="Arial" w:hAnsi="Arial" w:cs="Arial"/>
      <w:color w:val="000000"/>
      <w:sz w:val="20"/>
      <w:szCs w:val="20"/>
      <w:u w:val="none"/>
    </w:rPr>
  </w:style>
  <w:style w:type="character" w:customStyle="1" w:styleId="51">
    <w:name w:val="font01"/>
    <w:basedOn w:val="27"/>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7"/>
    <w:link w:val="15"/>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7"/>
    <w:qFormat/>
    <w:uiPriority w:val="0"/>
    <w:rPr>
      <w:rFonts w:ascii="宋体" w:hAnsi="Courier New" w:cstheme="minorBidi"/>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批注文字 字符"/>
    <w:basedOn w:val="27"/>
    <w:link w:val="9"/>
    <w:qFormat/>
    <w:uiPriority w:val="0"/>
    <w:rPr>
      <w:kern w:val="2"/>
      <w:sz w:val="21"/>
      <w:szCs w:val="24"/>
    </w:rPr>
  </w:style>
  <w:style w:type="character" w:customStyle="1" w:styleId="76">
    <w:name w:val="批注主题 字符"/>
    <w:basedOn w:val="75"/>
    <w:link w:val="23"/>
    <w:qFormat/>
    <w:uiPriority w:val="0"/>
    <w:rPr>
      <w:b/>
      <w:bCs/>
      <w:kern w:val="2"/>
      <w:sz w:val="21"/>
      <w:szCs w:val="24"/>
    </w:rPr>
  </w:style>
  <w:style w:type="character" w:customStyle="1" w:styleId="77">
    <w:name w:val="正文文本首行缩进 字符"/>
    <w:basedOn w:val="27"/>
    <w:link w:val="11"/>
    <w:qFormat/>
    <w:uiPriority w:val="0"/>
    <w:rPr>
      <w:kern w:val="2"/>
      <w:sz w:val="24"/>
      <w:szCs w:val="24"/>
    </w:rPr>
  </w:style>
  <w:style w:type="character" w:customStyle="1" w:styleId="78">
    <w:name w:val="Unresolved Mention"/>
    <w:basedOn w:val="27"/>
    <w:semiHidden/>
    <w:unhideWhenUsed/>
    <w:qFormat/>
    <w:uiPriority w:val="99"/>
    <w:rPr>
      <w:color w:val="605E5C"/>
      <w:shd w:val="clear" w:color="auto" w:fill="E1DFDD"/>
    </w:rPr>
  </w:style>
  <w:style w:type="paragraph" w:customStyle="1" w:styleId="79">
    <w:name w:val="[Normal]"/>
    <w:qFormat/>
    <w:uiPriority w:val="0"/>
    <w:rPr>
      <w:rFonts w:ascii="宋体" w:hAnsi="宋体" w:eastAsia="宋体" w:cs="Times New Roman"/>
      <w:sz w:val="24"/>
      <w:szCs w:val="22"/>
      <w:lang w:val="zh-CN" w:eastAsia="zh-CN" w:bidi="ar-SA"/>
    </w:rPr>
  </w:style>
  <w:style w:type="character" w:customStyle="1" w:styleId="80">
    <w:name w:val="font11"/>
    <w:basedOn w:val="27"/>
    <w:qFormat/>
    <w:uiPriority w:val="0"/>
    <w:rPr>
      <w:rFonts w:hint="eastAsia" w:ascii="宋体" w:hAnsi="宋体" w:eastAsia="宋体" w:cs="宋体"/>
      <w:color w:val="000000"/>
      <w:sz w:val="24"/>
      <w:szCs w:val="24"/>
      <w:u w:val="none"/>
    </w:rPr>
  </w:style>
  <w:style w:type="paragraph" w:customStyle="1" w:styleId="81">
    <w:name w:val="Default"/>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82">
    <w:name w:val="正文首行缩进 21"/>
    <w:basedOn w:val="83"/>
    <w:qFormat/>
    <w:uiPriority w:val="0"/>
    <w:pPr>
      <w:spacing w:after="120" w:line="240" w:lineRule="auto"/>
      <w:ind w:left="420" w:leftChars="200" w:firstLine="420" w:firstLineChars="200"/>
    </w:pPr>
    <w:rPr>
      <w:rFonts w:ascii="Times New Roman" w:hAnsi="Times New Roman"/>
      <w:spacing w:val="0"/>
      <w:sz w:val="21"/>
    </w:rPr>
  </w:style>
  <w:style w:type="paragraph" w:customStyle="1" w:styleId="83">
    <w:name w:val="正文文本缩进1"/>
    <w:basedOn w:val="1"/>
    <w:qFormat/>
    <w:uiPriority w:val="0"/>
    <w:pPr>
      <w:spacing w:line="200" w:lineRule="exact"/>
      <w:ind w:firstLine="301"/>
    </w:pPr>
    <w:rPr>
      <w:rFonts w:ascii="宋体" w:hAnsi="Courier New"/>
      <w:spacing w:val="-4"/>
      <w:sz w:val="1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42</Pages>
  <Words>19143</Words>
  <Characters>20857</Characters>
  <Lines>169</Lines>
  <Paragraphs>47</Paragraphs>
  <TotalTime>0</TotalTime>
  <ScaleCrop>false</ScaleCrop>
  <LinksUpToDate>false</LinksUpToDate>
  <CharactersWithSpaces>21593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周正辉</cp:lastModifiedBy>
  <cp:lastPrinted>2023-07-18T00:34:00Z</cp:lastPrinted>
  <dcterms:modified xsi:type="dcterms:W3CDTF">2023-11-20T06:53:08Z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3418B585375A4EB8A760B8FA57F525CD_13</vt:lpwstr>
  </property>
  <property fmtid="{D5CDD505-2E9C-101B-9397-08002B2CF9AE}" pid="4" name="commondata">
    <vt:lpwstr>eyJoZGlkIjoiZWM5NTczMTg4N2ExZWZmMDU0MmIxMDc2NTJiZjIxOTMifQ==</vt:lpwstr>
  </property>
</Properties>
</file>