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pPr>
        <w:pStyle w:val="78"/>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2024年度支撑（木棍、松木桩、毛竹）采购项目</w:t>
      </w:r>
    </w:p>
    <w:p>
      <w:pPr>
        <w:pStyle w:val="78"/>
        <w:jc w:val="center"/>
        <w:rPr>
          <w:rFonts w:hint="eastAsia"/>
          <w:b/>
          <w:bCs/>
          <w:color w:val="000000" w:themeColor="text1"/>
          <w:sz w:val="36"/>
          <w:szCs w:val="40"/>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eastAsia="zh-CN"/>
          <w14:textFill>
            <w14:solidFill>
              <w14:schemeClr w14:val="tx1"/>
            </w14:solidFill>
          </w14:textFill>
        </w:rPr>
        <w:t>QBJ2023239</w:t>
      </w:r>
    </w:p>
    <w:p>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采购人：</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台州市城市园林工程有限公司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14:textFill>
            <w14:solidFill>
              <w14:schemeClr w14:val="tx1"/>
            </w14:solidFill>
          </w14:textFill>
        </w:rPr>
        <w:t xml:space="preserve"> </w:t>
      </w:r>
      <w:r>
        <w:rPr>
          <w:rFonts w:hAnsi="宋体"/>
          <w:color w:val="000000" w:themeColor="text1"/>
          <w:sz w:val="28"/>
          <w:highlight w:val="none"/>
          <w:u w:val="single"/>
          <w14:textFill>
            <w14:solidFill>
              <w14:schemeClr w14:val="tx1"/>
            </w14:solidFill>
          </w14:textFill>
        </w:rPr>
        <w:t xml:space="preserve"> </w:t>
      </w:r>
      <w:r>
        <w:rPr>
          <w:rFonts w:hint="eastAsia" w:hAnsi="宋体"/>
          <w:color w:val="000000" w:themeColor="text1"/>
          <w:sz w:val="28"/>
          <w:highlight w:val="none"/>
          <w:u w:val="single"/>
          <w14:textFill>
            <w14:solidFill>
              <w14:schemeClr w14:val="tx1"/>
            </w14:solidFill>
          </w14:textFill>
        </w:rPr>
        <w:t>唐女士</w:t>
      </w:r>
      <w:r>
        <w:rPr>
          <w:rFonts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14:textFill>
            <w14:solidFill>
              <w14:schemeClr w14:val="tx1"/>
            </w14:solidFill>
          </w14:textFill>
        </w:rPr>
        <w:t>0576-88528720</w:t>
      </w:r>
      <w:r>
        <w:rPr>
          <w:rFonts w:hAnsi="宋体"/>
          <w:color w:val="000000" w:themeColor="text1"/>
          <w:sz w:val="28"/>
          <w:highlight w:val="none"/>
          <w:u w:val="single"/>
          <w14:textFill>
            <w14:solidFill>
              <w14:schemeClr w14:val="tx1"/>
            </w14:solidFill>
          </w14:textFill>
        </w:rPr>
        <w:t xml:space="preserve"> </w:t>
      </w:r>
    </w:p>
    <w:p>
      <w:pPr>
        <w:pStyle w:val="14"/>
        <w:numPr>
          <w:ilvl w:val="0"/>
          <w:numId w:val="0"/>
        </w:numPr>
        <w:rPr>
          <w:color w:val="000000" w:themeColor="text1"/>
          <w:highlight w:val="none"/>
          <w14:textFill>
            <w14:solidFill>
              <w14:schemeClr w14:val="tx1"/>
            </w14:solidFill>
          </w14:textFill>
        </w:rPr>
      </w:pP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李女士、</w:t>
      </w:r>
      <w:r>
        <w:rPr>
          <w:rFonts w:hint="eastAsia" w:ascii="宋体" w:hAnsi="宋体"/>
          <w:color w:val="000000" w:themeColor="text1"/>
          <w:sz w:val="28"/>
          <w:highlight w:val="none"/>
          <w:u w:val="single"/>
          <w14:textFill>
            <w14:solidFill>
              <w14:schemeClr w14:val="tx1"/>
            </w14:solidFill>
          </w14:textFill>
        </w:rPr>
        <w:t>王女士</w:t>
      </w:r>
      <w:r>
        <w:rPr>
          <w:rFonts w:ascii="宋体" w:hAnsi="宋体"/>
          <w:color w:val="000000" w:themeColor="text1"/>
          <w:sz w:val="28"/>
          <w:highlight w:val="none"/>
          <w:u w:val="single"/>
          <w14:textFill>
            <w14:solidFill>
              <w14:schemeClr w14:val="tx1"/>
            </w14:solidFill>
          </w14:textFill>
        </w:rPr>
        <w:t xml:space="preserve">   </w:t>
      </w:r>
    </w:p>
    <w:p>
      <w:pP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14:textFill>
            <w14:solidFill>
              <w14:schemeClr w14:val="tx1"/>
            </w14:solidFill>
          </w14:textFill>
        </w:rPr>
        <w:t>0576-88517782</w:t>
      </w:r>
      <w:r>
        <w:rPr>
          <w:rFonts w:ascii="宋体"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期：2023年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11</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4"/>
        <w:rPr>
          <w:color w:val="000000" w:themeColor="text1"/>
          <w:highlight w:val="none"/>
          <w14:textFill>
            <w14:solidFill>
              <w14:schemeClr w14:val="tx1"/>
            </w14:solidFill>
          </w14:textFill>
        </w:rPr>
      </w:pPr>
    </w:p>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第一章 投标邀请</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0"/>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pPr>
        <w:pStyle w:val="20"/>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pPr>
        <w:pStyle w:val="20"/>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bookmarkStart w:id="2" w:name="_Toc4350_WPSOffice_Level1"/>
      <w:r>
        <w:rPr>
          <w:rFonts w:hint="eastAsia" w:ascii="宋体" w:hAnsi="宋体" w:cs="宋体"/>
          <w:b/>
          <w:color w:val="000000" w:themeColor="text1"/>
          <w:kern w:val="0"/>
          <w:sz w:val="36"/>
          <w:szCs w:val="36"/>
          <w:highlight w:val="none"/>
          <w14:textFill>
            <w14:solidFill>
              <w14:schemeClr w14:val="tx1"/>
            </w14:solidFill>
          </w14:textFill>
        </w:rPr>
        <w:t>投标邀请</w:t>
      </w:r>
      <w:bookmarkEnd w:id="2"/>
    </w:p>
    <w:p>
      <w:pPr>
        <w:pStyle w:val="2"/>
        <w:ind w:firstLine="480" w:firstLineChars="200"/>
        <w:rPr>
          <w:rFonts w:cs="宋体"/>
          <w:b w:val="0"/>
          <w:color w:val="000000" w:themeColor="text1"/>
          <w:sz w:val="24"/>
          <w:szCs w:val="24"/>
          <w:highlight w:val="none"/>
          <w14:textFill>
            <w14:solidFill>
              <w14:schemeClr w14:val="tx1"/>
            </w14:solidFill>
          </w14:textFill>
        </w:rPr>
      </w:pPr>
      <w:bookmarkStart w:id="3" w:name="_Toc28359079"/>
      <w:bookmarkStart w:id="4" w:name="_Toc35393621"/>
      <w:bookmarkStart w:id="5" w:name="_Toc28359002"/>
      <w:bookmarkStart w:id="6" w:name="_Toc35393790"/>
      <w:bookmarkStart w:id="7"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台州市城市园林工程有限公司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2024年度支撑（木棍、松木桩、毛竹）采购项目</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2"/>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3"/>
      <w:bookmarkEnd w:id="4"/>
      <w:bookmarkEnd w:id="5"/>
      <w:bookmarkEnd w:id="6"/>
      <w:r>
        <w:rPr>
          <w:rFonts w:ascii="宋体" w:hAnsi="宋体" w:cs="宋体"/>
          <w:color w:val="000000" w:themeColor="text1"/>
          <w:sz w:val="24"/>
          <w:highlight w:val="none"/>
          <w14:textFill>
            <w14:solidFill>
              <w14:schemeClr w14:val="tx1"/>
            </w14:solidFill>
          </w14:textFill>
        </w:rPr>
        <w:t xml:space="preserve"> </w:t>
      </w:r>
    </w:p>
    <w:bookmarkEnd w:id="7"/>
    <w:tbl>
      <w:tblPr>
        <w:tblStyle w:val="26"/>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51"/>
        <w:gridCol w:w="2580"/>
        <w:gridCol w:w="1835"/>
        <w:gridCol w:w="8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2451"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2580"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1835"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供货期限</w:t>
            </w:r>
          </w:p>
        </w:tc>
        <w:tc>
          <w:tcPr>
            <w:tcW w:w="86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供货地点</w:t>
            </w:r>
          </w:p>
        </w:tc>
        <w:tc>
          <w:tcPr>
            <w:tcW w:w="1011"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2451" w:type="dxa"/>
            <w:vAlign w:val="center"/>
          </w:tcPr>
          <w:p>
            <w:pPr>
              <w:tabs>
                <w:tab w:val="left" w:pos="8280"/>
              </w:tabs>
              <w:autoSpaceDE w:val="0"/>
              <w:autoSpaceDN w:val="0"/>
              <w:adjustRightInd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2024年度支撑（木棍、松木桩、毛竹）采购项目</w:t>
            </w:r>
          </w:p>
        </w:tc>
        <w:tc>
          <w:tcPr>
            <w:tcW w:w="2580"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台州市城市园林工程有限公司的支撑（木棍、松木桩、毛竹）采购：202</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lang w:eastAsia="zh-CN"/>
                <w14:textFill>
                  <w14:solidFill>
                    <w14:schemeClr w14:val="tx1"/>
                  </w14:solidFill>
                </w14:textFill>
              </w:rPr>
              <w:t>年1月1日至202</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lang w:eastAsia="zh-CN"/>
                <w14:textFill>
                  <w14:solidFill>
                    <w14:schemeClr w14:val="tx1"/>
                  </w14:solidFill>
                </w14:textFill>
              </w:rPr>
              <w:t>年12月31日或结算金额达到50万元，以两者先到为准合同终止。具体项目以业主实际委托为准（招标人另行招标的项目除外）。</w:t>
            </w:r>
          </w:p>
        </w:tc>
        <w:tc>
          <w:tcPr>
            <w:tcW w:w="1835" w:type="dxa"/>
            <w:vAlign w:val="center"/>
          </w:tcPr>
          <w:p>
            <w:pPr>
              <w:tabs>
                <w:tab w:val="left" w:pos="8280"/>
              </w:tabs>
              <w:autoSpaceDE w:val="0"/>
              <w:autoSpaceDN w:val="0"/>
              <w:adjustRightInd w:val="0"/>
              <w:jc w:val="center"/>
              <w:rPr>
                <w:rFonts w:hint="eastAsia" w:ascii="宋体" w:hAnsi="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eastAsia="zh-CN"/>
                <w14:textFill>
                  <w14:solidFill>
                    <w14:schemeClr w14:val="tx1"/>
                  </w14:solidFill>
                </w14:textFill>
              </w:rPr>
              <w:t>2024年1月1日起至2024年12月31日或结算金额达到</w:t>
            </w:r>
            <w:r>
              <w:rPr>
                <w:rFonts w:hint="eastAsia" w:ascii="宋体" w:hAnsi="宋体" w:cs="宋体"/>
                <w:bCs/>
                <w:color w:val="000000" w:themeColor="text1"/>
                <w:szCs w:val="21"/>
                <w:highlight w:val="none"/>
                <w:lang w:val="en-US" w:eastAsia="zh-CN"/>
                <w14:textFill>
                  <w14:solidFill>
                    <w14:schemeClr w14:val="tx1"/>
                  </w14:solidFill>
                </w14:textFill>
              </w:rPr>
              <w:t>50</w:t>
            </w:r>
            <w:r>
              <w:rPr>
                <w:rFonts w:hint="eastAsia" w:ascii="宋体" w:hAnsi="宋体" w:cs="宋体"/>
                <w:bCs/>
                <w:color w:val="000000" w:themeColor="text1"/>
                <w:szCs w:val="21"/>
                <w:highlight w:val="none"/>
                <w:lang w:eastAsia="zh-CN"/>
                <w14:textFill>
                  <w14:solidFill>
                    <w14:schemeClr w14:val="tx1"/>
                  </w14:solidFill>
                </w14:textFill>
              </w:rPr>
              <w:t>万元，以两者先到为准合同终止。</w:t>
            </w:r>
          </w:p>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2、货物到场时间要求：</w:t>
            </w:r>
            <w:r>
              <w:rPr>
                <w:rFonts w:hint="eastAsia" w:ascii="宋体" w:hAnsi="宋体" w:cs="宋体"/>
                <w:bCs/>
                <w:color w:val="000000" w:themeColor="text1"/>
                <w:szCs w:val="21"/>
                <w:highlight w:val="none"/>
                <w:lang w:eastAsia="zh-CN"/>
                <w14:textFill>
                  <w14:solidFill>
                    <w14:schemeClr w14:val="tx1"/>
                  </w14:solidFill>
                </w14:textFill>
              </w:rPr>
              <w:t>接到采购人通知后，根据采购人要求及时供货到采购人指定地点，不得影响采购人施工进度。</w:t>
            </w:r>
          </w:p>
        </w:tc>
        <w:tc>
          <w:tcPr>
            <w:tcW w:w="867"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指定地点</w:t>
            </w:r>
          </w:p>
        </w:tc>
        <w:tc>
          <w:tcPr>
            <w:tcW w:w="1011" w:type="dxa"/>
            <w:vAlign w:val="center"/>
          </w:tcPr>
          <w:p>
            <w:pPr>
              <w:tabs>
                <w:tab w:val="left" w:pos="8280"/>
              </w:tabs>
              <w:autoSpaceDE w:val="0"/>
              <w:autoSpaceDN w:val="0"/>
              <w:adjustRightInd w:val="0"/>
              <w:jc w:val="center"/>
              <w:rPr>
                <w:rStyle w:val="68"/>
                <w:rFonts w:ascii="宋体" w:hAnsi="宋体"/>
                <w:color w:val="000000" w:themeColor="text1"/>
                <w:szCs w:val="21"/>
                <w:highlight w:val="none"/>
                <w14:textFill>
                  <w14:solidFill>
                    <w14:schemeClr w14:val="tx1"/>
                  </w14:solidFill>
                </w14:textFill>
              </w:rPr>
            </w:pPr>
            <w:r>
              <w:rPr>
                <w:rStyle w:val="68"/>
                <w:rFonts w:hint="eastAsia" w:ascii="宋体" w:hAnsi="宋体"/>
                <w:color w:val="000000" w:themeColor="text1"/>
                <w:szCs w:val="21"/>
                <w:highlight w:val="none"/>
                <w14:textFill>
                  <w14:solidFill>
                    <w14:schemeClr w14:val="tx1"/>
                  </w14:solidFill>
                </w14:textFill>
              </w:rPr>
              <w:t>&lt;</w:t>
            </w:r>
            <w:r>
              <w:rPr>
                <w:rStyle w:val="68"/>
                <w:rFonts w:hint="eastAsia" w:ascii="宋体" w:hAnsi="宋体"/>
                <w:color w:val="000000" w:themeColor="text1"/>
                <w:szCs w:val="21"/>
                <w:highlight w:val="none"/>
                <w:lang w:val="en-US" w:eastAsia="zh-CN"/>
                <w14:textFill>
                  <w14:solidFill>
                    <w14:schemeClr w14:val="tx1"/>
                  </w14:solidFill>
                </w14:textFill>
              </w:rPr>
              <w:t>88</w:t>
            </w:r>
            <w:r>
              <w:rPr>
                <w:rStyle w:val="68"/>
                <w:rFonts w:hint="eastAsia" w:ascii="宋体" w:hAnsi="宋体"/>
                <w:color w:val="000000" w:themeColor="text1"/>
                <w:szCs w:val="21"/>
                <w:highlight w:val="none"/>
                <w14:textFill>
                  <w14:solidFill>
                    <w14:schemeClr w14:val="tx1"/>
                  </w14:solidFill>
                </w14:textFill>
              </w:rPr>
              <w:t>.00%</w:t>
            </w:r>
          </w:p>
        </w:tc>
      </w:tr>
    </w:tbl>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8" w:name="_Toc28359003"/>
      <w:bookmarkStart w:id="9" w:name="_Toc28359080"/>
      <w:bookmarkStart w:id="10" w:name="_Toc35393622"/>
      <w:bookmarkStart w:id="11" w:name="_Toc35393791"/>
      <w:r>
        <w:rPr>
          <w:rFonts w:hint="eastAsia" w:cs="宋体"/>
          <w:bCs/>
          <w:color w:val="000000" w:themeColor="text1"/>
          <w:sz w:val="24"/>
          <w:szCs w:val="24"/>
          <w:highlight w:val="none"/>
          <w14:textFill>
            <w14:solidFill>
              <w14:schemeClr w14:val="tx1"/>
            </w14:solidFill>
          </w14:textFill>
        </w:rPr>
        <w:t>二、投标人的资格要求</w:t>
      </w:r>
      <w:bookmarkEnd w:id="8"/>
      <w:bookmarkEnd w:id="9"/>
      <w:bookmarkEnd w:id="10"/>
      <w:bookmarkEnd w:id="11"/>
    </w:p>
    <w:p>
      <w:pPr>
        <w:spacing w:line="360" w:lineRule="auto"/>
        <w:ind w:left="12"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（一）具有本项目采购人需求的货物供应能力的</w:t>
      </w:r>
      <w:r>
        <w:rPr>
          <w:rFonts w:hint="eastAsia" w:ascii="宋体" w:hAnsi="宋体" w:cs="宋体"/>
          <w:color w:val="000000" w:themeColor="text1"/>
          <w:sz w:val="24"/>
          <w:highlight w:val="none"/>
          <w:lang w:val="en-US" w:eastAsia="zh-CN"/>
          <w14:textFill>
            <w14:solidFill>
              <w14:schemeClr w14:val="tx1"/>
            </w14:solidFill>
          </w14:textFill>
        </w:rPr>
        <w:t>投标供应商</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Toc35393792"/>
      <w:bookmarkStart w:id="13" w:name="_Toc35393623"/>
      <w:bookmarkStart w:id="14" w:name="_Toc28359081"/>
      <w:bookmarkStart w:id="15" w:name="_Toc28359004"/>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）本项目不接受联合体投标。</w:t>
      </w:r>
    </w:p>
    <w:p>
      <w:pPr>
        <w:pStyle w:val="2"/>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2"/>
      <w:bookmarkEnd w:id="13"/>
      <w:bookmarkEnd w:id="14"/>
      <w:bookmarkEnd w:id="15"/>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16" w:name="_Toc28359005"/>
      <w:bookmarkStart w:id="17" w:name="_Toc35393624"/>
      <w:bookmarkStart w:id="18" w:name="_Toc28359082"/>
      <w:bookmarkStart w:id="19" w:name="_Toc35393793"/>
      <w:r>
        <w:rPr>
          <w:rFonts w:hint="eastAsia" w:cs="宋体"/>
          <w:bCs/>
          <w:color w:val="000000" w:themeColor="text1"/>
          <w:sz w:val="24"/>
          <w:szCs w:val="24"/>
          <w:highlight w:val="none"/>
          <w14:textFill>
            <w14:solidFill>
              <w14:schemeClr w14:val="tx1"/>
            </w14:solidFill>
          </w14:textFill>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20" w:name="_Toc35393625"/>
      <w:bookmarkStart w:id="21" w:name="_Toc28359007"/>
      <w:bookmarkStart w:id="22" w:name="_Toc35393794"/>
      <w:bookmarkStart w:id="23" w:name="_Toc28359084"/>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07</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15 </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00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20"/>
    <w:bookmarkEnd w:id="21"/>
    <w:bookmarkEnd w:id="22"/>
    <w:bookmarkEnd w:id="23"/>
    <w:p>
      <w:pPr>
        <w:pStyle w:val="25"/>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4" w:name="_Toc35393795"/>
      <w:bookmarkStart w:id="25" w:name="_Toc35393626"/>
      <w:r>
        <w:rPr>
          <w:rFonts w:hint="eastAsia" w:cs="宋体"/>
          <w:bCs/>
          <w:color w:val="000000" w:themeColor="text1"/>
          <w:sz w:val="24"/>
          <w:szCs w:val="24"/>
          <w:highlight w:val="none"/>
          <w14:textFill>
            <w14:solidFill>
              <w14:schemeClr w14:val="tx1"/>
            </w14:solidFill>
          </w14:textFill>
        </w:rPr>
        <w:t>六、</w:t>
      </w:r>
      <w:bookmarkEnd w:id="24"/>
      <w:bookmarkEnd w:id="25"/>
      <w:r>
        <w:rPr>
          <w:rFonts w:hint="eastAsia" w:cs="宋体"/>
          <w:bCs/>
          <w:color w:val="000000" w:themeColor="text1"/>
          <w:sz w:val="24"/>
          <w:szCs w:val="24"/>
          <w:highlight w:val="none"/>
          <w14:textFill>
            <w14:solidFill>
              <w14:schemeClr w14:val="tx1"/>
            </w14:solidFill>
          </w14:textFill>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10000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pPr>
        <w:pStyle w:val="25"/>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w:t>
      </w:r>
      <w:r>
        <w:rPr>
          <w:rFonts w:hint="eastAsia" w:ascii="宋体" w:hAnsi="宋体" w:cs="宋体"/>
          <w:bCs/>
          <w:color w:val="000000" w:themeColor="text1"/>
          <w:kern w:val="0"/>
          <w:sz w:val="24"/>
          <w:highlight w:val="none"/>
          <w:lang w:val="en-US" w:eastAsia="zh-CN"/>
          <w14:textFill>
            <w14:solidFill>
              <w14:schemeClr w14:val="tx1"/>
            </w14:solidFill>
          </w14:textFill>
        </w:rPr>
        <w:t>招标人</w:t>
      </w:r>
      <w:r>
        <w:rPr>
          <w:rFonts w:hint="eastAsia" w:ascii="宋体" w:hAnsi="宋体" w:cs="宋体"/>
          <w:bCs/>
          <w:color w:val="000000" w:themeColor="text1"/>
          <w:kern w:val="0"/>
          <w:sz w:val="24"/>
          <w:highlight w:val="none"/>
          <w14:textFill>
            <w14:solidFill>
              <w14:schemeClr w14:val="tx1"/>
            </w14:solidFill>
          </w14:textFill>
        </w:rPr>
        <w:t>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14:textFill>
            <w14:solidFill>
              <w14:schemeClr w14:val="tx1"/>
            </w14:solidFill>
          </w14:textFill>
        </w:rPr>
        <w:t>台州市城市园林工程有限公司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ascii="宋体" w:hAnsi="宋体" w:cs="宋体"/>
          <w:bCs/>
          <w:color w:val="000000" w:themeColor="text1"/>
          <w:kern w:val="0"/>
          <w:sz w:val="24"/>
          <w:highlight w:val="none"/>
          <w:u w:val="single"/>
          <w14:textFill>
            <w14:solidFill>
              <w14:schemeClr w14:val="tx1"/>
            </w14:solidFill>
          </w14:textFill>
        </w:rPr>
        <w:t>2023年</w:t>
      </w:r>
      <w:r>
        <w:rPr>
          <w:rFonts w:hint="eastAsia" w:ascii="宋体" w:hAnsi="宋体" w:cs="宋体"/>
          <w:bCs/>
          <w:color w:val="000000" w:themeColor="text1"/>
          <w:kern w:val="0"/>
          <w:sz w:val="24"/>
          <w:highlight w:val="none"/>
          <w:u w:val="single"/>
          <w:lang w:val="en-US" w:eastAsia="zh-CN"/>
          <w14:textFill>
            <w14:solidFill>
              <w14:schemeClr w14:val="tx1"/>
            </w14:solidFill>
          </w14:textFill>
        </w:rPr>
        <w:t>12</w:t>
      </w:r>
      <w:r>
        <w:rPr>
          <w:rFonts w:ascii="宋体" w:hAnsi="宋体" w:cs="宋体"/>
          <w:bCs/>
          <w:color w:val="000000" w:themeColor="text1"/>
          <w:kern w:val="0"/>
          <w:sz w:val="24"/>
          <w:highlight w:val="none"/>
          <w:u w:val="single"/>
          <w14:textFill>
            <w14:solidFill>
              <w14:schemeClr w14:val="tx1"/>
            </w14:solidFill>
          </w14:textFill>
        </w:rPr>
        <w:t>月</w:t>
      </w:r>
      <w:r>
        <w:rPr>
          <w:rFonts w:hint="eastAsia" w:ascii="宋体" w:hAnsi="宋体" w:cs="宋体"/>
          <w:bCs/>
          <w:color w:val="000000" w:themeColor="text1"/>
          <w:kern w:val="0"/>
          <w:sz w:val="24"/>
          <w:highlight w:val="none"/>
          <w:u w:val="single"/>
          <w:lang w:val="en-US" w:eastAsia="zh-CN"/>
          <w14:textFill>
            <w14:solidFill>
              <w14:schemeClr w14:val="tx1"/>
            </w14:solidFill>
          </w14:textFill>
        </w:rPr>
        <w:t>07</w:t>
      </w:r>
      <w:r>
        <w:rPr>
          <w:rFonts w:ascii="宋体" w:hAnsi="宋体" w:cs="宋体"/>
          <w:bCs/>
          <w:color w:val="000000" w:themeColor="text1"/>
          <w:kern w:val="0"/>
          <w:sz w:val="24"/>
          <w:highlight w:val="none"/>
          <w:u w:val="single"/>
          <w14:textFill>
            <w14:solidFill>
              <w14:schemeClr w14:val="tx1"/>
            </w14:solidFill>
          </w14:textFill>
        </w:rPr>
        <w:t>日</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14 </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15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14:textFill>
            <w14:solidFill>
              <w14:schemeClr w14:val="tx1"/>
            </w14:solidFill>
          </w14:textFill>
        </w:rPr>
        <w:t>0576-88517782</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第四章第六条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2"/>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pPr>
        <w:pStyle w:val="2"/>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宋体" w:hAnsi="宋体" w:cs="宋体"/>
          <w:b/>
          <w:bCs/>
          <w:color w:val="000000" w:themeColor="text1"/>
          <w:kern w:val="0"/>
          <w:sz w:val="24"/>
          <w:highlight w:val="none"/>
          <w:u w:val="single"/>
          <w14:textFill>
            <w14:solidFill>
              <w14:schemeClr w14:val="tx1"/>
            </w14:solidFill>
          </w14:textFill>
        </w:rPr>
        <w:t xml:space="preserve"> 2023 </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12 </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06 </w:t>
      </w:r>
      <w:r>
        <w:rPr>
          <w:rFonts w:hint="eastAsia" w:ascii="宋体" w:hAnsi="宋体" w:cs="宋体"/>
          <w:b/>
          <w:bCs/>
          <w:color w:val="000000" w:themeColor="text1"/>
          <w:kern w:val="0"/>
          <w:sz w:val="24"/>
          <w:highlight w:val="none"/>
          <w:lang w:val="en-US" w:eastAsia="zh-CN"/>
          <w14:textFill>
            <w14:solidFill>
              <w14:schemeClr w14:val="tx1"/>
            </w14:solidFill>
          </w14:textFill>
        </w:rPr>
        <w:t>日</w:t>
      </w:r>
      <w:r>
        <w:rPr>
          <w:rFonts w:hint="eastAsia" w:ascii="宋体" w:hAnsi="宋体" w:cs="宋体"/>
          <w:b/>
          <w:bCs/>
          <w:color w:val="000000" w:themeColor="text1"/>
          <w:kern w:val="0"/>
          <w:sz w:val="24"/>
          <w:highlight w:val="none"/>
          <w14:textFill>
            <w14:solidFill>
              <w14:schemeClr w14:val="tx1"/>
            </w14:solidFill>
          </w14:textFill>
        </w:rPr>
        <w:t>下午16点前</w:t>
      </w:r>
    </w:p>
    <w:p>
      <w:pPr>
        <w:pStyle w:val="2"/>
        <w:ind w:right="0" w:firstLine="482" w:firstLineChars="200"/>
        <w:rPr>
          <w:rFonts w:cs="宋体"/>
          <w:bCs/>
          <w:color w:val="000000" w:themeColor="text1"/>
          <w:sz w:val="24"/>
          <w:szCs w:val="24"/>
          <w:highlight w:val="none"/>
          <w14:textFill>
            <w14:solidFill>
              <w14:schemeClr w14:val="tx1"/>
            </w14:solidFill>
          </w14:textFill>
        </w:rPr>
      </w:pPr>
      <w:bookmarkStart w:id="26" w:name="_Toc35393796"/>
      <w:bookmarkStart w:id="27" w:name="_Toc28359085"/>
      <w:bookmarkStart w:id="28" w:name="_Toc28359008"/>
      <w:bookmarkStart w:id="29" w:name="_Toc35393627"/>
      <w:r>
        <w:rPr>
          <w:rFonts w:hint="eastAsia" w:cs="宋体"/>
          <w:bCs/>
          <w:color w:val="000000" w:themeColor="text1"/>
          <w:sz w:val="24"/>
          <w:szCs w:val="24"/>
          <w:highlight w:val="none"/>
          <w14:textFill>
            <w14:solidFill>
              <w14:schemeClr w14:val="tx1"/>
            </w14:solidFill>
          </w14:textFill>
        </w:rPr>
        <w:t>八、</w:t>
      </w:r>
      <w:bookmarkEnd w:id="26"/>
      <w:bookmarkEnd w:id="27"/>
      <w:bookmarkEnd w:id="28"/>
      <w:bookmarkEnd w:id="29"/>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（一）采购人（受理招标文件相关质疑及答复）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台州市城市园林工程有限公司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府中路177号开投大厦</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30" w:name="_Toc28359009"/>
      <w:bookmarkStart w:id="31" w:name="_Toc28359086"/>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唐女士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0576-88528720</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bookmarkEnd w:id="30"/>
    <w:bookmarkEnd w:id="31"/>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32" w:name="_Toc28359087"/>
      <w:bookmarkStart w:id="33"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台州市建设咨询有限公司</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李女士、</w:t>
      </w:r>
      <w:r>
        <w:rPr>
          <w:rFonts w:hint="eastAsia" w:ascii="宋体" w:hAnsi="宋体" w:cs="宋体"/>
          <w:color w:val="000000" w:themeColor="text1"/>
          <w:sz w:val="24"/>
          <w:highlight w:val="none"/>
          <w:u w:val="single"/>
          <w14:textFill>
            <w14:solidFill>
              <w14:schemeClr w14:val="tx1"/>
            </w14:solidFill>
          </w14:textFill>
        </w:rPr>
        <w:t>王女士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0576-88517782</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徐瑜</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（三）同级政府采购监管机构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台州湾新区</w:t>
      </w:r>
      <w:r>
        <w:rPr>
          <w:rFonts w:hint="eastAsia" w:ascii="宋体" w:hAnsi="宋体" w:eastAsia="宋体" w:cs="宋体"/>
          <w:color w:val="000000" w:themeColor="text1"/>
          <w:sz w:val="24"/>
          <w:highlight w:val="none"/>
          <w:u w:val="single"/>
          <w:lang w:val="en-US" w:eastAsia="zh-CN"/>
          <w14:textFill>
            <w14:solidFill>
              <w14:schemeClr w14:val="tx1"/>
            </w14:solidFill>
          </w14:textFill>
        </w:rPr>
        <w:t>审计司法</w:t>
      </w:r>
      <w:r>
        <w:rPr>
          <w:rFonts w:hint="eastAsia" w:ascii="宋体" w:hAnsi="宋体" w:eastAsia="宋体" w:cs="宋体"/>
          <w:color w:val="000000" w:themeColor="text1"/>
          <w:sz w:val="24"/>
          <w:highlight w:val="none"/>
          <w:u w:val="single"/>
          <w14:textFill>
            <w14:solidFill>
              <w14:schemeClr w14:val="tx1"/>
            </w14:solidFill>
          </w14:textFill>
        </w:rPr>
        <w:t>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bookmarkStart w:id="55" w:name="_GoBack"/>
      <w:bookmarkEnd w:id="55"/>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台州市城市园林工程有限公司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2023年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2"/>
    <w:bookmarkEnd w:id="33"/>
    <w:p>
      <w:pPr>
        <w:rPr>
          <w:rFonts w:ascii="宋体" w:hAnsi="宋体" w:eastAsia="宋体"/>
          <w:b/>
          <w:color w:val="000000" w:themeColor="text1"/>
          <w:sz w:val="36"/>
          <w:szCs w:val="36"/>
          <w:highlight w:val="none"/>
          <w14:textFill>
            <w14:solidFill>
              <w14:schemeClr w14:val="tx1"/>
            </w14:solidFill>
          </w14:textFill>
        </w:rPr>
      </w:pPr>
      <w:bookmarkStart w:id="34"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4"/>
    </w:p>
    <w:p>
      <w:pPr>
        <w:numPr>
          <w:ilvl w:val="0"/>
          <w:numId w:val="7"/>
        </w:numPr>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由中标人支付，招标代理费收费标准按《国家计委关于印发&lt;招标代理服务费管理暂行办法&gt;的通知》（计价格[2002]1980号</w:t>
            </w:r>
            <w:r>
              <w:rPr>
                <w:rFonts w:hint="eastAsia" w:ascii="宋体" w:hAnsi="宋体" w:cs="宋体"/>
                <w:color w:val="000000" w:themeColor="text1"/>
                <w:highlight w:val="none"/>
                <w:lang w:eastAsia="zh-CN"/>
                <w14:textFill>
                  <w14:solidFill>
                    <w14:schemeClr w14:val="tx1"/>
                  </w14:solidFill>
                </w14:textFill>
              </w:rPr>
              <w:t>货物</w:t>
            </w:r>
            <w:r>
              <w:rPr>
                <w:rFonts w:hint="eastAsia" w:ascii="宋体" w:hAnsi="宋体" w:cs="宋体"/>
                <w:color w:val="000000" w:themeColor="text1"/>
                <w:highlight w:val="none"/>
                <w14:textFill>
                  <w14:solidFill>
                    <w14:schemeClr w14:val="tx1"/>
                  </w14:solidFill>
                </w14:textFill>
              </w:rPr>
              <w:t>类分档累计标准80%计收）执行，招标代理费不足6000元的按6000元计。向本项目招标代理一次付清。中标人在领取中标通知书前交纳招标代理费，请各投标单位报价时综合考虑。</w:t>
            </w:r>
          </w:p>
        </w:tc>
      </w:tr>
    </w:tbl>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pPr>
        <w:pStyle w:val="16"/>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10"/>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pPr>
        <w:pStyle w:val="4"/>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2.采购人：是指依法进行政府采购的国家机关、事业单位和团体组织；</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highlight w:val="none"/>
          <w14:textFill>
            <w14:solidFill>
              <w14:schemeClr w14:val="tx1"/>
            </w14:solidFill>
          </w14:textFill>
        </w:rPr>
        <w:t>人；</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5"/>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5"/>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pPr>
        <w:pStyle w:val="35"/>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pPr>
        <w:pStyle w:val="5"/>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投标人获取招标文件后，按照采购组织机构的要求提供：资格标和商务标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1.资格标</w:t>
      </w:r>
      <w:r>
        <w:rPr>
          <w:rFonts w:hint="eastAsia" w:ascii="宋体" w:hAnsi="宋体"/>
          <w:b/>
          <w:color w:val="000000" w:themeColor="text1"/>
          <w:sz w:val="24"/>
          <w:highlight w:val="none"/>
          <w14:textFill>
            <w14:solidFill>
              <w14:schemeClr w14:val="tx1"/>
            </w14:solidFill>
          </w14:textFill>
        </w:rPr>
        <w:t>组成</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9"/>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包括货物的供货、税金、包装、运输（货物运到招标人指定的施工现场）、保险、装卸、损耗、验收（含第三方验收）、施工全过程的技术指导服务、售后服务、材料、风险、利润、等全部费用。实行固定结算率包干，投标人应根据上述因素自行考虑投标结算率。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pPr>
        <w:pStyle w:val="5"/>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pPr>
        <w:pStyle w:val="5"/>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在特殊情况下，采购人可与投标人协商延长投标文件的有效期。</w:t>
      </w:r>
    </w:p>
    <w:p>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5"/>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pPr>
        <w:pStyle w:val="15"/>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pPr>
        <w:pStyle w:val="22"/>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29"/>
          <w:color w:val="000000" w:themeColor="text1"/>
          <w:highlight w:val="none"/>
          <w14:textFill>
            <w14:solidFill>
              <w14:schemeClr w14:val="tx1"/>
            </w14:solidFill>
          </w14:textFill>
        </w:rPr>
        <w:t>http://www.tzwztb.com/live/</w:t>
      </w:r>
      <w:r>
        <w:rPr>
          <w:rStyle w:val="29"/>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pPr>
        <w:pStyle w:val="15"/>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1、开标由采购代理机构工作人员主持</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3、采购人依法对资格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进行审查，评标委员会对资格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进行评审。</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评审完成后，主持人宣告</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评审无效投标人名称及理由，公布经资格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评审符合采购需求的投标人名单。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得分以及推荐中标候选人排序名单。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pPr>
        <w:pStyle w:val="5"/>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pPr>
        <w:pStyle w:val="5"/>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pPr>
        <w:pStyle w:val="5"/>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5"/>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pPr>
        <w:pStyle w:val="15"/>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采购组织机构自中标候选人确定之日起3个工作日内，在浙江省政府采购网和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pPr>
        <w:pStyle w:val="22"/>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本项目确定一名中标人，公示期满后，采购人应确定本项目第一中标候选人为本项目中标人。</w:t>
      </w:r>
    </w:p>
    <w:p>
      <w:pPr>
        <w:pStyle w:val="8"/>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采购人应当确定第一中标候选人为中标人。如涉及第二中标候选人和其他投标人资格无效的，评标结果不作调整。</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采购人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pPr>
        <w:pStyle w:val="10"/>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中标人确定后，采购人应当向中标人发出《中标通知书》。</w:t>
      </w:r>
    </w:p>
    <w:p>
      <w:pPr>
        <w:pStyle w:val="10"/>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2.采购人不得向中标人提出任何不合理的要求作为签订合同的条件。</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2"/>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5.询问或者质疑事项可能影响中标结果的，采购人应当暂停签订合同，已经签订合同的，应当中止履行合同。</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1.报名本项目的投标人认为招标文件、采购过程和中标结果使自己的权益受到损害的，通过书面形式一次性向采购人或采购组织机构提出质疑：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（2）投标人对采购过程提出质疑的，应当在各采购程序环节结束之日起7个工作日内提出质疑；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8"/>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8"/>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5"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5"/>
    </w:p>
    <w:p>
      <w:pPr>
        <w:snapToGrid w:val="0"/>
        <w:spacing w:before="120" w:beforeLines="50" w:after="120" w:afterLines="50" w:line="240" w:lineRule="auto"/>
        <w:rPr>
          <w:rFonts w:hint="eastAsia" w:ascii="黑体" w:hAnsi="宋体" w:eastAsia="黑体"/>
          <w:sz w:val="24"/>
          <w:highlight w:val="none"/>
        </w:rPr>
      </w:pPr>
      <w:r>
        <w:rPr>
          <w:rFonts w:hint="eastAsia" w:ascii="宋体" w:hAnsi="宋体" w:eastAsia="宋体" w:cs="宋体"/>
          <w:b/>
          <w:bCs/>
          <w:color w:val="auto"/>
          <w:sz w:val="24"/>
          <w:szCs w:val="24"/>
          <w:highlight w:val="none"/>
          <w:lang w:eastAsia="zh-CN"/>
        </w:rPr>
        <w:t>招标清单及技术指标要求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290"/>
        <w:gridCol w:w="4127"/>
        <w:gridCol w:w="100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5"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序号</w:t>
            </w:r>
          </w:p>
        </w:tc>
        <w:tc>
          <w:tcPr>
            <w:tcW w:w="1290"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名称</w:t>
            </w:r>
          </w:p>
        </w:tc>
        <w:tc>
          <w:tcPr>
            <w:tcW w:w="412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规格、参数</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单位</w:t>
            </w:r>
          </w:p>
        </w:tc>
        <w:tc>
          <w:tcPr>
            <w:tcW w:w="161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lang w:eastAsia="zh-CN"/>
              </w:rPr>
              <w:t>全费用综合单价</w:t>
            </w:r>
            <w:r>
              <w:rPr>
                <w:rFonts w:hint="eastAsia" w:ascii="宋体" w:hAnsi="宋体" w:eastAsia="宋体" w:cs="Times New Roman"/>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5" w:type="dxa"/>
            <w:vMerge w:val="restart"/>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1</w:t>
            </w:r>
          </w:p>
        </w:tc>
        <w:tc>
          <w:tcPr>
            <w:tcW w:w="1290" w:type="dxa"/>
            <w:vMerge w:val="restart"/>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木棍</w:t>
            </w:r>
          </w:p>
        </w:tc>
        <w:tc>
          <w:tcPr>
            <w:tcW w:w="412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宋体"/>
                <w:color w:val="000000"/>
                <w:sz w:val="24"/>
                <w:szCs w:val="24"/>
                <w:highlight w:val="none"/>
              </w:rPr>
              <w:t>棍长3.0m，木棍大头直径不小于</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cm,小头直径不少于4cm</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支</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5"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1290"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412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宋体"/>
                <w:color w:val="000000"/>
                <w:sz w:val="24"/>
                <w:szCs w:val="24"/>
                <w:highlight w:val="none"/>
              </w:rPr>
              <w:t>棍长2.5m，木棍大头直径不小于</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cm,小头直径不少于4cm</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支</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5"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1290"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412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宋体"/>
                <w:color w:val="000000"/>
                <w:sz w:val="24"/>
                <w:szCs w:val="24"/>
                <w:highlight w:val="none"/>
              </w:rPr>
              <w:t>棍长2.0m，木棍大头直径不小于</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cm,小头直径不少于4cm</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支</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5"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1290"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412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宋体"/>
                <w:color w:val="000000"/>
                <w:sz w:val="24"/>
                <w:szCs w:val="24"/>
                <w:highlight w:val="none"/>
              </w:rPr>
              <w:t>棍长1.5m，木棍大头直径不小于</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cm,小头直径不少于4cm</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支</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65"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1290" w:type="dxa"/>
            <w:vMerge w:val="continue"/>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412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宋体"/>
                <w:color w:val="000000"/>
                <w:sz w:val="24"/>
                <w:szCs w:val="24"/>
                <w:highlight w:val="none"/>
              </w:rPr>
              <w:t>棍长0.4m，木棍大头直径不小于5cm,小头直径不少于4cm</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支</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65"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2</w:t>
            </w:r>
          </w:p>
        </w:tc>
        <w:tc>
          <w:tcPr>
            <w:tcW w:w="1290"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松木桩</w:t>
            </w:r>
          </w:p>
        </w:tc>
        <w:tc>
          <w:tcPr>
            <w:tcW w:w="412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桩长6米，梢径9cm</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根</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5"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3</w:t>
            </w:r>
          </w:p>
        </w:tc>
        <w:tc>
          <w:tcPr>
            <w:tcW w:w="1290"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毛竹</w:t>
            </w:r>
          </w:p>
        </w:tc>
        <w:tc>
          <w:tcPr>
            <w:tcW w:w="4127"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包括毛竹支撑大、小件；毛竹片、条。</w:t>
            </w: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公斤</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65"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4</w:t>
            </w:r>
          </w:p>
        </w:tc>
        <w:tc>
          <w:tcPr>
            <w:tcW w:w="1290"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棕榈绳</w:t>
            </w:r>
          </w:p>
        </w:tc>
        <w:tc>
          <w:tcPr>
            <w:tcW w:w="4127" w:type="dxa"/>
            <w:noWrap w:val="0"/>
            <w:vAlign w:val="center"/>
          </w:tcPr>
          <w:p>
            <w:pPr>
              <w:spacing w:line="240" w:lineRule="auto"/>
              <w:ind w:firstLine="480" w:firstLineChars="200"/>
              <w:jc w:val="center"/>
              <w:rPr>
                <w:rFonts w:hint="eastAsia" w:ascii="宋体" w:hAnsi="宋体" w:eastAsia="宋体" w:cs="Times New Roman"/>
                <w:sz w:val="24"/>
                <w:highlight w:val="none"/>
              </w:rPr>
            </w:pPr>
          </w:p>
        </w:tc>
        <w:tc>
          <w:tcPr>
            <w:tcW w:w="1003" w:type="dxa"/>
            <w:noWrap w:val="0"/>
            <w:vAlign w:val="center"/>
          </w:tcPr>
          <w:p>
            <w:pPr>
              <w:spacing w:line="240" w:lineRule="auto"/>
              <w:jc w:val="center"/>
              <w:rPr>
                <w:rFonts w:hint="eastAsia" w:ascii="宋体" w:hAnsi="宋体" w:eastAsia="宋体" w:cs="Times New Roman"/>
                <w:sz w:val="24"/>
                <w:highlight w:val="none"/>
              </w:rPr>
            </w:pPr>
            <w:r>
              <w:rPr>
                <w:rFonts w:hint="eastAsia" w:ascii="宋体" w:hAnsi="宋体" w:eastAsia="宋体" w:cs="Times New Roman"/>
                <w:sz w:val="24"/>
                <w:highlight w:val="none"/>
              </w:rPr>
              <w:t>公斤</w:t>
            </w:r>
          </w:p>
        </w:tc>
        <w:tc>
          <w:tcPr>
            <w:tcW w:w="1617" w:type="dxa"/>
            <w:noWrap w:val="0"/>
            <w:vAlign w:val="center"/>
          </w:tcPr>
          <w:p>
            <w:pPr>
              <w:spacing w:line="240" w:lineRule="auto"/>
              <w:ind w:firstLine="480" w:firstLineChars="200"/>
              <w:jc w:val="center"/>
              <w:rPr>
                <w:rFonts w:hint="eastAsia" w:ascii="宋体" w:hAnsi="宋体" w:eastAsia="宋体" w:cs="Times New Roman"/>
                <w:sz w:val="24"/>
                <w:highlight w:val="none"/>
              </w:rPr>
            </w:pPr>
            <w:r>
              <w:rPr>
                <w:rFonts w:hint="eastAsia" w:ascii="宋体" w:hAnsi="宋体" w:eastAsia="宋体" w:cs="Times New Roman"/>
                <w:sz w:val="24"/>
                <w:highlight w:val="none"/>
              </w:rPr>
              <w:t>26</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全费用</w:t>
      </w:r>
      <w:r>
        <w:rPr>
          <w:rFonts w:hint="eastAsia" w:ascii="宋体" w:hAnsi="宋体"/>
          <w:sz w:val="24"/>
          <w:highlight w:val="none"/>
          <w:lang w:eastAsia="zh-CN"/>
        </w:rPr>
        <w:t>综合单价</w:t>
      </w:r>
      <w:r>
        <w:rPr>
          <w:rFonts w:hint="eastAsia" w:ascii="宋体" w:hAnsi="宋体"/>
          <w:sz w:val="24"/>
          <w:highlight w:val="none"/>
        </w:rPr>
        <w:t>包括货物的供货、税金、包装、运输（货物运到招标人指定的施工现场）、保险、装卸、损耗、验收（含第三方验收）、施工全过程的技术指导服务、售后服务、材料、风险、利润等全部费用。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ascii="宋体" w:hAnsi="宋体"/>
          <w:sz w:val="24"/>
          <w:highlight w:val="none"/>
        </w:rPr>
        <w:t>▲</w:t>
      </w:r>
      <w:r>
        <w:rPr>
          <w:rFonts w:hint="eastAsia" w:ascii="宋体" w:hAnsi="宋体"/>
          <w:b/>
          <w:sz w:val="24"/>
          <w:highlight w:val="none"/>
        </w:rPr>
        <w:t xml:space="preserve">1、质量要求：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①要求木棍为未使用过的全新木料，直杆，无虫蛀；材质为杉树或松树。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②棕榈绳必须为未出售使用过产品，具有牢固、耐盐、耐磨、富有弹性等特性；要求符合生产规范，不得以次充好。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③供应的毛竹（竹片）出现以下情况的，</w:t>
      </w:r>
      <w:r>
        <w:rPr>
          <w:rFonts w:hint="eastAsia" w:ascii="宋体" w:hAnsi="宋体"/>
          <w:b/>
          <w:sz w:val="24"/>
          <w:highlight w:val="none"/>
        </w:rPr>
        <w:t>视为不合格</w:t>
      </w:r>
      <w:r>
        <w:rPr>
          <w:rFonts w:hint="eastAsia" w:ascii="宋体" w:hAnsi="宋体"/>
          <w:sz w:val="24"/>
          <w:highlight w:val="none"/>
        </w:rPr>
        <w:t>：青嫩、枯黄、黑麻、白麻、虫蛀；短杆裂缝＞2节，长杆裂缝＞4节。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ascii="宋体" w:hAnsi="宋体"/>
          <w:sz w:val="24"/>
          <w:highlight w:val="none"/>
        </w:rPr>
        <w:t>▲</w:t>
      </w:r>
      <w:r>
        <w:rPr>
          <w:rFonts w:hint="eastAsia" w:ascii="宋体" w:hAnsi="宋体"/>
          <w:sz w:val="24"/>
          <w:highlight w:val="none"/>
        </w:rPr>
        <w:t>2、验收标准：货到后采购人严格按照质量要求进行验收，若不合格或不能满足采购人使用要求中标人则无条件给予退还，发生一切损失由中标人承担，且承担因此延误工期等给采购人造成的经济损失。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ascii="宋体" w:hAnsi="宋体"/>
          <w:sz w:val="24"/>
          <w:highlight w:val="none"/>
        </w:rPr>
        <w:t>▲</w:t>
      </w:r>
      <w:r>
        <w:rPr>
          <w:rFonts w:hint="eastAsia" w:ascii="宋体" w:hAnsi="宋体"/>
          <w:sz w:val="24"/>
          <w:highlight w:val="none"/>
        </w:rPr>
        <w:t>3、数量：结算数量以采购人实际验收数量为准。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ascii="宋体" w:hAnsi="宋体"/>
          <w:sz w:val="24"/>
          <w:highlight w:val="none"/>
        </w:rPr>
        <w:t>▲</w:t>
      </w:r>
      <w:r>
        <w:rPr>
          <w:rFonts w:hint="eastAsia" w:ascii="宋体" w:hAnsi="宋体"/>
          <w:sz w:val="24"/>
          <w:highlight w:val="none"/>
        </w:rPr>
        <w:t>4、供货周期：合同签订后，接到采购人通知后，根据采购人要求及时供货到采购人指定地点，不得影响采购人施工进度。（按车运输，每车数量不少于1500根）。</w:t>
      </w:r>
    </w:p>
    <w:p>
      <w:pPr>
        <w:autoSpaceDE w:val="0"/>
        <w:autoSpaceDN w:val="0"/>
        <w:adjustRightInd w:val="0"/>
        <w:rPr>
          <w:color w:val="000000" w:themeColor="text1"/>
          <w:highlight w:val="none"/>
          <w14:textFill>
            <w14:solidFill>
              <w14:schemeClr w14:val="tx1"/>
            </w14:solidFill>
          </w14:textFill>
        </w:rPr>
      </w:pPr>
      <w:r>
        <w:rPr>
          <w:rFonts w:ascii="宋体" w:hAnsi="宋体"/>
          <w:sz w:val="24"/>
          <w:highlight w:val="none"/>
        </w:rPr>
        <w:t>▲</w:t>
      </w:r>
      <w:r>
        <w:rPr>
          <w:rFonts w:hint="eastAsia" w:ascii="宋体" w:hAnsi="宋体"/>
          <w:sz w:val="24"/>
          <w:highlight w:val="none"/>
        </w:rPr>
        <w:t>5、交货地点：采购人指定地点为准</w:t>
      </w:r>
      <w:r>
        <w:rPr>
          <w:rFonts w:hint="eastAsia" w:ascii="宋体" w:hAnsi="宋体"/>
          <w:sz w:val="24"/>
          <w:highlight w:val="none"/>
          <w:lang w:eastAsia="zh-CN"/>
        </w:rPr>
        <w:t>。</w:t>
      </w:r>
    </w:p>
    <w:p>
      <w:pPr>
        <w:rPr>
          <w:rFonts w:ascii="宋体" w:hAnsi="宋体" w:eastAsia="宋体"/>
          <w:b/>
          <w:color w:val="000000" w:themeColor="text1"/>
          <w:sz w:val="36"/>
          <w:szCs w:val="36"/>
          <w:highlight w:val="none"/>
          <w14:textFill>
            <w14:solidFill>
              <w14:schemeClr w14:val="tx1"/>
            </w14:solidFill>
          </w14:textFill>
        </w:rPr>
      </w:pPr>
      <w:bookmarkStart w:id="36" w:name="_Toc31173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6"/>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pStyle w:val="25"/>
        <w:spacing w:after="0" w:line="360" w:lineRule="auto"/>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投标文件满足招标文件全部实质性要求，且评标委员会按照评审因素确定中标候选人。</w:t>
      </w:r>
    </w:p>
    <w:p>
      <w:pPr>
        <w:pStyle w:val="25"/>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5"/>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1.参加采购活动前3年内与供应商存在劳动关系；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2.参加采购活动前3年内担任供应商的董事、监事；</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3.参加采购活动前3年内是供应商的控股股东或者实际控制人；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5"/>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2"/>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（一）在资格标中出现投标报价的，或者报价文件中报价的服务跟商务与技术文件中的投标服务出现重大偏差的；</w:t>
      </w:r>
    </w:p>
    <w:p>
      <w:pPr>
        <w:pStyle w:val="22"/>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8"/>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2"/>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2"/>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2"/>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p>
    <w:p>
      <w:pPr>
        <w:pStyle w:val="5"/>
        <w:spacing w:line="360" w:lineRule="auto"/>
        <w:ind w:firstLine="480" w:firstLineChars="200"/>
        <w:rPr>
          <w:rFonts w:hint="eastAsia"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（十五）投标人未按规定提交投标保证金的。</w:t>
      </w:r>
    </w:p>
    <w:p>
      <w:pPr>
        <w:pStyle w:val="5"/>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（十六）其他不符合法律法规相关规定的。</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2"/>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2"/>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2"/>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5"/>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（一）资格</w:t>
      </w:r>
      <w:r>
        <w:rPr>
          <w:rFonts w:ascii="宋体" w:hAnsi="宋体" w:eastAsia="宋体"/>
          <w:b/>
          <w:bCs/>
          <w:color w:val="000000" w:themeColor="text1"/>
          <w:sz w:val="24"/>
          <w:highlight w:val="none"/>
          <w14:textFill>
            <w14:solidFill>
              <w14:schemeClr w14:val="tx1"/>
            </w14:solidFill>
          </w14:textFill>
        </w:rPr>
        <w:t>审查</w:t>
      </w:r>
    </w:p>
    <w:p>
      <w:pPr>
        <w:pStyle w:val="8"/>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具有本项目采购人需求的机械租赁服务能力的</w:t>
            </w:r>
            <w:r>
              <w:rPr>
                <w:rFonts w:hint="eastAsia"/>
                <w:color w:val="000000" w:themeColor="text1"/>
                <w:szCs w:val="21"/>
                <w:highlight w:val="none"/>
                <w:lang w:val="en-US" w:eastAsia="zh-CN"/>
                <w14:textFill>
                  <w14:solidFill>
                    <w14:schemeClr w14:val="tx1"/>
                  </w14:solidFill>
                </w14:textFill>
              </w:rPr>
              <w:t>投标供应商</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lang w:val="en-US" w:eastAsia="zh-CN"/>
                <w14:textFill>
                  <w14:solidFill>
                    <w14:schemeClr w14:val="tx1"/>
                  </w14:solidFill>
                </w14:textFill>
              </w:rPr>
              <w:t>投标供应商</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bl>
    <w:p>
      <w:pPr>
        <w:pStyle w:val="8"/>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b/>
          <w:bCs/>
          <w:color w:val="000000" w:themeColor="text1"/>
          <w:sz w:val="24"/>
          <w:highlight w:val="none"/>
          <w14:textFill>
            <w14:solidFill>
              <w14:schemeClr w14:val="tx1"/>
            </w14:solidFill>
          </w14:textFill>
        </w:rPr>
        <w:t>审查</w:t>
      </w:r>
    </w:p>
    <w:p>
      <w:pPr>
        <w:pStyle w:val="8"/>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color w:val="000000" w:themeColor="text1"/>
          <w:sz w:val="24"/>
          <w:highlight w:val="none"/>
          <w14:textFill>
            <w14:solidFill>
              <w14:schemeClr w14:val="tx1"/>
            </w14:solidFill>
          </w14:textFill>
        </w:rPr>
        <w:t>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8"/>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符合第一章投标邀请“七、投标保证金”</w:t>
            </w:r>
          </w:p>
        </w:tc>
      </w:tr>
    </w:tbl>
    <w:p>
      <w:pPr>
        <w:pStyle w:val="22"/>
        <w:spacing w:before="0" w:beforeAutospacing="0" w:after="0" w:afterAutospacing="0" w:line="360" w:lineRule="auto"/>
        <w:ind w:firstLine="482"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（三）</w:t>
      </w:r>
      <w:r>
        <w:rPr>
          <w:rFonts w:ascii="Arial" w:hAnsi="Arial" w:eastAsia="宋体" w:cs="Arial"/>
          <w:b/>
          <w:bCs/>
          <w:color w:val="000000" w:themeColor="text1"/>
          <w:highlight w:val="none"/>
          <w14:textFill>
            <w14:solidFill>
              <w14:schemeClr w14:val="tx1"/>
            </w14:solidFill>
          </w14:textFill>
        </w:rPr>
        <w:t>商务标评审</w:t>
      </w:r>
    </w:p>
    <w:p>
      <w:pPr>
        <w:autoSpaceDE w:val="0"/>
        <w:autoSpaceDN w:val="0"/>
        <w:adjustRightInd w:val="0"/>
        <w:spacing w:line="360" w:lineRule="auto"/>
        <w:ind w:right="85" w:firstLine="240" w:firstLineChars="100"/>
        <w:rPr>
          <w:rFonts w:ascii="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评标按以下标准及要求进行：</w:t>
      </w:r>
    </w:p>
    <w:p>
      <w:pPr>
        <w:pStyle w:val="15"/>
        <w:snapToGrid w:val="0"/>
        <w:spacing w:line="360" w:lineRule="auto"/>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lang w:val="en-US" w:eastAsia="zh-CN"/>
          <w14:textFill>
            <w14:solidFill>
              <w14:schemeClr w14:val="tx1"/>
            </w14:solidFill>
          </w14:textFill>
        </w:rPr>
        <w:t>1</w:t>
      </w:r>
      <w:r>
        <w:rPr>
          <w:rFonts w:hint="eastAsia" w:ascii="宋体" w:hAnsi="宋体" w:eastAsia="宋体"/>
          <w:b/>
          <w:color w:val="000000" w:themeColor="text1"/>
          <w:sz w:val="24"/>
          <w:highlight w:val="none"/>
          <w14:textFill>
            <w14:solidFill>
              <w14:schemeClr w14:val="tx1"/>
            </w14:solidFill>
          </w14:textFill>
        </w:rPr>
        <w:t>.评审要求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（1）评标委员会应当按照招标文件中规定的评标方法和标准，对符合性审查合格的投标文件的商务部分进行综合比较与评价</w:t>
      </w:r>
      <w:r>
        <w:rPr>
          <w:rFonts w:hint="eastAsia" w:ascii="宋体"/>
          <w:bCs/>
          <w:color w:val="000000" w:themeColor="text1"/>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经评审的有效标中，以所有有效报价的算术平均值作为评标标底价（百分号前保留两位小数）；投标报价等于评标标底价得100分，每高于评标标底价1个百分点扣0.4分（即商务标得分=100-（投标报价-评标标底价）/评标标底价*100*0.4），每低于评标标底价1个百分点扣0.3分（即商务标得分=100-（评标标底价-投标报价）/评标标底价*100*0.3）。（计算结果均保留两位小数）</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对于投标文件报价出现前后不一致的，除招标文件另有规定外，按照下列规定修正：</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②投标文件中开标一览表（报价表）内容与投标文件中相应内容不一致的，以开标一览表（报价表）为准；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③大写金额和小写金额不一致的，以大写金额为准。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同时出现两种以上不一致的，按照前款规定的顺序修正。修正应当采用询标的形式，并加盖公章。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autoSpaceDE w:val="0"/>
        <w:autoSpaceDN w:val="0"/>
        <w:adjustRightInd w:val="0"/>
        <w:spacing w:line="360" w:lineRule="auto"/>
        <w:ind w:right="85" w:firstLine="240" w:firstLineChars="1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根据投标人的商务标得分从高到低顺序排列，即得分最高者为第一中标候选人，次高者为第二中标候选人。如出现得分相同的，则由招标人抽签确定。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7" w:name="_Toc27944_WPSOffice_Level1"/>
    </w:p>
    <w:p>
      <w:pPr>
        <w:pStyle w:val="11"/>
        <w:ind w:firstLine="480"/>
        <w:rPr>
          <w:color w:val="000000" w:themeColor="text1"/>
          <w:highlight w:val="none"/>
          <w14:textFill>
            <w14:solidFill>
              <w14:schemeClr w14:val="tx1"/>
            </w14:solidFill>
          </w14:textFill>
        </w:rPr>
      </w:pPr>
    </w:p>
    <w:bookmarkEnd w:id="37"/>
    <w:p>
      <w:pPr>
        <w:pStyle w:val="11"/>
        <w:ind w:firstLine="723"/>
        <w:rPr>
          <w:rFonts w:ascii="仿宋" w:hAnsi="仿宋" w:eastAsia="仿宋" w:cs="仿宋"/>
          <w:b/>
          <w:color w:val="000000" w:themeColor="text1"/>
          <w:sz w:val="36"/>
          <w:szCs w:val="36"/>
          <w:highlight w:val="none"/>
          <w14:textFill>
            <w14:solidFill>
              <w14:schemeClr w14:val="tx1"/>
            </w14:solidFill>
          </w14:textFill>
        </w:rPr>
      </w:pPr>
    </w:p>
    <w:p>
      <w:pPr>
        <w:pStyle w:val="10"/>
        <w:rPr>
          <w:rFonts w:ascii="仿宋" w:hAnsi="仿宋" w:eastAsia="仿宋" w:cs="仿宋"/>
          <w:b/>
          <w:color w:val="000000" w:themeColor="text1"/>
          <w:sz w:val="36"/>
          <w:szCs w:val="36"/>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autoSpaceDE w:val="0"/>
        <w:autoSpaceDN w:val="0"/>
        <w:adjustRightInd w:val="0"/>
        <w:snapToGrid w:val="0"/>
        <w:spacing w:before="24" w:beforeLines="10" w:line="360" w:lineRule="auto"/>
        <w:ind w:firstLine="450"/>
        <w:textAlignment w:val="bottom"/>
        <w:rPr>
          <w:rFonts w:ascii="Arial" w:hAnsi="Arial" w:cs="Arial"/>
          <w:snapToGrid w:val="0"/>
          <w:kern w:val="0"/>
          <w:highlight w:val="none"/>
        </w:rPr>
      </w:pPr>
      <w:r>
        <w:rPr>
          <w:rFonts w:ascii="Arial" w:hAnsi="Arial" w:cs="Arial"/>
          <w:snapToGrid w:val="0"/>
          <w:kern w:val="0"/>
          <w:highlight w:val="none"/>
        </w:rPr>
        <w:t>说明：如</w:t>
      </w:r>
      <w:r>
        <w:rPr>
          <w:rFonts w:hint="eastAsia" w:ascii="Arial" w:hAnsi="Arial" w:cs="Arial"/>
          <w:snapToGrid w:val="0"/>
          <w:kern w:val="0"/>
          <w:highlight w:val="none"/>
        </w:rPr>
        <w:t>甲</w:t>
      </w:r>
      <w:r>
        <w:rPr>
          <w:rFonts w:ascii="Arial" w:hAnsi="Arial" w:cs="Arial"/>
          <w:snapToGrid w:val="0"/>
          <w:kern w:val="0"/>
          <w:highlight w:val="none"/>
        </w:rPr>
        <w:t>、</w:t>
      </w:r>
      <w:r>
        <w:rPr>
          <w:rFonts w:hint="eastAsia" w:ascii="Arial" w:hAnsi="Arial" w:cs="Arial"/>
          <w:snapToGrid w:val="0"/>
          <w:kern w:val="0"/>
          <w:highlight w:val="none"/>
        </w:rPr>
        <w:t>乙</w:t>
      </w:r>
      <w:r>
        <w:rPr>
          <w:rFonts w:ascii="Arial" w:hAnsi="Arial" w:cs="Arial"/>
          <w:snapToGrid w:val="0"/>
          <w:kern w:val="0"/>
          <w:highlight w:val="none"/>
        </w:rPr>
        <w:t>双方同意，合同格式也可以按照其他形式。但合同条款的基本内容应与《采购合同》要求的内容相一致。</w:t>
      </w: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ascii="Arial" w:hAnsi="Arial" w:cs="Arial"/>
          <w:snapToGrid w:val="0"/>
          <w:kern w:val="0"/>
          <w:sz w:val="44"/>
          <w:highlight w:val="none"/>
        </w:rPr>
      </w:pPr>
    </w:p>
    <w:p>
      <w:pPr>
        <w:pStyle w:val="23"/>
        <w:rPr>
          <w:rFonts w:ascii="Arial" w:hAnsi="Arial" w:cs="Arial"/>
          <w:snapToGrid w:val="0"/>
          <w:kern w:val="0"/>
          <w:sz w:val="44"/>
          <w:highlight w:val="none"/>
        </w:rPr>
      </w:pPr>
    </w:p>
    <w:p>
      <w:pPr>
        <w:rPr>
          <w:rFonts w:hint="eastAsia"/>
          <w:sz w:val="32"/>
          <w:highlight w:val="none"/>
        </w:rPr>
      </w:pPr>
      <w:r>
        <w:rPr>
          <w:rFonts w:hint="eastAsia"/>
          <w:sz w:val="32"/>
          <w:highlight w:val="none"/>
        </w:rPr>
        <w:br w:type="page"/>
      </w:r>
    </w:p>
    <w:p>
      <w:pPr>
        <w:adjustRightInd w:val="0"/>
        <w:spacing w:line="360" w:lineRule="auto"/>
        <w:jc w:val="center"/>
        <w:rPr>
          <w:b/>
          <w:bCs/>
          <w:highlight w:val="none"/>
        </w:rPr>
      </w:pPr>
      <w:r>
        <w:rPr>
          <w:rFonts w:hint="eastAsia"/>
          <w:sz w:val="32"/>
          <w:highlight w:val="none"/>
        </w:rPr>
        <w:t>合同主要条款</w:t>
      </w:r>
    </w:p>
    <w:p>
      <w:pPr>
        <w:numPr>
          <w:ilvl w:val="0"/>
          <w:numId w:val="10"/>
        </w:numPr>
        <w:tabs>
          <w:tab w:val="clear" w:pos="425"/>
        </w:tabs>
        <w:spacing w:line="360" w:lineRule="auto"/>
        <w:ind w:left="0" w:firstLine="420"/>
        <w:rPr>
          <w:rFonts w:hint="eastAsia" w:ascii="宋体" w:hAnsi="宋体" w:cs="Arial"/>
          <w:b/>
          <w:bCs/>
          <w:sz w:val="24"/>
          <w:highlight w:val="none"/>
        </w:rPr>
      </w:pPr>
      <w:r>
        <w:rPr>
          <w:rFonts w:hint="eastAsia" w:ascii="宋体" w:hAnsi="宋体" w:cs="Arial"/>
          <w:b/>
          <w:bCs/>
          <w:sz w:val="24"/>
          <w:highlight w:val="none"/>
        </w:rPr>
        <w:t>定义：</w:t>
      </w:r>
    </w:p>
    <w:p>
      <w:pPr>
        <w:spacing w:line="360" w:lineRule="auto"/>
        <w:ind w:firstLine="480" w:firstLineChars="200"/>
        <w:rPr>
          <w:rFonts w:hint="eastAsia" w:ascii="宋体" w:hAnsi="宋体" w:cs="Arial"/>
          <w:sz w:val="24"/>
          <w:highlight w:val="none"/>
        </w:rPr>
      </w:pPr>
      <w:r>
        <w:rPr>
          <w:rFonts w:ascii="宋体" w:hAnsi="宋体" w:cs="Arial"/>
          <w:sz w:val="24"/>
          <w:highlight w:val="none"/>
        </w:rPr>
        <w:t>本合同下列述语应解释为：</w:t>
      </w:r>
    </w:p>
    <w:p>
      <w:pPr>
        <w:numPr>
          <w:ilvl w:val="1"/>
          <w:numId w:val="10"/>
        </w:numPr>
        <w:tabs>
          <w:tab w:val="left" w:pos="540"/>
          <w:tab w:val="clear" w:pos="992"/>
        </w:tabs>
        <w:spacing w:line="360" w:lineRule="auto"/>
        <w:ind w:left="0" w:firstLine="420"/>
        <w:rPr>
          <w:rFonts w:hint="eastAsia" w:ascii="宋体" w:hAnsi="宋体"/>
          <w:b/>
          <w:bCs/>
          <w:sz w:val="24"/>
          <w:highlight w:val="none"/>
        </w:rPr>
      </w:pPr>
      <w:r>
        <w:rPr>
          <w:rFonts w:ascii="宋体" w:hAnsi="宋体" w:cs="Arial"/>
          <w:spacing w:val="6"/>
          <w:sz w:val="24"/>
          <w:highlight w:val="none"/>
        </w:rPr>
        <w:t>“合同”系指买卖双方签署的，合同格式中载明的买卖双方所达成的协议，包括所有的附件和</w:t>
      </w:r>
      <w:r>
        <w:rPr>
          <w:rFonts w:ascii="宋体" w:hAnsi="宋体" w:cs="Arial"/>
          <w:sz w:val="24"/>
          <w:highlight w:val="none"/>
        </w:rPr>
        <w:t>构成合同的其它文件。</w:t>
      </w:r>
    </w:p>
    <w:p>
      <w:pPr>
        <w:spacing w:line="360" w:lineRule="auto"/>
        <w:ind w:firstLine="482" w:firstLineChars="200"/>
        <w:rPr>
          <w:rFonts w:hint="eastAsia" w:ascii="宋体" w:hAnsi="宋体"/>
          <w:b/>
          <w:sz w:val="24"/>
          <w:highlight w:val="none"/>
          <w:shd w:val="clear" w:color="FFFFFF" w:fill="D9D9D9"/>
        </w:rPr>
      </w:pPr>
      <w:r>
        <w:rPr>
          <w:rFonts w:hint="eastAsia" w:ascii="宋体" w:hAnsi="宋体"/>
          <w:b/>
          <w:bCs/>
          <w:sz w:val="24"/>
          <w:highlight w:val="none"/>
        </w:rPr>
        <w:t>“合同价”是指根据本合同规定，卖方在正确地完全履行合同义务后买方应支付给卖方的价款（</w:t>
      </w:r>
      <w:r>
        <w:rPr>
          <w:rFonts w:hint="eastAsia" w:ascii="宋体"/>
          <w:b/>
          <w:kern w:val="0"/>
          <w:sz w:val="24"/>
          <w:highlight w:val="none"/>
        </w:rPr>
        <w:t>货物运到</w:t>
      </w:r>
      <w:r>
        <w:rPr>
          <w:rFonts w:hint="eastAsia" w:ascii="宋体"/>
          <w:b/>
          <w:kern w:val="0"/>
          <w:sz w:val="24"/>
          <w:highlight w:val="none"/>
          <w:lang w:eastAsia="zh-CN"/>
        </w:rPr>
        <w:t>买方</w:t>
      </w:r>
      <w:r>
        <w:rPr>
          <w:rFonts w:hint="eastAsia" w:ascii="宋体"/>
          <w:b/>
          <w:kern w:val="0"/>
          <w:sz w:val="24"/>
          <w:highlight w:val="none"/>
        </w:rPr>
        <w:t>指定的施工现场的全费用</w:t>
      </w:r>
      <w:r>
        <w:rPr>
          <w:rFonts w:hint="eastAsia" w:ascii="宋体" w:hAnsi="宋体"/>
          <w:b/>
          <w:bCs/>
          <w:sz w:val="24"/>
          <w:highlight w:val="none"/>
        </w:rPr>
        <w:t>价格）。即：</w:t>
      </w:r>
      <w:r>
        <w:rPr>
          <w:rFonts w:ascii="宋体"/>
          <w:b/>
          <w:kern w:val="0"/>
          <w:sz w:val="24"/>
          <w:highlight w:val="none"/>
        </w:rPr>
        <w:t>投标</w:t>
      </w:r>
      <w:r>
        <w:rPr>
          <w:rFonts w:hint="eastAsia" w:ascii="宋体"/>
          <w:b/>
          <w:kern w:val="0"/>
          <w:sz w:val="24"/>
          <w:highlight w:val="none"/>
        </w:rPr>
        <w:t>人所报的</w:t>
      </w:r>
      <w:r>
        <w:rPr>
          <w:rFonts w:hint="eastAsia" w:ascii="宋体"/>
          <w:b/>
          <w:kern w:val="0"/>
          <w:sz w:val="24"/>
          <w:highlight w:val="none"/>
          <w:lang w:eastAsia="zh-CN"/>
        </w:rPr>
        <w:t>全费用综合单价</w:t>
      </w:r>
      <w:r>
        <w:rPr>
          <w:rFonts w:hint="eastAsia" w:ascii="宋体"/>
          <w:b/>
          <w:kern w:val="0"/>
          <w:sz w:val="24"/>
          <w:highlight w:val="none"/>
        </w:rPr>
        <w:t>包括货物的供货、税金、包装、运输（货物运到招标人指定的施工现场）、保险、装卸、损耗、验收（含第三方验收）、施工全过程的技术指导服务、售后服务、材料、风险、利润等全部费用，实行固定</w:t>
      </w:r>
      <w:r>
        <w:rPr>
          <w:rFonts w:hint="eastAsia" w:ascii="宋体"/>
          <w:b/>
          <w:kern w:val="0"/>
          <w:sz w:val="24"/>
          <w:highlight w:val="none"/>
          <w:lang w:eastAsia="zh-CN"/>
        </w:rPr>
        <w:t>全费用综合单价</w:t>
      </w:r>
      <w:r>
        <w:rPr>
          <w:rFonts w:hint="eastAsia" w:ascii="宋体"/>
          <w:b/>
          <w:kern w:val="0"/>
          <w:sz w:val="24"/>
          <w:highlight w:val="none"/>
        </w:rPr>
        <w:t>总包干</w:t>
      </w:r>
      <w:r>
        <w:rPr>
          <w:rFonts w:hint="eastAsia" w:ascii="宋体" w:hAnsi="宋体" w:cs="Arial"/>
          <w:b/>
          <w:sz w:val="24"/>
          <w:highlight w:val="none"/>
        </w:rPr>
        <w:t>。</w:t>
      </w:r>
      <w:r>
        <w:rPr>
          <w:rFonts w:hint="eastAsia" w:ascii="宋体" w:hAnsi="宋体" w:cs="Arial"/>
          <w:b/>
          <w:sz w:val="24"/>
          <w:highlight w:val="none"/>
          <w:lang w:eastAsia="zh-CN"/>
        </w:rPr>
        <w:t>买方</w:t>
      </w:r>
      <w:r>
        <w:rPr>
          <w:rFonts w:hint="eastAsia" w:ascii="宋体" w:hAnsi="宋体" w:cs="Arial"/>
          <w:b/>
          <w:sz w:val="24"/>
          <w:highlight w:val="none"/>
        </w:rPr>
        <w:t>可根据实际情况调整采购数量，</w:t>
      </w:r>
      <w:r>
        <w:rPr>
          <w:rFonts w:hint="eastAsia" w:ascii="宋体" w:hAnsi="宋体"/>
          <w:b/>
          <w:sz w:val="24"/>
          <w:highlight w:val="none"/>
          <w:lang w:eastAsia="zh-CN"/>
        </w:rPr>
        <w:t>卖方</w:t>
      </w:r>
      <w:r>
        <w:rPr>
          <w:rFonts w:hint="eastAsia" w:ascii="宋体" w:hAnsi="宋体"/>
          <w:b/>
          <w:sz w:val="24"/>
          <w:highlight w:val="none"/>
        </w:rPr>
        <w:t>不得以此为要求调整</w:t>
      </w:r>
      <w:r>
        <w:rPr>
          <w:rFonts w:hint="eastAsia" w:ascii="宋体" w:hAnsi="宋体"/>
          <w:b/>
          <w:sz w:val="24"/>
          <w:highlight w:val="none"/>
          <w:lang w:eastAsia="zh-CN"/>
        </w:rPr>
        <w:t>全费用综合单价</w:t>
      </w:r>
      <w:r>
        <w:rPr>
          <w:rFonts w:hint="eastAsia" w:ascii="宋体" w:hAnsi="宋体"/>
          <w:b/>
          <w:sz w:val="24"/>
          <w:highlight w:val="none"/>
        </w:rPr>
        <w:t>。</w:t>
      </w:r>
    </w:p>
    <w:p>
      <w:pPr>
        <w:numPr>
          <w:ilvl w:val="1"/>
          <w:numId w:val="10"/>
        </w:numPr>
        <w:tabs>
          <w:tab w:val="left" w:pos="540"/>
          <w:tab w:val="clear" w:pos="992"/>
        </w:tabs>
        <w:spacing w:line="360" w:lineRule="auto"/>
        <w:ind w:left="0" w:firstLine="420"/>
        <w:rPr>
          <w:rFonts w:hint="eastAsia" w:ascii="宋体" w:hAnsi="宋体"/>
          <w:sz w:val="24"/>
          <w:highlight w:val="none"/>
        </w:rPr>
      </w:pPr>
      <w:r>
        <w:rPr>
          <w:rFonts w:hint="eastAsia" w:ascii="宋体" w:hAnsi="宋体"/>
          <w:sz w:val="24"/>
          <w:highlight w:val="none"/>
        </w:rPr>
        <w:t>“货物”是指根据合同规定须向买方提供的一切货物、机械和其它材料。</w:t>
      </w:r>
    </w:p>
    <w:p>
      <w:pPr>
        <w:numPr>
          <w:ilvl w:val="1"/>
          <w:numId w:val="10"/>
        </w:numPr>
        <w:tabs>
          <w:tab w:val="left" w:pos="540"/>
          <w:tab w:val="clear" w:pos="992"/>
        </w:tabs>
        <w:spacing w:line="360" w:lineRule="auto"/>
        <w:ind w:left="0" w:firstLine="420"/>
        <w:rPr>
          <w:rFonts w:hint="eastAsia" w:ascii="宋体" w:hAnsi="宋体"/>
          <w:sz w:val="24"/>
          <w:highlight w:val="none"/>
        </w:rPr>
      </w:pPr>
      <w:r>
        <w:rPr>
          <w:rFonts w:hint="eastAsia" w:ascii="宋体" w:hAnsi="宋体"/>
          <w:sz w:val="24"/>
          <w:highlight w:val="none"/>
        </w:rPr>
        <w:t>“服务”是指根据合同规定卖方承担与供货有关的辅助服务，如运输、保险以及其它的伴随服务，例如安装、调试、提供技术协助、培训和合同中规定卖方应承担的其它义务。</w:t>
      </w:r>
    </w:p>
    <w:p>
      <w:pPr>
        <w:numPr>
          <w:ilvl w:val="1"/>
          <w:numId w:val="10"/>
        </w:numPr>
        <w:tabs>
          <w:tab w:val="left" w:pos="540"/>
          <w:tab w:val="clear" w:pos="992"/>
        </w:tabs>
        <w:spacing w:line="360" w:lineRule="auto"/>
        <w:ind w:left="0" w:firstLine="420"/>
        <w:rPr>
          <w:rFonts w:hint="eastAsia" w:ascii="宋体" w:hAnsi="宋体"/>
          <w:sz w:val="24"/>
          <w:highlight w:val="none"/>
        </w:rPr>
      </w:pPr>
      <w:r>
        <w:rPr>
          <w:rFonts w:hint="eastAsia" w:ascii="宋体" w:hAnsi="宋体"/>
          <w:sz w:val="24"/>
          <w:highlight w:val="none"/>
        </w:rPr>
        <w:t>“现场”是指合同项下货物将要进行种植养护的地点。</w:t>
      </w:r>
    </w:p>
    <w:p>
      <w:pPr>
        <w:numPr>
          <w:ilvl w:val="1"/>
          <w:numId w:val="10"/>
        </w:numPr>
        <w:tabs>
          <w:tab w:val="left" w:pos="540"/>
          <w:tab w:val="clear" w:pos="992"/>
        </w:tabs>
        <w:spacing w:line="360" w:lineRule="auto"/>
        <w:ind w:left="0" w:firstLine="420"/>
        <w:rPr>
          <w:rFonts w:hint="eastAsia" w:ascii="宋体" w:hAnsi="宋体"/>
          <w:sz w:val="24"/>
          <w:highlight w:val="none"/>
        </w:rPr>
      </w:pPr>
      <w:r>
        <w:rPr>
          <w:rFonts w:hint="eastAsia" w:ascii="宋体" w:hAnsi="宋体"/>
          <w:sz w:val="24"/>
          <w:highlight w:val="none"/>
        </w:rPr>
        <w:t>“验收”是指合同双方依据规定的程序和条件确认合同项下的货物符合技术规范的要求。</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cs="Arial"/>
          <w:b/>
          <w:bCs/>
          <w:sz w:val="24"/>
          <w:highlight w:val="none"/>
        </w:rPr>
        <w:t>标准</w:t>
      </w:r>
    </w:p>
    <w:p>
      <w:pPr>
        <w:numPr>
          <w:ilvl w:val="1"/>
          <w:numId w:val="10"/>
        </w:numPr>
        <w:tabs>
          <w:tab w:val="left" w:pos="540"/>
        </w:tabs>
        <w:spacing w:line="360" w:lineRule="auto"/>
        <w:ind w:left="0" w:firstLine="420"/>
        <w:rPr>
          <w:rFonts w:hint="eastAsia" w:ascii="宋体" w:hAnsi="宋体"/>
          <w:sz w:val="24"/>
          <w:highlight w:val="none"/>
        </w:rPr>
      </w:pPr>
      <w:r>
        <w:rPr>
          <w:rFonts w:hint="eastAsia" w:ascii="宋体" w:hAnsi="宋体"/>
          <w:sz w:val="24"/>
          <w:highlight w:val="none"/>
        </w:rPr>
        <w:t>本合同项下交付的货物应符合技术规格所述的标准。如在招标文件中无相应说明，则以国家颁布的最新版本标准或行业（部）标准或相应的国际标准执行，没有国家或行业（部）标准的则按企业标准执行。</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除非技术规格中另有规定，计量单位均采用中华人民共和国法定计量单位。</w:t>
      </w:r>
    </w:p>
    <w:p>
      <w:pPr>
        <w:numPr>
          <w:ilvl w:val="0"/>
          <w:numId w:val="10"/>
        </w:numPr>
        <w:tabs>
          <w:tab w:val="clear" w:pos="425"/>
        </w:tabs>
        <w:spacing w:line="360" w:lineRule="auto"/>
        <w:ind w:left="0" w:firstLine="420"/>
        <w:rPr>
          <w:rFonts w:ascii="宋体" w:hAnsi="宋体"/>
          <w:b/>
          <w:sz w:val="24"/>
          <w:highlight w:val="none"/>
        </w:rPr>
      </w:pPr>
      <w:r>
        <w:rPr>
          <w:rFonts w:hint="eastAsia" w:ascii="宋体" w:hAnsi="宋体"/>
          <w:b/>
          <w:sz w:val="24"/>
          <w:highlight w:val="none"/>
        </w:rPr>
        <w:t>交货时间：</w:t>
      </w:r>
      <w:r>
        <w:rPr>
          <w:rFonts w:hint="eastAsia" w:ascii="宋体" w:hAnsi="宋体"/>
          <w:sz w:val="24"/>
          <w:highlight w:val="none"/>
        </w:rPr>
        <w:t>合同签订后，接到采购人通知后，根据采购人要求及时供货到采购人指定地点，不得影响采购人施工进度。（按车运输，每车数量不少于1500根）。</w:t>
      </w:r>
    </w:p>
    <w:p>
      <w:pPr>
        <w:numPr>
          <w:ilvl w:val="0"/>
          <w:numId w:val="10"/>
        </w:numPr>
        <w:tabs>
          <w:tab w:val="clear" w:pos="425"/>
        </w:tabs>
        <w:spacing w:line="360" w:lineRule="auto"/>
        <w:ind w:left="0" w:firstLine="420"/>
        <w:rPr>
          <w:rFonts w:ascii="宋体" w:hAnsi="宋体"/>
          <w:b/>
          <w:sz w:val="24"/>
          <w:highlight w:val="none"/>
        </w:rPr>
      </w:pPr>
      <w:r>
        <w:rPr>
          <w:rFonts w:hint="eastAsia" w:ascii="宋体" w:hAnsi="宋体"/>
          <w:b/>
          <w:sz w:val="24"/>
          <w:highlight w:val="none"/>
        </w:rPr>
        <w:t>付款方式</w:t>
      </w:r>
    </w:p>
    <w:p>
      <w:pPr>
        <w:numPr>
          <w:ilvl w:val="1"/>
          <w:numId w:val="10"/>
        </w:numPr>
        <w:tabs>
          <w:tab w:val="left" w:pos="540"/>
          <w:tab w:val="left" w:pos="840"/>
          <w:tab w:val="left" w:pos="1418"/>
          <w:tab w:val="clear" w:pos="992"/>
        </w:tabs>
        <w:spacing w:line="360" w:lineRule="auto"/>
        <w:ind w:left="0" w:firstLine="420"/>
        <w:rPr>
          <w:rFonts w:hint="eastAsia"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在合同签订前卖方</w:t>
      </w:r>
      <w:r>
        <w:rPr>
          <w:rFonts w:hint="eastAsia" w:ascii="宋体" w:hAnsi="宋体" w:cs="Arial"/>
          <w:color w:val="000000" w:themeColor="text1"/>
          <w:sz w:val="24"/>
          <w:highlight w:val="none"/>
          <w14:textFill>
            <w14:solidFill>
              <w14:schemeClr w14:val="tx1"/>
            </w14:solidFill>
          </w14:textFill>
        </w:rPr>
        <w:t>向买方</w:t>
      </w:r>
      <w:r>
        <w:rPr>
          <w:rFonts w:ascii="宋体" w:hAnsi="宋体" w:cs="Arial"/>
          <w:color w:val="000000" w:themeColor="text1"/>
          <w:sz w:val="24"/>
          <w:highlight w:val="none"/>
          <w14:textFill>
            <w14:solidFill>
              <w14:schemeClr w14:val="tx1"/>
            </w14:solidFill>
          </w14:textFill>
        </w:rPr>
        <w:t>提</w:t>
      </w:r>
      <w:r>
        <w:rPr>
          <w:rFonts w:ascii="宋体" w:hAnsi="宋体" w:cs="Arial"/>
          <w:color w:val="000000" w:themeColor="text1"/>
          <w:sz w:val="24"/>
          <w:szCs w:val="24"/>
          <w:highlight w:val="none"/>
          <w14:textFill>
            <w14:solidFill>
              <w14:schemeClr w14:val="tx1"/>
            </w14:solidFill>
          </w14:textFill>
        </w:rPr>
        <w:t>供</w:t>
      </w:r>
      <w:r>
        <w:rPr>
          <w:rFonts w:hint="eastAsia" w:ascii="宋体" w:hAnsi="宋体" w:cs="Arial"/>
          <w:color w:val="000000" w:themeColor="text1"/>
          <w:sz w:val="24"/>
          <w:szCs w:val="24"/>
          <w:highlight w:val="none"/>
          <w:u w:val="none"/>
          <w14:textFill>
            <w14:solidFill>
              <w14:schemeClr w14:val="tx1"/>
            </w14:solidFill>
          </w14:textFill>
        </w:rPr>
        <w:t>人民币</w:t>
      </w:r>
      <w:r>
        <w:rPr>
          <w:rFonts w:hint="eastAsia" w:ascii="宋体" w:hAnsi="宋体" w:cs="Arial"/>
          <w:color w:val="000000" w:themeColor="text1"/>
          <w:sz w:val="24"/>
          <w:szCs w:val="24"/>
          <w:highlight w:val="none"/>
          <w:u w:val="none"/>
          <w:lang w:val="en-US" w:eastAsia="zh-CN"/>
          <w14:textFill>
            <w14:solidFill>
              <w14:schemeClr w14:val="tx1"/>
            </w14:solidFill>
          </w14:textFill>
        </w:rPr>
        <w:t>1万</w:t>
      </w:r>
      <w:r>
        <w:rPr>
          <w:rFonts w:hint="eastAsia" w:ascii="宋体" w:hAnsi="宋体" w:cs="Arial"/>
          <w:color w:val="000000" w:themeColor="text1"/>
          <w:sz w:val="24"/>
          <w:szCs w:val="24"/>
          <w:highlight w:val="none"/>
          <w:u w:val="none"/>
          <w14:textFill>
            <w14:solidFill>
              <w14:schemeClr w14:val="tx1"/>
            </w14:solidFill>
          </w14:textFill>
        </w:rPr>
        <w:t>元</w:t>
      </w:r>
      <w:r>
        <w:rPr>
          <w:rFonts w:hint="eastAsia" w:ascii="宋体" w:hAnsi="宋体" w:cs="Arial"/>
          <w:color w:val="000000" w:themeColor="text1"/>
          <w:sz w:val="24"/>
          <w:szCs w:val="24"/>
          <w:highlight w:val="none"/>
          <w14:textFill>
            <w14:solidFill>
              <w14:schemeClr w14:val="tx1"/>
            </w14:solidFill>
          </w14:textFill>
        </w:rPr>
        <w:t>的</w:t>
      </w:r>
      <w:r>
        <w:rPr>
          <w:rFonts w:ascii="宋体" w:hAnsi="宋体" w:cs="Arial"/>
          <w:color w:val="000000" w:themeColor="text1"/>
          <w:sz w:val="24"/>
          <w:szCs w:val="24"/>
          <w:highlight w:val="none"/>
          <w14:textFill>
            <w14:solidFill>
              <w14:schemeClr w14:val="tx1"/>
            </w14:solidFill>
          </w14:textFill>
        </w:rPr>
        <w:t>履约保证金，如卖方在签约前未在规定的时间内提交履约保证金则买方有权拒签合同；</w:t>
      </w:r>
      <w:r>
        <w:rPr>
          <w:rFonts w:hint="eastAsia" w:ascii="宋体" w:hAnsi="宋体" w:cs="Arial"/>
          <w:color w:val="000000" w:themeColor="text1"/>
          <w:sz w:val="24"/>
          <w:szCs w:val="24"/>
          <w:highlight w:val="none"/>
          <w14:textFill>
            <w14:solidFill>
              <w14:schemeClr w14:val="tx1"/>
            </w14:solidFill>
          </w14:textFill>
        </w:rPr>
        <w:t>买方将按月支付货款（有采购需求的月份），卖方必须每月25日前将当月实际交货完成并经买方验收合格的实际供货清单送交给买方，买方在确认计量结果后7天内，向卖方支付当月（批次）货款的全额</w:t>
      </w:r>
      <w:r>
        <w:rPr>
          <w:rFonts w:ascii="宋体" w:hAnsi="宋体" w:cs="Arial"/>
          <w:color w:val="000000" w:themeColor="text1"/>
          <w:sz w:val="24"/>
          <w:szCs w:val="24"/>
          <w:highlight w:val="none"/>
          <w14:textFill>
            <w14:solidFill>
              <w14:schemeClr w14:val="tx1"/>
            </w14:solidFill>
          </w14:textFill>
        </w:rPr>
        <w:t>（卖方需</w:t>
      </w:r>
      <w:r>
        <w:rPr>
          <w:rFonts w:hint="eastAsia" w:ascii="宋体" w:hAnsi="宋体" w:cs="Arial"/>
          <w:color w:val="000000" w:themeColor="text1"/>
          <w:sz w:val="24"/>
          <w:szCs w:val="24"/>
          <w:highlight w:val="none"/>
          <w14:textFill>
            <w14:solidFill>
              <w14:schemeClr w14:val="tx1"/>
            </w14:solidFill>
          </w14:textFill>
        </w:rPr>
        <w:t>向买方</w:t>
      </w:r>
      <w:r>
        <w:rPr>
          <w:rFonts w:ascii="宋体" w:hAnsi="宋体" w:cs="Arial"/>
          <w:color w:val="000000" w:themeColor="text1"/>
          <w:sz w:val="24"/>
          <w:szCs w:val="24"/>
          <w:highlight w:val="none"/>
          <w14:textFill>
            <w14:solidFill>
              <w14:schemeClr w14:val="tx1"/>
            </w14:solidFill>
          </w14:textFill>
        </w:rPr>
        <w:t>开具</w:t>
      </w:r>
      <w:r>
        <w:rPr>
          <w:rFonts w:hint="eastAsia" w:ascii="宋体" w:hAnsi="宋体" w:cs="Arial"/>
          <w:color w:val="000000" w:themeColor="text1"/>
          <w:sz w:val="24"/>
          <w:szCs w:val="24"/>
          <w:highlight w:val="none"/>
          <w14:textFill>
            <w14:solidFill>
              <w14:schemeClr w14:val="tx1"/>
            </w14:solidFill>
          </w14:textFill>
        </w:rPr>
        <w:t>增值税专用发票</w:t>
      </w:r>
      <w:r>
        <w:rPr>
          <w:rFonts w:hint="eastAsia"/>
          <w:color w:val="000000" w:themeColor="text1"/>
          <w:sz w:val="24"/>
          <w:szCs w:val="24"/>
          <w:highlight w:val="none"/>
          <w14:textFill>
            <w14:solidFill>
              <w14:schemeClr w14:val="tx1"/>
            </w14:solidFill>
          </w14:textFill>
        </w:rPr>
        <w:t>并经买方验收合格后支付相应款项</w:t>
      </w:r>
      <w:r>
        <w:rPr>
          <w:rFonts w:ascii="宋体" w:hAnsi="宋体" w:cs="Arial"/>
          <w:color w:val="000000" w:themeColor="text1"/>
          <w:sz w:val="24"/>
          <w:szCs w:val="24"/>
          <w:highlight w:val="none"/>
          <w14:textFill>
            <w14:solidFill>
              <w14:schemeClr w14:val="tx1"/>
            </w14:solidFill>
          </w14:textFill>
        </w:rPr>
        <w:t>）</w:t>
      </w:r>
      <w:r>
        <w:rPr>
          <w:rFonts w:hint="eastAsia" w:ascii="宋体" w:hAnsi="宋体" w:cs="Arial"/>
          <w:color w:val="000000" w:themeColor="text1"/>
          <w:sz w:val="24"/>
          <w:szCs w:val="24"/>
          <w:highlight w:val="none"/>
          <w14:textFill>
            <w14:solidFill>
              <w14:schemeClr w14:val="tx1"/>
            </w14:solidFill>
          </w14:textFill>
        </w:rPr>
        <w:t>；卖方完成全部货物供应且经买方</w:t>
      </w:r>
      <w:r>
        <w:rPr>
          <w:rFonts w:ascii="宋体" w:hAnsi="宋体" w:cs="Arial"/>
          <w:color w:val="000000" w:themeColor="text1"/>
          <w:sz w:val="24"/>
          <w:szCs w:val="24"/>
          <w:highlight w:val="none"/>
          <w14:textFill>
            <w14:solidFill>
              <w14:schemeClr w14:val="tx1"/>
            </w14:solidFill>
          </w14:textFill>
        </w:rPr>
        <w:t>验收合格后，</w:t>
      </w:r>
      <w:r>
        <w:rPr>
          <w:rFonts w:hint="eastAsia" w:ascii="宋体" w:hAnsi="宋体" w:cs="Arial"/>
          <w:color w:val="000000" w:themeColor="text1"/>
          <w:sz w:val="24"/>
          <w:szCs w:val="24"/>
          <w:highlight w:val="none"/>
          <w14:textFill>
            <w14:solidFill>
              <w14:schemeClr w14:val="tx1"/>
            </w14:solidFill>
          </w14:textFill>
        </w:rPr>
        <w:t>买方</w:t>
      </w:r>
      <w:r>
        <w:rPr>
          <w:rFonts w:ascii="宋体" w:hAnsi="宋体" w:cs="Arial"/>
          <w:color w:val="000000" w:themeColor="text1"/>
          <w:sz w:val="24"/>
          <w:szCs w:val="24"/>
          <w:highlight w:val="none"/>
          <w14:textFill>
            <w14:solidFill>
              <w14:schemeClr w14:val="tx1"/>
            </w14:solidFill>
          </w14:textFill>
        </w:rPr>
        <w:t>向卖方付</w:t>
      </w:r>
      <w:r>
        <w:rPr>
          <w:rFonts w:hint="eastAsia" w:ascii="宋体" w:hAnsi="宋体" w:cs="Arial"/>
          <w:color w:val="000000" w:themeColor="text1"/>
          <w:sz w:val="24"/>
          <w:szCs w:val="24"/>
          <w:highlight w:val="none"/>
          <w14:textFill>
            <w14:solidFill>
              <w14:schemeClr w14:val="tx1"/>
            </w14:solidFill>
          </w14:textFill>
        </w:rPr>
        <w:t>清实际采购货款并无息退回履约保证金</w:t>
      </w:r>
      <w:r>
        <w:rPr>
          <w:rFonts w:ascii="宋体" w:hAnsi="宋体" w:cs="Arial"/>
          <w:color w:val="000000" w:themeColor="text1"/>
          <w:sz w:val="24"/>
          <w:highlight w:val="none"/>
          <w14:textFill>
            <w14:solidFill>
              <w14:schemeClr w14:val="tx1"/>
            </w14:solidFill>
          </w14:textFill>
        </w:rPr>
        <w:t>。</w:t>
      </w:r>
    </w:p>
    <w:p>
      <w:pPr>
        <w:numPr>
          <w:ilvl w:val="0"/>
          <w:numId w:val="10"/>
        </w:numPr>
        <w:tabs>
          <w:tab w:val="clear" w:pos="425"/>
        </w:tabs>
        <w:spacing w:line="360" w:lineRule="auto"/>
        <w:ind w:left="0" w:firstLine="420"/>
        <w:rPr>
          <w:rFonts w:hint="eastAsia" w:ascii="宋体" w:hAnsi="宋体"/>
          <w:b/>
          <w:bCs/>
          <w:sz w:val="24"/>
          <w:highlight w:val="none"/>
        </w:rPr>
      </w:pPr>
      <w:r>
        <w:rPr>
          <w:rFonts w:hint="eastAsia" w:ascii="宋体" w:hAnsi="宋体"/>
          <w:b/>
          <w:sz w:val="24"/>
          <w:highlight w:val="none"/>
        </w:rPr>
        <w:t>技术文件和资料</w:t>
      </w:r>
    </w:p>
    <w:p>
      <w:pPr>
        <w:numPr>
          <w:ilvl w:val="1"/>
          <w:numId w:val="10"/>
        </w:numPr>
        <w:tabs>
          <w:tab w:val="left" w:pos="540"/>
        </w:tabs>
        <w:spacing w:line="360" w:lineRule="auto"/>
        <w:ind w:left="0" w:firstLine="420"/>
        <w:rPr>
          <w:rFonts w:hint="eastAsia" w:ascii="宋体" w:hAnsi="宋体"/>
          <w:sz w:val="24"/>
          <w:highlight w:val="none"/>
        </w:rPr>
      </w:pPr>
      <w:r>
        <w:rPr>
          <w:rFonts w:hint="eastAsia" w:ascii="宋体" w:hAnsi="宋体"/>
          <w:sz w:val="24"/>
          <w:highlight w:val="none"/>
        </w:rPr>
        <w:t>提供技术文件和资料的种类和数量在本招标文件《招标需求》中规定，买卖双方可根据采购要求和需要订立具体的技术文件和资料交付时间和数量。</w:t>
      </w:r>
    </w:p>
    <w:p>
      <w:pPr>
        <w:numPr>
          <w:ilvl w:val="1"/>
          <w:numId w:val="10"/>
        </w:numPr>
        <w:tabs>
          <w:tab w:val="left" w:pos="540"/>
        </w:tabs>
        <w:spacing w:line="360" w:lineRule="auto"/>
        <w:ind w:left="0" w:firstLine="420"/>
        <w:rPr>
          <w:rFonts w:hint="eastAsia" w:ascii="宋体" w:hAnsi="宋体"/>
          <w:b/>
          <w:sz w:val="24"/>
          <w:highlight w:val="none"/>
        </w:rPr>
      </w:pPr>
      <w:r>
        <w:rPr>
          <w:rFonts w:hint="eastAsia" w:ascii="宋体" w:hAnsi="宋体"/>
          <w:sz w:val="24"/>
          <w:highlight w:val="none"/>
        </w:rPr>
        <w:t>如果买方确认卖方提供的技术文</w:t>
      </w:r>
      <w:r>
        <w:rPr>
          <w:rFonts w:ascii="宋体" w:hAnsi="宋体" w:cs="Arial"/>
          <w:sz w:val="24"/>
          <w:highlight w:val="none"/>
        </w:rPr>
        <w:t>件和资料不完整，或在运输途中丢失，卖方应在收到买方通知后3天内将这些文件、资料补齐。</w:t>
      </w:r>
      <w:r>
        <w:rPr>
          <w:rFonts w:hint="eastAsia" w:ascii="宋体" w:hAnsi="宋体" w:cs="Arial"/>
          <w:b/>
          <w:bCs/>
          <w:sz w:val="24"/>
          <w:highlight w:val="none"/>
        </w:rPr>
        <w:t xml:space="preserve"> </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卖方履约延误</w:t>
      </w:r>
    </w:p>
    <w:p>
      <w:pPr>
        <w:numPr>
          <w:ilvl w:val="1"/>
          <w:numId w:val="10"/>
        </w:numPr>
        <w:tabs>
          <w:tab w:val="left" w:pos="540"/>
        </w:tabs>
        <w:spacing w:line="360" w:lineRule="auto"/>
        <w:ind w:left="0" w:firstLine="420"/>
        <w:rPr>
          <w:rFonts w:hint="eastAsia" w:ascii="宋体" w:hAnsi="宋体"/>
          <w:sz w:val="24"/>
          <w:highlight w:val="none"/>
        </w:rPr>
      </w:pPr>
      <w:r>
        <w:rPr>
          <w:rFonts w:hint="eastAsia" w:ascii="宋体" w:hAnsi="宋体"/>
          <w:sz w:val="24"/>
          <w:highlight w:val="none"/>
        </w:rPr>
        <w:t>卖方应按照合同规定的时间交货和提供服务。</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除了合同条款中不可抗力的情况</w:t>
      </w:r>
      <w:r>
        <w:rPr>
          <w:rFonts w:ascii="宋体" w:hAnsi="宋体" w:cs="Arial"/>
          <w:sz w:val="24"/>
          <w:highlight w:val="none"/>
        </w:rPr>
        <w:t>外，除买方同意延误并不收赔偿费外，卖方延误交货或提供服务将按合同条款</w:t>
      </w:r>
      <w:r>
        <w:rPr>
          <w:rFonts w:hint="eastAsia" w:ascii="宋体" w:hAnsi="宋体" w:cs="Arial"/>
          <w:sz w:val="24"/>
          <w:highlight w:val="none"/>
        </w:rPr>
        <w:t>7</w:t>
      </w:r>
      <w:r>
        <w:rPr>
          <w:rFonts w:ascii="宋体" w:hAnsi="宋体" w:cs="Arial"/>
          <w:sz w:val="24"/>
          <w:highlight w:val="none"/>
        </w:rPr>
        <w:t>条规定被收取</w:t>
      </w:r>
      <w:r>
        <w:rPr>
          <w:rFonts w:hint="eastAsia" w:ascii="宋体" w:hAnsi="宋体"/>
          <w:sz w:val="24"/>
          <w:highlight w:val="none"/>
        </w:rPr>
        <w:t>误期赔偿费。</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所有提供的交货、验收都应服从买方的统一安排。</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误期赔偿费</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除不可抗力外，如果卖方没有按照合同规定的时间交货和提供服</w:t>
      </w:r>
      <w:r>
        <w:rPr>
          <w:rFonts w:ascii="宋体" w:hAnsi="宋体" w:cs="Arial"/>
          <w:sz w:val="24"/>
          <w:highlight w:val="none"/>
        </w:rPr>
        <w:t>务，买方应在不影响合同项下的其他补救措施的情况下，从合同价款中扣除误期赔偿费。每延误一</w:t>
      </w:r>
      <w:r>
        <w:rPr>
          <w:rFonts w:hint="eastAsia" w:ascii="宋体" w:hAnsi="宋体" w:cs="Arial"/>
          <w:sz w:val="24"/>
          <w:highlight w:val="none"/>
        </w:rPr>
        <w:t>天</w:t>
      </w:r>
      <w:r>
        <w:rPr>
          <w:rFonts w:ascii="宋体" w:hAnsi="宋体" w:cs="Arial"/>
          <w:sz w:val="24"/>
          <w:highlight w:val="none"/>
        </w:rPr>
        <w:t>的赔偿费</w:t>
      </w:r>
      <w:r>
        <w:rPr>
          <w:rFonts w:hint="eastAsia" w:ascii="宋体" w:hAnsi="宋体" w:cs="Arial"/>
          <w:sz w:val="24"/>
          <w:highlight w:val="none"/>
        </w:rPr>
        <w:t>按500元人民币</w:t>
      </w:r>
      <w:r>
        <w:rPr>
          <w:rFonts w:ascii="宋体" w:hAnsi="宋体" w:cs="Arial"/>
          <w:sz w:val="24"/>
          <w:highlight w:val="none"/>
        </w:rPr>
        <w:t>计收，直至交货或提供服务为止。误期赔偿费最高限额为</w:t>
      </w:r>
      <w:r>
        <w:rPr>
          <w:rFonts w:hint="eastAsia" w:ascii="宋体" w:hAnsi="宋体" w:cs="Arial"/>
          <w:sz w:val="24"/>
          <w:highlight w:val="none"/>
          <w:lang w:val="en-US" w:eastAsia="zh-CN"/>
        </w:rPr>
        <w:t>1</w:t>
      </w:r>
      <w:r>
        <w:rPr>
          <w:rFonts w:hint="eastAsia" w:ascii="宋体" w:hAnsi="宋体" w:cs="Arial"/>
          <w:sz w:val="24"/>
          <w:highlight w:val="none"/>
        </w:rPr>
        <w:t>00</w:t>
      </w:r>
      <w:r>
        <w:rPr>
          <w:rFonts w:hint="eastAsia" w:ascii="宋体" w:hAnsi="宋体" w:cs="Arial"/>
          <w:sz w:val="24"/>
          <w:highlight w:val="none"/>
          <w:lang w:val="en-US" w:eastAsia="zh-CN"/>
        </w:rPr>
        <w:t>0</w:t>
      </w:r>
      <w:r>
        <w:rPr>
          <w:rFonts w:hint="eastAsia" w:ascii="宋体" w:hAnsi="宋体" w:cs="Arial"/>
          <w:sz w:val="24"/>
          <w:highlight w:val="none"/>
        </w:rPr>
        <w:t>0元</w:t>
      </w:r>
      <w:r>
        <w:rPr>
          <w:rFonts w:ascii="宋体" w:hAnsi="宋体" w:cs="Arial"/>
          <w:sz w:val="24"/>
          <w:highlight w:val="none"/>
        </w:rPr>
        <w:t>。一旦延到误期赔偿费的最高限额，买方可考虑终止合同。</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不可抗力</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税费</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本合同执行中相关的一切税费均由</w:t>
      </w:r>
      <w:r>
        <w:rPr>
          <w:rFonts w:hint="eastAsia" w:hAnsi="宋体"/>
          <w:sz w:val="24"/>
          <w:highlight w:val="none"/>
        </w:rPr>
        <w:t>卖</w:t>
      </w:r>
      <w:r>
        <w:rPr>
          <w:rFonts w:hint="eastAsia" w:ascii="宋体" w:hAnsi="宋体"/>
          <w:sz w:val="24"/>
          <w:highlight w:val="none"/>
        </w:rPr>
        <w:t>方负担。</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违约终止合同</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买方在卖方违约的情况下，如果发生下列情况之一，可考虑终止部分或全部合同：</w:t>
      </w:r>
    </w:p>
    <w:p>
      <w:pPr>
        <w:spacing w:line="360" w:lineRule="auto"/>
        <w:ind w:firstLine="420"/>
        <w:rPr>
          <w:rFonts w:ascii="宋体" w:hAnsi="宋体"/>
          <w:sz w:val="24"/>
          <w:highlight w:val="none"/>
        </w:rPr>
      </w:pPr>
      <w:r>
        <w:rPr>
          <w:rFonts w:hint="eastAsia" w:ascii="宋体" w:hAnsi="宋体"/>
          <w:sz w:val="24"/>
          <w:highlight w:val="none"/>
        </w:rPr>
        <w:t>（1） 卖方未能在合同规定的期限内或买方同意延长的期限内提供全部或部分货物；</w:t>
      </w:r>
    </w:p>
    <w:p>
      <w:pPr>
        <w:spacing w:line="360" w:lineRule="auto"/>
        <w:ind w:left="2" w:firstLine="520" w:firstLineChars="217"/>
        <w:rPr>
          <w:rFonts w:ascii="宋体" w:hAnsi="宋体"/>
          <w:sz w:val="24"/>
          <w:highlight w:val="none"/>
        </w:rPr>
      </w:pPr>
      <w:r>
        <w:rPr>
          <w:rFonts w:hint="eastAsia" w:ascii="宋体" w:hAnsi="宋体"/>
          <w:sz w:val="24"/>
          <w:highlight w:val="none"/>
        </w:rPr>
        <w:t>（2</w:t>
      </w:r>
      <w:r>
        <w:rPr>
          <w:rFonts w:hint="eastAsia" w:ascii="宋体" w:hAnsi="宋体"/>
          <w:spacing w:val="40"/>
          <w:sz w:val="24"/>
          <w:highlight w:val="none"/>
        </w:rPr>
        <w:t>）</w:t>
      </w:r>
      <w:r>
        <w:rPr>
          <w:rFonts w:hint="eastAsia" w:ascii="宋体" w:hAnsi="宋体"/>
          <w:sz w:val="24"/>
          <w:highlight w:val="none"/>
        </w:rPr>
        <w:t>卖方未能履行合同规定的任何其他义务。卖方在收到买方发出的违约通知后10天内，或经买方书面认可延长的时间内未能纠正其过失。买方可向卖方发出书面通知，终止部分或合同全部，通知到达卖方时合同即行解除。在这种情况下，并不影响买方向卖方提出的索赔。</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如果买方根据上</w:t>
      </w:r>
      <w:r>
        <w:rPr>
          <w:rFonts w:ascii="宋体" w:hAnsi="宋体" w:cs="Arial"/>
          <w:sz w:val="24"/>
          <w:highlight w:val="none"/>
        </w:rPr>
        <w:t>述第</w:t>
      </w:r>
      <w:r>
        <w:rPr>
          <w:rFonts w:hint="eastAsia" w:ascii="宋体" w:hAnsi="宋体" w:cs="Arial"/>
          <w:sz w:val="24"/>
          <w:highlight w:val="none"/>
        </w:rPr>
        <w:t>10</w:t>
      </w:r>
      <w:r>
        <w:rPr>
          <w:rFonts w:ascii="宋体" w:hAnsi="宋体" w:cs="Arial"/>
          <w:sz w:val="24"/>
          <w:highlight w:val="none"/>
        </w:rPr>
        <w:t>.1条的规定，终止了全部或部分合同，买方可以依其认为适当的条件和方法购买与未交货物类似的货物或服务，卖方应承担买方因购买类似货物或服务而产生的额外支出。但是，卖方应继续执行</w:t>
      </w:r>
      <w:r>
        <w:rPr>
          <w:rFonts w:hint="eastAsia" w:ascii="宋体" w:hAnsi="宋体"/>
          <w:sz w:val="24"/>
          <w:highlight w:val="none"/>
        </w:rPr>
        <w:t>合同中未终止的部分。</w:t>
      </w:r>
    </w:p>
    <w:p>
      <w:pPr>
        <w:numPr>
          <w:ilvl w:val="1"/>
          <w:numId w:val="10"/>
        </w:numPr>
        <w:tabs>
          <w:tab w:val="left" w:pos="540"/>
        </w:tabs>
        <w:spacing w:line="360" w:lineRule="auto"/>
        <w:ind w:left="0" w:firstLine="420"/>
        <w:rPr>
          <w:rFonts w:ascii="宋体" w:hAnsi="宋体"/>
          <w:sz w:val="24"/>
          <w:highlight w:val="none"/>
        </w:rPr>
      </w:pPr>
      <w:r>
        <w:rPr>
          <w:rFonts w:ascii="宋体" w:hAnsi="宋体" w:cs="宋体"/>
          <w:sz w:val="24"/>
          <w:highlight w:val="none"/>
        </w:rPr>
        <w:t>在合同服务期内，</w:t>
      </w:r>
      <w:r>
        <w:rPr>
          <w:rFonts w:hint="eastAsia" w:ascii="宋体" w:hAnsi="宋体" w:cs="宋体"/>
          <w:sz w:val="24"/>
          <w:highlight w:val="none"/>
        </w:rPr>
        <w:t>买方</w:t>
      </w:r>
      <w:r>
        <w:rPr>
          <w:rFonts w:ascii="宋体" w:hAnsi="宋体" w:cs="宋体"/>
          <w:sz w:val="24"/>
          <w:highlight w:val="none"/>
        </w:rPr>
        <w:t>有权根据实际情况确定采购需求，若服务期内</w:t>
      </w:r>
      <w:r>
        <w:rPr>
          <w:rFonts w:hint="eastAsia" w:ascii="宋体" w:hAnsi="宋体" w:cs="宋体"/>
          <w:sz w:val="24"/>
          <w:highlight w:val="none"/>
        </w:rPr>
        <w:t>买方</w:t>
      </w:r>
      <w:r>
        <w:rPr>
          <w:rFonts w:ascii="宋体" w:hAnsi="宋体" w:cs="宋体"/>
          <w:sz w:val="24"/>
          <w:highlight w:val="none"/>
        </w:rPr>
        <w:t>因需求等问题提前终止合同的，</w:t>
      </w:r>
      <w:r>
        <w:rPr>
          <w:rFonts w:hint="eastAsia" w:ascii="宋体" w:hAnsi="宋体" w:cs="宋体"/>
          <w:sz w:val="24"/>
          <w:highlight w:val="none"/>
        </w:rPr>
        <w:t>乙方</w:t>
      </w:r>
      <w:r>
        <w:rPr>
          <w:rFonts w:ascii="宋体" w:hAnsi="宋体" w:cs="宋体"/>
          <w:sz w:val="24"/>
          <w:highlight w:val="none"/>
        </w:rPr>
        <w:t>对此表示认可，提前充分评估由此产生的影响，并承诺放弃由此产生的一切损失。</w:t>
      </w:r>
      <w:r>
        <w:rPr>
          <w:rFonts w:hint="eastAsia" w:ascii="宋体" w:hAnsi="宋体" w:cs="宋体"/>
          <w:sz w:val="24"/>
          <w:highlight w:val="none"/>
        </w:rPr>
        <w:t>若服务期内买方因需求等问题提前终止合同的，履约保证金退回。</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履约保证金的罚没</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如卖方未能履行合同规定的任何义务给买方造成直接或间接损失的，买方有权从直接从履约保证金中予以补偿。</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如果卖方毫无理由地拖延交货或拒绝履行合同规定的任何义务，经催告后在合理期限内仍不履行的，买方有权没收全部履约保证金，并另行追索违约赔偿金。</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卖方提供的货物须和投标文件中所承诺的货物规格、数量、型号等相符（合同中另有规定除外）；对于卖方提供了不符合“采购清单表”中要求的货物，买方将不予接收，由此造成的工期延误及损失由卖方自负，买方除追究卖方责任外，还视实际情况保留没收履约保证金的权利。</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双方责任</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买方</w:t>
      </w:r>
    </w:p>
    <w:p>
      <w:pPr>
        <w:spacing w:line="360" w:lineRule="auto"/>
        <w:ind w:firstLine="420"/>
        <w:rPr>
          <w:rFonts w:ascii="宋体" w:hAnsi="宋体"/>
          <w:sz w:val="24"/>
          <w:highlight w:val="none"/>
        </w:rPr>
      </w:pPr>
      <w:r>
        <w:rPr>
          <w:rFonts w:hint="eastAsia" w:ascii="宋体" w:hAnsi="宋体"/>
          <w:sz w:val="24"/>
          <w:highlight w:val="none"/>
        </w:rPr>
        <w:t>（1） 按合同规定向卖方支付货款。</w:t>
      </w:r>
    </w:p>
    <w:p>
      <w:pPr>
        <w:spacing w:line="360" w:lineRule="auto"/>
        <w:ind w:firstLine="420"/>
        <w:rPr>
          <w:rFonts w:hint="eastAsia" w:ascii="宋体" w:hAnsi="宋体"/>
          <w:sz w:val="24"/>
          <w:highlight w:val="none"/>
        </w:rPr>
      </w:pPr>
      <w:r>
        <w:rPr>
          <w:rFonts w:hint="eastAsia" w:ascii="宋体" w:hAnsi="宋体"/>
          <w:sz w:val="24"/>
          <w:highlight w:val="none"/>
        </w:rPr>
        <w:t>（2） 组织对货物的验收。</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卖方</w:t>
      </w:r>
    </w:p>
    <w:p>
      <w:pPr>
        <w:spacing w:line="360" w:lineRule="auto"/>
        <w:ind w:firstLine="420"/>
        <w:rPr>
          <w:rFonts w:ascii="宋体" w:hAnsi="宋体"/>
          <w:sz w:val="24"/>
          <w:highlight w:val="none"/>
        </w:rPr>
      </w:pPr>
      <w:r>
        <w:rPr>
          <w:rFonts w:hint="eastAsia" w:ascii="宋体" w:hAnsi="宋体"/>
          <w:sz w:val="24"/>
          <w:highlight w:val="none"/>
        </w:rPr>
        <w:t>（1） 按合同要求提供货物和服务。</w:t>
      </w:r>
    </w:p>
    <w:p>
      <w:pPr>
        <w:spacing w:line="360" w:lineRule="auto"/>
        <w:ind w:firstLine="420"/>
        <w:rPr>
          <w:rFonts w:ascii="宋体" w:hAnsi="宋体"/>
          <w:sz w:val="24"/>
          <w:highlight w:val="none"/>
        </w:rPr>
      </w:pPr>
      <w:r>
        <w:rPr>
          <w:rFonts w:hint="eastAsia" w:ascii="宋体" w:hAnsi="宋体"/>
          <w:sz w:val="24"/>
          <w:highlight w:val="none"/>
        </w:rPr>
        <w:t>（2） 对所提供的货物和服务质量问题无条件负责处理。</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争端的解决</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合同实施或与合同有关的一切争端，买卖双方应通过友好协商解决，如果协商仍得不到解决，任何一方可向台州仲裁委员会申请仲裁。</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仲裁裁决应为最终裁决，对双方均有约束力。</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仲裁费用和律师费用除仲裁机构另有裁决外应由败诉方承担。</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在仲裁期间，除正在执行仲裁的部分外，本合同的其他部分应继续执行。</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转让和分包及产品不可替代</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未经买方事先书面同意，卖方不得部分转让或全部转让和分包其履行合同的义务。</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产品不可替代，卖方在没有取得买方的书面授权的情况下，不得将合同货物的生产制造转交其他生产厂商或以其他厂商的产品替代。</w:t>
      </w:r>
    </w:p>
    <w:p>
      <w:pPr>
        <w:numPr>
          <w:ilvl w:val="0"/>
          <w:numId w:val="10"/>
        </w:numPr>
        <w:tabs>
          <w:tab w:val="clear" w:pos="425"/>
        </w:tabs>
        <w:spacing w:line="360" w:lineRule="auto"/>
        <w:ind w:left="0" w:firstLine="420"/>
        <w:rPr>
          <w:rFonts w:ascii="宋体" w:hAnsi="宋体"/>
          <w:b/>
          <w:sz w:val="24"/>
          <w:highlight w:val="none"/>
        </w:rPr>
      </w:pPr>
      <w:r>
        <w:rPr>
          <w:rFonts w:hint="eastAsia" w:ascii="宋体" w:hAnsi="宋体"/>
          <w:b/>
          <w:sz w:val="24"/>
          <w:highlight w:val="none"/>
        </w:rPr>
        <w:t>适用法律</w:t>
      </w:r>
    </w:p>
    <w:p>
      <w:pPr>
        <w:spacing w:line="360" w:lineRule="auto"/>
        <w:ind w:firstLine="588" w:firstLineChars="245"/>
        <w:rPr>
          <w:rFonts w:ascii="宋体" w:hAnsi="宋体"/>
          <w:sz w:val="24"/>
          <w:highlight w:val="none"/>
        </w:rPr>
      </w:pPr>
      <w:r>
        <w:rPr>
          <w:rFonts w:hint="eastAsia" w:ascii="宋体" w:hAnsi="宋体"/>
          <w:sz w:val="24"/>
          <w:highlight w:val="none"/>
        </w:rPr>
        <w:t>本合同按照中华人民共和国的法律进行解释。</w:t>
      </w:r>
    </w:p>
    <w:p>
      <w:pPr>
        <w:numPr>
          <w:ilvl w:val="0"/>
          <w:numId w:val="10"/>
        </w:numPr>
        <w:tabs>
          <w:tab w:val="clear" w:pos="425"/>
        </w:tabs>
        <w:spacing w:line="360" w:lineRule="auto"/>
        <w:ind w:left="0" w:firstLine="420"/>
        <w:rPr>
          <w:rFonts w:hint="eastAsia" w:ascii="宋体" w:hAnsi="宋体"/>
          <w:sz w:val="24"/>
          <w:highlight w:val="none"/>
        </w:rPr>
      </w:pPr>
      <w:r>
        <w:rPr>
          <w:rFonts w:hint="eastAsia" w:ascii="宋体" w:hAnsi="宋体"/>
          <w:b/>
          <w:sz w:val="24"/>
          <w:highlight w:val="none"/>
        </w:rPr>
        <w:t>合同生效及其他</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合同应在双方签字盖章后开始生效。</w:t>
      </w:r>
    </w:p>
    <w:p>
      <w:pPr>
        <w:numPr>
          <w:ilvl w:val="1"/>
          <w:numId w:val="10"/>
        </w:numPr>
        <w:tabs>
          <w:tab w:val="left" w:pos="540"/>
        </w:tabs>
        <w:spacing w:line="360" w:lineRule="auto"/>
        <w:ind w:left="0" w:firstLine="420"/>
        <w:rPr>
          <w:rFonts w:ascii="宋体" w:hAnsi="宋体"/>
          <w:sz w:val="24"/>
          <w:highlight w:val="none"/>
        </w:rPr>
      </w:pPr>
      <w:r>
        <w:rPr>
          <w:rFonts w:hint="eastAsia" w:ascii="宋体" w:hAnsi="宋体"/>
          <w:sz w:val="24"/>
          <w:highlight w:val="none"/>
        </w:rPr>
        <w:t>本合同一式陆份，双方各执叁份，具有同等效力。</w:t>
      </w:r>
    </w:p>
    <w:p>
      <w:pPr>
        <w:tabs>
          <w:tab w:val="left" w:pos="992"/>
        </w:tabs>
        <w:spacing w:line="360" w:lineRule="auto"/>
        <w:ind w:firstLine="420"/>
        <w:rPr>
          <w:rFonts w:ascii="宋体" w:hAnsi="宋体"/>
          <w:sz w:val="24"/>
          <w:highlight w:val="none"/>
        </w:rPr>
      </w:pPr>
      <w:r>
        <w:rPr>
          <w:rFonts w:hint="eastAsia" w:ascii="宋体" w:hAnsi="宋体"/>
          <w:sz w:val="24"/>
          <w:highlight w:val="none"/>
        </w:rPr>
        <w:t>如需修改或补充合同内容，经协商，双方应签署书面修改或补充协议，该协议将作为本合同的一个组成部分。</w:t>
      </w:r>
    </w:p>
    <w:p>
      <w:pPr>
        <w:rPr>
          <w:rFonts w:hint="eastAsia" w:ascii="宋体" w:hAnsi="宋体"/>
          <w:b/>
          <w:bCs/>
          <w:sz w:val="24"/>
          <w:highlight w:val="none"/>
        </w:rPr>
      </w:pPr>
      <w:r>
        <w:rPr>
          <w:rFonts w:hint="eastAsia" w:ascii="宋体" w:hAnsi="宋体"/>
          <w:b/>
          <w:bCs/>
          <w:sz w:val="24"/>
          <w:highlight w:val="none"/>
        </w:rPr>
        <w:br w:type="page"/>
      </w:r>
    </w:p>
    <w:p>
      <w:pPr>
        <w:spacing w:line="360" w:lineRule="auto"/>
        <w:jc w:val="center"/>
        <w:rPr>
          <w:rFonts w:hint="eastAsia" w:ascii="宋体" w:hAnsi="宋体"/>
          <w:b/>
          <w:bCs/>
          <w:sz w:val="24"/>
          <w:highlight w:val="none"/>
        </w:rPr>
      </w:pPr>
      <w:r>
        <w:rPr>
          <w:rFonts w:hint="eastAsia" w:ascii="宋体" w:hAnsi="宋体"/>
          <w:b/>
          <w:bCs/>
          <w:sz w:val="24"/>
          <w:highlight w:val="none"/>
        </w:rPr>
        <w:t>合同格式</w:t>
      </w:r>
    </w:p>
    <w:p>
      <w:pPr>
        <w:spacing w:line="440" w:lineRule="exact"/>
        <w:ind w:firstLine="600" w:firstLineChars="250"/>
        <w:rPr>
          <w:rFonts w:ascii="宋体" w:hAnsi="宋体"/>
          <w:sz w:val="24"/>
          <w:highlight w:val="none"/>
        </w:rPr>
      </w:pPr>
      <w:r>
        <w:rPr>
          <w:rFonts w:hint="eastAsia" w:ascii="宋体" w:hAnsi="宋体"/>
          <w:sz w:val="24"/>
          <w:highlight w:val="none"/>
          <w:u w:val="single"/>
        </w:rPr>
        <w:t>台州市城市园林工程有限公司</w:t>
      </w:r>
      <w:r>
        <w:rPr>
          <w:rFonts w:hint="eastAsia" w:ascii="宋体" w:hAnsi="宋体"/>
          <w:sz w:val="24"/>
          <w:highlight w:val="none"/>
          <w:u w:val="single"/>
          <w:lang w:eastAsia="zh-CN"/>
        </w:rPr>
        <w:t>202</w:t>
      </w:r>
      <w:r>
        <w:rPr>
          <w:rFonts w:hint="eastAsia" w:ascii="宋体" w:hAnsi="宋体"/>
          <w:sz w:val="24"/>
          <w:highlight w:val="none"/>
          <w:u w:val="single"/>
          <w:lang w:val="en-US" w:eastAsia="zh-CN"/>
        </w:rPr>
        <w:t>4</w:t>
      </w:r>
      <w:r>
        <w:rPr>
          <w:rFonts w:hint="eastAsia" w:ascii="宋体" w:hAnsi="宋体"/>
          <w:sz w:val="24"/>
          <w:highlight w:val="none"/>
          <w:u w:val="single"/>
          <w:lang w:eastAsia="zh-CN"/>
        </w:rPr>
        <w:t>年度支撑（木棍、松木桩、毛竹）采购项目</w:t>
      </w:r>
      <w:r>
        <w:rPr>
          <w:rFonts w:hint="eastAsia" w:ascii="宋体" w:hAnsi="宋体"/>
          <w:sz w:val="24"/>
          <w:highlight w:val="none"/>
        </w:rPr>
        <w:t>以公开招标方式进行。</w:t>
      </w:r>
      <w:r>
        <w:rPr>
          <w:rFonts w:hint="eastAsia" w:ascii="宋体" w:hAnsi="宋体"/>
          <w:sz w:val="24"/>
          <w:highlight w:val="none"/>
          <w:u w:val="single"/>
        </w:rPr>
        <w:t>台州市城市园林工程有限公司</w:t>
      </w:r>
      <w:r>
        <w:rPr>
          <w:rFonts w:hint="eastAsia" w:ascii="宋体" w:hAnsi="宋体"/>
          <w:sz w:val="24"/>
          <w:highlight w:val="none"/>
        </w:rPr>
        <w:t>为买方，</w:t>
      </w:r>
      <w:r>
        <w:rPr>
          <w:rFonts w:hint="eastAsia" w:ascii="宋体" w:hAnsi="宋体"/>
          <w:sz w:val="24"/>
          <w:highlight w:val="none"/>
          <w:u w:val="single"/>
        </w:rPr>
        <w:t xml:space="preserve">     </w:t>
      </w:r>
      <w:r>
        <w:rPr>
          <w:rFonts w:hint="eastAsia" w:ascii="宋体" w:hAnsi="宋体"/>
          <w:sz w:val="24"/>
          <w:highlight w:val="none"/>
        </w:rPr>
        <w:t>为卖方，买、卖双方同</w:t>
      </w:r>
      <w:r>
        <w:rPr>
          <w:rFonts w:ascii="宋体" w:hAnsi="宋体" w:cs="Arial"/>
          <w:sz w:val="24"/>
          <w:highlight w:val="none"/>
        </w:rPr>
        <w:t>意按照下面条款和条件，签署本合同。</w:t>
      </w:r>
    </w:p>
    <w:p>
      <w:pPr>
        <w:spacing w:line="440" w:lineRule="exact"/>
        <w:ind w:firstLine="554" w:firstLineChars="230"/>
        <w:rPr>
          <w:rFonts w:ascii="宋体" w:hAnsi="宋体" w:cs="Arial"/>
          <w:b/>
          <w:bCs/>
          <w:sz w:val="24"/>
          <w:highlight w:val="none"/>
        </w:rPr>
      </w:pPr>
      <w:r>
        <w:rPr>
          <w:rFonts w:ascii="宋体" w:hAnsi="宋体" w:cs="Arial"/>
          <w:b/>
          <w:bCs/>
          <w:sz w:val="24"/>
          <w:highlight w:val="none"/>
        </w:rPr>
        <w:t>1．合同文件</w:t>
      </w:r>
    </w:p>
    <w:p>
      <w:pPr>
        <w:spacing w:line="440" w:lineRule="exact"/>
        <w:ind w:firstLine="435"/>
        <w:rPr>
          <w:rFonts w:ascii="宋体" w:hAnsi="宋体" w:cs="Arial"/>
          <w:sz w:val="24"/>
          <w:highlight w:val="none"/>
        </w:rPr>
      </w:pPr>
      <w:r>
        <w:rPr>
          <w:rFonts w:ascii="宋体" w:hAnsi="宋体" w:cs="Arial"/>
          <w:sz w:val="24"/>
          <w:highlight w:val="none"/>
        </w:rPr>
        <w:t xml:space="preserve">   下列文件构成本合同的组成部分：</w:t>
      </w:r>
    </w:p>
    <w:p>
      <w:pPr>
        <w:spacing w:line="440" w:lineRule="exact"/>
        <w:ind w:firstLine="435"/>
        <w:rPr>
          <w:rFonts w:hint="eastAsia" w:ascii="宋体" w:hAnsi="宋体" w:cs="Arial"/>
          <w:sz w:val="24"/>
          <w:highlight w:val="none"/>
        </w:rPr>
      </w:pPr>
      <w:r>
        <w:rPr>
          <w:rFonts w:ascii="宋体" w:hAnsi="宋体" w:cs="Arial"/>
          <w:sz w:val="24"/>
          <w:highlight w:val="none"/>
        </w:rPr>
        <w:t xml:space="preserve">   (1) </w:t>
      </w:r>
      <w:r>
        <w:rPr>
          <w:rFonts w:hint="eastAsia" w:ascii="宋体" w:hAnsi="宋体" w:cs="Arial"/>
          <w:sz w:val="24"/>
          <w:highlight w:val="none"/>
        </w:rPr>
        <w:t>中标</w:t>
      </w:r>
      <w:r>
        <w:rPr>
          <w:rFonts w:ascii="宋体" w:hAnsi="宋体" w:cs="Arial"/>
          <w:sz w:val="24"/>
          <w:highlight w:val="none"/>
        </w:rPr>
        <w:t>通知书</w:t>
      </w:r>
    </w:p>
    <w:p>
      <w:pPr>
        <w:spacing w:line="440" w:lineRule="exact"/>
        <w:ind w:firstLine="435"/>
        <w:rPr>
          <w:rFonts w:ascii="宋体" w:hAnsi="宋体" w:cs="Arial"/>
          <w:sz w:val="24"/>
          <w:highlight w:val="none"/>
        </w:rPr>
      </w:pPr>
      <w:r>
        <w:rPr>
          <w:rFonts w:ascii="宋体" w:hAnsi="宋体" w:cs="Arial"/>
          <w:sz w:val="24"/>
          <w:highlight w:val="none"/>
        </w:rPr>
        <w:t xml:space="preserve">   (2) 合同主要条款</w:t>
      </w:r>
    </w:p>
    <w:p>
      <w:pPr>
        <w:spacing w:line="440" w:lineRule="exact"/>
        <w:ind w:firstLine="435"/>
        <w:rPr>
          <w:rFonts w:hint="eastAsia" w:ascii="宋体" w:hAnsi="宋体" w:cs="Arial"/>
          <w:sz w:val="24"/>
          <w:highlight w:val="none"/>
          <w:lang w:eastAsia="zh-CN"/>
        </w:rPr>
      </w:pPr>
      <w:r>
        <w:rPr>
          <w:rFonts w:ascii="宋体" w:hAnsi="宋体" w:cs="Arial"/>
          <w:sz w:val="24"/>
          <w:highlight w:val="none"/>
        </w:rPr>
        <w:t xml:space="preserve">   (3) </w:t>
      </w:r>
      <w:r>
        <w:rPr>
          <w:rFonts w:hint="eastAsia" w:ascii="宋体" w:hAnsi="宋体" w:cs="Arial"/>
          <w:sz w:val="24"/>
          <w:highlight w:val="none"/>
          <w:lang w:val="en-US" w:eastAsia="zh-CN"/>
        </w:rPr>
        <w:t>投标文件</w:t>
      </w:r>
    </w:p>
    <w:p>
      <w:pPr>
        <w:spacing w:line="440" w:lineRule="exact"/>
        <w:ind w:firstLine="435"/>
        <w:rPr>
          <w:rFonts w:hint="eastAsia" w:ascii="宋体" w:hAnsi="宋体" w:cs="Arial"/>
          <w:sz w:val="24"/>
          <w:highlight w:val="none"/>
          <w:lang w:eastAsia="zh-CN"/>
        </w:rPr>
      </w:pPr>
      <w:r>
        <w:rPr>
          <w:rFonts w:ascii="宋体" w:hAnsi="宋体" w:cs="Arial"/>
          <w:sz w:val="24"/>
          <w:highlight w:val="none"/>
        </w:rPr>
        <w:t xml:space="preserve">   (4) </w:t>
      </w:r>
      <w:r>
        <w:rPr>
          <w:rFonts w:hint="eastAsia" w:ascii="宋体" w:hAnsi="宋体" w:cs="Arial"/>
          <w:sz w:val="24"/>
          <w:highlight w:val="none"/>
          <w:lang w:val="en-US" w:eastAsia="zh-CN"/>
        </w:rPr>
        <w:t>招标文件</w:t>
      </w:r>
    </w:p>
    <w:p>
      <w:pPr>
        <w:spacing w:line="440" w:lineRule="exact"/>
        <w:ind w:firstLine="435"/>
        <w:rPr>
          <w:rFonts w:ascii="宋体" w:hAnsi="宋体" w:cs="Arial"/>
          <w:sz w:val="24"/>
          <w:highlight w:val="none"/>
        </w:rPr>
      </w:pPr>
      <w:r>
        <w:rPr>
          <w:rFonts w:ascii="宋体" w:hAnsi="宋体" w:cs="Arial"/>
          <w:sz w:val="24"/>
          <w:highlight w:val="none"/>
        </w:rPr>
        <w:t xml:space="preserve">   (5)</w:t>
      </w:r>
      <w:r>
        <w:rPr>
          <w:rFonts w:hint="eastAsia" w:ascii="宋体" w:hAnsi="宋体" w:cs="Arial"/>
          <w:sz w:val="24"/>
          <w:highlight w:val="none"/>
          <w:lang w:val="en-US" w:eastAsia="zh-CN"/>
        </w:rPr>
        <w:t xml:space="preserve"> </w:t>
      </w:r>
      <w:r>
        <w:rPr>
          <w:rFonts w:ascii="宋体" w:hAnsi="宋体" w:cs="Arial"/>
          <w:sz w:val="24"/>
          <w:highlight w:val="none"/>
        </w:rPr>
        <w:t>合同补充条款或说明（如有）</w:t>
      </w:r>
    </w:p>
    <w:p>
      <w:pPr>
        <w:tabs>
          <w:tab w:val="left" w:pos="540"/>
        </w:tabs>
        <w:spacing w:line="440" w:lineRule="exact"/>
        <w:ind w:firstLine="397"/>
        <w:rPr>
          <w:rFonts w:ascii="宋体" w:hAnsi="宋体" w:cs="Arial"/>
          <w:b/>
          <w:bCs/>
          <w:sz w:val="24"/>
          <w:highlight w:val="none"/>
        </w:rPr>
      </w:pPr>
      <w:r>
        <w:rPr>
          <w:rFonts w:ascii="宋体" w:hAnsi="宋体" w:cs="Arial"/>
          <w:b/>
          <w:bCs/>
          <w:sz w:val="24"/>
          <w:highlight w:val="none"/>
        </w:rPr>
        <w:t xml:space="preserve"> 2．合同范围和条件</w:t>
      </w:r>
    </w:p>
    <w:p>
      <w:pPr>
        <w:spacing w:line="440" w:lineRule="exact"/>
        <w:ind w:firstLine="480" w:firstLineChars="200"/>
        <w:rPr>
          <w:rFonts w:hint="eastAsia" w:ascii="宋体" w:hAnsi="宋体" w:cs="Arial"/>
          <w:sz w:val="24"/>
          <w:highlight w:val="none"/>
        </w:rPr>
      </w:pPr>
      <w:r>
        <w:rPr>
          <w:rFonts w:ascii="宋体" w:hAnsi="宋体" w:cs="Arial"/>
          <w:sz w:val="24"/>
          <w:highlight w:val="none"/>
        </w:rPr>
        <w:t>本合同范围和条件应与上述合同文件规定的内容相一致。</w:t>
      </w:r>
    </w:p>
    <w:p>
      <w:pPr>
        <w:spacing w:line="440" w:lineRule="exact"/>
        <w:ind w:firstLine="480" w:firstLineChars="200"/>
        <w:rPr>
          <w:rFonts w:hint="eastAsia" w:ascii="宋体" w:hAnsi="宋体" w:cs="Arial"/>
          <w:sz w:val="24"/>
          <w:highlight w:val="none"/>
        </w:rPr>
      </w:pPr>
      <w:r>
        <w:rPr>
          <w:rFonts w:hint="eastAsia" w:ascii="宋体" w:hAnsi="宋体" w:cs="Arial"/>
          <w:sz w:val="24"/>
          <w:highlight w:val="none"/>
        </w:rPr>
        <w:t>本次招标范围为支撑（木棍、松木桩、毛竹）项目。</w:t>
      </w:r>
    </w:p>
    <w:p>
      <w:pPr>
        <w:spacing w:line="440" w:lineRule="exact"/>
        <w:ind w:firstLine="480" w:firstLineChars="200"/>
        <w:rPr>
          <w:rFonts w:hint="eastAsia" w:ascii="宋体" w:hAnsi="宋体" w:cs="Arial"/>
          <w:sz w:val="24"/>
          <w:highlight w:val="none"/>
        </w:rPr>
      </w:pPr>
      <w:r>
        <w:rPr>
          <w:rFonts w:hint="eastAsia" w:ascii="宋体" w:hAnsi="宋体" w:cs="Arial"/>
          <w:sz w:val="24"/>
          <w:highlight w:val="none"/>
        </w:rPr>
        <w:t>合同期：</w:t>
      </w:r>
      <w:r>
        <w:rPr>
          <w:rFonts w:hint="eastAsia" w:ascii="宋体" w:hAnsi="宋体" w:cs="Arial"/>
          <w:sz w:val="24"/>
          <w:highlight w:val="none"/>
          <w:lang w:val="en-US" w:eastAsia="zh-CN"/>
        </w:rPr>
        <w:t>2024年1月1日至2024年12月31日或结算金额达到50万元，以两者先到为准合同终止。具体项目以业主实际委托为准（招标人另行招标的项目除外）</w:t>
      </w:r>
      <w:r>
        <w:rPr>
          <w:rFonts w:hint="eastAsia" w:ascii="宋体" w:hAnsi="宋体" w:cs="Arial"/>
          <w:sz w:val="24"/>
          <w:highlight w:val="none"/>
        </w:rPr>
        <w:t>。</w:t>
      </w:r>
    </w:p>
    <w:p>
      <w:pPr>
        <w:spacing w:line="440" w:lineRule="exact"/>
        <w:ind w:firstLine="435"/>
        <w:rPr>
          <w:rFonts w:ascii="宋体" w:hAnsi="宋体" w:cs="Arial"/>
          <w:b/>
          <w:bCs/>
          <w:sz w:val="24"/>
          <w:highlight w:val="none"/>
        </w:rPr>
      </w:pPr>
      <w:r>
        <w:rPr>
          <w:rFonts w:ascii="宋体" w:hAnsi="宋体" w:cs="Arial"/>
          <w:b/>
          <w:bCs/>
          <w:sz w:val="24"/>
          <w:highlight w:val="none"/>
        </w:rPr>
        <w:t xml:space="preserve"> 3．货物和数量</w:t>
      </w:r>
    </w:p>
    <w:p>
      <w:pPr>
        <w:spacing w:line="440" w:lineRule="exact"/>
        <w:ind w:firstLine="567"/>
        <w:rPr>
          <w:rFonts w:ascii="宋体" w:hAnsi="宋体" w:cs="Arial"/>
          <w:sz w:val="24"/>
          <w:highlight w:val="none"/>
        </w:rPr>
      </w:pPr>
      <w:r>
        <w:rPr>
          <w:rFonts w:ascii="宋体" w:hAnsi="宋体" w:cs="Arial"/>
          <w:sz w:val="24"/>
          <w:highlight w:val="none"/>
        </w:rPr>
        <w:t xml:space="preserve">  本合同提供的货物及数量（详见招标内容及要求）。</w:t>
      </w:r>
    </w:p>
    <w:p>
      <w:pPr>
        <w:spacing w:line="440" w:lineRule="exact"/>
        <w:ind w:firstLine="435"/>
        <w:rPr>
          <w:rFonts w:hint="eastAsia" w:ascii="宋体" w:hAnsi="宋体" w:cs="Arial"/>
          <w:b/>
          <w:bCs/>
          <w:sz w:val="24"/>
          <w:highlight w:val="none"/>
        </w:rPr>
      </w:pPr>
      <w:r>
        <w:rPr>
          <w:rFonts w:ascii="宋体" w:hAnsi="宋体" w:cs="Arial"/>
          <w:b/>
          <w:bCs/>
          <w:sz w:val="24"/>
          <w:highlight w:val="none"/>
        </w:rPr>
        <w:t xml:space="preserve"> 4．</w:t>
      </w:r>
      <w:r>
        <w:rPr>
          <w:rFonts w:hint="eastAsia" w:ascii="宋体" w:hAnsi="宋体" w:cs="Arial"/>
          <w:b/>
          <w:bCs/>
          <w:sz w:val="24"/>
          <w:highlight w:val="none"/>
        </w:rPr>
        <w:t>结算价</w:t>
      </w:r>
    </w:p>
    <w:p>
      <w:pPr>
        <w:spacing w:line="440" w:lineRule="exact"/>
        <w:ind w:left="480" w:hanging="480" w:hangingChars="200"/>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本合同结算价格按买方需求进行按实计算，</w:t>
      </w:r>
      <w:r>
        <w:rPr>
          <w:rFonts w:hint="eastAsia" w:ascii="宋体" w:hAnsi="宋体" w:cs="宋体"/>
          <w:kern w:val="0"/>
          <w:sz w:val="24"/>
          <w:highlight w:val="none"/>
        </w:rPr>
        <w:t>计算方法：结算价=</w:t>
      </w:r>
      <w:r>
        <w:rPr>
          <w:rFonts w:hint="eastAsia" w:ascii="Arial" w:cs="Arial"/>
          <w:highlight w:val="none"/>
        </w:rPr>
        <w:t>∑</w:t>
      </w:r>
      <w:r>
        <w:rPr>
          <w:rFonts w:hint="eastAsia" w:ascii="宋体" w:hAnsi="宋体" w:cs="Arial"/>
          <w:sz w:val="24"/>
          <w:highlight w:val="none"/>
        </w:rPr>
        <w:t>（</w:t>
      </w:r>
      <w:r>
        <w:rPr>
          <w:rFonts w:hint="eastAsia" w:ascii="宋体" w:hAnsi="宋体" w:cs="Arial"/>
          <w:sz w:val="24"/>
          <w:highlight w:val="none"/>
          <w:lang w:eastAsia="zh-CN"/>
        </w:rPr>
        <w:t>全费用综合单价</w:t>
      </w:r>
      <w:r>
        <w:rPr>
          <w:rFonts w:hint="eastAsia" w:ascii="宋体" w:hAnsi="宋体" w:cs="Arial"/>
          <w:sz w:val="24"/>
          <w:highlight w:val="none"/>
        </w:rPr>
        <w:t>*投标结算率*相应货物实际采购数量）。</w:t>
      </w:r>
      <w:r>
        <w:rPr>
          <w:rFonts w:hint="eastAsia" w:ascii="宋体" w:hAnsi="宋体" w:cs="宋体"/>
          <w:sz w:val="24"/>
          <w:highlight w:val="none"/>
          <w:lang w:val="en-US" w:eastAsia="zh-CN"/>
        </w:rPr>
        <w:t>结算率：</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一次性包死不作任何调整</w:t>
      </w:r>
      <w:r>
        <w:rPr>
          <w:rFonts w:hint="eastAsia" w:ascii="宋体" w:hAnsi="宋体" w:cs="宋体"/>
          <w:sz w:val="24"/>
          <w:highlight w:val="none"/>
          <w:lang w:eastAsia="zh-CN"/>
        </w:rPr>
        <w:t>。</w:t>
      </w:r>
    </w:p>
    <w:p>
      <w:pPr>
        <w:spacing w:line="440" w:lineRule="exact"/>
        <w:ind w:firstLine="435"/>
        <w:rPr>
          <w:rFonts w:ascii="宋体" w:hAnsi="宋体" w:cs="Arial"/>
          <w:b/>
          <w:bCs/>
          <w:sz w:val="24"/>
          <w:highlight w:val="none"/>
        </w:rPr>
      </w:pPr>
      <w:r>
        <w:rPr>
          <w:rFonts w:ascii="宋体" w:hAnsi="宋体" w:cs="Arial"/>
          <w:b/>
          <w:bCs/>
          <w:sz w:val="24"/>
          <w:highlight w:val="none"/>
        </w:rPr>
        <w:t xml:space="preserve"> 5．付款方式</w:t>
      </w:r>
      <w:r>
        <w:rPr>
          <w:rFonts w:hint="eastAsia" w:ascii="宋体" w:hAnsi="宋体" w:cs="Arial"/>
          <w:b/>
          <w:bCs/>
          <w:sz w:val="24"/>
          <w:highlight w:val="none"/>
        </w:rPr>
        <w:t>：</w:t>
      </w:r>
      <w:r>
        <w:rPr>
          <w:rFonts w:ascii="宋体" w:hAnsi="宋体" w:cs="Arial"/>
          <w:sz w:val="24"/>
          <w:highlight w:val="none"/>
        </w:rPr>
        <w:t>本合同的付款方式在合同主要条款中已规定。</w:t>
      </w:r>
    </w:p>
    <w:p>
      <w:pPr>
        <w:spacing w:line="440" w:lineRule="exact"/>
        <w:ind w:firstLine="482" w:firstLineChars="200"/>
        <w:rPr>
          <w:rFonts w:hint="eastAsia" w:ascii="宋体" w:hAnsi="宋体" w:cs="Arial"/>
          <w:b/>
          <w:bCs/>
          <w:sz w:val="24"/>
          <w:highlight w:val="none"/>
        </w:rPr>
      </w:pPr>
      <w:r>
        <w:rPr>
          <w:rFonts w:ascii="宋体" w:hAnsi="宋体" w:cs="Arial"/>
          <w:b/>
          <w:bCs/>
          <w:sz w:val="24"/>
          <w:highlight w:val="none"/>
        </w:rPr>
        <w:t>6．交货时间及地点</w:t>
      </w:r>
      <w:r>
        <w:rPr>
          <w:rFonts w:hint="eastAsia" w:ascii="宋体" w:hAnsi="宋体" w:cs="Arial"/>
          <w:b/>
          <w:bCs/>
          <w:sz w:val="24"/>
          <w:highlight w:val="none"/>
        </w:rPr>
        <w:t>：</w:t>
      </w:r>
      <w:r>
        <w:rPr>
          <w:rFonts w:ascii="宋体" w:hAnsi="宋体" w:cs="Arial"/>
          <w:sz w:val="24"/>
          <w:highlight w:val="none"/>
        </w:rPr>
        <w:t>本合同的付款方式在合同主要条款中已规定。</w:t>
      </w:r>
    </w:p>
    <w:p>
      <w:pPr>
        <w:spacing w:line="440" w:lineRule="exact"/>
        <w:ind w:firstLine="482" w:firstLineChars="200"/>
        <w:rPr>
          <w:rFonts w:ascii="宋体" w:hAnsi="宋体" w:cs="Arial"/>
          <w:b/>
          <w:bCs/>
          <w:sz w:val="24"/>
          <w:highlight w:val="none"/>
        </w:rPr>
      </w:pPr>
      <w:r>
        <w:rPr>
          <w:rFonts w:ascii="宋体" w:hAnsi="宋体" w:cs="Arial"/>
          <w:b/>
          <w:bCs/>
          <w:sz w:val="24"/>
          <w:highlight w:val="none"/>
        </w:rPr>
        <w:t>7．合同生效</w:t>
      </w:r>
    </w:p>
    <w:p>
      <w:pPr>
        <w:spacing w:line="440" w:lineRule="exact"/>
        <w:ind w:firstLine="120" w:firstLineChars="50"/>
        <w:rPr>
          <w:rFonts w:ascii="宋体" w:hAnsi="宋体" w:cs="Arial"/>
          <w:sz w:val="24"/>
          <w:highlight w:val="none"/>
        </w:rPr>
      </w:pPr>
      <w:r>
        <w:rPr>
          <w:rFonts w:ascii="宋体" w:hAnsi="宋体" w:cs="Arial"/>
          <w:sz w:val="24"/>
          <w:highlight w:val="none"/>
        </w:rPr>
        <w:t xml:space="preserve">      本合同经双方授权代表签署，买卖双方加盖印章后生效。</w:t>
      </w:r>
    </w:p>
    <w:p>
      <w:pPr>
        <w:spacing w:line="440" w:lineRule="exact"/>
        <w:ind w:firstLine="840" w:firstLineChars="350"/>
        <w:rPr>
          <w:rFonts w:ascii="宋体" w:hAnsi="宋体" w:cs="Arial"/>
          <w:sz w:val="24"/>
          <w:highlight w:val="none"/>
        </w:rPr>
      </w:pPr>
      <w:r>
        <w:rPr>
          <w:rFonts w:ascii="宋体" w:hAnsi="宋体" w:cs="Arial"/>
          <w:sz w:val="24"/>
          <w:highlight w:val="none"/>
        </w:rPr>
        <w:t>买方：（印章）                        卖方：（印章）</w:t>
      </w:r>
    </w:p>
    <w:p>
      <w:pPr>
        <w:spacing w:line="440" w:lineRule="exact"/>
        <w:rPr>
          <w:rFonts w:ascii="宋体" w:hAnsi="宋体" w:cs="Arial"/>
          <w:sz w:val="24"/>
          <w:highlight w:val="none"/>
        </w:rPr>
      </w:pPr>
      <w:r>
        <w:rPr>
          <w:rFonts w:ascii="宋体" w:hAnsi="宋体" w:cs="Arial"/>
          <w:sz w:val="24"/>
          <w:highlight w:val="none"/>
        </w:rPr>
        <w:t xml:space="preserve">       全权代表:（签字）                    全权代表:（签字）</w:t>
      </w:r>
    </w:p>
    <w:p>
      <w:pPr>
        <w:spacing w:line="440" w:lineRule="exact"/>
        <w:ind w:firstLine="840" w:firstLineChars="350"/>
        <w:rPr>
          <w:rFonts w:ascii="宋体" w:hAnsi="宋体" w:cs="Arial"/>
          <w:sz w:val="24"/>
          <w:highlight w:val="none"/>
        </w:rPr>
      </w:pPr>
      <w:r>
        <w:rPr>
          <w:rFonts w:ascii="宋体" w:hAnsi="宋体" w:cs="Arial"/>
          <w:sz w:val="24"/>
          <w:highlight w:val="none"/>
        </w:rPr>
        <w:t>地址：                               地址：</w:t>
      </w:r>
    </w:p>
    <w:p>
      <w:pPr>
        <w:spacing w:line="440" w:lineRule="exact"/>
        <w:ind w:firstLine="840" w:firstLineChars="350"/>
        <w:rPr>
          <w:rFonts w:ascii="宋体" w:hAnsi="宋体" w:cs="Arial"/>
          <w:sz w:val="24"/>
          <w:highlight w:val="none"/>
        </w:rPr>
      </w:pPr>
      <w:r>
        <w:rPr>
          <w:rFonts w:ascii="宋体" w:hAnsi="宋体" w:cs="Arial"/>
          <w:sz w:val="24"/>
          <w:highlight w:val="none"/>
        </w:rPr>
        <w:t>电话：                               电话：</w:t>
      </w:r>
    </w:p>
    <w:p>
      <w:pPr>
        <w:spacing w:line="440" w:lineRule="exact"/>
        <w:ind w:firstLine="840" w:firstLineChars="350"/>
        <w:rPr>
          <w:rFonts w:ascii="宋体" w:hAnsi="宋体" w:cs="Arial"/>
          <w:sz w:val="24"/>
          <w:highlight w:val="none"/>
        </w:rPr>
      </w:pPr>
      <w:r>
        <w:rPr>
          <w:rFonts w:ascii="宋体" w:hAnsi="宋体" w:cs="Arial"/>
          <w:sz w:val="24"/>
          <w:highlight w:val="none"/>
        </w:rPr>
        <w:t>开户银行：                           开户银行：</w:t>
      </w:r>
    </w:p>
    <w:p>
      <w:pPr>
        <w:autoSpaceDE w:val="0"/>
        <w:autoSpaceDN w:val="0"/>
        <w:adjustRightInd w:val="0"/>
        <w:spacing w:line="440" w:lineRule="exact"/>
        <w:ind w:firstLine="840" w:firstLineChars="350"/>
        <w:rPr>
          <w:rFonts w:hint="eastAsia" w:ascii="宋体" w:hAnsi="宋体" w:cs="Arial"/>
          <w:sz w:val="24"/>
          <w:highlight w:val="none"/>
        </w:rPr>
      </w:pPr>
      <w:r>
        <w:rPr>
          <w:rFonts w:ascii="宋体" w:hAnsi="宋体" w:cs="Arial"/>
          <w:sz w:val="24"/>
          <w:highlight w:val="none"/>
        </w:rPr>
        <w:t>帐号：                               帐号：</w:t>
      </w:r>
    </w:p>
    <w:p>
      <w:pPr>
        <w:autoSpaceDE w:val="0"/>
        <w:autoSpaceDN w:val="0"/>
        <w:adjustRightInd w:val="0"/>
        <w:spacing w:line="360" w:lineRule="auto"/>
        <w:ind w:firstLine="735" w:firstLineChars="350"/>
        <w:rPr>
          <w:rFonts w:hint="eastAsia" w:ascii="宋体" w:hAnsi="宋体" w:cs="Arial"/>
          <w:sz w:val="24"/>
          <w:highlight w:val="none"/>
        </w:rPr>
      </w:pPr>
      <w:r>
        <w:rPr>
          <w:rFonts w:hint="eastAsia" w:hAnsi="宋体" w:cs="宋体"/>
          <w:highlight w:val="none"/>
        </w:rPr>
        <w:t xml:space="preserve"> </w:t>
      </w:r>
    </w:p>
    <w:p>
      <w:pPr>
        <w:autoSpaceDE w:val="0"/>
        <w:autoSpaceDN w:val="0"/>
        <w:adjustRightInd w:val="0"/>
        <w:spacing w:line="360" w:lineRule="auto"/>
        <w:ind w:firstLine="1124" w:firstLineChars="350"/>
        <w:rPr>
          <w:rFonts w:hint="eastAsia" w:ascii="宋体" w:hAnsi="宋体" w:cs="宋体"/>
          <w:bCs/>
          <w:color w:val="000000" w:themeColor="text1"/>
          <w:sz w:val="32"/>
          <w:szCs w:val="32"/>
          <w:highlight w:val="none"/>
          <w14:textFill>
            <w14:solidFill>
              <w14:schemeClr w14:val="tx1"/>
            </w14:solidFill>
          </w14:textFill>
        </w:rPr>
      </w:pPr>
      <w:r>
        <w:rPr>
          <w:b/>
          <w:bCs/>
          <w:sz w:val="32"/>
          <w:highlight w:val="none"/>
        </w:rPr>
        <w:br w:type="page"/>
      </w:r>
    </w:p>
    <w:p>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8"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8"/>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宋体" w:hAnsi="宋体" w:eastAsia="宋体"/>
          <w:b/>
          <w:color w:val="000000" w:themeColor="text1"/>
          <w:sz w:val="30"/>
          <w:szCs w:val="30"/>
          <w:highlight w:val="none"/>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2024年度支撑（木棍、松木桩、毛竹）采购项目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QBJ2023239</w:t>
      </w: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资格标）</w:t>
      </w:r>
    </w:p>
    <w:p>
      <w:pPr>
        <w:pStyle w:val="25"/>
        <w:rPr>
          <w:color w:val="000000" w:themeColor="text1"/>
          <w:highlight w:val="none"/>
          <w14:textFill>
            <w14:solidFill>
              <w14:schemeClr w14:val="tx1"/>
            </w14:solidFill>
          </w14:textFill>
        </w:rPr>
      </w:pP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10"/>
        <w:rPr>
          <w:rFonts w:ascii="仿宋_GB2312" w:hAnsi="宋体" w:eastAsia="仿宋_GB2312"/>
          <w:b/>
          <w:color w:val="000000" w:themeColor="text1"/>
          <w:sz w:val="36"/>
          <w:szCs w:val="36"/>
          <w:highlight w:val="none"/>
          <w14:textFill>
            <w14:solidFill>
              <w14:schemeClr w14:val="tx1"/>
            </w14:solidFill>
          </w14:textFill>
        </w:rPr>
      </w:pPr>
    </w:p>
    <w:p>
      <w:pPr>
        <w:pStyle w:val="11"/>
        <w:ind w:firstLine="480"/>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资格标目录</w:t>
      </w:r>
    </w:p>
    <w:p>
      <w:pP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11"/>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11"/>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11"/>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11"/>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rPr>
        <w:t>台州市诚信投标承诺书；</w:t>
      </w:r>
    </w:p>
    <w:p>
      <w:pPr>
        <w:numPr>
          <w:ilvl w:val="0"/>
          <w:numId w:val="11"/>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numPr>
          <w:ilvl w:val="0"/>
          <w:numId w:val="0"/>
        </w:numPr>
        <w:ind w:left="425"/>
        <w:jc w:val="both"/>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pStyle w:val="5"/>
        <w:rPr>
          <w:rFonts w:ascii="宋体" w:hAnsi="宋体"/>
          <w:b/>
          <w:color w:val="000000" w:themeColor="text1"/>
          <w:sz w:val="28"/>
          <w:highlight w:val="none"/>
          <w14:textFill>
            <w14:solidFill>
              <w14:schemeClr w14:val="tx1"/>
            </w14:solidFill>
          </w14:textFill>
        </w:rPr>
      </w:pPr>
    </w:p>
    <w:p>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台州市城市园林工程有限公司 </w:t>
      </w:r>
      <w:r>
        <w:rPr>
          <w:rFonts w:hint="eastAsia" w:ascii="Times New Roman" w:hAnsi="Times New Roman" w:eastAsia="宋体" w:cs="Times New Roman"/>
          <w:color w:val="auto"/>
          <w:sz w:val="28"/>
          <w:szCs w:val="28"/>
          <w:highlight w:val="none"/>
        </w:rPr>
        <w:t>（采购人）的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2024年度支撑（木棍、松木桩、毛竹）采购项目</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pPr>
        <w:widowControl/>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p>
      <w:pPr>
        <w:widowControl/>
        <w:snapToGrid w:val="0"/>
        <w:spacing w:line="360" w:lineRule="auto"/>
        <w:ind w:left="280" w:hanging="280" w:hangingChars="100"/>
        <w:rPr>
          <w:rFonts w:hint="eastAsia" w:ascii="宋体" w:hAnsi="宋体" w:eastAsia="宋体" w:cs="宋体"/>
          <w:color w:val="auto"/>
          <w:sz w:val="28"/>
          <w:szCs w:val="28"/>
          <w:highlight w:val="none"/>
        </w:rPr>
      </w:pPr>
    </w:p>
    <w:p>
      <w:pP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1"/>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41"/>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身份证扫描件：</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position w:val="-3"/>
          <w:sz w:val="24"/>
          <w:highlight w:val="none"/>
          <w14:textFill>
            <w14:solidFill>
              <w14:schemeClr w14:val="tx1"/>
            </w14:solidFill>
          </w14:textFill>
        </w:rPr>
        <w:t xml:space="preserve"> 投标人（盖章）：</w:t>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jc w:val="center"/>
        <w:rPr>
          <w:b/>
          <w:color w:val="000000" w:themeColor="text1"/>
          <w:sz w:val="32"/>
          <w:szCs w:val="32"/>
          <w:highlight w:val="none"/>
          <w14:textFill>
            <w14:solidFill>
              <w14:schemeClr w14:val="tx1"/>
            </w14:solidFill>
          </w14:textFill>
        </w:rPr>
      </w:pPr>
      <w:bookmarkStart w:id="39" w:name="_Toc6870_WPSOffice_Level1"/>
      <w:bookmarkStart w:id="40" w:name="_Toc24373_WPSOffice_Level1"/>
      <w:r>
        <w:rPr>
          <w:rFonts w:hint="eastAsia"/>
          <w:b/>
          <w:color w:val="000000" w:themeColor="text1"/>
          <w:sz w:val="32"/>
          <w:szCs w:val="32"/>
          <w:highlight w:val="none"/>
          <w14:textFill>
            <w14:solidFill>
              <w14:schemeClr w14:val="tx1"/>
            </w14:solidFill>
          </w14:textFill>
        </w:rPr>
        <w:t>台州市诚信投标承诺书</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2024年度支撑（木棍、松木桩、毛竹）采购项目</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采购</w:t>
      </w:r>
      <w:r>
        <w:rPr>
          <w:rFonts w:hint="eastAsia"/>
          <w:color w:val="000000" w:themeColor="text1"/>
          <w:sz w:val="28"/>
          <w:szCs w:val="28"/>
          <w:highlight w:val="none"/>
          <w14:textFill>
            <w14:solidFill>
              <w14:schemeClr w14:val="tx1"/>
            </w14:solidFill>
          </w14:textFill>
        </w:rPr>
        <w:t>项目名称）的投标；</w:t>
      </w:r>
    </w:p>
    <w:p>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pPr>
        <w:widowControl/>
        <w:snapToGrid w:val="0"/>
        <w:spacing w:line="360" w:lineRule="auto"/>
        <w:ind w:left="280" w:hanging="280" w:hangingChars="1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法定代表人（签字或盖章）：</w:t>
      </w:r>
    </w:p>
    <w:p>
      <w:pPr>
        <w:widowControl/>
        <w:snapToGrid w:val="0"/>
        <w:spacing w:line="360" w:lineRule="auto"/>
        <w:ind w:left="280" w:hanging="280" w:hangingChars="100"/>
        <w:jc w:val="righ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投标人（盖章）</w:t>
      </w:r>
      <w:r>
        <w:rPr>
          <w:rFonts w:hint="eastAsia"/>
          <w:color w:val="000000" w:themeColor="text1"/>
          <w:sz w:val="28"/>
          <w:szCs w:val="28"/>
          <w:highlight w:val="none"/>
          <w14:textFill>
            <w14:solidFill>
              <w14:schemeClr w14:val="tx1"/>
            </w14:solidFill>
          </w14:textFill>
        </w:rPr>
        <w:t>：</w:t>
      </w:r>
    </w:p>
    <w:p>
      <w:pPr>
        <w:spacing w:line="440" w:lineRule="exact"/>
        <w:ind w:right="48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rPr>
          <w:rFonts w:hint="eastAsia" w:ascii="宋体"/>
          <w:color w:val="000000" w:themeColor="text1"/>
          <w:sz w:val="28"/>
          <w:highlight w:val="none"/>
          <w14:textFill>
            <w14:solidFill>
              <w14:schemeClr w14:val="tx1"/>
            </w14:solidFill>
          </w14:textFill>
        </w:rPr>
      </w:pPr>
    </w:p>
    <w:p>
      <w:pPr>
        <w:spacing w:line="360" w:lineRule="auto"/>
        <w:ind w:firstLine="321" w:firstLineChars="100"/>
        <w:jc w:val="center"/>
        <w:rPr>
          <w:b/>
          <w:color w:val="000000" w:themeColor="text1"/>
          <w:sz w:val="32"/>
          <w:szCs w:val="32"/>
          <w:highlight w:val="none"/>
          <w14:textFill>
            <w14:solidFill>
              <w14:schemeClr w14:val="tx1"/>
            </w14:solidFill>
          </w14:textFill>
        </w:rPr>
      </w:pPr>
    </w:p>
    <w:bookmarkEnd w:id="39"/>
    <w:bookmarkEnd w:id="40"/>
    <w:p>
      <w:pPr>
        <w:rPr>
          <w:rFonts w:hint="eastAsia"/>
          <w:color w:val="000000" w:themeColor="text1"/>
          <w:sz w:val="44"/>
          <w:szCs w:val="44"/>
          <w:highlight w:val="none"/>
          <w:lang w:eastAsia="zh-CN"/>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2024年度支撑（木棍、松木桩、毛竹）采购项目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QBJ2023239</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14:textFill>
            <w14:solidFill>
              <w14:schemeClr w14:val="tx1"/>
            </w14:solidFill>
          </w14:textFill>
        </w:rPr>
      </w:pPr>
      <w:bookmarkStart w:id="41" w:name="_Toc14572_WPSOffice_Level1"/>
      <w:bookmarkStart w:id="42" w:name="_Toc3932_WPSOffice_Level1"/>
      <w:r>
        <w:rPr>
          <w:rFonts w:hint="eastAsia"/>
          <w:color w:val="000000" w:themeColor="text1"/>
          <w:sz w:val="84"/>
          <w:szCs w:val="84"/>
          <w:highlight w:val="none"/>
          <w14:textFill>
            <w14:solidFill>
              <w14:schemeClr w14:val="tx1"/>
            </w14:solidFill>
          </w14:textFill>
        </w:rPr>
        <w:t>商</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1"/>
    <w:bookmarkEnd w:id="42"/>
    <w:p>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3" w:name="_Toc4603_WPSOffice_Level1"/>
      <w:bookmarkStart w:id="44" w:name="_Toc26700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3"/>
      <w:bookmarkEnd w:id="44"/>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5" w:name="_Toc32593_WPSOffice_Level1"/>
      <w:bookmarkStart w:id="46" w:name="_Toc1391_WPSOffice_Level1"/>
      <w:r>
        <w:rPr>
          <w:rFonts w:hint="eastAsia" w:ascii="宋体" w:hAnsi="宋体"/>
          <w:color w:val="000000" w:themeColor="text1"/>
          <w:sz w:val="36"/>
          <w:szCs w:val="36"/>
          <w:highlight w:val="none"/>
          <w14:textFill>
            <w14:solidFill>
              <w14:schemeClr w14:val="tx1"/>
            </w14:solidFill>
          </w14:textFill>
        </w:rPr>
        <w:t>地    址：</w:t>
      </w:r>
      <w:bookmarkEnd w:id="45"/>
      <w:bookmarkEnd w:id="46"/>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47" w:name="_Toc20938_WPSOffice_Level1"/>
      <w:bookmarkStart w:id="48" w:name="_Toc3791_WPSOffice_Level1"/>
      <w:r>
        <w:rPr>
          <w:rFonts w:hint="eastAsia" w:ascii="宋体" w:hAnsi="宋体"/>
          <w:color w:val="000000" w:themeColor="text1"/>
          <w:sz w:val="36"/>
          <w:szCs w:val="36"/>
          <w:highlight w:val="none"/>
          <w14:textFill>
            <w14:solidFill>
              <w14:schemeClr w14:val="tx1"/>
            </w14:solidFill>
          </w14:textFill>
        </w:rPr>
        <w:t>时    间：</w:t>
      </w:r>
      <w:bookmarkEnd w:id="47"/>
      <w:bookmarkEnd w:id="48"/>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5"/>
        <w:rPr>
          <w:rFonts w:ascii="仿宋_GB2312" w:hAnsi="宋体" w:eastAsia="仿宋_GB2312"/>
          <w:b/>
          <w:color w:val="000000" w:themeColor="text1"/>
          <w:sz w:val="36"/>
          <w:szCs w:val="36"/>
          <w:highlight w:val="none"/>
          <w14:textFill>
            <w14:solidFill>
              <w14:schemeClr w14:val="tx1"/>
            </w14:solidFill>
          </w14:textFill>
        </w:rPr>
      </w:pPr>
    </w:p>
    <w:p>
      <w:pPr>
        <w:spacing w:line="480" w:lineRule="auto"/>
        <w:jc w:val="center"/>
        <w:rPr>
          <w:color w:val="000000" w:themeColor="text1"/>
          <w:highlight w:val="none"/>
          <w14:textFill>
            <w14:solidFill>
              <w14:schemeClr w14:val="tx1"/>
            </w14:solidFill>
          </w14:textFill>
        </w:rPr>
      </w:pPr>
      <w:bookmarkStart w:id="49" w:name="_Toc29537_WPSOffice_Level1"/>
      <w:bookmarkStart w:id="50"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49"/>
      <w:bookmarkEnd w:id="50"/>
    </w:p>
    <w:p>
      <w:pPr>
        <w:rPr>
          <w:rFonts w:ascii="宋体" w:hAnsi="宋体" w:eastAsia="宋体" w:cs="宋体"/>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1" w:name="_Toc29988_WPSOffice_Level1"/>
      <w:bookmarkStart w:id="52"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1"/>
    <w:bookmarkEnd w:id="52"/>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p>
    <w:p>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3" w:name="_Toc30363_WPSOffice_Level1"/>
      <w:bookmarkStart w:id="54" w:name="_Toc16144_WPSOffice_Level1"/>
      <w:r>
        <w:rPr>
          <w:rFonts w:hint="eastAsia" w:ascii="宋体" w:hAnsi="宋体"/>
          <w:b/>
          <w:color w:val="000000" w:themeColor="text1"/>
          <w:sz w:val="32"/>
          <w:szCs w:val="32"/>
          <w:highlight w:val="none"/>
          <w:lang w:val="en-US" w:eastAsia="zh-CN"/>
          <w14:textFill>
            <w14:solidFill>
              <w14:schemeClr w14:val="tx1"/>
            </w14:solidFill>
          </w14:textFill>
        </w:rPr>
        <w:t>2024年度支撑（木棍、松木桩、毛竹）采购项目</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3"/>
      <w:bookmarkEnd w:id="54"/>
    </w:p>
    <w:p>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rPr>
        <w:t>台州市城市园林工程有限公司：</w:t>
      </w:r>
    </w:p>
    <w:p>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88</w:t>
      </w:r>
      <w:r>
        <w:rPr>
          <w:rFonts w:hint="eastAsia" w:ascii="宋体" w:hAnsi="宋体" w:cs="宋体"/>
          <w:position w:val="-3"/>
          <w:sz w:val="24"/>
          <w:highlight w:val="none"/>
        </w:rPr>
        <w:t>%，否则作无效标处理）承包上述采购项目。</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2、供货期限：</w:t>
      </w:r>
      <w:r>
        <w:rPr>
          <w:rFonts w:hint="default" w:ascii="宋体" w:hAnsi="宋体" w:cs="宋体"/>
          <w:position w:val="-3"/>
          <w:sz w:val="24"/>
          <w:highlight w:val="none"/>
        </w:rPr>
        <w:t>①</w:t>
      </w:r>
      <w:r>
        <w:rPr>
          <w:rFonts w:hint="eastAsia" w:ascii="宋体" w:hAnsi="宋体" w:cs="宋体"/>
          <w:position w:val="-3"/>
          <w:sz w:val="24"/>
          <w:highlight w:val="none"/>
        </w:rPr>
        <w:t>2024年1月1日起至2024年12月31日或结算金额达到</w:t>
      </w:r>
      <w:r>
        <w:rPr>
          <w:rFonts w:hint="eastAsia" w:ascii="宋体" w:hAnsi="宋体" w:cs="宋体"/>
          <w:position w:val="-3"/>
          <w:sz w:val="24"/>
          <w:highlight w:val="none"/>
          <w:lang w:val="en-US" w:eastAsia="zh-CN"/>
        </w:rPr>
        <w:t>50</w:t>
      </w:r>
      <w:r>
        <w:rPr>
          <w:rFonts w:hint="eastAsia" w:ascii="宋体" w:hAnsi="宋体" w:cs="宋体"/>
          <w:position w:val="-3"/>
          <w:sz w:val="24"/>
          <w:highlight w:val="none"/>
        </w:rPr>
        <w:t>万元，以两者先到为准合同终止。</w:t>
      </w:r>
    </w:p>
    <w:p>
      <w:pPr>
        <w:spacing w:line="360" w:lineRule="auto"/>
        <w:ind w:firstLine="480" w:firstLineChars="200"/>
        <w:jc w:val="left"/>
        <w:rPr>
          <w:rFonts w:hint="eastAsia" w:ascii="宋体" w:hAnsi="宋体" w:cs="宋体"/>
          <w:position w:val="-3"/>
          <w:sz w:val="24"/>
          <w:highlight w:val="none"/>
        </w:rPr>
      </w:pPr>
      <w:r>
        <w:rPr>
          <w:rFonts w:hint="default" w:ascii="宋体" w:hAnsi="宋体" w:cs="宋体"/>
          <w:position w:val="-3"/>
          <w:sz w:val="24"/>
          <w:highlight w:val="none"/>
        </w:rPr>
        <w:t>②</w:t>
      </w:r>
      <w:r>
        <w:rPr>
          <w:rFonts w:hint="eastAsia" w:ascii="宋体" w:hAnsi="宋体" w:cs="宋体"/>
          <w:position w:val="-3"/>
          <w:sz w:val="24"/>
          <w:highlight w:val="none"/>
        </w:rPr>
        <w:t>货物到场时间要求：接到采购人通知后，根据采购人要求及时供货到采购人指定地点，不得影响采购人施工进度。</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3、质量符合招标文件要求；</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rPr>
        <w:t>采购人</w:t>
      </w:r>
      <w:r>
        <w:rPr>
          <w:rFonts w:ascii="宋体" w:hAnsi="宋体" w:cs="宋体"/>
          <w:sz w:val="24"/>
          <w:highlight w:val="none"/>
        </w:rPr>
        <w:t>有权根据实际情况确定采购需求，若服务期内</w:t>
      </w:r>
      <w:r>
        <w:rPr>
          <w:rFonts w:hint="eastAsia" w:ascii="宋体" w:hAnsi="宋体" w:cs="宋体"/>
          <w:sz w:val="24"/>
          <w:highlight w:val="none"/>
        </w:rPr>
        <w:t>采购人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年    月  </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 日</w:t>
      </w:r>
    </w:p>
    <w:p>
      <w:pPr>
        <w:spacing w:line="360" w:lineRule="auto"/>
        <w:jc w:val="left"/>
        <w:rPr>
          <w:rFonts w:hint="eastAsi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pPr>
        <w:spacing w:line="360" w:lineRule="auto"/>
        <w:jc w:val="center"/>
        <w:rPr>
          <w:rFonts w:hint="eastAsia" w:ascii="宋体" w:hAnsi="宋体" w:cs="宋体"/>
          <w:position w:val="-3"/>
          <w:sz w:val="24"/>
          <w:highlight w:val="none"/>
        </w:rPr>
      </w:pPr>
      <w:r>
        <w:rPr>
          <w:rFonts w:hint="eastAsia" w:ascii="宋体" w:hAnsi="宋体" w:cs="黑体"/>
          <w:b/>
          <w:bCs/>
          <w:sz w:val="32"/>
          <w:szCs w:val="32"/>
          <w:highlight w:val="none"/>
        </w:rPr>
        <w:t>报价明细表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75"/>
        <w:gridCol w:w="3375"/>
        <w:gridCol w:w="870"/>
        <w:gridCol w:w="164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740" w:type="dxa"/>
            <w:noWrap w:val="0"/>
            <w:vAlign w:val="center"/>
          </w:tcPr>
          <w:p>
            <w:pPr>
              <w:spacing w:line="24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975" w:type="dxa"/>
            <w:noWrap w:val="0"/>
            <w:vAlign w:val="center"/>
          </w:tcPr>
          <w:p>
            <w:pPr>
              <w:spacing w:line="24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名称</w:t>
            </w:r>
          </w:p>
        </w:tc>
        <w:tc>
          <w:tcPr>
            <w:tcW w:w="3375" w:type="dxa"/>
            <w:noWrap w:val="0"/>
            <w:vAlign w:val="center"/>
          </w:tcPr>
          <w:p>
            <w:pPr>
              <w:spacing w:line="24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规格、参数</w:t>
            </w:r>
          </w:p>
        </w:tc>
        <w:tc>
          <w:tcPr>
            <w:tcW w:w="870" w:type="dxa"/>
            <w:noWrap w:val="0"/>
            <w:vAlign w:val="center"/>
          </w:tcPr>
          <w:p>
            <w:pPr>
              <w:spacing w:line="24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单位</w:t>
            </w:r>
          </w:p>
        </w:tc>
        <w:tc>
          <w:tcPr>
            <w:tcW w:w="1649" w:type="dxa"/>
            <w:noWrap w:val="0"/>
            <w:vAlign w:val="center"/>
          </w:tcPr>
          <w:p>
            <w:pPr>
              <w:spacing w:line="24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全费用综合单价</w:t>
            </w:r>
            <w:r>
              <w:rPr>
                <w:rFonts w:hint="eastAsia" w:ascii="宋体" w:hAnsi="宋体" w:eastAsia="宋体" w:cs="宋体"/>
                <w:b/>
                <w:color w:val="000000"/>
                <w:sz w:val="24"/>
                <w:szCs w:val="24"/>
                <w:highlight w:val="none"/>
              </w:rPr>
              <w:t>（元）</w:t>
            </w:r>
          </w:p>
        </w:tc>
        <w:tc>
          <w:tcPr>
            <w:tcW w:w="1368" w:type="dxa"/>
            <w:noWrap w:val="0"/>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40" w:type="dxa"/>
            <w:vMerge w:val="restart"/>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975" w:type="dxa"/>
            <w:vMerge w:val="restart"/>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木棍</w:t>
            </w: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棍长3.0m，木棍大头直径不小于</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cm,小头直径不少于4cm</w:t>
            </w: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368" w:type="dxa"/>
            <w:vMerge w:val="restart"/>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position w:val="-3"/>
                <w:sz w:val="24"/>
                <w:szCs w:val="24"/>
                <w:highlight w:val="none"/>
              </w:rPr>
              <w:t>（百分号前保留二位小数</w:t>
            </w:r>
            <w:r>
              <w:rPr>
                <w:rFonts w:hint="eastAsia" w:ascii="宋体" w:hAnsi="宋体" w:cs="宋体"/>
                <w:color w:val="000000"/>
                <w:position w:val="-3"/>
                <w:sz w:val="24"/>
                <w:szCs w:val="24"/>
                <w:highlight w:val="none"/>
                <w:lang w:eastAsia="zh-CN"/>
              </w:rPr>
              <w:t>。</w:t>
            </w:r>
            <w:r>
              <w:rPr>
                <w:rFonts w:hint="eastAsia" w:ascii="宋体" w:hAnsi="宋体" w:eastAsia="宋体" w:cs="宋体"/>
                <w:color w:val="000000"/>
                <w:position w:val="-3"/>
                <w:sz w:val="24"/>
                <w:szCs w:val="24"/>
                <w:highlight w:val="none"/>
              </w:rPr>
              <w:t>投标结算率必须＜</w:t>
            </w:r>
            <w:r>
              <w:rPr>
                <w:rFonts w:hint="eastAsia" w:ascii="宋体" w:hAnsi="宋体" w:cs="宋体"/>
                <w:color w:val="000000"/>
                <w:position w:val="-3"/>
                <w:sz w:val="24"/>
                <w:szCs w:val="24"/>
                <w:highlight w:val="none"/>
                <w:lang w:val="en-US" w:eastAsia="zh-CN"/>
              </w:rPr>
              <w:t>88</w:t>
            </w:r>
            <w:r>
              <w:rPr>
                <w:rFonts w:hint="eastAsia" w:ascii="宋体" w:hAnsi="宋体" w:eastAsia="宋体" w:cs="宋体"/>
                <w:color w:val="000000"/>
                <w:position w:val="-3"/>
                <w:sz w:val="24"/>
                <w:szCs w:val="24"/>
                <w:highlight w:val="none"/>
              </w:rPr>
              <w:t>%，否则作无效标处理）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0"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975"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棍长2.5m，木棍大头直径不小于</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cm,小头直径不少于4cm</w:t>
            </w: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7.95</w:t>
            </w:r>
          </w:p>
        </w:tc>
        <w:tc>
          <w:tcPr>
            <w:tcW w:w="1368" w:type="dxa"/>
            <w:vMerge w:val="continue"/>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40"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975"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棍长2.0m，木棍大头直径不小于</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cm,小头直径不少于4cm</w:t>
            </w: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4.8</w:t>
            </w:r>
          </w:p>
        </w:tc>
        <w:tc>
          <w:tcPr>
            <w:tcW w:w="1368" w:type="dxa"/>
            <w:vMerge w:val="continue"/>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0"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975"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棍长1.5m，木棍大头直径不小于</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cm,小头直径不少于4cm</w:t>
            </w: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w:t>
            </w:r>
          </w:p>
        </w:tc>
        <w:tc>
          <w:tcPr>
            <w:tcW w:w="1368" w:type="dxa"/>
            <w:vMerge w:val="continue"/>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40"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975" w:type="dxa"/>
            <w:vMerge w:val="continue"/>
            <w:noWrap w:val="0"/>
            <w:vAlign w:val="center"/>
          </w:tcPr>
          <w:p>
            <w:pPr>
              <w:spacing w:line="240" w:lineRule="auto"/>
              <w:jc w:val="center"/>
              <w:rPr>
                <w:rFonts w:hint="eastAsia" w:ascii="宋体" w:hAnsi="宋体" w:eastAsia="宋体" w:cs="宋体"/>
                <w:color w:val="000000"/>
                <w:sz w:val="24"/>
                <w:szCs w:val="24"/>
                <w:highlight w:val="none"/>
              </w:rPr>
            </w:pP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棍长0.4m，木棍大头直径不小于5cm,小头直径不少于4cm</w:t>
            </w: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w:t>
            </w:r>
          </w:p>
        </w:tc>
        <w:tc>
          <w:tcPr>
            <w:tcW w:w="1368" w:type="dxa"/>
            <w:vMerge w:val="continue"/>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4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9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松木桩</w:t>
            </w: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桩长6米，梢径9cm</w:t>
            </w: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95</w:t>
            </w:r>
          </w:p>
        </w:tc>
        <w:tc>
          <w:tcPr>
            <w:tcW w:w="1368" w:type="dxa"/>
            <w:vMerge w:val="continue"/>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4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9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毛竹</w:t>
            </w: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包括毛竹支撑大、小件；毛竹片、条。</w:t>
            </w: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公斤</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1368" w:type="dxa"/>
            <w:vMerge w:val="continue"/>
            <w:noWrap w:val="0"/>
            <w:vAlign w:val="center"/>
          </w:tcPr>
          <w:p>
            <w:pPr>
              <w:spacing w:line="360" w:lineRule="auto"/>
              <w:jc w:val="center"/>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975"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棕榈绳</w:t>
            </w:r>
          </w:p>
        </w:tc>
        <w:tc>
          <w:tcPr>
            <w:tcW w:w="3375" w:type="dxa"/>
            <w:noWrap w:val="0"/>
            <w:vAlign w:val="center"/>
          </w:tcPr>
          <w:p>
            <w:pPr>
              <w:spacing w:line="240" w:lineRule="auto"/>
              <w:jc w:val="center"/>
              <w:rPr>
                <w:rFonts w:hint="eastAsia" w:ascii="宋体" w:hAnsi="宋体" w:eastAsia="宋体" w:cs="宋体"/>
                <w:color w:val="000000"/>
                <w:sz w:val="24"/>
                <w:szCs w:val="24"/>
                <w:highlight w:val="none"/>
              </w:rPr>
            </w:pPr>
          </w:p>
        </w:tc>
        <w:tc>
          <w:tcPr>
            <w:tcW w:w="870"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公斤</w:t>
            </w:r>
          </w:p>
        </w:tc>
        <w:tc>
          <w:tcPr>
            <w:tcW w:w="1649" w:type="dxa"/>
            <w:noWrap w:val="0"/>
            <w:vAlign w:val="center"/>
          </w:tcPr>
          <w:p>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w:t>
            </w:r>
          </w:p>
        </w:tc>
        <w:tc>
          <w:tcPr>
            <w:tcW w:w="1368" w:type="dxa"/>
            <w:vMerge w:val="continue"/>
            <w:noWrap w:val="0"/>
            <w:vAlign w:val="center"/>
          </w:tcPr>
          <w:p>
            <w:pPr>
              <w:spacing w:line="360" w:lineRule="auto"/>
              <w:jc w:val="center"/>
              <w:rPr>
                <w:rFonts w:hint="eastAsia" w:ascii="宋体" w:hAnsi="宋体" w:eastAsia="宋体" w:cs="宋体"/>
                <w:color w:val="000000"/>
                <w:sz w:val="24"/>
                <w:szCs w:val="24"/>
                <w:highlight w:val="none"/>
              </w:rPr>
            </w:pPr>
          </w:p>
        </w:tc>
      </w:tr>
    </w:tbl>
    <w:p>
      <w:pPr>
        <w:spacing w:line="360" w:lineRule="auto"/>
        <w:rPr>
          <w:rFonts w:hint="eastAsia" w:ascii="宋体" w:hAnsi="宋体"/>
          <w:color w:val="000000"/>
          <w:sz w:val="24"/>
          <w:highlight w:val="none"/>
        </w:rPr>
      </w:pPr>
      <w:r>
        <w:rPr>
          <w:rFonts w:hint="eastAsia" w:ascii="宋体" w:hAnsi="宋体" w:eastAsia="宋体" w:cs="宋体"/>
          <w:b/>
          <w:color w:val="000000"/>
          <w:sz w:val="24"/>
          <w:szCs w:val="24"/>
          <w:highlight w:val="none"/>
        </w:rPr>
        <w:t xml:space="preserve">1、质量要求： </w:t>
      </w:r>
    </w:p>
    <w:p>
      <w:pPr>
        <w:spacing w:line="360" w:lineRule="auto"/>
        <w:rPr>
          <w:rFonts w:hint="eastAsia" w:ascii="宋体" w:hAnsi="宋体"/>
          <w:sz w:val="24"/>
          <w:highlight w:val="none"/>
        </w:rPr>
      </w:pPr>
      <w:r>
        <w:rPr>
          <w:rFonts w:hint="eastAsia" w:ascii="宋体" w:hAnsi="宋体"/>
          <w:color w:val="000000"/>
          <w:sz w:val="24"/>
          <w:highlight w:val="none"/>
        </w:rPr>
        <w:t>①要求木棍为未使用过的全新木料，直杆，无虫蛀；材质为杉树或松树。</w:t>
      </w:r>
    </w:p>
    <w:p>
      <w:pPr>
        <w:spacing w:line="360" w:lineRule="auto"/>
        <w:rPr>
          <w:rFonts w:hint="eastAsia" w:ascii="宋体" w:hAnsi="宋体"/>
          <w:sz w:val="24"/>
          <w:highlight w:val="none"/>
        </w:rPr>
      </w:pPr>
      <w:r>
        <w:rPr>
          <w:rFonts w:hint="eastAsia" w:ascii="宋体" w:hAnsi="宋体"/>
          <w:sz w:val="24"/>
          <w:highlight w:val="none"/>
        </w:rPr>
        <w:t>②棕榈绳必须为未出售使用过产品，具有牢固、耐盐、耐磨、富有弹性等特性；要求符合生产规范，不得以次充好。</w:t>
      </w:r>
    </w:p>
    <w:p>
      <w:pPr>
        <w:spacing w:line="360" w:lineRule="auto"/>
        <w:rPr>
          <w:rFonts w:hint="eastAsia" w:ascii="宋体" w:hAnsi="宋体"/>
          <w:sz w:val="24"/>
          <w:highlight w:val="none"/>
        </w:rPr>
      </w:pPr>
      <w:r>
        <w:rPr>
          <w:rFonts w:hint="eastAsia" w:ascii="宋体" w:hAnsi="宋体"/>
          <w:sz w:val="24"/>
          <w:highlight w:val="none"/>
        </w:rPr>
        <w:t>③供应的毛竹（竹片）出现以下情况的，</w:t>
      </w:r>
      <w:r>
        <w:rPr>
          <w:rFonts w:hint="eastAsia" w:ascii="宋体" w:hAnsi="宋体"/>
          <w:b/>
          <w:sz w:val="24"/>
          <w:highlight w:val="none"/>
        </w:rPr>
        <w:t>视为不合格</w:t>
      </w:r>
      <w:r>
        <w:rPr>
          <w:rFonts w:hint="eastAsia" w:ascii="宋体" w:hAnsi="宋体"/>
          <w:sz w:val="24"/>
          <w:highlight w:val="none"/>
        </w:rPr>
        <w:t>：青嫩、枯黄、黑麻、白麻、虫蛀；短杆裂缝＞2节，长杆裂缝＞4节。</w:t>
      </w:r>
    </w:p>
    <w:p>
      <w:pPr>
        <w:spacing w:line="360" w:lineRule="auto"/>
        <w:rPr>
          <w:rFonts w:hint="eastAsia" w:ascii="宋体" w:hAnsi="宋体"/>
          <w:sz w:val="24"/>
          <w:highlight w:val="none"/>
        </w:rPr>
      </w:pPr>
      <w:r>
        <w:rPr>
          <w:rFonts w:hint="eastAsia" w:ascii="宋体" w:hAnsi="宋体"/>
          <w:sz w:val="24"/>
          <w:highlight w:val="none"/>
        </w:rPr>
        <w:t>2、验收标准：货到后需方严格按照质量要求进行验收，若不合格或不能满足需方使用要求采购人则无条件给予退还，发生一切损失由采购人承担，且承担因此延误工期等给需方造成的经济损失。</w:t>
      </w:r>
    </w:p>
    <w:p>
      <w:pPr>
        <w:spacing w:line="360" w:lineRule="auto"/>
        <w:rPr>
          <w:rFonts w:hint="eastAsia" w:ascii="宋体" w:hAnsi="宋体"/>
          <w:sz w:val="24"/>
          <w:highlight w:val="none"/>
        </w:rPr>
      </w:pPr>
      <w:r>
        <w:rPr>
          <w:rFonts w:hint="eastAsia" w:ascii="宋体" w:hAnsi="宋体"/>
          <w:sz w:val="24"/>
          <w:highlight w:val="none"/>
        </w:rPr>
        <w:t>3、数量：结算数量以需方实际验收数量为准。</w:t>
      </w:r>
    </w:p>
    <w:p>
      <w:pPr>
        <w:spacing w:line="360" w:lineRule="auto"/>
        <w:rPr>
          <w:rFonts w:hint="eastAsia" w:ascii="宋体" w:hAnsi="宋体"/>
          <w:sz w:val="24"/>
          <w:highlight w:val="none"/>
          <w:shd w:val="pct10" w:color="auto" w:fill="FFFFFF"/>
        </w:rPr>
      </w:pPr>
      <w:r>
        <w:rPr>
          <w:rFonts w:hint="eastAsia" w:ascii="宋体" w:hAnsi="宋体"/>
          <w:sz w:val="24"/>
          <w:highlight w:val="none"/>
        </w:rPr>
        <w:t>4、供货周期：3合同签订后，接到采购人通知后，根据采购人要求及时供货到采购人指定地点，不得影响采购人施工进度。（按车运输，每车数量不少于1500根）。</w:t>
      </w:r>
    </w:p>
    <w:p>
      <w:pPr>
        <w:spacing w:line="360" w:lineRule="auto"/>
        <w:rPr>
          <w:rFonts w:hint="eastAsia" w:ascii="宋体" w:hAnsi="宋体"/>
          <w:sz w:val="24"/>
          <w:highlight w:val="none"/>
        </w:rPr>
      </w:pPr>
      <w:r>
        <w:rPr>
          <w:rFonts w:hint="eastAsia" w:ascii="宋体" w:hAnsi="宋体"/>
          <w:sz w:val="24"/>
          <w:highlight w:val="none"/>
        </w:rPr>
        <w:t>5、交货地点：台州市椒江区（具体以采购人指定地点为准）</w:t>
      </w:r>
    </w:p>
    <w:p>
      <w:pPr>
        <w:spacing w:line="360" w:lineRule="auto"/>
        <w:rPr>
          <w:rFonts w:hint="eastAsia" w:ascii="宋体" w:hAnsi="宋体"/>
          <w:sz w:val="24"/>
          <w:highlight w:val="none"/>
        </w:rPr>
      </w:pPr>
      <w:r>
        <w:rPr>
          <w:rFonts w:hint="eastAsia" w:ascii="宋体" w:hAnsi="宋体"/>
          <w:sz w:val="24"/>
          <w:highlight w:val="none"/>
        </w:rPr>
        <w:t>6、报价方式：采用</w:t>
      </w:r>
      <w:r>
        <w:rPr>
          <w:rFonts w:hint="eastAsia" w:ascii="宋体" w:hAnsi="宋体"/>
          <w:sz w:val="24"/>
          <w:highlight w:val="none"/>
          <w:lang w:val="en-US" w:eastAsia="zh-CN"/>
        </w:rPr>
        <w:t>全费用</w:t>
      </w:r>
      <w:r>
        <w:rPr>
          <w:rFonts w:hint="eastAsia" w:ascii="宋体" w:hAnsi="宋体"/>
          <w:sz w:val="24"/>
          <w:highlight w:val="none"/>
          <w:lang w:eastAsia="zh-CN"/>
        </w:rPr>
        <w:t>综合单价</w:t>
      </w:r>
      <w:r>
        <w:rPr>
          <w:rFonts w:hint="eastAsia" w:ascii="宋体" w:hAnsi="宋体"/>
          <w:sz w:val="24"/>
          <w:highlight w:val="none"/>
        </w:rPr>
        <w:t>报价，</w:t>
      </w:r>
      <w:r>
        <w:rPr>
          <w:rFonts w:hint="eastAsia" w:ascii="宋体" w:hAnsi="宋体"/>
          <w:sz w:val="24"/>
          <w:highlight w:val="none"/>
          <w:lang w:eastAsia="zh-CN"/>
        </w:rPr>
        <w:t>全费用综合单价</w:t>
      </w:r>
      <w:r>
        <w:rPr>
          <w:rFonts w:hint="eastAsia" w:ascii="宋体" w:hAnsi="宋体"/>
          <w:sz w:val="24"/>
          <w:highlight w:val="none"/>
        </w:rPr>
        <w:t>包括货物的供货、税金、包装、运输（货物运到招标人指定的施工现场）、保险、装卸、损耗、验收（含第三方验收）、施工全过程的技术指导服务、售后服务、材料、风险、利润等全部费用。</w:t>
      </w:r>
    </w:p>
    <w:p>
      <w:pPr>
        <w:spacing w:line="360" w:lineRule="auto"/>
        <w:rPr>
          <w:rFonts w:hint="eastAsia" w:ascii="宋体" w:hAnsi="宋体"/>
          <w:sz w:val="24"/>
          <w:highlight w:val="none"/>
        </w:rPr>
      </w:pPr>
      <w:r>
        <w:rPr>
          <w:rFonts w:hint="eastAsia" w:ascii="宋体" w:hAnsi="宋体"/>
          <w:sz w:val="24"/>
          <w:highlight w:val="none"/>
        </w:rPr>
        <w:t>（7）各投标人需填写投标结算率。</w:t>
      </w:r>
    </w:p>
    <w:p>
      <w:pPr>
        <w:spacing w:line="360" w:lineRule="auto"/>
        <w:rPr>
          <w:rFonts w:hint="eastAsia" w:ascii="宋体" w:hAnsi="宋体"/>
          <w:sz w:val="24"/>
          <w:highlight w:val="none"/>
        </w:rPr>
      </w:pPr>
      <w:r>
        <w:rPr>
          <w:rFonts w:hint="eastAsia" w:ascii="宋体" w:hAnsi="宋体"/>
          <w:sz w:val="24"/>
          <w:highlight w:val="none"/>
        </w:rPr>
        <w:t>（8）工程量凭采购人代表签证单位盖章，按实结算。</w:t>
      </w:r>
    </w:p>
    <w:p>
      <w:pPr>
        <w:spacing w:line="360" w:lineRule="auto"/>
        <w:rPr>
          <w:rFonts w:hint="eastAsia" w:ascii="宋体" w:hAnsi="宋体"/>
          <w:sz w:val="24"/>
          <w:highlight w:val="none"/>
        </w:rPr>
      </w:pPr>
      <w:r>
        <w:rPr>
          <w:rFonts w:hint="eastAsia" w:ascii="宋体" w:hAnsi="宋体"/>
          <w:sz w:val="24"/>
          <w:highlight w:val="none"/>
        </w:rPr>
        <w:t>（9）投标结算率报价</w:t>
      </w:r>
      <w:r>
        <w:rPr>
          <w:rFonts w:hint="eastAsia" w:ascii="宋体" w:hAnsi="宋体" w:eastAsia="宋体" w:cs="宋体"/>
          <w:color w:val="000000"/>
          <w:position w:val="-3"/>
          <w:sz w:val="24"/>
          <w:szCs w:val="24"/>
          <w:highlight w:val="none"/>
        </w:rPr>
        <w:t>百分号前保留二位小数</w:t>
      </w:r>
      <w:r>
        <w:rPr>
          <w:rFonts w:hint="eastAsia" w:ascii="宋体" w:hAnsi="宋体"/>
          <w:sz w:val="24"/>
          <w:highlight w:val="none"/>
        </w:rPr>
        <w:t>。</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年    月   日</w:t>
      </w:r>
    </w:p>
    <w:p>
      <w:pPr>
        <w:pStyle w:val="18"/>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NAfWhAQAALQMAAA4AAABkcnMvZTJvRG9jLnhtbK1SzW7bMAy+D9g7&#10;CLo3coJizYw4RYGiw4CiK9D1ARRZigXoD6IaOy/QvcFOu+y+58pzjJKddFhvRS80KdIf+X3k6nKw&#10;huxkBO1dQ+ezihLphG+12zb08fvN2ZISSNy13HgnG7qXQC/XHz+s+lDLhe+8aWUkCOKg7kNDu5RC&#10;zRiITloOMx+kw6Ty0fKEYdyyNvIe0a1hi6r6xHof2xC9kAD4ej0m6brgKyVF+qYUyERMQ3G2VGws&#10;dpMtW694vY08dFpMY/A3TGG5dtj0BHXNEydPUb+CslpED16lmfCWeaW0kIUDsplX/7F56HiQhQuK&#10;A+EkE7wfrLjb3Uei24aeV58vKHHc4pYOP38cfv05/H4m86xQH6DGwodwH6cI0M10BxVt/iIRMhRV&#10;9ydV5ZCIwMf5crFcVii+wNwxQBz28nuIkL5Ib0l2GhpxbUVNvruFNJYeS3I347J1/kYbM2bzC8tj&#10;joNlLw2bYZp249s9suxxzQ11eIeUmK8OVcwXcXTi0dlMTu4B4eopYZ8yREYdoaZmuJNCY7qfvPR/&#10;41L1cuX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VjQH1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6"/>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jr5+hAQAALQMAAA4AAABkcnMvZTJvRG9jLnhtbK1SzW7bMAy+D+g7&#10;CLo3coJhyIw4xYCiQ4FiLdDuARRZigXoD5QaOy/QvkFPu+y+58pzlJKddFhvxS40KdIf+X3k6mKw&#10;huwkRO1dQ+ezihLphG+12zb058PV+ZKSmLhrufFONnQvI71Yn31a9aGWC99500ogCOJi3YeGdimF&#10;mrEoOml5nPkgHSaVB8sThrBlLfAe0a1hi6r6wnoPbQAvZIz4ejkm6brgKyVFulUqykRMQ3G2VCwU&#10;u8mWrVe83gIPnRbTGPwDU1iuHTY9QV3yxMkj6HdQVgvw0as0E94yr5QWsnBANvPqHzb3HQ+ycEFx&#10;YjjJFP8frPixuwOi24Z+rr7irhy3uKXDy/Ph15/D7yeyyAr1IdZYeB/uYIoiupnuoMDmLxIhQ1F1&#10;f1JVDokIfJwvF8tlheILzB0DxGFvvweI6bv0lmSnoYBrK2ry3U1MY+mxJHczLlvnr7QxYza/sDzm&#10;OFj20rAZpmk3vt0jyx7X3FCHd0iJuXaoYr6IowNHZzM5uUcM3x4T9ilDZNQRamqGOyk0pvvJS/87&#10;LlVvV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VY6+foQEAAC0DAAAOAAAAAAAAAAEA&#10;IAAAAB8BAABkcnMvZTJvRG9jLnhtbFBLBQYAAAAABgAGAFkBAAAy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8"/>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SnlGtAQAARAMAAA4AAABkcnMvZTJvRG9jLnhtbK1SzYrbMBC+F/Yd&#10;hO6NnVCKMVGWwrKlsHQXtn0ARZZigf4YaWNnH6B9g5566b3PlefoSLazpb2VXsYzmvE33zcz2+vR&#10;GnKUELV3jK5XNSXSCd9pd2D086fb1w0lMXHXceOdZPQkI73eXb3aDqGVG99700kgCOJiOwRG+5RC&#10;W1VR9NLyuPJBOkwqD5YnDOFQdcAHRLem2tT122rw0AXwQsaIrzdTku4KvlJSpHulokzEMIrcUrFQ&#10;7D7barfl7QF46LWYafB/YGG5dtj0AnXDEydPoP+CslqAj16llfC28kppIYsGVLOu/1Dz2PMgixYc&#10;TgyXMcX/Bys+Hh+A6I7RN+saB+S4xS2dv309f/95/vGFNHlCQ4gtFj6GB5ijiG6WOyqw+YtCyFim&#10;erpMVY6JCHxcN5umydgCc0uAONXL7wFiei+9JdlhFHBtZZr8eBfTVLqU5G7GZev8rTZmyuaXKtOc&#10;iGUvjftxZrv33QlV4pkieO/hmZIBV86ow5ukxHxwONF8HYsDi7NfHO4E/sjoxCuGd08J2xduudnU&#10;YeaAqyrq5rPKt/B7XKpejn/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ykp5RrQEAAEQD&#10;AAAOAAAAAAAAAAEAIAAAAB8BAABkcnMvZTJvRG9jLnhtbFBLBQYAAAAABgAGAFkBAAA+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25077"/>
    <w:multiLevelType w:val="singleLevel"/>
    <w:tmpl w:val="CD925077"/>
    <w:lvl w:ilvl="0" w:tentative="0">
      <w:start w:val="1"/>
      <w:numFmt w:val="decimal"/>
      <w:suff w:val="nothing"/>
      <w:lvlText w:val="（%1）"/>
      <w:lvlJc w:val="left"/>
    </w:lvl>
  </w:abstractNum>
  <w:abstractNum w:abstractNumId="1">
    <w:nsid w:val="00000000"/>
    <w:multiLevelType w:val="singleLevel"/>
    <w:tmpl w:val="00000000"/>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bullet"/>
      <w:pStyle w:val="7"/>
      <w:lvlText w:val=""/>
      <w:lvlJc w:val="left"/>
      <w:pPr>
        <w:tabs>
          <w:tab w:val="left" w:pos="360"/>
        </w:tabs>
        <w:ind w:left="360" w:hanging="360"/>
      </w:pPr>
      <w:rPr>
        <w:rFonts w:hint="default" w:ascii="Wingdings" w:hAnsi="Wingdings"/>
      </w:rPr>
    </w:lvl>
  </w:abstractNum>
  <w:abstractNum w:abstractNumId="4">
    <w:nsid w:val="00000005"/>
    <w:multiLevelType w:val="singleLevel"/>
    <w:tmpl w:val="00000005"/>
    <w:lvl w:ilvl="0" w:tentative="0">
      <w:start w:val="1"/>
      <w:numFmt w:val="decimal"/>
      <w:pStyle w:val="6"/>
      <w:lvlText w:val="%1."/>
      <w:lvlJc w:val="left"/>
      <w:pPr>
        <w:tabs>
          <w:tab w:val="left" w:pos="360"/>
        </w:tabs>
        <w:ind w:left="360" w:hanging="360"/>
      </w:pPr>
    </w:lvl>
  </w:abstractNum>
  <w:abstractNum w:abstractNumId="5">
    <w:nsid w:val="00000006"/>
    <w:multiLevelType w:val="singleLevel"/>
    <w:tmpl w:val="00000006"/>
    <w:lvl w:ilvl="0" w:tentative="0">
      <w:start w:val="2"/>
      <w:numFmt w:val="chineseCounting"/>
      <w:suff w:val="space"/>
      <w:lvlText w:val="第%1章"/>
      <w:lvlJc w:val="left"/>
      <w:rPr>
        <w:rFonts w:hint="eastAsia"/>
      </w:rPr>
    </w:lvl>
  </w:abstractNum>
  <w:abstractNum w:abstractNumId="6">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7">
    <w:nsid w:val="00000009"/>
    <w:multiLevelType w:val="singleLevel"/>
    <w:tmpl w:val="00000009"/>
    <w:lvl w:ilvl="0" w:tentative="0">
      <w:start w:val="1"/>
      <w:numFmt w:val="chineseCounting"/>
      <w:suff w:val="space"/>
      <w:lvlText w:val="第%1章"/>
      <w:lvlJc w:val="left"/>
      <w:rPr>
        <w:rFonts w:hint="eastAsia"/>
      </w:rPr>
    </w:lvl>
  </w:abstractNum>
  <w:abstractNum w:abstractNumId="8">
    <w:nsid w:val="0000000A"/>
    <w:multiLevelType w:val="singleLevel"/>
    <w:tmpl w:val="0000000A"/>
    <w:lvl w:ilvl="0" w:tentative="0">
      <w:start w:val="1"/>
      <w:numFmt w:val="chineseCounting"/>
      <w:suff w:val="nothing"/>
      <w:lvlText w:val="%1、"/>
      <w:lvlJc w:val="left"/>
      <w:rPr>
        <w:rFonts w:hint="eastAsia"/>
      </w:rPr>
    </w:lvl>
  </w:abstractNum>
  <w:abstractNum w:abstractNumId="9">
    <w:nsid w:val="0000002A"/>
    <w:multiLevelType w:val="multilevel"/>
    <w:tmpl w:val="0000002A"/>
    <w:lvl w:ilvl="0" w:tentative="0">
      <w:start w:val="1"/>
      <w:numFmt w:val="decimal"/>
      <w:lvlText w:val="%1"/>
      <w:lvlJc w:val="left"/>
      <w:pPr>
        <w:tabs>
          <w:tab w:val="left" w:pos="425"/>
        </w:tabs>
        <w:ind w:left="425" w:hanging="425"/>
      </w:pPr>
      <w:rPr>
        <w:rFonts w:hint="default" w:ascii="Arial" w:hAnsi="Arial" w:cs="Arial"/>
      </w:rPr>
    </w:lvl>
    <w:lvl w:ilvl="1" w:tentative="0">
      <w:start w:val="1"/>
      <w:numFmt w:val="decimal"/>
      <w:lvlText w:val="%1.%2"/>
      <w:lvlJc w:val="left"/>
      <w:pPr>
        <w:tabs>
          <w:tab w:val="left" w:pos="992"/>
        </w:tabs>
        <w:ind w:left="99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4DBFE7FF"/>
    <w:multiLevelType w:val="singleLevel"/>
    <w:tmpl w:val="4DBFE7FF"/>
    <w:lvl w:ilvl="0" w:tentative="0">
      <w:start w:val="1"/>
      <w:numFmt w:val="decimal"/>
      <w:suff w:val="nothing"/>
      <w:lvlText w:val="（%1）"/>
      <w:lvlJc w:val="left"/>
    </w:lvl>
  </w:abstractNum>
  <w:num w:numId="1">
    <w:abstractNumId w:val="6"/>
  </w:num>
  <w:num w:numId="2">
    <w:abstractNumId w:val="4"/>
  </w:num>
  <w:num w:numId="3">
    <w:abstractNumId w:val="3"/>
  </w:num>
  <w:num w:numId="4">
    <w:abstractNumId w:val="1"/>
  </w:num>
  <w:num w:numId="5">
    <w:abstractNumId w:val="7"/>
  </w:num>
  <w:num w:numId="6">
    <w:abstractNumId w:val="5"/>
  </w:num>
  <w:num w:numId="7">
    <w:abstractNumId w:val="8"/>
  </w:num>
  <w:num w:numId="8">
    <w:abstractNumId w:val="2"/>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NmUwZGI5YTYxYWRmNDQ2NmFkYzdlMDQ2OGEwZTIifQ=="/>
  </w:docVars>
  <w:rsids>
    <w:rsidRoot w:val="00000000"/>
    <w:rsid w:val="019813A6"/>
    <w:rsid w:val="02317D0F"/>
    <w:rsid w:val="0B545E6B"/>
    <w:rsid w:val="0D335603"/>
    <w:rsid w:val="21604979"/>
    <w:rsid w:val="275D4444"/>
    <w:rsid w:val="2C5B58E2"/>
    <w:rsid w:val="366C0322"/>
    <w:rsid w:val="3B297FDB"/>
    <w:rsid w:val="3B9703AF"/>
    <w:rsid w:val="403102E6"/>
    <w:rsid w:val="410D4E51"/>
    <w:rsid w:val="41F477D8"/>
    <w:rsid w:val="42694E81"/>
    <w:rsid w:val="49A65F5E"/>
    <w:rsid w:val="4CBA6B70"/>
    <w:rsid w:val="51741973"/>
    <w:rsid w:val="67E26786"/>
    <w:rsid w:val="71766353"/>
    <w:rsid w:val="799F7821"/>
    <w:rsid w:val="7A730C2B"/>
    <w:rsid w:val="7C1432CC"/>
    <w:rsid w:val="7FCA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2">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5"/>
    <w:qFormat/>
    <w:uiPriority w:val="0"/>
    <w:pPr>
      <w:keepNext/>
      <w:keepLines/>
      <w:tabs>
        <w:tab w:val="left" w:pos="8280"/>
      </w:tabs>
      <w:spacing w:before="260" w:after="260" w:line="416" w:lineRule="auto"/>
      <w:outlineLvl w:val="2"/>
    </w:pPr>
    <w:rPr>
      <w:bCs/>
      <w:szCs w:val="32"/>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List Bullet"/>
    <w:basedOn w:val="1"/>
    <w:next w:val="1"/>
    <w:qFormat/>
    <w:uiPriority w:val="0"/>
    <w:pPr>
      <w:numPr>
        <w:ilvl w:val="0"/>
        <w:numId w:val="3"/>
      </w:numPr>
    </w:pPr>
  </w:style>
  <w:style w:type="paragraph" w:styleId="8">
    <w:name w:val="annotation text"/>
    <w:basedOn w:val="1"/>
    <w:link w:val="75"/>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next w:val="11"/>
    <w:qFormat/>
    <w:uiPriority w:val="0"/>
    <w:pPr>
      <w:spacing w:line="360" w:lineRule="exact"/>
    </w:pPr>
    <w:rPr>
      <w:sz w:val="24"/>
    </w:rPr>
  </w:style>
  <w:style w:type="paragraph" w:styleId="11">
    <w:name w:val="Body Text First Indent"/>
    <w:basedOn w:val="10"/>
    <w:next w:val="12"/>
    <w:link w:val="77"/>
    <w:qFormat/>
    <w:uiPriority w:val="0"/>
    <w:pPr>
      <w:ind w:firstLine="200" w:firstLineChars="200"/>
    </w:pPr>
  </w:style>
  <w:style w:type="paragraph" w:styleId="12">
    <w:name w:val="toc 6"/>
    <w:basedOn w:val="1"/>
    <w:next w:val="1"/>
    <w:qFormat/>
    <w:uiPriority w:val="39"/>
    <w:pPr>
      <w:ind w:left="2100" w:leftChars="1000"/>
    </w:pPr>
    <w:rPr>
      <w:rFonts w:ascii="Calibri" w:hAnsi="Calibri"/>
    </w:rPr>
  </w:style>
  <w:style w:type="paragraph" w:styleId="13">
    <w:name w:val="Body Text Indent"/>
    <w:basedOn w:val="1"/>
    <w:next w:val="1"/>
    <w:qFormat/>
    <w:uiPriority w:val="0"/>
    <w:pPr>
      <w:spacing w:after="120"/>
      <w:ind w:left="420" w:leftChars="200"/>
    </w:pPr>
  </w:style>
  <w:style w:type="paragraph" w:styleId="14">
    <w:name w:val="List Bullet 2"/>
    <w:basedOn w:val="1"/>
    <w:next w:val="7"/>
    <w:qFormat/>
    <w:uiPriority w:val="0"/>
    <w:pPr>
      <w:numPr>
        <w:ilvl w:val="0"/>
        <w:numId w:val="4"/>
      </w:numPr>
    </w:pPr>
  </w:style>
  <w:style w:type="paragraph" w:styleId="15">
    <w:name w:val="Plain Text"/>
    <w:basedOn w:val="1"/>
    <w:next w:val="16"/>
    <w:link w:val="67"/>
    <w:qFormat/>
    <w:uiPriority w:val="0"/>
    <w:rPr>
      <w:rFonts w:ascii="宋体" w:hAnsi="Courier New" w:cs="宋体"/>
    </w:rPr>
  </w:style>
  <w:style w:type="paragraph" w:styleId="16">
    <w:name w:val="Date"/>
    <w:basedOn w:val="1"/>
    <w:next w:val="1"/>
    <w:qFormat/>
    <w:uiPriority w:val="0"/>
    <w:pPr>
      <w:ind w:left="2500" w:leftChars="2500"/>
    </w:pPr>
    <w:rPr>
      <w:rFonts w:ascii="Calibri" w:hAnsi="Calibri" w:eastAsia="楷体_GB2312" w:cs="宋体"/>
      <w:sz w:val="32"/>
      <w:szCs w:val="22"/>
    </w:rPr>
  </w:style>
  <w:style w:type="paragraph" w:styleId="17">
    <w:name w:val="Balloon Text"/>
    <w:basedOn w:val="1"/>
    <w:link w:val="5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auto"/>
      <w:ind w:left="420" w:leftChars="200" w:right="420" w:rightChars="200"/>
    </w:pPr>
    <w:rPr>
      <w:rFonts w:ascii="宋体" w:hAnsi="宋体"/>
      <w:sz w:val="24"/>
    </w:rPr>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Cambria" w:hAnsi="Cambria"/>
      <w:b/>
      <w:bCs/>
      <w:kern w:val="0"/>
      <w:sz w:val="32"/>
      <w:szCs w:val="32"/>
    </w:rPr>
  </w:style>
  <w:style w:type="paragraph" w:styleId="24">
    <w:name w:val="annotation subject"/>
    <w:basedOn w:val="8"/>
    <w:next w:val="8"/>
    <w:link w:val="76"/>
    <w:qFormat/>
    <w:uiPriority w:val="0"/>
    <w:rPr>
      <w:b/>
      <w:bCs/>
    </w:rPr>
  </w:style>
  <w:style w:type="paragraph" w:styleId="25">
    <w:name w:val="Body Text First Indent 2"/>
    <w:basedOn w:val="13"/>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0"/>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宋体" w:cs="宋体"/>
      <w:szCs w:val="21"/>
    </w:rPr>
  </w:style>
  <w:style w:type="paragraph" w:customStyle="1" w:styleId="45">
    <w:name w:val="纯文本_0_1"/>
    <w:basedOn w:val="1"/>
    <w:qFormat/>
    <w:uiPriority w:val="0"/>
    <w:pPr>
      <w:widowControl/>
      <w:jc w:val="left"/>
    </w:pPr>
    <w:rPr>
      <w:rFonts w:ascii="宋体" w:hAnsi="Courier New" w:eastAsia="宋体" w:cs="宋体"/>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7"/>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qFormat/>
    <w:uiPriority w:val="99"/>
    <w:rPr>
      <w:rFonts w:ascii="Times New Roman" w:hAnsi="Times New Roman" w:eastAsia="宋体" w:cs="Times New Roman"/>
      <w:kern w:val="2"/>
      <w:sz w:val="21"/>
      <w:szCs w:val="24"/>
      <w:lang w:val="en-US" w:eastAsia="zh-CN" w:bidi="ar-SA"/>
    </w:rPr>
  </w:style>
  <w:style w:type="paragraph" w:customStyle="1" w:styleId="65">
    <w:name w:val="修订2"/>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5"/>
    <w:qFormat/>
    <w:uiPriority w:val="0"/>
    <w:rPr>
      <w:rFonts w:ascii="宋体" w:hAnsi="Courier New" w:cs="宋体"/>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qFormat/>
    <w:uiPriority w:val="0"/>
    <w:tblPr>
      <w:tblCellMar>
        <w:top w:w="0" w:type="dxa"/>
        <w:left w:w="0" w:type="dxa"/>
        <w:bottom w:w="0" w:type="dxa"/>
        <w:right w:w="0" w:type="dxa"/>
      </w:tblCellMar>
    </w:tblPr>
  </w:style>
  <w:style w:type="character" w:customStyle="1" w:styleId="75">
    <w:name w:val="批注文字 字符"/>
    <w:basedOn w:val="28"/>
    <w:link w:val="8"/>
    <w:qFormat/>
    <w:uiPriority w:val="0"/>
    <w:rPr>
      <w:kern w:val="2"/>
      <w:sz w:val="21"/>
      <w:szCs w:val="24"/>
    </w:rPr>
  </w:style>
  <w:style w:type="character" w:customStyle="1" w:styleId="76">
    <w:name w:val="批注主题 字符"/>
    <w:basedOn w:val="75"/>
    <w:link w:val="24"/>
    <w:qFormat/>
    <w:uiPriority w:val="0"/>
    <w:rPr>
      <w:b/>
      <w:bCs/>
      <w:kern w:val="2"/>
      <w:sz w:val="21"/>
      <w:szCs w:val="24"/>
    </w:rPr>
  </w:style>
  <w:style w:type="character" w:customStyle="1" w:styleId="77">
    <w:name w:val="正文文本首行缩进 字符"/>
    <w:basedOn w:val="28"/>
    <w:link w:val="11"/>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qFormat/>
    <w:uiPriority w:val="99"/>
    <w:rPr>
      <w:color w:val="605E5C"/>
      <w:shd w:val="clear" w:color="auto" w:fill="E1DFDD"/>
    </w:rPr>
  </w:style>
  <w:style w:type="paragraph" w:customStyle="1" w:styleId="80">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39</Pages>
  <Words>20489</Words>
  <Characters>21266</Characters>
  <Paragraphs>897</Paragraphs>
  <TotalTime>8</TotalTime>
  <ScaleCrop>false</ScaleCrop>
  <LinksUpToDate>false</LinksUpToDate>
  <CharactersWithSpaces>22521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cp:lastModifiedBy>
  <cp:lastPrinted>2023-11-24T00:43:00Z</cp:lastPrinted>
  <dcterms:modified xsi:type="dcterms:W3CDTF">2023-11-28T06:44:06Z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