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p>
    <w:p>
      <w:pPr>
        <w:pStyle w:val="78"/>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6"/>
          <w:szCs w:val="40"/>
          <w:highlight w:val="none"/>
          <w:lang w:eastAsia="zh-CN"/>
          <w14:textFill>
            <w14:solidFill>
              <w14:schemeClr w14:val="tx1"/>
            </w14:solidFill>
          </w14:textFill>
        </w:rPr>
        <w:t>2024年度零星机械租赁项目</w:t>
      </w:r>
    </w:p>
    <w:p>
      <w:pPr>
        <w:pStyle w:val="78"/>
        <w:jc w:val="center"/>
        <w:rPr>
          <w:rFonts w:hint="eastAsia"/>
          <w:b/>
          <w:bCs/>
          <w:color w:val="000000" w:themeColor="text1"/>
          <w:sz w:val="36"/>
          <w:szCs w:val="40"/>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lang w:val="en-US" w:eastAsia="zh-CN"/>
          <w14:textFill>
            <w14:solidFill>
              <w14:schemeClr w14:val="tx1"/>
            </w14:solidFill>
          </w14:textFill>
        </w:rPr>
        <w:t>招标</w:t>
      </w:r>
      <w:r>
        <w:rPr>
          <w:rFonts w:hint="eastAsia" w:ascii="宋体" w:hAnsi="宋体" w:cs="Calibri Light"/>
          <w:color w:val="000000" w:themeColor="text1"/>
          <w:kern w:val="0"/>
          <w:sz w:val="24"/>
          <w:highlight w:val="none"/>
          <w14:textFill>
            <w14:solidFill>
              <w14:schemeClr w14:val="tx1"/>
            </w14:solidFill>
          </w14:textFill>
        </w:rPr>
        <w:t>编号：</w:t>
      </w:r>
      <w:r>
        <w:rPr>
          <w:rFonts w:ascii="宋体"/>
          <w:b/>
          <w:color w:val="000000" w:themeColor="text1"/>
          <w:kern w:val="0"/>
          <w:sz w:val="24"/>
          <w:highlight w:val="none"/>
          <w14:textFill>
            <w14:solidFill>
              <w14:schemeClr w14:val="tx1"/>
            </w14:solidFill>
          </w14:textFill>
        </w:rPr>
        <w:t xml:space="preserve"> </w:t>
      </w:r>
      <w:bookmarkStart w:id="56" w:name="_GoBack"/>
      <w:bookmarkEnd w:id="56"/>
      <w:r>
        <w:rPr>
          <w:rFonts w:hint="eastAsia" w:ascii="宋体"/>
          <w:b/>
          <w:color w:val="000000" w:themeColor="text1"/>
          <w:kern w:val="0"/>
          <w:sz w:val="24"/>
          <w:highlight w:val="none"/>
          <w:lang w:eastAsia="zh-CN"/>
          <w14:textFill>
            <w14:solidFill>
              <w14:schemeClr w14:val="tx1"/>
            </w14:solidFill>
          </w14:textFill>
        </w:rPr>
        <w:t>QBJ2023238</w:t>
      </w:r>
    </w:p>
    <w:p>
      <w:pP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pP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lang w:eastAsia="zh-CN"/>
          <w14:textFill>
            <w14:solidFill>
              <w14:schemeClr w14:val="tx1"/>
            </w14:solidFill>
          </w14:textFill>
        </w:rPr>
        <w:t>招标人</w:t>
      </w:r>
      <w:r>
        <w:rPr>
          <w:rFonts w:hint="eastAsia" w:ascii="宋体" w:hAnsi="宋体"/>
          <w:color w:val="000000" w:themeColor="text1"/>
          <w:spacing w:val="20"/>
          <w:kern w:val="21"/>
          <w:sz w:val="30"/>
          <w:szCs w:val="30"/>
          <w:highlight w:val="none"/>
          <w14:textFill>
            <w14:solidFill>
              <w14:schemeClr w14:val="tx1"/>
            </w14:solidFill>
          </w14:textFill>
        </w:rPr>
        <w:t>：</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台州市城市园林工程有限公司</w:t>
      </w:r>
      <w:r>
        <w:rPr>
          <w:color w:val="000000" w:themeColor="text1"/>
          <w:sz w:val="28"/>
          <w:highlight w:val="none"/>
          <w:u w:val="single"/>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14:textFill>
            <w14:solidFill>
              <w14:schemeClr w14:val="tx1"/>
            </w14:solidFill>
          </w14:textFill>
        </w:rPr>
        <w:t xml:space="preserve"> </w:t>
      </w:r>
      <w:r>
        <w:rPr>
          <w:rFonts w:hAnsi="宋体"/>
          <w:color w:val="000000" w:themeColor="text1"/>
          <w:sz w:val="28"/>
          <w:highlight w:val="none"/>
          <w:u w:val="single"/>
          <w14:textFill>
            <w14:solidFill>
              <w14:schemeClr w14:val="tx1"/>
            </w14:solidFill>
          </w14:textFill>
        </w:rPr>
        <w:t xml:space="preserve"> </w:t>
      </w:r>
      <w:r>
        <w:rPr>
          <w:rFonts w:hint="eastAsia" w:hAnsi="宋体"/>
          <w:color w:val="000000" w:themeColor="text1"/>
          <w:sz w:val="28"/>
          <w:highlight w:val="none"/>
          <w:u w:val="single"/>
          <w14:textFill>
            <w14:solidFill>
              <w14:schemeClr w14:val="tx1"/>
            </w14:solidFill>
          </w14:textFill>
        </w:rPr>
        <w:t>唐女士</w:t>
      </w:r>
      <w:r>
        <w:rPr>
          <w:rFonts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14:textFill>
            <w14:solidFill>
              <w14:schemeClr w14:val="tx1"/>
            </w14:solidFill>
          </w14:textFill>
        </w:rPr>
        <w:t>0576-88528720</w:t>
      </w:r>
      <w:r>
        <w:rPr>
          <w:rFonts w:hAnsi="宋体"/>
          <w:color w:val="000000" w:themeColor="text1"/>
          <w:sz w:val="28"/>
          <w:highlight w:val="none"/>
          <w:u w:val="single"/>
          <w14:textFill>
            <w14:solidFill>
              <w14:schemeClr w14:val="tx1"/>
            </w14:solidFill>
          </w14:textFill>
        </w:rPr>
        <w:t xml:space="preserve"> </w:t>
      </w:r>
    </w:p>
    <w:p>
      <w:pPr>
        <w:pStyle w:val="14"/>
        <w:numPr>
          <w:ilvl w:val="0"/>
          <w:numId w:val="0"/>
        </w:numPr>
        <w:rPr>
          <w:color w:val="000000" w:themeColor="text1"/>
          <w:highlight w:val="none"/>
          <w14:textFill>
            <w14:solidFill>
              <w14:schemeClr w14:val="tx1"/>
            </w14:solidFill>
          </w14:textFill>
        </w:rPr>
      </w:pP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李女士、</w:t>
      </w:r>
      <w:r>
        <w:rPr>
          <w:rFonts w:hint="eastAsia" w:ascii="宋体" w:hAnsi="宋体"/>
          <w:color w:val="000000" w:themeColor="text1"/>
          <w:sz w:val="28"/>
          <w:highlight w:val="none"/>
          <w:u w:val="single"/>
          <w14:textFill>
            <w14:solidFill>
              <w14:schemeClr w14:val="tx1"/>
            </w14:solidFill>
          </w14:textFill>
        </w:rPr>
        <w:t>王女士</w:t>
      </w:r>
      <w:r>
        <w:rPr>
          <w:rFonts w:ascii="宋体" w:hAnsi="宋体"/>
          <w:color w:val="000000" w:themeColor="text1"/>
          <w:sz w:val="28"/>
          <w:highlight w:val="none"/>
          <w:u w:val="single"/>
          <w14:textFill>
            <w14:solidFill>
              <w14:schemeClr w14:val="tx1"/>
            </w14:solidFill>
          </w14:textFill>
        </w:rPr>
        <w:t xml:space="preserve">   </w:t>
      </w:r>
    </w:p>
    <w:p>
      <w:pPr>
        <w:spacing w:line="480" w:lineRule="auto"/>
        <w:ind w:firstLine="1020" w:firstLineChars="30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14:textFill>
            <w14:solidFill>
              <w14:schemeClr w14:val="tx1"/>
            </w14:solidFill>
          </w14:textFill>
        </w:rPr>
        <w:t>0576-88517782</w:t>
      </w:r>
      <w:r>
        <w:rPr>
          <w:rFonts w:ascii="宋体"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期：2023年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11</w:t>
      </w:r>
      <w:r>
        <w:rPr>
          <w:rFonts w:hint="eastAsia" w:ascii="宋体" w:hAnsi="宋体"/>
          <w:color w:val="000000" w:themeColor="text1"/>
          <w:spacing w:val="20"/>
          <w:kern w:val="21"/>
          <w:sz w:val="30"/>
          <w:szCs w:val="30"/>
          <w:highlight w:val="none"/>
          <w14:textFill>
            <w14:solidFill>
              <w14:schemeClr w14:val="tx1"/>
            </w14:solidFill>
          </w14:textFill>
        </w:rPr>
        <w:t>月</w:t>
      </w:r>
    </w:p>
    <w:p>
      <w:pPr>
        <w:pStyle w:val="34"/>
        <w:rPr>
          <w:color w:val="000000" w:themeColor="text1"/>
          <w:highlight w:val="none"/>
          <w14:textFill>
            <w14:solidFill>
              <w14:schemeClr w14:val="tx1"/>
            </w14:solidFill>
          </w14:textFill>
        </w:rPr>
      </w:pPr>
    </w:p>
    <w:p>
      <w:pP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20"/>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第一章 投标邀请</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pPr>
        <w:pStyle w:val="20"/>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pPr>
        <w:pStyle w:val="20"/>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5</w:t>
      </w:r>
    </w:p>
    <w:p>
      <w:pPr>
        <w:pStyle w:val="20"/>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1</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7</w:t>
      </w:r>
    </w:p>
    <w:p>
      <w:pPr>
        <w:pStyle w:val="20"/>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2</w:t>
      </w:r>
    </w:p>
    <w:p>
      <w:pPr>
        <w:pStyle w:val="20"/>
        <w:tabs>
          <w:tab w:val="right" w:leader="dot" w:pos="86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0</w:t>
      </w:r>
    </w:p>
    <w:bookmarkEnd w:id="0"/>
    <w:p>
      <w:pPr>
        <w:spacing w:line="480" w:lineRule="auto"/>
        <w:rPr>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14:textFill>
            <w14:solidFill>
              <w14:schemeClr w14:val="tx1"/>
            </w14:solidFill>
          </w14:textFill>
        </w:rPr>
      </w:pPr>
      <w:bookmarkStart w:id="2" w:name="_Toc4350_WPSOffice_Level1"/>
      <w:r>
        <w:rPr>
          <w:rFonts w:hint="eastAsia" w:ascii="宋体" w:hAnsi="宋体" w:cs="宋体"/>
          <w:b/>
          <w:color w:val="000000" w:themeColor="text1"/>
          <w:kern w:val="0"/>
          <w:sz w:val="36"/>
          <w:szCs w:val="36"/>
          <w:highlight w:val="none"/>
          <w14:textFill>
            <w14:solidFill>
              <w14:schemeClr w14:val="tx1"/>
            </w14:solidFill>
          </w14:textFill>
        </w:rPr>
        <w:t>投标邀请</w:t>
      </w:r>
      <w:bookmarkEnd w:id="2"/>
    </w:p>
    <w:p>
      <w:pPr>
        <w:pStyle w:val="2"/>
        <w:ind w:firstLine="480" w:firstLineChars="200"/>
        <w:rPr>
          <w:rFonts w:cs="宋体"/>
          <w:b w:val="0"/>
          <w:color w:val="000000" w:themeColor="text1"/>
          <w:sz w:val="24"/>
          <w:szCs w:val="24"/>
          <w:highlight w:val="none"/>
          <w14:textFill>
            <w14:solidFill>
              <w14:schemeClr w14:val="tx1"/>
            </w14:solidFill>
          </w14:textFill>
        </w:rPr>
      </w:pPr>
      <w:bookmarkStart w:id="3" w:name="_Toc35393790"/>
      <w:bookmarkStart w:id="4" w:name="_Toc28359079"/>
      <w:bookmarkStart w:id="5" w:name="_Toc28359002"/>
      <w:bookmarkStart w:id="6" w:name="_Toc35393621"/>
      <w:bookmarkStart w:id="7"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台州市城市园林工程有限公司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2024年度零星机械租赁项目</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2"/>
        <w:ind w:firstLine="482" w:firstLineChars="200"/>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3"/>
      <w:bookmarkEnd w:id="4"/>
      <w:bookmarkEnd w:id="5"/>
      <w:bookmarkEnd w:id="6"/>
      <w:r>
        <w:rPr>
          <w:rFonts w:ascii="宋体" w:hAnsi="宋体" w:cs="宋体"/>
          <w:color w:val="000000" w:themeColor="text1"/>
          <w:sz w:val="24"/>
          <w:highlight w:val="none"/>
          <w14:textFill>
            <w14:solidFill>
              <w14:schemeClr w14:val="tx1"/>
            </w14:solidFill>
          </w14:textFill>
        </w:rPr>
        <w:t xml:space="preserve"> </w:t>
      </w:r>
    </w:p>
    <w:bookmarkEnd w:id="7"/>
    <w:tbl>
      <w:tblPr>
        <w:tblStyle w:val="26"/>
        <w:tblpPr w:leftFromText="181" w:rightFromText="181" w:bottomFromText="170" w:vertAnchor="text" w:tblpXSpec="center" w:tblpY="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51"/>
        <w:gridCol w:w="2580"/>
        <w:gridCol w:w="1835"/>
        <w:gridCol w:w="8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标项号</w:t>
            </w:r>
          </w:p>
        </w:tc>
        <w:tc>
          <w:tcPr>
            <w:tcW w:w="2451" w:type="dxa"/>
            <w:vAlign w:val="center"/>
          </w:tcPr>
          <w:p>
            <w:pPr>
              <w:tabs>
                <w:tab w:val="left" w:pos="8280"/>
              </w:tabs>
              <w:autoSpaceDE w:val="0"/>
              <w:autoSpaceDN w:val="0"/>
              <w:adjustRightInd w:val="0"/>
              <w:ind w:firstLine="105" w:firstLineChars="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标项名称</w:t>
            </w:r>
          </w:p>
        </w:tc>
        <w:tc>
          <w:tcPr>
            <w:tcW w:w="2580"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招标范围</w:t>
            </w:r>
          </w:p>
        </w:tc>
        <w:tc>
          <w:tcPr>
            <w:tcW w:w="1835"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供货期限</w:t>
            </w:r>
          </w:p>
        </w:tc>
        <w:tc>
          <w:tcPr>
            <w:tcW w:w="867"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供货地点</w:t>
            </w:r>
          </w:p>
        </w:tc>
        <w:tc>
          <w:tcPr>
            <w:tcW w:w="1011"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投标上限结算率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p>
        </w:tc>
        <w:tc>
          <w:tcPr>
            <w:tcW w:w="2451" w:type="dxa"/>
            <w:vAlign w:val="center"/>
          </w:tcPr>
          <w:p>
            <w:pPr>
              <w:tabs>
                <w:tab w:val="left" w:pos="8280"/>
              </w:tabs>
              <w:autoSpaceDE w:val="0"/>
              <w:autoSpaceDN w:val="0"/>
              <w:adjustRightInd w:val="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2024年度零星机械租赁项目</w:t>
            </w:r>
          </w:p>
        </w:tc>
        <w:tc>
          <w:tcPr>
            <w:tcW w:w="2580"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sz w:val="24"/>
                <w:highlight w:val="none"/>
              </w:rPr>
              <w:t>本次机械设备租赁招标主要租赁机械为挖机（履带式）、挖机轮胎式、</w:t>
            </w:r>
            <w:r>
              <w:rPr>
                <w:rFonts w:hint="eastAsia" w:ascii="宋体" w:hAnsi="宋体"/>
                <w:sz w:val="24"/>
                <w:highlight w:val="none"/>
                <w:lang w:eastAsia="zh-CN"/>
              </w:rPr>
              <w:t>轮式破碎机（炮头机）、</w:t>
            </w:r>
            <w:r>
              <w:rPr>
                <w:rFonts w:hint="eastAsia" w:ascii="宋体" w:hAnsi="宋体"/>
                <w:sz w:val="24"/>
                <w:highlight w:val="none"/>
              </w:rPr>
              <w:t>吊车（含吊带、钢丝索）、运输车辆、铲车（轮式装载机）、叉车、随车吊（含吊带、钢丝索）、夹抱机等，详见招标文件。</w:t>
            </w:r>
            <w:r>
              <w:rPr>
                <w:rFonts w:hint="eastAsia" w:ascii="宋体" w:hAnsi="宋体" w:cs="宋体"/>
                <w:bCs/>
                <w:sz w:val="24"/>
                <w:highlight w:val="none"/>
                <w:lang w:val="en-US" w:eastAsia="zh-CN"/>
              </w:rPr>
              <w:t>具体项目以招标人实际委托为准（招标人另行招标的项目除外）。</w:t>
            </w:r>
          </w:p>
        </w:tc>
        <w:tc>
          <w:tcPr>
            <w:tcW w:w="1835" w:type="dxa"/>
            <w:vAlign w:val="center"/>
          </w:tcPr>
          <w:p>
            <w:pPr>
              <w:tabs>
                <w:tab w:val="left" w:pos="8280"/>
              </w:tabs>
              <w:autoSpaceDE w:val="0"/>
              <w:autoSpaceDN w:val="0"/>
              <w:adjustRightInd w:val="0"/>
              <w:jc w:val="center"/>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eastAsia="zh-CN"/>
                <w14:textFill>
                  <w14:solidFill>
                    <w14:schemeClr w14:val="tx1"/>
                  </w14:solidFill>
                </w14:textFill>
              </w:rPr>
              <w:t>2024年1月1日起至2024年12月31日或结算金额达到200万元，以两者先到为准合同终止。</w:t>
            </w:r>
          </w:p>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2、货物到场时间要求：</w:t>
            </w:r>
            <w:r>
              <w:rPr>
                <w:rFonts w:hint="eastAsia" w:ascii="宋体" w:hAnsi="宋体" w:cs="宋体"/>
                <w:bCs/>
                <w:color w:val="000000" w:themeColor="text1"/>
                <w:szCs w:val="21"/>
                <w:highlight w:val="none"/>
                <w:lang w:eastAsia="zh-CN"/>
                <w14:textFill>
                  <w14:solidFill>
                    <w14:schemeClr w14:val="tx1"/>
                  </w14:solidFill>
                </w14:textFill>
              </w:rPr>
              <w:t>接到招标人通知后，根据招标人要求及时提供机械设备到招标人指定地点，不得影响招标人施工进度。</w:t>
            </w:r>
          </w:p>
        </w:tc>
        <w:tc>
          <w:tcPr>
            <w:tcW w:w="867" w:type="dxa"/>
            <w:vAlign w:val="center"/>
          </w:tcPr>
          <w:p>
            <w:pPr>
              <w:tabs>
                <w:tab w:val="left" w:pos="8280"/>
              </w:tabs>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招标人</w:t>
            </w:r>
            <w:r>
              <w:rPr>
                <w:rFonts w:hint="eastAsia" w:ascii="宋体" w:hAnsi="宋体" w:cs="宋体"/>
                <w:bCs/>
                <w:color w:val="000000" w:themeColor="text1"/>
                <w:szCs w:val="21"/>
                <w:highlight w:val="none"/>
                <w14:textFill>
                  <w14:solidFill>
                    <w14:schemeClr w14:val="tx1"/>
                  </w14:solidFill>
                </w14:textFill>
              </w:rPr>
              <w:t>指定地点</w:t>
            </w:r>
          </w:p>
        </w:tc>
        <w:tc>
          <w:tcPr>
            <w:tcW w:w="1011" w:type="dxa"/>
            <w:vAlign w:val="center"/>
          </w:tcPr>
          <w:p>
            <w:pPr>
              <w:tabs>
                <w:tab w:val="left" w:pos="8280"/>
              </w:tabs>
              <w:autoSpaceDE w:val="0"/>
              <w:autoSpaceDN w:val="0"/>
              <w:adjustRightInd w:val="0"/>
              <w:jc w:val="center"/>
              <w:rPr>
                <w:rStyle w:val="68"/>
                <w:rFonts w:ascii="宋体" w:hAnsi="宋体"/>
                <w:color w:val="000000" w:themeColor="text1"/>
                <w:szCs w:val="21"/>
                <w:highlight w:val="none"/>
                <w14:textFill>
                  <w14:solidFill>
                    <w14:schemeClr w14:val="tx1"/>
                  </w14:solidFill>
                </w14:textFill>
              </w:rPr>
            </w:pPr>
            <w:r>
              <w:rPr>
                <w:rStyle w:val="68"/>
                <w:rFonts w:hint="eastAsia" w:ascii="宋体" w:hAnsi="宋体"/>
                <w:color w:val="000000" w:themeColor="text1"/>
                <w:szCs w:val="21"/>
                <w:highlight w:val="none"/>
                <w14:textFill>
                  <w14:solidFill>
                    <w14:schemeClr w14:val="tx1"/>
                  </w14:solidFill>
                </w14:textFill>
              </w:rPr>
              <w:t>&lt;</w:t>
            </w:r>
            <w:r>
              <w:rPr>
                <w:rStyle w:val="68"/>
                <w:rFonts w:hint="eastAsia" w:ascii="宋体" w:hAnsi="宋体"/>
                <w:color w:val="000000" w:themeColor="text1"/>
                <w:szCs w:val="21"/>
                <w:highlight w:val="none"/>
                <w:lang w:val="en-US" w:eastAsia="zh-CN"/>
                <w14:textFill>
                  <w14:solidFill>
                    <w14:schemeClr w14:val="tx1"/>
                  </w14:solidFill>
                </w14:textFill>
              </w:rPr>
              <w:t>88</w:t>
            </w:r>
            <w:r>
              <w:rPr>
                <w:rStyle w:val="68"/>
                <w:rFonts w:hint="eastAsia" w:ascii="宋体" w:hAnsi="宋体"/>
                <w:color w:val="000000" w:themeColor="text1"/>
                <w:szCs w:val="21"/>
                <w:highlight w:val="none"/>
                <w14:textFill>
                  <w14:solidFill>
                    <w14:schemeClr w14:val="tx1"/>
                  </w14:solidFill>
                </w14:textFill>
              </w:rPr>
              <w:t>.00%</w:t>
            </w:r>
          </w:p>
        </w:tc>
      </w:tr>
    </w:tbl>
    <w:p>
      <w:pPr>
        <w:pStyle w:val="2"/>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bookmarkStart w:id="8" w:name="_Toc35393791"/>
      <w:bookmarkStart w:id="9" w:name="_Toc28359080"/>
      <w:bookmarkStart w:id="10" w:name="_Toc35393622"/>
      <w:bookmarkStart w:id="11" w:name="_Toc28359003"/>
      <w:r>
        <w:rPr>
          <w:rFonts w:hint="eastAsia" w:cs="宋体"/>
          <w:bCs/>
          <w:color w:val="000000" w:themeColor="text1"/>
          <w:sz w:val="24"/>
          <w:szCs w:val="24"/>
          <w:highlight w:val="none"/>
          <w14:textFill>
            <w14:solidFill>
              <w14:schemeClr w14:val="tx1"/>
            </w14:solidFill>
          </w14:textFill>
        </w:rPr>
        <w:t>二、投标人的资格要求</w:t>
      </w:r>
      <w:bookmarkEnd w:id="8"/>
      <w:bookmarkEnd w:id="9"/>
      <w:bookmarkEnd w:id="10"/>
      <w:bookmarkEnd w:id="11"/>
    </w:p>
    <w:p>
      <w:pPr>
        <w:spacing w:line="360" w:lineRule="auto"/>
        <w:ind w:left="12"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color w:val="000000" w:themeColor="text1"/>
          <w:sz w:val="24"/>
          <w:highlight w:val="none"/>
          <w:lang w:eastAsia="zh-CN"/>
          <w14:textFill>
            <w14:solidFill>
              <w14:schemeClr w14:val="tx1"/>
            </w14:solidFill>
          </w14:textFill>
        </w:rPr>
        <w:t>具有本项目招标人需求的机械租赁服务能力的</w:t>
      </w:r>
      <w:r>
        <w:rPr>
          <w:rFonts w:hint="eastAsia" w:ascii="宋体" w:hAnsi="宋体" w:cs="宋体"/>
          <w:color w:val="000000" w:themeColor="text1"/>
          <w:sz w:val="24"/>
          <w:highlight w:val="none"/>
          <w:lang w:val="en-US" w:eastAsia="zh-CN"/>
          <w14:textFill>
            <w14:solidFill>
              <w14:schemeClr w14:val="tx1"/>
            </w14:solidFill>
          </w14:textFill>
        </w:rPr>
        <w:t>投标供应商</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Toc35393792"/>
      <w:bookmarkStart w:id="13" w:name="_Toc28359081"/>
      <w:bookmarkStart w:id="14" w:name="_Toc28359004"/>
      <w:bookmarkStart w:id="15" w:name="_Toc35393623"/>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p>
      <w:pPr>
        <w:pStyle w:val="2"/>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三、获取招标文件</w:t>
      </w:r>
      <w:bookmarkEnd w:id="12"/>
      <w:bookmarkEnd w:id="13"/>
      <w:bookmarkEnd w:id="14"/>
      <w:bookmarkEnd w:id="15"/>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（一）时间：项目发布之日起至</w:t>
      </w:r>
      <w:r>
        <w:rPr>
          <w:rFonts w:hint="eastAsia" w:ascii="宋体" w:hAnsi="宋体" w:cs="宋体"/>
          <w:color w:val="000000" w:themeColor="text1"/>
          <w:sz w:val="24"/>
          <w:highlight w:val="none"/>
          <w:u w:val="single"/>
          <w14:textFill>
            <w14:solidFill>
              <w14:schemeClr w14:val="tx1"/>
            </w14:solidFill>
          </w14:textFill>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w:t>
      </w: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16" w:name="_Toc28359082"/>
      <w:bookmarkStart w:id="17" w:name="_Toc35393793"/>
      <w:bookmarkStart w:id="18" w:name="_Toc35393624"/>
      <w:bookmarkStart w:id="19" w:name="_Toc28359005"/>
      <w:r>
        <w:rPr>
          <w:rFonts w:hint="eastAsia" w:cs="宋体"/>
          <w:bCs/>
          <w:color w:val="000000" w:themeColor="text1"/>
          <w:sz w:val="24"/>
          <w:szCs w:val="24"/>
          <w:highlight w:val="none"/>
          <w14:textFill>
            <w14:solidFill>
              <w14:schemeClr w14:val="tx1"/>
            </w14:solidFill>
          </w14:textFill>
        </w:rPr>
        <w:t>四、提交投标文件</w:t>
      </w:r>
      <w:bookmarkEnd w:id="16"/>
      <w:bookmarkEnd w:id="17"/>
      <w:bookmarkEnd w:id="18"/>
      <w:bookmarkEnd w:id="19"/>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20" w:name="_Toc35393794"/>
      <w:bookmarkStart w:id="21" w:name="_Toc28359084"/>
      <w:bookmarkStart w:id="22" w:name="_Toc28359007"/>
      <w:bookmarkStart w:id="23" w:name="_Toc35393625"/>
      <w:r>
        <w:rPr>
          <w:rFonts w:hint="eastAsia" w:ascii="宋体" w:hAnsi="宋体" w:cs="宋体"/>
          <w:color w:val="000000" w:themeColor="text1"/>
          <w:sz w:val="24"/>
          <w:highlight w:val="none"/>
          <w14:textFill>
            <w14:solidFill>
              <w14:schemeClr w14:val="tx1"/>
            </w14:solidFill>
          </w14:textFill>
        </w:rPr>
        <w:t>（一）截止时间（开标时间）：</w:t>
      </w:r>
      <w:r>
        <w:rPr>
          <w:rFonts w:hint="eastAsia" w:ascii="宋体" w:hAnsi="宋体" w:cs="宋体"/>
          <w:bCs/>
          <w:color w:val="000000" w:themeColor="text1"/>
          <w:sz w:val="24"/>
          <w:highlight w:val="none"/>
          <w:u w:val="single"/>
          <w14:textFill>
            <w14:solidFill>
              <w14:schemeClr w14:val="tx1"/>
            </w14:solidFill>
          </w14:textFill>
        </w:rPr>
        <w:t>2023年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08</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30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（二）投标网址：台州湾新区小额工程电子交易平台（网址：</w:t>
      </w:r>
      <w:r>
        <w:rPr>
          <w:color w:val="000000" w:themeColor="text1"/>
          <w:sz w:val="24"/>
          <w:highlight w:val="none"/>
          <w14:textFill>
            <w14:solidFill>
              <w14:schemeClr w14:val="tx1"/>
            </w14:solidFill>
          </w14:textFill>
        </w:rPr>
        <w:t>http://www.tzwztb.com/</w:t>
      </w:r>
      <w:r>
        <w:rPr>
          <w:rFonts w:hint="eastAsia" w:ascii="宋体" w:hAnsi="宋体" w:cs="宋体"/>
          <w:color w:val="000000" w:themeColor="text1"/>
          <w:sz w:val="24"/>
          <w:highlight w:val="none"/>
          <w14:textFill>
            <w14:solidFill>
              <w14:schemeClr w14:val="tx1"/>
            </w14:solidFill>
          </w14:textFill>
        </w:rPr>
        <w:t>）</w:t>
      </w:r>
    </w:p>
    <w:bookmarkEnd w:id="20"/>
    <w:bookmarkEnd w:id="21"/>
    <w:bookmarkEnd w:id="22"/>
    <w:bookmarkEnd w:id="23"/>
    <w:p>
      <w:pPr>
        <w:pStyle w:val="25"/>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（一）公告网址：台州湾新区小额工程电子交易平台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24" w:name="_Toc35393795"/>
      <w:bookmarkStart w:id="25" w:name="_Toc35393626"/>
      <w:r>
        <w:rPr>
          <w:rFonts w:hint="eastAsia" w:cs="宋体"/>
          <w:bCs/>
          <w:color w:val="000000" w:themeColor="text1"/>
          <w:sz w:val="24"/>
          <w:szCs w:val="24"/>
          <w:highlight w:val="none"/>
          <w14:textFill>
            <w14:solidFill>
              <w14:schemeClr w14:val="tx1"/>
            </w14:solidFill>
          </w14:textFill>
        </w:rPr>
        <w:t>六、</w:t>
      </w:r>
      <w:bookmarkEnd w:id="24"/>
      <w:bookmarkEnd w:id="25"/>
      <w:r>
        <w:rPr>
          <w:rFonts w:hint="eastAsia" w:cs="宋体"/>
          <w:bCs/>
          <w:color w:val="000000" w:themeColor="text1"/>
          <w:sz w:val="24"/>
          <w:szCs w:val="24"/>
          <w:highlight w:val="none"/>
          <w14:textFill>
            <w14:solidFill>
              <w14:schemeClr w14:val="tx1"/>
            </w14:solidFill>
          </w14:textFill>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w:t>
      </w:r>
      <w:r>
        <w:rPr>
          <w:rFonts w:hint="eastAsia" w:ascii="宋体" w:hAnsi="宋体" w:cs="宋体"/>
          <w:b/>
          <w:color w:val="000000" w:themeColor="text1"/>
          <w:kern w:val="0"/>
          <w:sz w:val="24"/>
          <w:highlight w:val="none"/>
          <w14:textFill>
            <w14:solidFill>
              <w14:schemeClr w14:val="tx1"/>
            </w14:solidFill>
          </w14:textFill>
        </w:rPr>
        <w:t>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进行注册后报名。</w:t>
      </w:r>
    </w:p>
    <w:p>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七、投标保证金</w:t>
      </w:r>
      <w:r>
        <w:rPr>
          <w:rFonts w:hint="eastAsia" w:ascii="宋体" w:hAnsi="宋体" w:cs="宋体"/>
          <w:color w:val="000000" w:themeColor="text1"/>
          <w:sz w:val="24"/>
          <w:highlight w:val="none"/>
          <w14:textFill>
            <w14:solidFill>
              <w14:schemeClr w14:val="tx1"/>
            </w14:solidFill>
          </w14:textFill>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1.投标保证金金额：</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lang w:val="en-US" w:eastAsia="zh-CN"/>
          <w14:textFill>
            <w14:solidFill>
              <w14:schemeClr w14:val="tx1"/>
            </w14:solidFill>
          </w14:textFill>
        </w:rPr>
        <w:t>40000</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元。</w:t>
      </w:r>
    </w:p>
    <w:p>
      <w:pPr>
        <w:pStyle w:val="25"/>
        <w:ind w:left="0" w:leftChars="0" w:firstLine="48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w:t>
      </w:r>
      <w:r>
        <w:rPr>
          <w:rFonts w:hint="eastAsia" w:ascii="宋体" w:hAnsi="宋体" w:cs="宋体"/>
          <w:bCs/>
          <w:color w:val="000000" w:themeColor="text1"/>
          <w:kern w:val="0"/>
          <w:sz w:val="24"/>
          <w:highlight w:val="none"/>
          <w:lang w:val="en-US" w:eastAsia="zh-CN"/>
          <w14:textFill>
            <w14:solidFill>
              <w14:schemeClr w14:val="tx1"/>
            </w14:solidFill>
          </w14:textFill>
        </w:rPr>
        <w:t>招标人</w:t>
      </w:r>
      <w:r>
        <w:rPr>
          <w:rFonts w:hint="eastAsia" w:ascii="宋体" w:hAnsi="宋体" w:cs="宋体"/>
          <w:bCs/>
          <w:color w:val="000000" w:themeColor="text1"/>
          <w:kern w:val="0"/>
          <w:sz w:val="24"/>
          <w:highlight w:val="none"/>
          <w14:textFill>
            <w14:solidFill>
              <w14:schemeClr w14:val="tx1"/>
            </w14:solidFill>
          </w14:textFill>
        </w:rPr>
        <w:t>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①工程保函的受益人：</w:t>
      </w:r>
      <w:r>
        <w:rPr>
          <w:rFonts w:hint="eastAsia" w:ascii="宋体" w:hAnsi="宋体" w:cs="宋体"/>
          <w:bCs/>
          <w:color w:val="000000" w:themeColor="text1"/>
          <w:kern w:val="0"/>
          <w:sz w:val="24"/>
          <w:highlight w:val="none"/>
          <w:u w:val="single"/>
          <w14:textFill>
            <w14:solidFill>
              <w14:schemeClr w14:val="tx1"/>
            </w14:solidFill>
          </w14:textFill>
        </w:rPr>
        <w:t>台州市城市园林工程有限公司</w:t>
      </w:r>
      <w:r>
        <w:rPr>
          <w:rFonts w:hint="eastAsia" w:ascii="宋体" w:hAnsi="宋体" w:cs="宋体"/>
          <w:bCs/>
          <w:color w:val="000000" w:themeColor="text1"/>
          <w:kern w:val="0"/>
          <w:sz w:val="24"/>
          <w:highlight w:val="none"/>
          <w14:textFill>
            <w14:solidFill>
              <w14:schemeClr w14:val="tx1"/>
            </w14:solidFill>
          </w14:textFill>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000000" w:themeColor="text1"/>
          <w:kern w:val="0"/>
          <w:sz w:val="24"/>
          <w:highlight w:val="none"/>
          <w:u w:val="single"/>
          <w14:textFill>
            <w14:solidFill>
              <w14:schemeClr w14:val="tx1"/>
            </w14:solidFill>
          </w14:textFill>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投标人须在投标截止时间前将工程保函纸质原件、基本账户证明材料</w:t>
      </w:r>
      <w:r>
        <w:rPr>
          <w:rFonts w:hint="eastAsia" w:ascii="宋体" w:hAnsi="宋体" w:cs="宋体"/>
          <w:bCs/>
          <w:color w:val="000000" w:themeColor="text1"/>
          <w:kern w:val="0"/>
          <w:sz w:val="24"/>
          <w:highlight w:val="none"/>
          <w:lang w:eastAsia="zh-CN"/>
          <w14:textFill>
            <w14:solidFill>
              <w14:schemeClr w14:val="tx1"/>
            </w14:solidFill>
          </w14:textFill>
        </w:rPr>
        <w:t>扫描件</w:t>
      </w:r>
      <w:r>
        <w:rPr>
          <w:rFonts w:hint="eastAsia" w:ascii="宋体" w:hAnsi="宋体" w:cs="宋体"/>
          <w:bCs/>
          <w:color w:val="000000" w:themeColor="text1"/>
          <w:kern w:val="0"/>
          <w:sz w:val="24"/>
          <w:highlight w:val="none"/>
          <w14:textFill>
            <w14:solidFill>
              <w14:schemeClr w14:val="tx1"/>
            </w14:solidFill>
          </w14:textFill>
        </w:rPr>
        <w:t xml:space="preserve">（加盖公章）、保费支付的银行回单一并按要求递交。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提交地点：</w:t>
      </w:r>
      <w:r>
        <w:rPr>
          <w:rFonts w:hint="eastAsia" w:ascii="宋体" w:hAnsi="宋体" w:cs="宋体"/>
          <w:bCs/>
          <w:color w:val="000000" w:themeColor="text1"/>
          <w:kern w:val="0"/>
          <w:sz w:val="24"/>
          <w:highlight w:val="none"/>
          <w:u w:val="single"/>
          <w14:textFill>
            <w14:solidFill>
              <w14:schemeClr w14:val="tx1"/>
            </w14:solidFill>
          </w14:textFill>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提交时间：</w:t>
      </w:r>
      <w:r>
        <w:rPr>
          <w:rFonts w:ascii="宋体" w:hAnsi="宋体" w:cs="宋体"/>
          <w:bCs/>
          <w:color w:val="000000" w:themeColor="text1"/>
          <w:kern w:val="0"/>
          <w:sz w:val="24"/>
          <w:highlight w:val="none"/>
          <w:u w:val="single"/>
          <w14:textFill>
            <w14:solidFill>
              <w14:schemeClr w14:val="tx1"/>
            </w14:solidFill>
          </w14:textFill>
        </w:rPr>
        <w:t>2023年</w:t>
      </w:r>
      <w:r>
        <w:rPr>
          <w:rFonts w:hint="eastAsia" w:ascii="宋体" w:hAnsi="宋体" w:cs="宋体"/>
          <w:bCs/>
          <w:color w:val="000000" w:themeColor="text1"/>
          <w:kern w:val="0"/>
          <w:sz w:val="24"/>
          <w:highlight w:val="none"/>
          <w:u w:val="single"/>
          <w:lang w:val="en-US" w:eastAsia="zh-CN"/>
          <w14:textFill>
            <w14:solidFill>
              <w14:schemeClr w14:val="tx1"/>
            </w14:solidFill>
          </w14:textFill>
        </w:rPr>
        <w:t>12</w:t>
      </w:r>
      <w:r>
        <w:rPr>
          <w:rFonts w:ascii="宋体" w:hAnsi="宋体" w:cs="宋体"/>
          <w:bCs/>
          <w:color w:val="000000" w:themeColor="text1"/>
          <w:kern w:val="0"/>
          <w:sz w:val="24"/>
          <w:highlight w:val="none"/>
          <w:u w:val="single"/>
          <w14:textFill>
            <w14:solidFill>
              <w14:schemeClr w14:val="tx1"/>
            </w14:solidFill>
          </w14:textFill>
        </w:rPr>
        <w:t>月</w:t>
      </w:r>
      <w:r>
        <w:rPr>
          <w:rFonts w:hint="eastAsia" w:ascii="宋体" w:hAnsi="宋体" w:cs="宋体"/>
          <w:bCs/>
          <w:color w:val="000000" w:themeColor="text1"/>
          <w:kern w:val="0"/>
          <w:sz w:val="24"/>
          <w:highlight w:val="none"/>
          <w:u w:val="single"/>
          <w:lang w:val="en-US" w:eastAsia="zh-CN"/>
          <w14:textFill>
            <w14:solidFill>
              <w14:schemeClr w14:val="tx1"/>
            </w14:solidFill>
          </w14:textFill>
        </w:rPr>
        <w:t>08</w:t>
      </w:r>
      <w:r>
        <w:rPr>
          <w:rFonts w:ascii="宋体" w:hAnsi="宋体" w:cs="宋体"/>
          <w:bCs/>
          <w:color w:val="000000" w:themeColor="text1"/>
          <w:kern w:val="0"/>
          <w:sz w:val="24"/>
          <w:highlight w:val="none"/>
          <w:u w:val="single"/>
          <w14:textFill>
            <w14:solidFill>
              <w14:schemeClr w14:val="tx1"/>
            </w14:solidFill>
          </w14:textFill>
        </w:rPr>
        <w:t>日</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09 </w:t>
      </w:r>
      <w:r>
        <w:rPr>
          <w:rFonts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00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09</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30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w:t>
      </w:r>
      <w:r>
        <w:rPr>
          <w:rFonts w:hint="eastAsia" w:ascii="宋体" w:hAnsi="宋体" w:cs="宋体"/>
          <w:bCs/>
          <w:color w:val="000000" w:themeColor="text1"/>
          <w:kern w:val="0"/>
          <w:sz w:val="24"/>
          <w:highlight w:val="none"/>
          <w:u w:val="single"/>
          <w14:textFill>
            <w14:solidFill>
              <w14:schemeClr w14:val="tx1"/>
            </w14:solidFill>
          </w14:textFill>
        </w:rPr>
        <w:t>台州市建设咨询有限公司</w:t>
      </w:r>
      <w:r>
        <w:rPr>
          <w:rFonts w:hint="eastAsia" w:ascii="宋体" w:hAnsi="宋体" w:cs="宋体"/>
          <w:bCs/>
          <w:color w:val="000000" w:themeColor="text1"/>
          <w:kern w:val="0"/>
          <w:sz w:val="24"/>
          <w:highlight w:val="none"/>
          <w14:textFill>
            <w14:solidFill>
              <w14:schemeClr w14:val="tx1"/>
            </w14:solidFill>
          </w14:textFill>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接收人联系方式：</w:t>
      </w:r>
      <w:r>
        <w:rPr>
          <w:rFonts w:hint="eastAsia" w:ascii="宋体" w:hAnsi="宋体" w:cs="宋体"/>
          <w:bCs/>
          <w:color w:val="000000" w:themeColor="text1"/>
          <w:kern w:val="0"/>
          <w:sz w:val="24"/>
          <w:highlight w:val="none"/>
          <w:u w:val="single"/>
          <w14:textFill>
            <w14:solidFill>
              <w14:schemeClr w14:val="tx1"/>
            </w14:solidFill>
          </w14:textFill>
        </w:rPr>
        <w:t>0576-88517782</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w:t>
      </w:r>
      <w:r>
        <w:rPr>
          <w:rFonts w:hint="eastAsia" w:ascii="宋体" w:hAnsi="宋体" w:cs="宋体"/>
          <w:bCs/>
          <w:color w:val="000000" w:themeColor="text1"/>
          <w:kern w:val="0"/>
          <w:sz w:val="24"/>
          <w:highlight w:val="none"/>
          <w:lang w:eastAsia="zh-CN"/>
          <w14:textFill>
            <w14:solidFill>
              <w14:schemeClr w14:val="tx1"/>
            </w14:solidFill>
          </w14:textFill>
        </w:rPr>
        <w:t>第四章第六条</w:t>
      </w:r>
      <w:r>
        <w:rPr>
          <w:rFonts w:hint="eastAsia" w:ascii="宋体" w:hAnsi="宋体" w:cs="宋体"/>
          <w:bCs/>
          <w:color w:val="000000" w:themeColor="text1"/>
          <w:kern w:val="0"/>
          <w:sz w:val="24"/>
          <w:highlight w:val="none"/>
          <w14:textFill>
            <w14:solidFill>
              <w14:schemeClr w14:val="tx1"/>
            </w14:solidFill>
          </w14:textFill>
        </w:rPr>
        <w:t xml:space="preserve">”所列条款。 </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3、注意事项</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① 若招标文件允许联合体投标且投标人以联合体身份投标的，由联合体牵头人提交投标保证金；</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② 现金转账账号根据不同工程（标段）由系统随机生成，此账号只在本工程（标段）中使用有效，请注意核对。账号漏填、混填或错填均视为未按时缴纳保证金。</w:t>
      </w:r>
    </w:p>
    <w:p>
      <w:pPr>
        <w:pStyle w:val="2"/>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③ 以现金转账形式提交的投标保证金应当从投标人基本账户转出，购买工程保函的费用应当从投标人基本账户支付；</w:t>
      </w:r>
    </w:p>
    <w:p>
      <w:pPr>
        <w:pStyle w:val="2"/>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④ 电子保函或现金转账的缴款凭证，其扫描件（加盖公章）放进投标文件中。</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⑤ 若有疑问，请咨询技术服务热线：0576-88865501</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购买工程电子保函截止时间：</w:t>
      </w:r>
      <w:r>
        <w:rPr>
          <w:rFonts w:hint="eastAsia" w:ascii="宋体" w:hAnsi="宋体" w:cs="宋体"/>
          <w:b/>
          <w:bCs/>
          <w:color w:val="000000" w:themeColor="text1"/>
          <w:kern w:val="0"/>
          <w:sz w:val="24"/>
          <w:highlight w:val="none"/>
          <w:u w:val="single"/>
          <w14:textFill>
            <w14:solidFill>
              <w14:schemeClr w14:val="tx1"/>
            </w14:solidFill>
          </w14:textFill>
        </w:rPr>
        <w:t xml:space="preserve"> 2023 </w:t>
      </w:r>
      <w:r>
        <w:rPr>
          <w:rFonts w:hint="eastAsia" w:ascii="宋体" w:hAnsi="宋体" w:cs="宋体"/>
          <w:b/>
          <w:bCs/>
          <w:color w:val="000000" w:themeColor="text1"/>
          <w:kern w:val="0"/>
          <w:sz w:val="24"/>
          <w:highlight w:val="none"/>
          <w14:textFill>
            <w14:solidFill>
              <w14:schemeClr w14:val="tx1"/>
            </w14:solidFill>
          </w14:textFill>
        </w:rPr>
        <w:t>年</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12 </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 07 </w:t>
      </w:r>
      <w:r>
        <w:rPr>
          <w:rFonts w:hint="eastAsia" w:ascii="宋体" w:hAnsi="宋体" w:cs="宋体"/>
          <w:b/>
          <w:bCs/>
          <w:color w:val="000000" w:themeColor="text1"/>
          <w:kern w:val="0"/>
          <w:sz w:val="24"/>
          <w:highlight w:val="none"/>
          <w:lang w:val="en-US" w:eastAsia="zh-CN"/>
          <w14:textFill>
            <w14:solidFill>
              <w14:schemeClr w14:val="tx1"/>
            </w14:solidFill>
          </w14:textFill>
        </w:rPr>
        <w:t>日</w:t>
      </w:r>
      <w:r>
        <w:rPr>
          <w:rFonts w:hint="eastAsia" w:ascii="宋体" w:hAnsi="宋体" w:cs="宋体"/>
          <w:b/>
          <w:bCs/>
          <w:color w:val="000000" w:themeColor="text1"/>
          <w:kern w:val="0"/>
          <w:sz w:val="24"/>
          <w:highlight w:val="none"/>
          <w14:textFill>
            <w14:solidFill>
              <w14:schemeClr w14:val="tx1"/>
            </w14:solidFill>
          </w14:textFill>
        </w:rPr>
        <w:t>下午16点前</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26" w:name="_Toc28359085"/>
      <w:bookmarkStart w:id="27" w:name="_Toc28359008"/>
      <w:bookmarkStart w:id="28" w:name="_Toc35393796"/>
      <w:bookmarkStart w:id="29" w:name="_Toc35393627"/>
      <w:r>
        <w:rPr>
          <w:rFonts w:hint="eastAsia" w:cs="宋体"/>
          <w:bCs/>
          <w:color w:val="000000" w:themeColor="text1"/>
          <w:sz w:val="24"/>
          <w:szCs w:val="24"/>
          <w:highlight w:val="none"/>
          <w14:textFill>
            <w14:solidFill>
              <w14:schemeClr w14:val="tx1"/>
            </w14:solidFill>
          </w14:textFill>
        </w:rPr>
        <w:t>八、</w:t>
      </w:r>
      <w:bookmarkEnd w:id="26"/>
      <w:bookmarkEnd w:id="27"/>
      <w:bookmarkEnd w:id="28"/>
      <w:bookmarkEnd w:id="29"/>
      <w:r>
        <w:rPr>
          <w:rFonts w:hint="eastAsia" w:cs="宋体"/>
          <w:bCs/>
          <w:color w:val="000000" w:themeColor="text1"/>
          <w:sz w:val="24"/>
          <w:szCs w:val="24"/>
          <w:highlight w:val="none"/>
          <w14:textFill>
            <w14:solidFill>
              <w14:schemeClr w14:val="tx1"/>
            </w14:solidFill>
          </w14:textFill>
        </w:rPr>
        <w:t>联系方式</w:t>
      </w:r>
    </w:p>
    <w:p>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lang w:eastAsia="zh-CN"/>
          <w14:textFill>
            <w14:solidFill>
              <w14:schemeClr w14:val="tx1"/>
            </w14:solidFill>
          </w14:textFill>
        </w:rPr>
        <w:t>招标人</w:t>
      </w:r>
      <w:r>
        <w:rPr>
          <w:rFonts w:hint="eastAsia" w:ascii="宋体" w:hAnsi="宋体" w:cs="宋体"/>
          <w:b/>
          <w:bCs/>
          <w:color w:val="000000" w:themeColor="text1"/>
          <w:sz w:val="24"/>
          <w:highlight w:val="none"/>
          <w14:textFill>
            <w14:solidFill>
              <w14:schemeClr w14:val="tx1"/>
            </w14:solidFill>
          </w14:textFill>
        </w:rPr>
        <w:t xml:space="preserve">（受理招标文件相关质疑及答复）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14:textFill>
            <w14:solidFill>
              <w14:schemeClr w14:val="tx1"/>
            </w14:solidFill>
          </w14:textFill>
        </w:rPr>
        <w:t xml:space="preserve"> </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lang w:eastAsia="zh-CN"/>
          <w14:textFill>
            <w14:solidFill>
              <w14:schemeClr w14:val="tx1"/>
            </w14:solidFill>
          </w14:textFill>
        </w:rPr>
        <w:t>台州市城市园林工程有限公司</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府中路177号开投大厦</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30" w:name="_Toc28359086"/>
      <w:bookmarkStart w:id="31" w:name="_Toc28359009"/>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唐女士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0576-88528720</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bookmarkEnd w:id="30"/>
    <w:bookmarkEnd w:id="31"/>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w:t>
      </w:r>
      <w:r>
        <w:rPr>
          <w:rFonts w:hint="eastAsia" w:ascii="宋体" w:hAnsi="宋体" w:cs="宋体"/>
          <w:b/>
          <w:bCs/>
          <w:color w:val="000000" w:themeColor="text1"/>
          <w:sz w:val="24"/>
          <w:highlight w:val="none"/>
          <w:lang w:val="en-US" w:eastAsia="zh-CN"/>
          <w14:textFill>
            <w14:solidFill>
              <w14:schemeClr w14:val="tx1"/>
            </w14:solidFill>
          </w14:textFill>
        </w:rPr>
        <w:t>招标代理</w:t>
      </w:r>
      <w:r>
        <w:rPr>
          <w:rFonts w:hint="eastAsia" w:ascii="宋体" w:hAnsi="宋体" w:cs="宋体"/>
          <w:b/>
          <w:bCs/>
          <w:color w:val="000000" w:themeColor="text1"/>
          <w:sz w:val="24"/>
          <w:highlight w:val="none"/>
          <w14:textFill>
            <w14:solidFill>
              <w14:schemeClr w14:val="tx1"/>
            </w14:solidFill>
          </w14:textFill>
        </w:rPr>
        <w:t>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32" w:name="_Toc28359010"/>
      <w:bookmarkStart w:id="33" w:name="_Toc28359087"/>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台州市建设咨询有限公司</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李女士、</w:t>
      </w:r>
      <w:r>
        <w:rPr>
          <w:rFonts w:hint="eastAsia" w:ascii="宋体" w:hAnsi="宋体" w:cs="宋体"/>
          <w:color w:val="000000" w:themeColor="text1"/>
          <w:sz w:val="24"/>
          <w:highlight w:val="none"/>
          <w:u w:val="single"/>
          <w14:textFill>
            <w14:solidFill>
              <w14:schemeClr w14:val="tx1"/>
            </w14:solidFill>
          </w14:textFill>
        </w:rPr>
        <w:t>王女士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0576-88517782</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徐瑜</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（三）监管机构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台州湾新区</w:t>
      </w:r>
      <w:r>
        <w:rPr>
          <w:rFonts w:hint="eastAsia" w:ascii="宋体" w:hAnsi="宋体" w:eastAsia="宋体" w:cs="宋体"/>
          <w:color w:val="000000" w:themeColor="text1"/>
          <w:sz w:val="24"/>
          <w:highlight w:val="none"/>
          <w:u w:val="single"/>
          <w:lang w:val="en-US" w:eastAsia="zh-CN"/>
          <w14:textFill>
            <w14:solidFill>
              <w14:schemeClr w14:val="tx1"/>
            </w14:solidFill>
          </w14:textFill>
        </w:rPr>
        <w:t>审计司法</w:t>
      </w:r>
      <w:r>
        <w:rPr>
          <w:rFonts w:hint="eastAsia" w:ascii="宋体" w:hAnsi="宋体" w:eastAsia="宋体" w:cs="宋体"/>
          <w:color w:val="000000" w:themeColor="text1"/>
          <w:sz w:val="24"/>
          <w:highlight w:val="none"/>
          <w:u w:val="single"/>
          <w14:textFill>
            <w14:solidFill>
              <w14:schemeClr w14:val="tx1"/>
            </w14:solidFill>
          </w14:textFill>
        </w:rPr>
        <w:t>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pPr>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台州市城市园林工程有限公司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pPr>
        <w:widowControl/>
        <w:spacing w:line="360" w:lineRule="auto"/>
        <w:ind w:firstLine="200"/>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2023年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2"/>
    <w:bookmarkEnd w:id="33"/>
    <w:p>
      <w:pPr>
        <w:rPr>
          <w:rFonts w:ascii="宋体" w:hAnsi="宋体" w:eastAsia="宋体"/>
          <w:b/>
          <w:color w:val="000000" w:themeColor="text1"/>
          <w:sz w:val="36"/>
          <w:szCs w:val="36"/>
          <w:highlight w:val="none"/>
          <w14:textFill>
            <w14:solidFill>
              <w14:schemeClr w14:val="tx1"/>
            </w14:solidFill>
          </w14:textFill>
        </w:rPr>
      </w:pPr>
      <w:bookmarkStart w:id="34"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4"/>
    </w:p>
    <w:p>
      <w:pPr>
        <w:numPr>
          <w:ilvl w:val="0"/>
          <w:numId w:val="7"/>
        </w:numPr>
        <w:ind w:firstLine="482" w:firstLineChars="200"/>
        <w:rPr>
          <w:color w:val="000000" w:themeColor="text1"/>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以书面形式向</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招标</w:t>
            </w:r>
            <w:r>
              <w:rPr>
                <w:rFonts w:hint="eastAsia" w:ascii="宋体" w:hAnsi="宋体" w:cs="宋体"/>
                <w:color w:val="000000" w:themeColor="text1"/>
                <w:highlight w:val="none"/>
                <w14:textFill>
                  <w14:solidFill>
                    <w14:schemeClr w14:val="tx1"/>
                  </w14:solidFill>
                </w14:textFill>
              </w:rPr>
              <w:t>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cs="宋体"/>
                <w:color w:val="000000" w:themeColor="text1"/>
                <w:highlight w:val="none"/>
                <w14:textFill>
                  <w14:solidFill>
                    <w14:schemeClr w14:val="tx1"/>
                  </w14:solidFill>
                </w14:textFill>
              </w:rPr>
              <w:t>和</w:t>
            </w:r>
            <w:r>
              <w:rPr>
                <w:rFonts w:hint="eastAsia" w:ascii="宋体" w:hAnsi="宋体" w:cs="宋体"/>
                <w:color w:val="000000" w:themeColor="text1"/>
                <w:highlight w:val="none"/>
                <w:lang w:val="en-US" w:eastAsia="zh-CN"/>
                <w14:textFill>
                  <w14:solidFill>
                    <w14:schemeClr w14:val="tx1"/>
                  </w14:solidFill>
                </w14:textFill>
              </w:rPr>
              <w:t>招标</w:t>
            </w:r>
            <w:r>
              <w:rPr>
                <w:rFonts w:hint="eastAsia" w:ascii="宋体" w:hAnsi="宋体" w:cs="宋体"/>
                <w:color w:val="000000" w:themeColor="text1"/>
                <w:highlight w:val="none"/>
                <w14:textFill>
                  <w14:solidFill>
                    <w14:schemeClr w14:val="tx1"/>
                  </w14:solidFill>
                </w14:textFill>
              </w:rPr>
              <w:t>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投标人均应自行承担所有与投标有关的全部费用。本项目的招标代理费由中标人支付，招标代理费收费标准按《国家计委关于印发&lt;招标代理服务费管理暂行办法&gt;的通知》（计价格[2002]1980号</w:t>
            </w:r>
            <w:r>
              <w:rPr>
                <w:rFonts w:hint="eastAsia" w:ascii="宋体" w:hAnsi="宋体" w:cs="宋体"/>
                <w:color w:val="000000" w:themeColor="text1"/>
                <w:highlight w:val="none"/>
                <w:lang w:eastAsia="zh-CN"/>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类分档累计标准80%计收）执行，招标代理费不足6000元的按6000元计。向本项目招标代理一次付清。中标人在领取中标通知书前交纳招标代理费，请各投标单位报价时综合考虑。</w:t>
            </w:r>
          </w:p>
        </w:tc>
      </w:tr>
    </w:tbl>
    <w:p>
      <w:pPr>
        <w:pStyle w:val="15"/>
        <w:snapToGrid w:val="0"/>
        <w:spacing w:line="360" w:lineRule="auto"/>
        <w:rPr>
          <w:rFonts w:ascii="宋体" w:hAnsi="宋体" w:eastAsia="宋体"/>
          <w:b/>
          <w:color w:val="000000" w:themeColor="text1"/>
          <w:sz w:val="24"/>
          <w:highlight w:val="none"/>
          <w14:textFill>
            <w14:solidFill>
              <w14:schemeClr w14:val="tx1"/>
            </w14:solidFill>
          </w14:textFill>
        </w:rPr>
      </w:pPr>
    </w:p>
    <w:p>
      <w:pPr>
        <w:pStyle w:val="15"/>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二、说 明</w:t>
      </w:r>
    </w:p>
    <w:p>
      <w:pPr>
        <w:pStyle w:val="16"/>
        <w:numPr>
          <w:ilvl w:val="0"/>
          <w:numId w:val="8"/>
        </w:numPr>
        <w:spacing w:line="360" w:lineRule="auto"/>
        <w:ind w:left="0" w:leftChars="0" w:firstLine="482" w:firstLineChars="20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总则</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eastAsia="宋体"/>
          <w:color w:val="000000" w:themeColor="text1"/>
          <w:sz w:val="24"/>
          <w:highlight w:val="none"/>
          <w14:textFill>
            <w14:solidFill>
              <w14:schemeClr w14:val="tx1"/>
            </w14:solidFill>
          </w14:textFill>
        </w:rPr>
        <w:t>浙江省</w:t>
      </w:r>
      <w:r>
        <w:rPr>
          <w:rFonts w:ascii="宋体" w:hAnsi="宋体" w:eastAsia="宋体"/>
          <w:color w:val="000000" w:themeColor="text1"/>
          <w:sz w:val="24"/>
          <w:highlight w:val="none"/>
          <w14:textFill>
            <w14:solidFill>
              <w14:schemeClr w14:val="tx1"/>
            </w14:solidFill>
          </w14:textFill>
        </w:rPr>
        <w:t>有关法律、法规、规章编制。</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highlight w:val="none"/>
          <w14:textFill>
            <w14:solidFill>
              <w14:schemeClr w14:val="tx1"/>
            </w14:solidFill>
          </w14:textFill>
        </w:rPr>
        <w:t>由此引起的一切后果应由</w:t>
      </w: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hint="eastAsia"/>
          <w:color w:val="000000" w:themeColor="text1"/>
          <w:sz w:val="24"/>
          <w:highlight w:val="none"/>
          <w14:textFill>
            <w14:solidFill>
              <w14:schemeClr w14:val="tx1"/>
            </w14:solidFill>
          </w14:textFill>
        </w:rPr>
        <w:t>承担。</w:t>
      </w:r>
    </w:p>
    <w:p>
      <w:pPr>
        <w:numPr>
          <w:ilvl w:val="0"/>
          <w:numId w:val="8"/>
        </w:numP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适用范围</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本招标文件适用于</w:t>
      </w:r>
      <w:r>
        <w:rPr>
          <w:rFonts w:hint="eastAsia" w:ascii="宋体" w:hAnsi="宋体" w:eastAsia="宋体"/>
          <w:bCs/>
          <w:color w:val="000000" w:themeColor="text1"/>
          <w:sz w:val="24"/>
          <w:highlight w:val="none"/>
          <w14:textFill>
            <w14:solidFill>
              <w14:schemeClr w14:val="tx1"/>
            </w14:solidFill>
          </w14:textFill>
        </w:rPr>
        <w:t>本次</w:t>
      </w:r>
      <w:r>
        <w:rPr>
          <w:rFonts w:hint="eastAsia" w:ascii="宋体" w:hAnsi="宋体" w:eastAsia="宋体"/>
          <w:color w:val="000000" w:themeColor="text1"/>
          <w:sz w:val="24"/>
          <w:highlight w:val="none"/>
          <w14:textFill>
            <w14:solidFill>
              <w14:schemeClr w14:val="tx1"/>
            </w14:solidFill>
          </w14:textFill>
        </w:rPr>
        <w:t>项目的招标、投标、评标、定标、验收、合同履约、付款等行为（法律、法规另有规定的，从其规定）。</w:t>
      </w:r>
    </w:p>
    <w:p>
      <w:pPr>
        <w:pStyle w:val="10"/>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pPr>
        <w:snapToGrid w:val="0"/>
        <w:spacing w:before="156" w:beforeLines="50"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（三）当事人</w:t>
      </w:r>
    </w:p>
    <w:p>
      <w:pPr>
        <w:pStyle w:val="4"/>
        <w:keepNext w:val="0"/>
        <w:keepLines w:val="0"/>
        <w:tabs>
          <w:tab w:val="left" w:pos="0"/>
          <w:tab w:val="left" w:pos="851"/>
        </w:tabs>
        <w:snapToGrid w:val="0"/>
        <w:spacing w:before="0" w:after="0" w:line="360" w:lineRule="auto"/>
        <w:ind w:firstLine="480" w:firstLineChars="200"/>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en-US" w:eastAsia="zh-CN"/>
          <w14:textFill>
            <w14:solidFill>
              <w14:schemeClr w14:val="tx1"/>
            </w14:solidFill>
          </w14:textFill>
        </w:rPr>
        <w:t>招标代理</w:t>
      </w:r>
      <w:r>
        <w:rPr>
          <w:rFonts w:hint="eastAsia"/>
          <w:bCs w:val="0"/>
          <w:color w:val="000000" w:themeColor="text1"/>
          <w:sz w:val="24"/>
          <w:szCs w:val="24"/>
          <w:highlight w:val="none"/>
          <w:lang w:val="zh-CN"/>
          <w14:textFill>
            <w14:solidFill>
              <w14:schemeClr w14:val="tx1"/>
            </w14:solidFill>
          </w14:textFill>
        </w:rPr>
        <w:t>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指招标人委托组织招标的集中采购机构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en-US" w:eastAsia="zh-CN"/>
          <w14:textFill>
            <w14:solidFill>
              <w14:schemeClr w14:val="tx1"/>
            </w14:solidFill>
          </w14:textFill>
        </w:rPr>
        <w:t>招标</w:t>
      </w:r>
      <w:r>
        <w:rPr>
          <w:rFonts w:hint="eastAsia"/>
          <w:bCs w:val="0"/>
          <w:color w:val="000000" w:themeColor="text1"/>
          <w:sz w:val="24"/>
          <w:szCs w:val="24"/>
          <w:highlight w:val="none"/>
          <w:lang w:val="zh-CN"/>
          <w14:textFill>
            <w14:solidFill>
              <w14:schemeClr w14:val="tx1"/>
            </w14:solidFill>
          </w14:textFill>
        </w:rPr>
        <w:t>代理机构；</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eastAsia="宋体"/>
          <w:color w:val="000000" w:themeColor="text1"/>
          <w:sz w:val="24"/>
          <w:highlight w:val="none"/>
          <w14:textFill>
            <w14:solidFill>
              <w14:schemeClr w14:val="tx1"/>
            </w14:solidFill>
          </w14:textFill>
        </w:rPr>
        <w:t>：是指依法进行政府采购的国家机关、事业单位和团体组织；</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：是</w:t>
      </w:r>
      <w:r>
        <w:rPr>
          <w:rFonts w:ascii="宋体" w:hAnsi="宋体" w:eastAsia="宋体"/>
          <w:color w:val="000000" w:themeColor="text1"/>
          <w:sz w:val="24"/>
          <w:highlight w:val="none"/>
          <w14:textFill>
            <w14:solidFill>
              <w14:schemeClr w14:val="tx1"/>
            </w14:solidFill>
          </w14:textFill>
        </w:rPr>
        <w:t>指</w:t>
      </w:r>
      <w:r>
        <w:rPr>
          <w:rFonts w:hint="eastAsia" w:ascii="宋体" w:hAnsi="宋体" w:eastAsia="宋体"/>
          <w:color w:val="000000" w:themeColor="text1"/>
          <w:sz w:val="24"/>
          <w:highlight w:val="none"/>
          <w14:textFill>
            <w14:solidFill>
              <w14:schemeClr w14:val="tx1"/>
            </w14:solidFill>
          </w14:textFill>
        </w:rPr>
        <w:t>响应招标、参加投标竞争的法人、其他组织或者自然人；</w:t>
      </w:r>
    </w:p>
    <w:p>
      <w:pPr>
        <w:snapToGri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出实质性响应，经招标人按照规定在评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委员会推荐的中标候选人中确定的或受招标人委托直接确认的，与招标人签订合同资格的投标</w:t>
      </w:r>
      <w:r>
        <w:rPr>
          <w:rFonts w:hint="eastAsia" w:ascii="宋体" w:hAnsi="宋体"/>
          <w:color w:val="000000" w:themeColor="text1"/>
          <w:sz w:val="24"/>
          <w:highlight w:val="none"/>
          <w14:textFill>
            <w14:solidFill>
              <w14:schemeClr w14:val="tx1"/>
            </w14:solidFill>
          </w14:textFill>
        </w:rPr>
        <w:t>人；</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联合体：</w:t>
      </w:r>
      <w:r>
        <w:rPr>
          <w:rFonts w:hint="eastAsia"/>
          <w:color w:val="000000" w:themeColor="text1"/>
          <w:sz w:val="24"/>
          <w:highlight w:val="none"/>
          <w14:textFill>
            <w14:solidFill>
              <w14:schemeClr w14:val="tx1"/>
            </w14:solidFill>
          </w14:textFill>
        </w:rPr>
        <w:t>两个或两个以上法人或者其他组织可以组成一个联合体，以一个投标人的身份共同投标。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以联合体形式投标的，应符合以下规定</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本项目不接受联合体投标。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highlight w:val="none"/>
          <w14:textFill>
            <w14:solidFill>
              <w14:schemeClr w14:val="tx1"/>
            </w14:solidFill>
          </w14:textFill>
        </w:rPr>
        <w:t>台州市建设咨询有限公司</w:t>
      </w:r>
      <w:r>
        <w:rPr>
          <w:rFonts w:hint="eastAsia" w:ascii="宋体" w:hAnsi="宋体" w:eastAsia="宋体"/>
          <w:color w:val="000000" w:themeColor="text1"/>
          <w:sz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2.所有计量均采用中国法定的计量单位。</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r>
        <w:rPr>
          <w:b/>
          <w:bCs/>
          <w:color w:val="000000" w:themeColor="text1"/>
          <w:sz w:val="24"/>
          <w:highlight w:val="none"/>
          <w14:textFill>
            <w14:solidFill>
              <w14:schemeClr w14:val="tx1"/>
            </w14:solidFill>
          </w14:textFill>
        </w:rPr>
        <w:t>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1.本项目不组织现场踏勘。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2.投标人自行承担踏勘现场发生的责任、风险和自身费用。</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招标人</w:t>
      </w:r>
      <w:r>
        <w:rPr>
          <w:color w:val="000000" w:themeColor="text1"/>
          <w:sz w:val="24"/>
          <w:highlight w:val="none"/>
          <w14:textFill>
            <w14:solidFill>
              <w14:schemeClr w14:val="tx1"/>
            </w14:solidFill>
          </w14:textFill>
        </w:rPr>
        <w:t>在踏勘现场中介绍的资料和数据等，不构成对招标文件的修改或不作为投标人编制投标文件的依据。</w:t>
      </w:r>
    </w:p>
    <w:p>
      <w:pPr>
        <w:pStyle w:val="15"/>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pPr>
        <w:pStyle w:val="15"/>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投标人投标所使用的资格、信誉、荣誉、业绩与企业认证必须为本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所拥有</w:t>
      </w:r>
      <w:r>
        <w:rPr>
          <w:rFonts w:hint="eastAsia" w:ascii="宋体" w:hAnsi="宋体" w:eastAsia="宋体"/>
          <w:color w:val="000000" w:themeColor="text1"/>
          <w:sz w:val="24"/>
          <w:highlight w:val="none"/>
          <w14:textFill>
            <w14:solidFill>
              <w14:schemeClr w14:val="tx1"/>
            </w14:solidFill>
          </w14:textFill>
        </w:rPr>
        <w:t>且所提供的资料都是真实有效的</w:t>
      </w:r>
      <w:r>
        <w:rPr>
          <w:rFonts w:ascii="宋体" w:hAnsi="宋体" w:eastAsia="宋体"/>
          <w:color w:val="000000" w:themeColor="text1"/>
          <w:sz w:val="24"/>
          <w:highlight w:val="none"/>
          <w14:textFill>
            <w14:solidFill>
              <w14:schemeClr w14:val="tx1"/>
            </w14:solidFill>
          </w14:textFill>
        </w:rPr>
        <w:t>。投标人投标所使用的采购项目实施人员必须为本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员工。</w:t>
      </w:r>
    </w:p>
    <w:p>
      <w:pPr>
        <w:pStyle w:val="35"/>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三、招标文件</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（一）招标文件由招标文件目录所列内容组成。</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（二）投标人在规定的时间内未对招标文件提出疑问、质疑或要求澄清的，将视其为无异议。</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cs="宋体"/>
          <w:color w:val="000000" w:themeColor="text1"/>
          <w:sz w:val="24"/>
          <w:highlight w:val="none"/>
          <w:lang w:val="en-US" w:eastAsia="zh-CN"/>
          <w14:textFill>
            <w14:solidFill>
              <w14:schemeClr w14:val="tx1"/>
            </w14:solidFill>
          </w14:textFill>
        </w:rPr>
        <w:t>招标代理</w:t>
      </w:r>
      <w:r>
        <w:rPr>
          <w:rFonts w:hint="eastAsia" w:ascii="宋体" w:hAnsi="宋体" w:eastAsia="宋体" w:cs="宋体"/>
          <w:color w:val="000000" w:themeColor="text1"/>
          <w:sz w:val="24"/>
          <w:highlight w:val="none"/>
          <w14:textFill>
            <w14:solidFill>
              <w14:schemeClr w14:val="tx1"/>
            </w14:solidFill>
          </w14:textFill>
        </w:rPr>
        <w:t>机构对招标文件进行必要的澄清更正的，澄清或者修改的内容可能影响投标文件编制的，于投标截止时间的3日前在浙江省政府采购网上以更正公告的形式通知各潜在的投标人；不足3日的，</w:t>
      </w:r>
      <w:r>
        <w:rPr>
          <w:rFonts w:hint="eastAsia" w:ascii="宋体" w:hAnsi="宋体" w:cs="宋体"/>
          <w:color w:val="000000" w:themeColor="text1"/>
          <w:sz w:val="24"/>
          <w:highlight w:val="none"/>
          <w:lang w:eastAsia="zh-CN"/>
          <w14:textFill>
            <w14:solidFill>
              <w14:schemeClr w14:val="tx1"/>
            </w14:solidFill>
          </w14:textFill>
        </w:rPr>
        <w:t>招标代理机构</w:t>
      </w:r>
      <w:r>
        <w:rPr>
          <w:rFonts w:hint="eastAsia" w:ascii="宋体" w:hAnsi="宋体" w:eastAsia="宋体" w:cs="宋体"/>
          <w:color w:val="000000" w:themeColor="text1"/>
          <w:sz w:val="24"/>
          <w:highlight w:val="none"/>
          <w14:textFill>
            <w14:solidFill>
              <w14:schemeClr w14:val="tx1"/>
            </w14:solidFill>
          </w14:textFill>
        </w:rPr>
        <w:t>应当顺延提交投标文件的截止时间。</w:t>
      </w:r>
    </w:p>
    <w:p>
      <w:pPr>
        <w:tabs>
          <w:tab w:val="left" w:pos="1418"/>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w:t>
      </w:r>
    </w:p>
    <w:p>
      <w:pPr>
        <w:pStyle w:val="5"/>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（一）投标文件的编制</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投标人获取招标文件后，按照</w:t>
      </w:r>
      <w:r>
        <w:rPr>
          <w:rFonts w:hint="eastAsia" w:ascii="宋体" w:hAnsi="宋体"/>
          <w:color w:val="000000" w:themeColor="text1"/>
          <w:kern w:val="0"/>
          <w:sz w:val="24"/>
          <w:highlight w:val="none"/>
          <w:lang w:eastAsia="zh-CN"/>
          <w14:textFill>
            <w14:solidFill>
              <w14:schemeClr w14:val="tx1"/>
            </w14:solidFill>
          </w14:textFill>
        </w:rPr>
        <w:t>招标代理机构</w:t>
      </w:r>
      <w:r>
        <w:rPr>
          <w:rFonts w:hint="eastAsia" w:ascii="宋体" w:hAnsi="宋体" w:eastAsia="宋体"/>
          <w:color w:val="000000" w:themeColor="text1"/>
          <w:kern w:val="0"/>
          <w:sz w:val="24"/>
          <w:highlight w:val="none"/>
          <w14:textFill>
            <w14:solidFill>
              <w14:schemeClr w14:val="tx1"/>
            </w14:solidFill>
          </w14:textFill>
        </w:rPr>
        <w:t>的要求提供：资格标和商务标</w:t>
      </w:r>
      <w:r>
        <w:rPr>
          <w:rFonts w:hint="eastAsia" w:ascii="宋体" w:hAnsi="宋体" w:eastAsia="宋体"/>
          <w:color w:val="000000" w:themeColor="text1"/>
          <w:kern w:val="0"/>
          <w:sz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1.资格标</w:t>
      </w:r>
      <w:r>
        <w:rPr>
          <w:rFonts w:hint="eastAsia" w:ascii="宋体" w:hAnsi="宋体"/>
          <w:b/>
          <w:color w:val="000000" w:themeColor="text1"/>
          <w:sz w:val="24"/>
          <w:highlight w:val="none"/>
          <w14:textFill>
            <w14:solidFill>
              <w14:schemeClr w14:val="tx1"/>
            </w14:solidFill>
          </w14:textFill>
        </w:rPr>
        <w:t>组成</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营业执照副本</w:t>
      </w:r>
      <w:r>
        <w:rPr>
          <w:rFonts w:hint="eastAsia" w:ascii="宋体" w:hAnsi="宋体"/>
          <w:sz w:val="24"/>
          <w:highlight w:val="none"/>
          <w:lang w:eastAsia="zh-CN"/>
        </w:rPr>
        <w:t>扫描件</w:t>
      </w:r>
      <w:r>
        <w:rPr>
          <w:rFonts w:hint="eastAsia" w:ascii="宋体" w:hAnsi="宋体"/>
          <w:sz w:val="24"/>
          <w:highlight w:val="none"/>
        </w:rPr>
        <w:t>；</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法定代表人身份证明或</w:t>
      </w:r>
      <w:r>
        <w:rPr>
          <w:rFonts w:hint="eastAsia" w:ascii="宋体" w:hAnsi="宋体"/>
          <w:sz w:val="24"/>
          <w:highlight w:val="none"/>
        </w:rPr>
        <w:t>法定代表人授权书</w:t>
      </w:r>
      <w:r>
        <w:rPr>
          <w:rFonts w:hint="eastAsia" w:ascii="宋体" w:hAnsi="宋体"/>
          <w:kern w:val="0"/>
          <w:sz w:val="24"/>
          <w:highlight w:val="none"/>
        </w:rPr>
        <w:t>（格式见附件）；</w:t>
      </w:r>
    </w:p>
    <w:p>
      <w:pPr>
        <w:numPr>
          <w:ilvl w:val="0"/>
          <w:numId w:val="9"/>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提供开具增值税专用发票能力的证明材料，如一般纳税人证明文件或以往开具的增值税发票；</w:t>
      </w:r>
    </w:p>
    <w:p>
      <w:pPr>
        <w:numPr>
          <w:ilvl w:val="0"/>
          <w:numId w:val="9"/>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sz w:val="24"/>
        </w:rPr>
        <w:t>台州市诚信投标承诺书；</w:t>
      </w:r>
    </w:p>
    <w:p>
      <w:pPr>
        <w:numPr>
          <w:ilvl w:val="0"/>
          <w:numId w:val="9"/>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lang w:val="en-US" w:eastAsia="zh-CN"/>
        </w:rPr>
        <w:t>投标单位认为与本项目相关的其他资格证明</w:t>
      </w:r>
      <w:r>
        <w:rPr>
          <w:rFonts w:hint="eastAsia" w:ascii="宋体" w:hAnsi="宋体"/>
          <w:sz w:val="24"/>
          <w:highlight w:val="none"/>
        </w:rPr>
        <w:t>。</w:t>
      </w:r>
    </w:p>
    <w:p>
      <w:pPr>
        <w:autoSpaceDE w:val="0"/>
        <w:autoSpaceDN w:val="0"/>
        <w:adjustRightInd w:val="0"/>
        <w:spacing w:line="360" w:lineRule="auto"/>
        <w:ind w:left="426" w:firstLine="65" w:firstLineChars="27"/>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2</w:t>
      </w:r>
      <w:r>
        <w:rPr>
          <w:rFonts w:hint="eastAsia" w:ascii="宋体" w:hAnsi="宋体" w:eastAsia="宋体"/>
          <w:b/>
          <w:color w:val="000000" w:themeColor="text1"/>
          <w:kern w:val="0"/>
          <w:sz w:val="24"/>
          <w:highlight w:val="none"/>
          <w14:textFill>
            <w14:solidFill>
              <w14:schemeClr w14:val="tx1"/>
            </w14:solidFill>
          </w14:textFill>
        </w:rPr>
        <w:t>、商务标组成</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pPr>
        <w:autoSpaceDE w:val="0"/>
        <w:autoSpaceDN w:val="0"/>
        <w:adjustRightInd w:val="0"/>
        <w:spacing w:line="360" w:lineRule="auto"/>
        <w:ind w:firstLine="482" w:firstLineChars="200"/>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（二）投标报价</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highlight w:val="none"/>
          <w:lang w:eastAsia="zh-CN"/>
          <w14:textFill>
            <w14:solidFill>
              <w14:schemeClr w14:val="tx1"/>
            </w14:solidFill>
          </w14:textFill>
        </w:rPr>
        <w:t>投标函</w:t>
      </w:r>
      <w:r>
        <w:rPr>
          <w:rFonts w:hint="eastAsia" w:ascii="宋体" w:hAnsi="宋体" w:eastAsia="宋体"/>
          <w:bCs/>
          <w:color w:val="000000" w:themeColor="text1"/>
          <w:kern w:val="0"/>
          <w:sz w:val="24"/>
          <w:highlight w:val="none"/>
          <w14:textFill>
            <w14:solidFill>
              <w14:schemeClr w14:val="tx1"/>
            </w14:solidFill>
          </w14:textFill>
        </w:rPr>
        <w:t>”规定的格式报出总价。投标总价中不得包含招标文件要求以外的内容，否则，在评标时不予核减。</w:t>
      </w:r>
    </w:p>
    <w:p>
      <w:pPr>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2.投标报价是履行合同的最终价格，</w:t>
      </w:r>
      <w:r>
        <w:rPr>
          <w:rFonts w:hint="eastAsia" w:ascii="宋体" w:hAnsi="宋体"/>
          <w:bCs/>
          <w:color w:val="000000" w:themeColor="text1"/>
          <w:spacing w:val="-4"/>
          <w:sz w:val="24"/>
          <w:highlight w:val="none"/>
          <w14:textFill>
            <w14:solidFill>
              <w14:schemeClr w14:val="tx1"/>
            </w14:solidFill>
          </w14:textFill>
        </w:rPr>
        <w:t>采用结算率方式报价，其全费用综合单价包括劳务（机械操作员）、管理、运输、机械进退场费、通行证等相关手续办理费、保险、利润、规费、税金、合同包含的所有风险、责任等各项所有费用。实行固定结算率包干，投标人应根据上述因素自行考虑投标结算率。投标人所报的结算率在合同执行过程中是固定不变的，不得以任何理由予以变更。任何包含价格调整的要求，将被认为是非实质性响应投标而予以拒绝。</w:t>
      </w:r>
      <w:r>
        <w:rPr>
          <w:rFonts w:hint="eastAsia" w:ascii="宋体" w:hAnsi="宋体" w:eastAsia="宋体"/>
          <w:bCs/>
          <w:color w:val="000000" w:themeColor="text1"/>
          <w:kern w:val="0"/>
          <w:sz w:val="24"/>
          <w:highlight w:val="none"/>
          <w14:textFill>
            <w14:solidFill>
              <w14:schemeClr w14:val="tx1"/>
            </w14:solidFill>
          </w14:textFill>
        </w:rPr>
        <w:t>知识产权等由投标人在投标报价时综合考虑，以后不作任何调整。</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3.投标报价不得为选择性报价和附有条件的报价。</w:t>
      </w:r>
    </w:p>
    <w:p>
      <w:pPr>
        <w:pStyle w:val="5"/>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（三）投标文件的有效期</w:t>
      </w:r>
    </w:p>
    <w:p>
      <w:pPr>
        <w:pStyle w:val="5"/>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1.投标文件有效期为</w:t>
      </w:r>
      <w:r>
        <w:rPr>
          <w:rFonts w:hint="eastAsia" w:ascii="宋体" w:hAnsi="宋体" w:eastAsia="宋体" w:cs="宋体"/>
          <w:color w:val="000000" w:themeColor="text1"/>
          <w:sz w:val="24"/>
          <w:highlight w:val="none"/>
          <w:lang w:val="en-GB"/>
          <w14:textFill>
            <w14:solidFill>
              <w14:schemeClr w14:val="tx1"/>
            </w14:solidFill>
          </w14:textFill>
        </w:rPr>
        <w:t>投标截止日起90天。</w:t>
      </w:r>
    </w:p>
    <w:p>
      <w:pPr>
        <w:pStyle w:val="5"/>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GB"/>
          <w14:textFill>
            <w14:solidFill>
              <w14:schemeClr w14:val="tx1"/>
            </w14:solidFill>
          </w14:textFill>
        </w:rPr>
        <w:t>在特殊情况下，</w:t>
      </w:r>
      <w:r>
        <w:rPr>
          <w:rFonts w:hint="eastAsia" w:ascii="宋体" w:hAnsi="宋体" w:cs="宋体"/>
          <w:color w:val="000000" w:themeColor="text1"/>
          <w:sz w:val="24"/>
          <w:highlight w:val="none"/>
          <w:lang w:val="en-GB" w:eastAsia="zh-CN"/>
          <w14:textFill>
            <w14:solidFill>
              <w14:schemeClr w14:val="tx1"/>
            </w14:solidFill>
          </w14:textFill>
        </w:rPr>
        <w:t>招标人</w:t>
      </w:r>
      <w:r>
        <w:rPr>
          <w:rFonts w:hint="eastAsia" w:ascii="宋体" w:hAnsi="宋体" w:eastAsia="宋体" w:cs="宋体"/>
          <w:color w:val="000000" w:themeColor="text1"/>
          <w:sz w:val="24"/>
          <w:highlight w:val="none"/>
          <w:lang w:val="en-GB"/>
          <w14:textFill>
            <w14:solidFill>
              <w14:schemeClr w14:val="tx1"/>
            </w14:solidFill>
          </w14:textFill>
        </w:rPr>
        <w:t>可与投标人协商延长投标文件的有效期。</w:t>
      </w:r>
    </w:p>
    <w:p>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3.中标人的投标文件自开标之日起至合同履行完毕均应保持有效。</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（四）投标文件的签署</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1.投标文件需由法定代表人或经其正式授权的代表签字或盖章。授权代表须出具书面授权证明，其《法定代表人授权书》应附在投标文件中。</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2.投标文件中所有的插字、涂改和增删，必须由法定代表人或经其正式授权的代表在旁边签字或盖章才有效。</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eastAsia="宋体"/>
          <w:b/>
          <w:bCs/>
          <w:color w:val="000000" w:themeColor="text1"/>
          <w:sz w:val="24"/>
          <w:highlight w:val="none"/>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按照前附表要求提交，</w:t>
      </w:r>
      <w:r>
        <w:rPr>
          <w:rFonts w:hint="eastAsia" w:ascii="宋体" w:hAnsi="宋体" w:eastAsia="宋体"/>
          <w:color w:val="000000" w:themeColor="text1"/>
          <w:kern w:val="0"/>
          <w:sz w:val="24"/>
          <w:highlight w:val="none"/>
          <w14:textFill>
            <w14:solidFill>
              <w14:schemeClr w14:val="tx1"/>
            </w14:solidFill>
          </w14:textFill>
        </w:rPr>
        <w:t>如</w:t>
      </w:r>
      <w:r>
        <w:rPr>
          <w:rFonts w:hint="eastAsia" w:ascii="宋体" w:hAnsi="宋体"/>
          <w:color w:val="000000" w:themeColor="text1"/>
          <w:kern w:val="0"/>
          <w:sz w:val="24"/>
          <w:highlight w:val="none"/>
          <w:lang w:eastAsia="zh-CN"/>
          <w14:textFill>
            <w14:solidFill>
              <w14:schemeClr w14:val="tx1"/>
            </w14:solidFill>
          </w14:textFill>
        </w:rPr>
        <w:t>招标代理机构</w:t>
      </w:r>
      <w:r>
        <w:rPr>
          <w:rFonts w:hint="eastAsia" w:ascii="宋体" w:hAnsi="宋体" w:eastAsia="宋体"/>
          <w:color w:val="000000" w:themeColor="text1"/>
          <w:kern w:val="0"/>
          <w:sz w:val="24"/>
          <w:highlight w:val="none"/>
          <w14:textFill>
            <w14:solidFill>
              <w14:schemeClr w14:val="tx1"/>
            </w14:solidFill>
          </w14:textFill>
        </w:rPr>
        <w:t>延长截止时间和开标时间，</w:t>
      </w:r>
      <w:r>
        <w:rPr>
          <w:rFonts w:hint="eastAsia" w:ascii="宋体" w:hAnsi="宋体"/>
          <w:color w:val="000000" w:themeColor="text1"/>
          <w:kern w:val="0"/>
          <w:sz w:val="24"/>
          <w:highlight w:val="none"/>
          <w:lang w:eastAsia="zh-CN"/>
          <w14:textFill>
            <w14:solidFill>
              <w14:schemeClr w14:val="tx1"/>
            </w14:solidFill>
          </w14:textFill>
        </w:rPr>
        <w:t>招标代理机构</w:t>
      </w:r>
      <w:r>
        <w:rPr>
          <w:rFonts w:hint="eastAsia" w:ascii="宋体" w:hAnsi="宋体" w:eastAsia="宋体"/>
          <w:color w:val="000000" w:themeColor="text1"/>
          <w:kern w:val="0"/>
          <w:sz w:val="24"/>
          <w:highlight w:val="none"/>
          <w14:textFill>
            <w14:solidFill>
              <w14:schemeClr w14:val="tx1"/>
            </w14:solidFill>
          </w14:textFill>
        </w:rPr>
        <w:t>和投标人的权利和义务将受到新的截止时间和开标时间的约束。</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五、开标</w:t>
      </w:r>
    </w:p>
    <w:p>
      <w:pPr>
        <w:pStyle w:val="15"/>
        <w:snapToGrid w:val="0"/>
        <w:spacing w:line="360" w:lineRule="auto"/>
        <w:ind w:firstLine="413" w:firstLineChars="196"/>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（一）开标</w:t>
      </w:r>
    </w:p>
    <w:p>
      <w:pPr>
        <w:pStyle w:val="22"/>
        <w:widowControl w:val="0"/>
        <w:snapToGrid w:val="0"/>
        <w:spacing w:before="156" w:beforeLines="5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29"/>
          <w:color w:val="000000" w:themeColor="text1"/>
          <w:highlight w:val="none"/>
          <w14:textFill>
            <w14:solidFill>
              <w14:schemeClr w14:val="tx1"/>
            </w14:solidFill>
          </w14:textFill>
        </w:rPr>
        <w:t>http://www.tzwztb.com/live/</w:t>
      </w:r>
      <w:r>
        <w:rPr>
          <w:rStyle w:val="29"/>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pPr>
        <w:pStyle w:val="15"/>
        <w:snapToGrid w:val="0"/>
        <w:spacing w:before="120" w:after="120" w:line="360" w:lineRule="auto"/>
        <w:ind w:firstLine="482" w:firstLineChars="200"/>
        <w:rPr>
          <w:rFonts w:hAnsi="宋体" w:cs="宋体"/>
          <w:b/>
          <w:bCs/>
          <w:color w:val="000000" w:themeColor="text1"/>
          <w:sz w:val="24"/>
          <w:highlight w:val="none"/>
          <w14:textFill>
            <w14:solidFill>
              <w14:schemeClr w14:val="tx1"/>
            </w14:solidFill>
          </w14:textFill>
        </w:rPr>
      </w:pPr>
      <w:r>
        <w:rPr>
          <w:rFonts w:hAnsi="宋体" w:cs="宋体"/>
          <w:b/>
          <w:bCs/>
          <w:color w:val="000000" w:themeColor="text1"/>
          <w:sz w:val="24"/>
          <w:highlight w:val="none"/>
          <w14:textFill>
            <w14:solidFill>
              <w14:schemeClr w14:val="tx1"/>
            </w14:solidFill>
          </w14:textFill>
        </w:rPr>
        <w:t>（二） 开标程序：</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1、开标由</w:t>
      </w:r>
      <w:r>
        <w:rPr>
          <w:rFonts w:hint="eastAsia" w:ascii="宋体" w:hAnsi="宋体" w:cs="宋体"/>
          <w:color w:val="000000" w:themeColor="text1"/>
          <w:sz w:val="24"/>
          <w:highlight w:val="none"/>
          <w:lang w:val="en-US" w:eastAsia="zh-CN"/>
          <w14:textFill>
            <w14:solidFill>
              <w14:schemeClr w14:val="tx1"/>
            </w14:solidFill>
          </w14:textFill>
        </w:rPr>
        <w:t>招标</w:t>
      </w:r>
      <w:r>
        <w:rPr>
          <w:rFonts w:ascii="宋体" w:hAnsi="宋体" w:cs="宋体"/>
          <w:color w:val="000000" w:themeColor="text1"/>
          <w:sz w:val="24"/>
          <w:highlight w:val="none"/>
          <w14:textFill>
            <w14:solidFill>
              <w14:schemeClr w14:val="tx1"/>
            </w14:solidFill>
          </w14:textFill>
        </w:rPr>
        <w:t>代理机构工作人员主持</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2、投标人</w:t>
      </w:r>
      <w:r>
        <w:rPr>
          <w:rFonts w:hint="eastAsia" w:ascii="宋体" w:hAnsi="宋体" w:cs="宋体"/>
          <w:color w:val="000000" w:themeColor="text1"/>
          <w:sz w:val="24"/>
          <w:highlight w:val="none"/>
          <w14:textFill>
            <w14:solidFill>
              <w14:schemeClr w14:val="tx1"/>
            </w14:solidFill>
          </w14:textFill>
        </w:rPr>
        <w:t>可</w:t>
      </w:r>
      <w:r>
        <w:rPr>
          <w:rFonts w:ascii="宋体" w:hAnsi="宋体" w:cs="宋体"/>
          <w:color w:val="000000" w:themeColor="text1"/>
          <w:sz w:val="24"/>
          <w:highlight w:val="none"/>
          <w14:textFill>
            <w14:solidFill>
              <w14:schemeClr w14:val="tx1"/>
            </w14:solidFill>
          </w14:textFill>
        </w:rPr>
        <w:t>进行在线</w:t>
      </w:r>
      <w:r>
        <w:rPr>
          <w:rFonts w:hint="eastAsia" w:ascii="宋体" w:hAnsi="宋体" w:cs="宋体"/>
          <w:color w:val="000000" w:themeColor="text1"/>
          <w:sz w:val="24"/>
          <w:highlight w:val="none"/>
          <w14:textFill>
            <w14:solidFill>
              <w14:schemeClr w14:val="tx1"/>
            </w14:solidFill>
          </w14:textFill>
        </w:rPr>
        <w:t>沟通</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招标人</w:t>
      </w:r>
      <w:r>
        <w:rPr>
          <w:rFonts w:ascii="宋体" w:hAnsi="宋体" w:cs="宋体"/>
          <w:color w:val="000000" w:themeColor="text1"/>
          <w:sz w:val="24"/>
          <w:highlight w:val="none"/>
          <w14:textFill>
            <w14:solidFill>
              <w14:schemeClr w14:val="tx1"/>
            </w14:solidFill>
          </w14:textFill>
        </w:rPr>
        <w:t>依法对资格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进行审查，评标委员会对资格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进行评审。</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评审完成后，主持人宣告</w:t>
      </w:r>
      <w:r>
        <w:rPr>
          <w:rFonts w:hint="eastAsia" w:ascii="宋体" w:hAnsi="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评审无效投标人名称及理由，公布经资格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评审符合</w:t>
      </w:r>
      <w:r>
        <w:rPr>
          <w:rFonts w:hint="eastAsia" w:ascii="宋体" w:hAnsi="宋体" w:cs="宋体"/>
          <w:color w:val="000000" w:themeColor="text1"/>
          <w:sz w:val="24"/>
          <w:highlight w:val="none"/>
          <w:lang w:val="en-US" w:eastAsia="zh-CN"/>
          <w14:textFill>
            <w14:solidFill>
              <w14:schemeClr w14:val="tx1"/>
            </w14:solidFill>
          </w14:textFill>
        </w:rPr>
        <w:t>招标</w:t>
      </w:r>
      <w:r>
        <w:rPr>
          <w:rFonts w:ascii="宋体" w:hAnsi="宋体" w:cs="宋体"/>
          <w:color w:val="000000" w:themeColor="text1"/>
          <w:sz w:val="24"/>
          <w:highlight w:val="none"/>
          <w14:textFill>
            <w14:solidFill>
              <w14:schemeClr w14:val="tx1"/>
            </w14:solidFill>
          </w14:textFill>
        </w:rPr>
        <w:t>需求的投标人名单。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5、开启各投标人</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7、评标结束后，主持人公布投标</w:t>
      </w:r>
      <w:r>
        <w:rPr>
          <w:rFonts w:hint="eastAsia" w:ascii="宋体" w:hAnsi="宋体" w:cs="宋体"/>
          <w:color w:val="000000" w:themeColor="text1"/>
          <w:sz w:val="24"/>
          <w:highlight w:val="none"/>
          <w14:textFill>
            <w14:solidFill>
              <w14:schemeClr w14:val="tx1"/>
            </w14:solidFill>
          </w14:textFill>
        </w:rPr>
        <w:t>商务</w:t>
      </w:r>
      <w:r>
        <w:rPr>
          <w:rFonts w:ascii="宋体" w:hAnsi="宋体" w:cs="宋体"/>
          <w:color w:val="000000" w:themeColor="text1"/>
          <w:sz w:val="24"/>
          <w:highlight w:val="none"/>
          <w14:textFill>
            <w14:solidFill>
              <w14:schemeClr w14:val="tx1"/>
            </w14:solidFill>
          </w14:textFill>
        </w:rPr>
        <w:t>得分以及推荐中标候选人排序名单。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8、开标会议结束。</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9、其他注意事项：</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highlight w:val="none"/>
          <w:lang w:val="en-US" w:eastAsia="zh-CN"/>
          <w14:textFill>
            <w14:solidFill>
              <w14:schemeClr w14:val="tx1"/>
            </w14:solidFill>
          </w14:textFill>
        </w:rPr>
        <w:t>招标人</w:t>
      </w:r>
      <w:r>
        <w:rPr>
          <w:rFonts w:hint="eastAsia" w:ascii="宋体" w:hAnsi="宋体" w:cs="宋体"/>
          <w:color w:val="000000" w:themeColor="text1"/>
          <w:sz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highlight w:val="none"/>
          <w:lang w:val="en-US" w:eastAsia="zh-CN"/>
          <w14:textFill>
            <w14:solidFill>
              <w14:schemeClr w14:val="tx1"/>
            </w14:solidFill>
          </w14:textFill>
        </w:rPr>
        <w:t>招标人</w:t>
      </w:r>
      <w:r>
        <w:rPr>
          <w:rFonts w:hint="eastAsia" w:ascii="宋体" w:hAnsi="宋体" w:cs="宋体"/>
          <w:color w:val="000000" w:themeColor="text1"/>
          <w:sz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（1）开标项目的时间均以国家授时中心发布的时间为准。</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（2）若投标人已申请多把CA锁，请注意使用差别。因ca锁使用错误引发的问题，由投标人自己负责。</w:t>
      </w:r>
    </w:p>
    <w:p>
      <w:pPr>
        <w:snapToGrid w:val="0"/>
        <w:spacing w:line="360" w:lineRule="auto"/>
        <w:ind w:firstLine="480" w:firstLineChars="200"/>
        <w:rPr>
          <w:rFonts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过程中出现以下情形，导致电子交易平台无法正常运行，或者无法保证电子交易的公平、公正和安全时，</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可中止电子交易活动：</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pPr>
        <w:pStyle w:val="5"/>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公平、公正性的，</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可以待上述情形消除后继续组织电子交易活动。</w:t>
      </w:r>
    </w:p>
    <w:p>
      <w:pPr>
        <w:pStyle w:val="5"/>
        <w:spacing w:line="360" w:lineRule="auto"/>
        <w:ind w:firstLine="723" w:firstLineChars="300"/>
        <w:rPr>
          <w:b/>
          <w:bCs/>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（四）开标异议</w:t>
      </w:r>
    </w:p>
    <w:p>
      <w:pPr>
        <w:pStyle w:val="5"/>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投标人代表对开标过程和开标记录有疑义，以及认为</w:t>
      </w:r>
      <w:r>
        <w:rPr>
          <w:rFonts w:hint="eastAsia"/>
          <w:color w:val="000000" w:themeColor="text1"/>
          <w:sz w:val="24"/>
          <w:szCs w:val="22"/>
          <w:highlight w:val="none"/>
          <w:lang w:eastAsia="zh-CN"/>
          <w14:textFill>
            <w14:solidFill>
              <w14:schemeClr w14:val="tx1"/>
            </w14:solidFill>
          </w14:textFill>
        </w:rPr>
        <w:t>招标人</w:t>
      </w:r>
      <w:r>
        <w:rPr>
          <w:rFonts w:hint="eastAsia"/>
          <w:color w:val="000000" w:themeColor="text1"/>
          <w:sz w:val="24"/>
          <w:szCs w:val="22"/>
          <w:highlight w:val="none"/>
          <w14:textFill>
            <w14:solidFill>
              <w14:schemeClr w14:val="tx1"/>
            </w14:solidFill>
          </w14:textFill>
        </w:rPr>
        <w:t>、</w:t>
      </w:r>
      <w:r>
        <w:rPr>
          <w:rFonts w:hint="eastAsia"/>
          <w:color w:val="000000" w:themeColor="text1"/>
          <w:sz w:val="24"/>
          <w:szCs w:val="22"/>
          <w:highlight w:val="none"/>
          <w:lang w:eastAsia="zh-CN"/>
          <w14:textFill>
            <w14:solidFill>
              <w14:schemeClr w14:val="tx1"/>
            </w14:solidFill>
          </w14:textFill>
        </w:rPr>
        <w:t>招标代理机构</w:t>
      </w:r>
      <w:r>
        <w:rPr>
          <w:rFonts w:hint="eastAsia"/>
          <w:color w:val="000000" w:themeColor="text1"/>
          <w:sz w:val="24"/>
          <w:szCs w:val="22"/>
          <w:highlight w:val="none"/>
          <w14:textFill>
            <w14:solidFill>
              <w14:schemeClr w14:val="tx1"/>
            </w14:solidFill>
          </w14:textFill>
        </w:rPr>
        <w:t>相关工作人员有需要回避的情形的，应当场提出询问或者回避申请，开标会议结束后不再接受相关询问、质疑或者回避申请。</w:t>
      </w:r>
    </w:p>
    <w:p>
      <w:pPr>
        <w:pStyle w:val="5"/>
        <w:spacing w:line="360" w:lineRule="auto"/>
        <w:ind w:firstLine="723" w:firstLineChars="300"/>
        <w:rPr>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（五）</w:t>
      </w:r>
      <w:r>
        <w:rPr>
          <w:rFonts w:hint="eastAsia"/>
          <w:color w:val="000000" w:themeColor="text1"/>
          <w:sz w:val="24"/>
          <w:szCs w:val="22"/>
          <w:highlight w:val="none"/>
          <w14:textFill>
            <w14:solidFill>
              <w14:schemeClr w14:val="tx1"/>
            </w14:solidFill>
          </w14:textFill>
        </w:rPr>
        <w:t>投标人不足三家，不得开标。</w:t>
      </w:r>
    </w:p>
    <w:p>
      <w:pPr>
        <w:pStyle w:val="15"/>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五、评标（详见第四章）</w:t>
      </w:r>
    </w:p>
    <w:p>
      <w:pPr>
        <w:pStyle w:val="22"/>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六、定标</w:t>
      </w:r>
    </w:p>
    <w:p>
      <w:pPr>
        <w:spacing w:line="360" w:lineRule="auto"/>
        <w:ind w:firstLine="482" w:firstLineChars="200"/>
        <w:rPr>
          <w:rFonts w:ascii="宋体" w:hAnsi="宋体"/>
          <w:b/>
          <w:bCs/>
          <w:color w:val="000000" w:themeColor="text1"/>
          <w:kern w:val="0"/>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发布</w:t>
      </w:r>
      <w:r>
        <w:rPr>
          <w:b/>
          <w:bCs/>
          <w:color w:val="000000" w:themeColor="text1"/>
          <w:sz w:val="24"/>
          <w:highlight w:val="none"/>
          <w14:textFill>
            <w14:solidFill>
              <w14:schemeClr w14:val="tx1"/>
            </w14:solidFill>
          </w14:textFill>
        </w:rPr>
        <w:t>中标</w:t>
      </w:r>
      <w:r>
        <w:rPr>
          <w:rFonts w:hint="eastAsia" w:ascii="宋体" w:hAnsi="宋体"/>
          <w:b/>
          <w:bCs/>
          <w:color w:val="000000" w:themeColor="text1"/>
          <w:kern w:val="0"/>
          <w:sz w:val="24"/>
          <w:highlight w:val="none"/>
          <w14:textFill>
            <w14:solidFill>
              <w14:schemeClr w14:val="tx1"/>
            </w14:solidFill>
          </w14:textFill>
        </w:rPr>
        <w:t>结果公示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招标代理机构</w:t>
      </w:r>
      <w:r>
        <w:rPr>
          <w:color w:val="000000" w:themeColor="text1"/>
          <w:highlight w:val="none"/>
          <w14:textFill>
            <w14:solidFill>
              <w14:schemeClr w14:val="tx1"/>
            </w14:solidFill>
          </w14:textFill>
        </w:rPr>
        <w:t>自中标候选人确定之日起3个工作日内，在浙江省政府采购网和</w:t>
      </w:r>
      <w:r>
        <w:rPr>
          <w:rFonts w:cs="宋体"/>
          <w:color w:val="000000" w:themeColor="text1"/>
          <w:highlight w:val="none"/>
          <w14:textFill>
            <w14:solidFill>
              <w14:schemeClr w14:val="tx1"/>
            </w14:solidFill>
          </w14:textFill>
        </w:rPr>
        <w:t>台州湾新区小额工程电子交易平台</w:t>
      </w:r>
      <w:r>
        <w:rPr>
          <w:color w:val="000000" w:themeColor="text1"/>
          <w:highlight w:val="none"/>
          <w14:textFill>
            <w14:solidFill>
              <w14:schemeClr w14:val="tx1"/>
            </w14:solidFill>
          </w14:textFill>
        </w:rPr>
        <w:t>公告中标结果，中标结果公示期为3日。</w:t>
      </w:r>
    </w:p>
    <w:p>
      <w:pPr>
        <w:pStyle w:val="22"/>
        <w:spacing w:before="0" w:beforeAutospacing="0" w:after="0" w:afterAutospacing="0" w:line="360" w:lineRule="auto"/>
        <w:ind w:firstLine="482" w:firstLineChars="200"/>
        <w:jc w:val="both"/>
        <w:rPr>
          <w:rFonts w:hint="default"/>
          <w:b/>
          <w:bCs/>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（二）</w:t>
      </w:r>
      <w:r>
        <w:rPr>
          <w:b/>
          <w:bCs/>
          <w:color w:val="000000" w:themeColor="text1"/>
          <w:highlight w:val="none"/>
          <w14:textFill>
            <w14:solidFill>
              <w14:schemeClr w14:val="tx1"/>
            </w14:solidFill>
          </w14:textFill>
        </w:rPr>
        <w:t>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本项目确定一名中标人，公示期满后，</w:t>
      </w:r>
      <w:r>
        <w:rPr>
          <w:rFonts w:hint="eastAsia" w:ascii="宋体" w:hAnsi="宋体"/>
          <w:color w:val="000000" w:themeColor="text1"/>
          <w:kern w:val="0"/>
          <w:sz w:val="24"/>
          <w:highlight w:val="none"/>
          <w:lang w:eastAsia="zh-CN"/>
          <w14:textFill>
            <w14:solidFill>
              <w14:schemeClr w14:val="tx1"/>
            </w14:solidFill>
          </w14:textFill>
        </w:rPr>
        <w:t>招标人</w:t>
      </w:r>
      <w:r>
        <w:rPr>
          <w:rFonts w:hint="eastAsia" w:ascii="宋体" w:hAnsi="宋体"/>
          <w:color w:val="000000" w:themeColor="text1"/>
          <w:kern w:val="0"/>
          <w:sz w:val="24"/>
          <w:highlight w:val="none"/>
          <w14:textFill>
            <w14:solidFill>
              <w14:schemeClr w14:val="tx1"/>
            </w14:solidFill>
          </w14:textFill>
        </w:rPr>
        <w:t>应确定本项目第一中标候选人为本项目中标人。</w:t>
      </w:r>
    </w:p>
    <w:p>
      <w:pPr>
        <w:pStyle w:val="8"/>
        <w:numPr>
          <w:ilvl w:val="0"/>
          <w:numId w:val="8"/>
        </w:numPr>
        <w:spacing w:line="360" w:lineRule="auto"/>
        <w:ind w:firstLine="482" w:firstLineChars="200"/>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发放中标通知书</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lang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应当确定第一中标候选人为中标人。如涉及第二中标候选人和其他投标人资格无效的，评标结果不作调整。</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第一中标候选人放弃中标，或者因不可抗力提出不能履行合同，或者因违反规定造成其资格无效的，</w:t>
      </w:r>
      <w:r>
        <w:rPr>
          <w:rFonts w:hint="eastAsia"/>
          <w:color w:val="000000" w:themeColor="text1"/>
          <w:szCs w:val="32"/>
          <w:highlight w:val="none"/>
          <w:lang w:val="en-US"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可以确定第二中标候选人为中标人。如涉及其他投标人资格无效的，评标结果不作调整。如第二中标候选人存在上述同样情形的，本次招标失败，重新组织招标。</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中标人确定后，</w:t>
      </w:r>
      <w:r>
        <w:rPr>
          <w:rFonts w:hint="eastAsia"/>
          <w:color w:val="000000" w:themeColor="text1"/>
          <w:szCs w:val="32"/>
          <w:highlight w:val="none"/>
          <w:lang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应当向中标人发出《中标通知书》。</w:t>
      </w:r>
    </w:p>
    <w:p>
      <w:pPr>
        <w:pStyle w:val="10"/>
        <w:tabs>
          <w:tab w:val="left" w:pos="574"/>
        </w:tabs>
        <w:spacing w:line="400" w:lineRule="exact"/>
        <w:ind w:firstLine="480" w:firstLineChars="200"/>
        <w:rPr>
          <w:color w:val="000000" w:themeColor="text1"/>
          <w:szCs w:val="32"/>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《中标通知书》对</w:t>
      </w:r>
      <w:r>
        <w:rPr>
          <w:rFonts w:hint="eastAsia"/>
          <w:color w:val="000000" w:themeColor="text1"/>
          <w:szCs w:val="32"/>
          <w:highlight w:val="none"/>
          <w:lang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七</w:t>
      </w:r>
      <w:r>
        <w:rPr>
          <w:rFonts w:ascii="宋体" w:hAnsi="宋体" w:eastAsia="宋体"/>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应当自中标通知书发出之日起30日内，按照招标文件和中标人投标文件内容要求，与中标人签订合同。所签订的合同不得对招标文件确定的事项和中标人投标文件作实质性修改。</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不得向中标人提出任何不合理的要求作为签订合同的条件。</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3.中标人无故拖延、拒签合同的，将取消中标资格。</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4.中标人拒绝与</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签订合同的，</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可以按照评标报告推荐的中标候选人名单排序，确定下一候选人为中标人，也可以重新开展政府采购活动。同时，拒绝与</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签订合同的中标人，由同级财政部门依法作出处理。</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5.询问或者质疑事项可能影响中标结果的，</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应当暂停签订合同，已经签订合同的，应当中止履行合同。</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八、询问、质疑与投诉</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投标人对政府采购活动事项（招标文件、</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过程和中标结果）有疑问的，可以向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提出询问，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将及时作出答复，但答复的内容不涉及商业秘密。询问可以口头方式提出，也可以书面方式提出。联系方式见第一章“投标邀请”中“</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的名称、地址和联系方式”。</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1.报名本项目的投标人认为招标文件、</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过程和中标结果使自己的权益受到损害的，通过书面形式一次性向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（2）投标人对</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过程提出质疑的，应当在各</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程序环节结束之日起7个工作日内提出质疑；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（3）投标人对中标结果提出质疑的，应当在中标结果公告期限届满之日起7个工作日内提出质疑。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在收到投标人的书面质疑后7个工作日内作出答复，并以书面形式回复质疑投标人和其他有关投标人，但答复内容不涉及商业秘密。</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（三）投诉</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的质疑答复不满意或在规定时间内未得到答复的，可以在答复期满后15个工作日内，向监督管理机构投诉。</w:t>
      </w:r>
    </w:p>
    <w:p>
      <w:pPr>
        <w:pStyle w:val="8"/>
        <w:spacing w:line="360" w:lineRule="auto"/>
        <w:ind w:firstLine="480" w:firstLineChars="200"/>
        <w:jc w:val="both"/>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5"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5"/>
    </w:p>
    <w:p>
      <w:pPr>
        <w:spacing w:line="360" w:lineRule="auto"/>
        <w:ind w:firstLine="421"/>
        <w:rPr>
          <w:rFonts w:hint="eastAsia" w:ascii="宋体" w:hAnsi="宋体" w:cs="宋体"/>
          <w:b/>
          <w:sz w:val="24"/>
          <w:highlight w:val="none"/>
          <w:u w:val="single"/>
        </w:rPr>
      </w:pPr>
    </w:p>
    <w:p>
      <w:pPr>
        <w:pStyle w:val="11"/>
        <w:numPr>
          <w:ilvl w:val="0"/>
          <w:numId w:val="0"/>
        </w:num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招标清单及技术指标要求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498"/>
        <w:gridCol w:w="3877"/>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8" w:type="dxa"/>
            <w:noWrap w:val="0"/>
            <w:vAlign w:val="center"/>
          </w:tcPr>
          <w:p>
            <w:pPr>
              <w:spacing w:line="240" w:lineRule="auto"/>
              <w:jc w:val="center"/>
              <w:rPr>
                <w:rFonts w:hint="eastAsia"/>
                <w:b/>
                <w:bCs/>
                <w:sz w:val="21"/>
                <w:szCs w:val="21"/>
                <w:highlight w:val="none"/>
              </w:rPr>
            </w:pPr>
            <w:r>
              <w:rPr>
                <w:rFonts w:hint="eastAsia"/>
                <w:b/>
                <w:bCs/>
                <w:sz w:val="21"/>
                <w:szCs w:val="21"/>
                <w:highlight w:val="none"/>
              </w:rPr>
              <w:t>序号</w:t>
            </w:r>
          </w:p>
        </w:tc>
        <w:tc>
          <w:tcPr>
            <w:tcW w:w="2498" w:type="dxa"/>
            <w:noWrap w:val="0"/>
            <w:vAlign w:val="center"/>
          </w:tcPr>
          <w:p>
            <w:pPr>
              <w:spacing w:line="240" w:lineRule="auto"/>
              <w:jc w:val="center"/>
              <w:rPr>
                <w:rFonts w:hint="eastAsia"/>
                <w:b/>
                <w:bCs/>
                <w:sz w:val="21"/>
                <w:szCs w:val="21"/>
                <w:highlight w:val="none"/>
              </w:rPr>
            </w:pPr>
            <w:r>
              <w:rPr>
                <w:rFonts w:hint="eastAsia"/>
                <w:b/>
                <w:bCs/>
                <w:sz w:val="21"/>
                <w:szCs w:val="21"/>
                <w:highlight w:val="none"/>
              </w:rPr>
              <w:t>设备</w:t>
            </w:r>
          </w:p>
        </w:tc>
        <w:tc>
          <w:tcPr>
            <w:tcW w:w="3877" w:type="dxa"/>
            <w:noWrap w:val="0"/>
            <w:vAlign w:val="center"/>
          </w:tcPr>
          <w:p>
            <w:pPr>
              <w:spacing w:line="240" w:lineRule="auto"/>
              <w:jc w:val="center"/>
              <w:rPr>
                <w:rFonts w:hint="eastAsia"/>
                <w:b/>
                <w:bCs/>
                <w:sz w:val="21"/>
                <w:szCs w:val="21"/>
                <w:highlight w:val="none"/>
              </w:rPr>
            </w:pPr>
            <w:r>
              <w:rPr>
                <w:rFonts w:hint="eastAsia"/>
                <w:b/>
                <w:bCs/>
                <w:sz w:val="21"/>
                <w:szCs w:val="21"/>
                <w:highlight w:val="none"/>
              </w:rPr>
              <w:t>型号/规格</w:t>
            </w:r>
          </w:p>
        </w:tc>
        <w:tc>
          <w:tcPr>
            <w:tcW w:w="1742" w:type="dxa"/>
            <w:noWrap w:val="0"/>
            <w:vAlign w:val="center"/>
          </w:tcPr>
          <w:p>
            <w:pPr>
              <w:spacing w:line="240" w:lineRule="auto"/>
              <w:jc w:val="center"/>
              <w:rPr>
                <w:rFonts w:hint="eastAsia" w:eastAsia="宋体"/>
                <w:b/>
                <w:bCs/>
                <w:sz w:val="21"/>
                <w:szCs w:val="21"/>
                <w:highlight w:val="none"/>
                <w:lang w:eastAsia="zh-CN"/>
              </w:rPr>
            </w:pPr>
            <w:r>
              <w:rPr>
                <w:rFonts w:hint="eastAsia"/>
                <w:b/>
                <w:bCs/>
                <w:sz w:val="21"/>
                <w:szCs w:val="21"/>
                <w:highlight w:val="none"/>
                <w:lang w:val="en-US" w:eastAsia="zh-CN"/>
              </w:rPr>
              <w:t>全费用</w:t>
            </w:r>
            <w:r>
              <w:rPr>
                <w:rFonts w:hint="eastAsia"/>
                <w:b/>
                <w:bCs/>
                <w:sz w:val="21"/>
                <w:szCs w:val="21"/>
                <w:highlight w:val="none"/>
                <w:lang w:eastAsia="zh-CN"/>
              </w:rPr>
              <w:t>综合单价</w:t>
            </w:r>
          </w:p>
          <w:p>
            <w:pPr>
              <w:spacing w:line="240" w:lineRule="auto"/>
              <w:jc w:val="center"/>
              <w:rPr>
                <w:rFonts w:hint="eastAsia"/>
                <w:b/>
                <w:bCs/>
                <w:sz w:val="21"/>
                <w:szCs w:val="21"/>
                <w:highlight w:val="none"/>
              </w:rPr>
            </w:pPr>
            <w:r>
              <w:rPr>
                <w:rFonts w:hint="eastAsia"/>
                <w:b/>
                <w:bCs/>
                <w:sz w:val="21"/>
                <w:szCs w:val="21"/>
                <w:highlight w:val="none"/>
              </w:rPr>
              <w:t>（元/台班）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restart"/>
            <w:noWrap w:val="0"/>
            <w:vAlign w:val="center"/>
          </w:tcPr>
          <w:p>
            <w:pPr>
              <w:spacing w:line="240" w:lineRule="auto"/>
              <w:jc w:val="center"/>
              <w:rPr>
                <w:rFonts w:hint="eastAsia"/>
                <w:sz w:val="21"/>
                <w:szCs w:val="21"/>
                <w:highlight w:val="none"/>
              </w:rPr>
            </w:pPr>
            <w:r>
              <w:rPr>
                <w:rFonts w:hint="eastAsia"/>
                <w:sz w:val="21"/>
                <w:szCs w:val="21"/>
                <w:highlight w:val="none"/>
              </w:rPr>
              <w:t>1</w:t>
            </w:r>
          </w:p>
        </w:tc>
        <w:tc>
          <w:tcPr>
            <w:tcW w:w="2498" w:type="dxa"/>
            <w:vMerge w:val="restart"/>
            <w:noWrap w:val="0"/>
            <w:vAlign w:val="center"/>
          </w:tcPr>
          <w:p>
            <w:pPr>
              <w:spacing w:line="240" w:lineRule="auto"/>
              <w:jc w:val="center"/>
              <w:rPr>
                <w:rFonts w:hint="eastAsia"/>
                <w:sz w:val="21"/>
                <w:szCs w:val="21"/>
                <w:highlight w:val="none"/>
              </w:rPr>
            </w:pPr>
            <w:r>
              <w:rPr>
                <w:rFonts w:hint="eastAsia"/>
                <w:sz w:val="21"/>
                <w:szCs w:val="21"/>
                <w:highlight w:val="none"/>
              </w:rPr>
              <w:t>挖机（履带式）（含进出场费）</w:t>
            </w: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50（60）</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120</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200</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lang w:val="en-US" w:eastAsia="zh-CN"/>
              </w:rPr>
              <w:t>120履带</w:t>
            </w:r>
            <w:r>
              <w:rPr>
                <w:rFonts w:hint="eastAsia"/>
                <w:sz w:val="21"/>
                <w:szCs w:val="21"/>
                <w:highlight w:val="none"/>
              </w:rPr>
              <w:t>式炮头</w:t>
            </w:r>
            <w:r>
              <w:rPr>
                <w:rFonts w:hint="eastAsia"/>
                <w:sz w:val="21"/>
                <w:szCs w:val="21"/>
                <w:highlight w:val="none"/>
                <w:lang w:eastAsia="zh-CN"/>
              </w:rPr>
              <w:t>机</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8" w:type="dxa"/>
            <w:noWrap w:val="0"/>
            <w:vAlign w:val="center"/>
          </w:tcPr>
          <w:p>
            <w:pPr>
              <w:spacing w:line="240" w:lineRule="auto"/>
              <w:jc w:val="center"/>
              <w:rPr>
                <w:rFonts w:hint="eastAsia"/>
                <w:sz w:val="21"/>
                <w:szCs w:val="21"/>
                <w:highlight w:val="none"/>
              </w:rPr>
            </w:pPr>
            <w:r>
              <w:rPr>
                <w:rFonts w:hint="eastAsia"/>
                <w:sz w:val="21"/>
                <w:szCs w:val="21"/>
                <w:highlight w:val="none"/>
              </w:rPr>
              <w:t>2</w:t>
            </w:r>
          </w:p>
        </w:tc>
        <w:tc>
          <w:tcPr>
            <w:tcW w:w="2498" w:type="dxa"/>
            <w:noWrap w:val="0"/>
            <w:vAlign w:val="center"/>
          </w:tcPr>
          <w:p>
            <w:pPr>
              <w:spacing w:line="240" w:lineRule="auto"/>
              <w:jc w:val="center"/>
              <w:rPr>
                <w:rFonts w:hint="eastAsia"/>
                <w:sz w:val="21"/>
                <w:szCs w:val="21"/>
                <w:highlight w:val="none"/>
              </w:rPr>
            </w:pPr>
            <w:r>
              <w:rPr>
                <w:rFonts w:hint="eastAsia"/>
                <w:sz w:val="21"/>
                <w:szCs w:val="21"/>
                <w:highlight w:val="none"/>
              </w:rPr>
              <w:t>挖机轮胎式</w:t>
            </w: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60型轮胎式</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8" w:type="dxa"/>
            <w:noWrap w:val="0"/>
            <w:vAlign w:val="center"/>
          </w:tcPr>
          <w:p>
            <w:pPr>
              <w:spacing w:line="240" w:lineRule="auto"/>
              <w:jc w:val="center"/>
              <w:rPr>
                <w:rFonts w:hint="eastAsia"/>
                <w:sz w:val="21"/>
                <w:szCs w:val="21"/>
                <w:highlight w:val="none"/>
                <w:lang w:val="en-US" w:eastAsia="zh-CN"/>
              </w:rPr>
            </w:pPr>
            <w:r>
              <w:rPr>
                <w:rFonts w:hint="eastAsia"/>
                <w:sz w:val="21"/>
                <w:szCs w:val="21"/>
                <w:highlight w:val="none"/>
              </w:rPr>
              <w:t>3</w:t>
            </w:r>
          </w:p>
        </w:tc>
        <w:tc>
          <w:tcPr>
            <w:tcW w:w="2498" w:type="dxa"/>
            <w:noWrap w:val="0"/>
            <w:vAlign w:val="center"/>
          </w:tcPr>
          <w:p>
            <w:pPr>
              <w:spacing w:line="240" w:lineRule="auto"/>
              <w:jc w:val="center"/>
              <w:rPr>
                <w:rFonts w:hint="eastAsia"/>
                <w:sz w:val="21"/>
                <w:szCs w:val="21"/>
                <w:highlight w:val="none"/>
                <w:lang w:eastAsia="zh-CN"/>
              </w:rPr>
            </w:pPr>
            <w:r>
              <w:rPr>
                <w:rFonts w:hint="eastAsia"/>
                <w:sz w:val="21"/>
                <w:szCs w:val="21"/>
                <w:highlight w:val="none"/>
                <w:lang w:eastAsia="zh-CN"/>
              </w:rPr>
              <w:t>轮式破碎机（炮头机）</w:t>
            </w: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lang w:val="en-US" w:eastAsia="zh-CN"/>
              </w:rPr>
              <w:t>60、</w:t>
            </w:r>
            <w:r>
              <w:rPr>
                <w:rFonts w:hint="eastAsia"/>
                <w:sz w:val="21"/>
                <w:szCs w:val="21"/>
                <w:highlight w:val="none"/>
              </w:rPr>
              <w:t>70轮胎式炮头</w:t>
            </w:r>
            <w:r>
              <w:rPr>
                <w:rFonts w:hint="eastAsia"/>
                <w:sz w:val="21"/>
                <w:szCs w:val="21"/>
                <w:highlight w:val="none"/>
                <w:lang w:eastAsia="zh-CN"/>
              </w:rPr>
              <w:t>机</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restart"/>
            <w:noWrap w:val="0"/>
            <w:vAlign w:val="center"/>
          </w:tcPr>
          <w:p>
            <w:pPr>
              <w:spacing w:line="240" w:lineRule="auto"/>
              <w:jc w:val="center"/>
              <w:rPr>
                <w:rFonts w:hint="eastAsia"/>
                <w:sz w:val="21"/>
                <w:szCs w:val="21"/>
                <w:highlight w:val="none"/>
              </w:rPr>
            </w:pPr>
            <w:r>
              <w:rPr>
                <w:rFonts w:hint="eastAsia"/>
                <w:sz w:val="21"/>
                <w:szCs w:val="21"/>
                <w:highlight w:val="none"/>
              </w:rPr>
              <w:t>4</w:t>
            </w:r>
          </w:p>
        </w:tc>
        <w:tc>
          <w:tcPr>
            <w:tcW w:w="2498" w:type="dxa"/>
            <w:vMerge w:val="restart"/>
            <w:noWrap w:val="0"/>
            <w:vAlign w:val="center"/>
          </w:tcPr>
          <w:p>
            <w:pPr>
              <w:spacing w:line="240" w:lineRule="auto"/>
              <w:jc w:val="center"/>
              <w:rPr>
                <w:rFonts w:hint="eastAsia"/>
                <w:sz w:val="21"/>
                <w:szCs w:val="21"/>
                <w:highlight w:val="none"/>
              </w:rPr>
            </w:pPr>
            <w:r>
              <w:rPr>
                <w:rFonts w:hint="eastAsia"/>
                <w:sz w:val="21"/>
                <w:szCs w:val="21"/>
                <w:highlight w:val="none"/>
              </w:rPr>
              <w:t>吊车（含吊带、钢丝索）</w:t>
            </w: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8吨</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16吨</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25吨</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lang w:val="en-US" w:eastAsia="zh-CN"/>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35吨</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50吨</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0吨</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Merge w:val="restart"/>
            <w:noWrap w:val="0"/>
            <w:vAlign w:val="center"/>
          </w:tcPr>
          <w:p>
            <w:pPr>
              <w:spacing w:line="240" w:lineRule="auto"/>
              <w:jc w:val="center"/>
              <w:rPr>
                <w:rFonts w:hint="eastAsia"/>
                <w:sz w:val="21"/>
                <w:szCs w:val="21"/>
                <w:highlight w:val="none"/>
              </w:rPr>
            </w:pPr>
            <w:r>
              <w:rPr>
                <w:rFonts w:hint="eastAsia"/>
                <w:sz w:val="21"/>
                <w:szCs w:val="21"/>
                <w:highlight w:val="none"/>
              </w:rPr>
              <w:t>5</w:t>
            </w:r>
          </w:p>
        </w:tc>
        <w:tc>
          <w:tcPr>
            <w:tcW w:w="2498" w:type="dxa"/>
            <w:vMerge w:val="restart"/>
            <w:noWrap w:val="0"/>
            <w:vAlign w:val="center"/>
          </w:tcPr>
          <w:p>
            <w:pPr>
              <w:spacing w:line="240" w:lineRule="auto"/>
              <w:jc w:val="center"/>
              <w:rPr>
                <w:rFonts w:hint="eastAsia"/>
                <w:sz w:val="21"/>
                <w:szCs w:val="21"/>
                <w:highlight w:val="none"/>
              </w:rPr>
            </w:pPr>
            <w:r>
              <w:rPr>
                <w:rFonts w:hint="eastAsia"/>
                <w:sz w:val="21"/>
                <w:szCs w:val="21"/>
                <w:highlight w:val="none"/>
              </w:rPr>
              <w:t>运输车辆</w:t>
            </w: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lang w:val="en-US" w:eastAsia="zh-CN"/>
              </w:rPr>
              <w:t>1.0吨</w:t>
            </w:r>
            <w:r>
              <w:rPr>
                <w:rFonts w:hint="eastAsia"/>
                <w:sz w:val="21"/>
                <w:szCs w:val="21"/>
                <w:highlight w:val="none"/>
              </w:rPr>
              <w:t>轻型自卸货车斗容量2立方</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lang w:val="en-US" w:eastAsia="zh-CN"/>
              </w:rPr>
              <w:t>1.5吨</w:t>
            </w:r>
            <w:r>
              <w:rPr>
                <w:rFonts w:hint="eastAsia"/>
                <w:sz w:val="21"/>
                <w:szCs w:val="21"/>
                <w:highlight w:val="none"/>
              </w:rPr>
              <w:t>轻型自卸货车斗容量7立方</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lang w:val="en-US" w:eastAsia="zh-CN"/>
              </w:rPr>
              <w:t>10吨</w:t>
            </w:r>
            <w:r>
              <w:rPr>
                <w:rFonts w:hint="eastAsia"/>
                <w:sz w:val="21"/>
                <w:szCs w:val="21"/>
                <w:highlight w:val="none"/>
              </w:rPr>
              <w:t>中型货车（规格：10立方）</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lang w:eastAsia="zh-CN"/>
              </w:rPr>
            </w:pPr>
            <w:r>
              <w:rPr>
                <w:rFonts w:hint="eastAsia"/>
                <w:sz w:val="21"/>
                <w:szCs w:val="21"/>
                <w:highlight w:val="none"/>
                <w:lang w:val="en-US" w:eastAsia="zh-CN"/>
              </w:rPr>
              <w:t>15吨</w:t>
            </w:r>
            <w:r>
              <w:rPr>
                <w:rFonts w:hint="eastAsia"/>
                <w:sz w:val="21"/>
                <w:szCs w:val="21"/>
                <w:highlight w:val="none"/>
              </w:rPr>
              <w:t>重型自卸货车（规格：21立方</w:t>
            </w:r>
            <w:r>
              <w:rPr>
                <w:rFonts w:hint="eastAsia"/>
                <w:sz w:val="21"/>
                <w:szCs w:val="21"/>
                <w:highlight w:val="none"/>
                <w:lang w:eastAsia="zh-CN"/>
              </w:rPr>
              <w:t>）</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lang w:val="en-US" w:eastAsia="zh-CN"/>
              </w:rPr>
              <w:t>15吨</w:t>
            </w:r>
            <w:r>
              <w:rPr>
                <w:rFonts w:hint="eastAsia"/>
                <w:sz w:val="21"/>
                <w:szCs w:val="21"/>
                <w:highlight w:val="none"/>
              </w:rPr>
              <w:t>重型自卸货车（规格：25立方）</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48" w:type="dxa"/>
            <w:vMerge w:val="restart"/>
            <w:noWrap w:val="0"/>
            <w:vAlign w:val="center"/>
          </w:tcPr>
          <w:p>
            <w:pPr>
              <w:spacing w:line="240" w:lineRule="auto"/>
              <w:jc w:val="center"/>
              <w:rPr>
                <w:rFonts w:hint="eastAsia"/>
                <w:sz w:val="21"/>
                <w:szCs w:val="21"/>
                <w:highlight w:val="none"/>
              </w:rPr>
            </w:pPr>
            <w:r>
              <w:rPr>
                <w:rFonts w:hint="eastAsia"/>
                <w:sz w:val="21"/>
                <w:szCs w:val="21"/>
                <w:highlight w:val="none"/>
              </w:rPr>
              <w:t>6</w:t>
            </w:r>
          </w:p>
        </w:tc>
        <w:tc>
          <w:tcPr>
            <w:tcW w:w="2498" w:type="dxa"/>
            <w:vMerge w:val="restart"/>
            <w:noWrap w:val="0"/>
            <w:vAlign w:val="center"/>
          </w:tcPr>
          <w:p>
            <w:pPr>
              <w:spacing w:line="240" w:lineRule="auto"/>
              <w:jc w:val="center"/>
              <w:rPr>
                <w:rFonts w:hint="eastAsia"/>
                <w:sz w:val="21"/>
                <w:szCs w:val="21"/>
                <w:highlight w:val="none"/>
              </w:rPr>
            </w:pPr>
            <w:r>
              <w:rPr>
                <w:rFonts w:hint="eastAsia"/>
                <w:sz w:val="21"/>
                <w:szCs w:val="21"/>
                <w:highlight w:val="none"/>
              </w:rPr>
              <w:t>铲车（轮式装载机）</w:t>
            </w: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小型﹤</w:t>
            </w:r>
            <w:r>
              <w:rPr>
                <w:rFonts w:hint="eastAsia"/>
                <w:sz w:val="21"/>
                <w:szCs w:val="21"/>
                <w:highlight w:val="none"/>
                <w:lang w:val="en-US" w:eastAsia="zh-CN"/>
              </w:rPr>
              <w:t>0.3ｍ³</w:t>
            </w:r>
            <w:r>
              <w:rPr>
                <w:rFonts w:hint="eastAsia"/>
                <w:sz w:val="21"/>
                <w:szCs w:val="21"/>
                <w:highlight w:val="none"/>
              </w:rPr>
              <w:t>（型号12、型号15）</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中型</w:t>
            </w:r>
            <w:r>
              <w:rPr>
                <w:rFonts w:hint="eastAsia"/>
                <w:sz w:val="21"/>
                <w:szCs w:val="21"/>
                <w:highlight w:val="none"/>
                <w:lang w:val="en-US" w:eastAsia="zh-CN"/>
              </w:rPr>
              <w:t>0.8ｍ³</w:t>
            </w:r>
            <w:r>
              <w:rPr>
                <w:rFonts w:hint="eastAsia"/>
                <w:sz w:val="21"/>
                <w:szCs w:val="21"/>
                <w:highlight w:val="none"/>
              </w:rPr>
              <w:t>（型号30）</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240" w:lineRule="auto"/>
              <w:jc w:val="center"/>
              <w:rPr>
                <w:rFonts w:hint="eastAsia"/>
                <w:sz w:val="21"/>
                <w:szCs w:val="21"/>
                <w:highlight w:val="none"/>
              </w:rPr>
            </w:pPr>
          </w:p>
        </w:tc>
        <w:tc>
          <w:tcPr>
            <w:tcW w:w="2498" w:type="dxa"/>
            <w:vMerge w:val="continue"/>
            <w:noWrap w:val="0"/>
            <w:vAlign w:val="center"/>
          </w:tcPr>
          <w:p>
            <w:pPr>
              <w:spacing w:line="240" w:lineRule="auto"/>
              <w:jc w:val="center"/>
              <w:rPr>
                <w:rFonts w:hint="eastAsia"/>
                <w:sz w:val="21"/>
                <w:szCs w:val="21"/>
                <w:highlight w:val="none"/>
              </w:rPr>
            </w:pP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大型</w:t>
            </w:r>
            <w:r>
              <w:rPr>
                <w:rFonts w:hint="eastAsia"/>
                <w:sz w:val="21"/>
                <w:szCs w:val="21"/>
                <w:highlight w:val="none"/>
                <w:lang w:val="en-US" w:eastAsia="zh-CN"/>
              </w:rPr>
              <w:t>1.5ｍ³</w:t>
            </w:r>
            <w:r>
              <w:rPr>
                <w:rFonts w:hint="eastAsia"/>
                <w:sz w:val="21"/>
                <w:szCs w:val="21"/>
                <w:highlight w:val="none"/>
              </w:rPr>
              <w:t>（型号50）</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48" w:type="dxa"/>
            <w:noWrap w:val="0"/>
            <w:vAlign w:val="center"/>
          </w:tcPr>
          <w:p>
            <w:pPr>
              <w:spacing w:line="240" w:lineRule="auto"/>
              <w:jc w:val="center"/>
              <w:rPr>
                <w:rFonts w:hint="eastAsia"/>
                <w:sz w:val="21"/>
                <w:szCs w:val="21"/>
                <w:highlight w:val="none"/>
              </w:rPr>
            </w:pPr>
            <w:r>
              <w:rPr>
                <w:rFonts w:hint="eastAsia"/>
                <w:sz w:val="21"/>
                <w:szCs w:val="21"/>
                <w:highlight w:val="none"/>
              </w:rPr>
              <w:t>7</w:t>
            </w:r>
          </w:p>
        </w:tc>
        <w:tc>
          <w:tcPr>
            <w:tcW w:w="2498" w:type="dxa"/>
            <w:noWrap w:val="0"/>
            <w:vAlign w:val="center"/>
          </w:tcPr>
          <w:p>
            <w:pPr>
              <w:spacing w:line="240" w:lineRule="auto"/>
              <w:jc w:val="center"/>
              <w:rPr>
                <w:rFonts w:hint="eastAsia"/>
                <w:sz w:val="21"/>
                <w:szCs w:val="21"/>
                <w:highlight w:val="none"/>
              </w:rPr>
            </w:pPr>
            <w:r>
              <w:rPr>
                <w:rFonts w:hint="eastAsia"/>
                <w:sz w:val="21"/>
                <w:szCs w:val="21"/>
                <w:highlight w:val="none"/>
              </w:rPr>
              <w:t>叉车</w:t>
            </w: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3吨</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8" w:type="dxa"/>
            <w:noWrap w:val="0"/>
            <w:vAlign w:val="center"/>
          </w:tcPr>
          <w:p>
            <w:pPr>
              <w:spacing w:line="240" w:lineRule="auto"/>
              <w:jc w:val="center"/>
              <w:rPr>
                <w:rFonts w:hint="eastAsia"/>
                <w:sz w:val="21"/>
                <w:szCs w:val="21"/>
                <w:highlight w:val="none"/>
              </w:rPr>
            </w:pPr>
            <w:r>
              <w:rPr>
                <w:rFonts w:hint="eastAsia"/>
                <w:sz w:val="21"/>
                <w:szCs w:val="21"/>
                <w:highlight w:val="none"/>
              </w:rPr>
              <w:t>8</w:t>
            </w:r>
          </w:p>
        </w:tc>
        <w:tc>
          <w:tcPr>
            <w:tcW w:w="2498" w:type="dxa"/>
            <w:noWrap w:val="0"/>
            <w:vAlign w:val="center"/>
          </w:tcPr>
          <w:p>
            <w:pPr>
              <w:spacing w:line="240" w:lineRule="auto"/>
              <w:jc w:val="center"/>
              <w:rPr>
                <w:rFonts w:hint="eastAsia"/>
                <w:sz w:val="21"/>
                <w:szCs w:val="21"/>
                <w:highlight w:val="none"/>
              </w:rPr>
            </w:pPr>
            <w:r>
              <w:rPr>
                <w:rFonts w:hint="eastAsia"/>
                <w:sz w:val="21"/>
                <w:szCs w:val="21"/>
                <w:highlight w:val="none"/>
              </w:rPr>
              <w:t>随车吊（含吊带、钢丝索）</w:t>
            </w: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10吨</w:t>
            </w:r>
          </w:p>
        </w:tc>
        <w:tc>
          <w:tcPr>
            <w:tcW w:w="1742" w:type="dxa"/>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48" w:type="dxa"/>
            <w:noWrap w:val="0"/>
            <w:vAlign w:val="center"/>
          </w:tcPr>
          <w:p>
            <w:pPr>
              <w:spacing w:line="240" w:lineRule="auto"/>
              <w:jc w:val="center"/>
              <w:rPr>
                <w:rFonts w:hint="eastAsia"/>
                <w:sz w:val="21"/>
                <w:szCs w:val="21"/>
                <w:highlight w:val="none"/>
              </w:rPr>
            </w:pPr>
            <w:r>
              <w:rPr>
                <w:rFonts w:hint="eastAsia"/>
                <w:sz w:val="21"/>
                <w:szCs w:val="21"/>
                <w:highlight w:val="none"/>
                <w:lang w:val="en-US" w:eastAsia="zh-CN"/>
              </w:rPr>
              <w:t>9</w:t>
            </w:r>
          </w:p>
        </w:tc>
        <w:tc>
          <w:tcPr>
            <w:tcW w:w="2498" w:type="dxa"/>
            <w:noWrap w:val="0"/>
            <w:vAlign w:val="center"/>
          </w:tcPr>
          <w:p>
            <w:pPr>
              <w:spacing w:line="240" w:lineRule="auto"/>
              <w:jc w:val="center"/>
              <w:rPr>
                <w:rFonts w:hint="eastAsia"/>
                <w:sz w:val="21"/>
                <w:szCs w:val="21"/>
                <w:highlight w:val="none"/>
              </w:rPr>
            </w:pPr>
            <w:r>
              <w:rPr>
                <w:rFonts w:hint="eastAsia"/>
                <w:sz w:val="21"/>
                <w:szCs w:val="21"/>
                <w:highlight w:val="none"/>
              </w:rPr>
              <w:t>夹抱机</w:t>
            </w:r>
          </w:p>
        </w:tc>
        <w:tc>
          <w:tcPr>
            <w:tcW w:w="3877" w:type="dxa"/>
            <w:noWrap w:val="0"/>
            <w:vAlign w:val="center"/>
          </w:tcPr>
          <w:p>
            <w:pPr>
              <w:spacing w:line="240" w:lineRule="auto"/>
              <w:jc w:val="center"/>
              <w:rPr>
                <w:rFonts w:hint="eastAsia"/>
                <w:sz w:val="21"/>
                <w:szCs w:val="21"/>
                <w:highlight w:val="none"/>
              </w:rPr>
            </w:pPr>
            <w:r>
              <w:rPr>
                <w:rFonts w:hint="eastAsia"/>
                <w:sz w:val="21"/>
                <w:szCs w:val="21"/>
                <w:highlight w:val="none"/>
              </w:rPr>
              <w:t>/</w:t>
            </w:r>
          </w:p>
        </w:tc>
        <w:tc>
          <w:tcPr>
            <w:tcW w:w="1742" w:type="dxa"/>
            <w:noWrap w:val="0"/>
            <w:vAlign w:val="center"/>
          </w:tcPr>
          <w:p>
            <w:pPr>
              <w:spacing w:line="240" w:lineRule="auto"/>
              <w:jc w:val="center"/>
              <w:rPr>
                <w:rFonts w:hint="eastAsia"/>
                <w:sz w:val="21"/>
                <w:szCs w:val="21"/>
                <w:highlight w:val="none"/>
              </w:rPr>
            </w:pPr>
            <w:r>
              <w:rPr>
                <w:rFonts w:hint="eastAsia"/>
                <w:sz w:val="21"/>
                <w:szCs w:val="21"/>
                <w:highlight w:val="none"/>
              </w:rPr>
              <w:t>1600</w:t>
            </w:r>
          </w:p>
        </w:tc>
      </w:tr>
    </w:tbl>
    <w:p>
      <w:pPr>
        <w:spacing w:line="360" w:lineRule="auto"/>
        <w:rPr>
          <w:rFonts w:hint="eastAsia"/>
          <w:b/>
          <w:bCs/>
          <w:color w:val="auto"/>
          <w:sz w:val="21"/>
          <w:highlight w:val="none"/>
        </w:rPr>
      </w:pPr>
    </w:p>
    <w:p>
      <w:pPr>
        <w:spacing w:line="360" w:lineRule="auto"/>
        <w:rPr>
          <w:rFonts w:hint="eastAsia"/>
          <w:b/>
          <w:bCs/>
          <w:color w:val="auto"/>
          <w:sz w:val="21"/>
          <w:highlight w:val="none"/>
        </w:rPr>
      </w:pPr>
      <w:r>
        <w:rPr>
          <w:rFonts w:hint="eastAsia"/>
          <w:b/>
          <w:bCs/>
          <w:color w:val="auto"/>
          <w:sz w:val="21"/>
          <w:highlight w:val="none"/>
        </w:rPr>
        <w:t>注：上述机械设备品牌/类型只需具有其中一个即可，每个台班按8小时计算。实际租赁机械设备按2个小时起算（不足2小时的按2小时计），不足一个台班的每小时按中标</w:t>
      </w:r>
      <w:r>
        <w:rPr>
          <w:rFonts w:hint="eastAsia"/>
          <w:b/>
          <w:bCs/>
          <w:color w:val="auto"/>
          <w:sz w:val="21"/>
          <w:highlight w:val="none"/>
          <w:lang w:eastAsia="zh-CN"/>
        </w:rPr>
        <w:t>全费用综合单价</w:t>
      </w:r>
      <w:r>
        <w:rPr>
          <w:rFonts w:hint="eastAsia"/>
          <w:b/>
          <w:bCs/>
          <w:color w:val="auto"/>
          <w:sz w:val="21"/>
          <w:highlight w:val="none"/>
        </w:rPr>
        <w:t>/8折算。</w:t>
      </w:r>
    </w:p>
    <w:p>
      <w:pPr>
        <w:pStyle w:val="32"/>
        <w:ind w:firstLine="0" w:firstLineChars="0"/>
        <w:rPr>
          <w:color w:val="000000" w:themeColor="text1"/>
          <w:highlight w:val="none"/>
          <w14:textFill>
            <w14:solidFill>
              <w14:schemeClr w14:val="tx1"/>
            </w14:solidFill>
          </w14:textFill>
        </w:rPr>
      </w:pPr>
    </w:p>
    <w:p>
      <w:pPr>
        <w:pStyle w:val="32"/>
        <w:ind w:firstLine="0" w:firstLineChars="0"/>
        <w:rPr>
          <w:color w:val="000000" w:themeColor="text1"/>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bookmarkStart w:id="36" w:name="_Toc31173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6"/>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投标文件满足招标文件全部实质性要求，且评标委员会按照评审因素确定中标候选人。</w:t>
      </w:r>
    </w:p>
    <w:p>
      <w:pPr>
        <w:pStyle w:val="25"/>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pPr>
        <w:pStyle w:val="5"/>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cs="宋体"/>
          <w:color w:val="000000" w:themeColor="text1"/>
          <w:sz w:val="24"/>
          <w:szCs w:val="24"/>
          <w:highlight w:val="none"/>
          <w14:textFill>
            <w14:solidFill>
              <w14:schemeClr w14:val="tx1"/>
            </w14:solidFill>
          </w14:textFill>
        </w:rPr>
        <w:t>代表和评审专家组成。</w:t>
      </w:r>
    </w:p>
    <w:p>
      <w:pPr>
        <w:pStyle w:val="5"/>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（二）评标委员会成员与参与投标的供应商有下列情形之一的，应当回避：</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eastAsia="宋体"/>
          <w:color w:val="000000" w:themeColor="text1"/>
          <w:sz w:val="24"/>
          <w:highlight w:val="none"/>
          <w14:textFill>
            <w14:solidFill>
              <w14:schemeClr w14:val="tx1"/>
            </w14:solidFill>
          </w14:textFill>
        </w:rPr>
        <w:t>活动前3年内与供应商存在劳动关系；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eastAsia="宋体"/>
          <w:color w:val="000000" w:themeColor="text1"/>
          <w:sz w:val="24"/>
          <w:highlight w:val="none"/>
          <w14:textFill>
            <w14:solidFill>
              <w14:schemeClr w14:val="tx1"/>
            </w14:solidFill>
          </w14:textFill>
        </w:rPr>
        <w:t>活动前3年内担任供应商的董事、监事；</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eastAsia="宋体"/>
          <w:color w:val="000000" w:themeColor="text1"/>
          <w:sz w:val="24"/>
          <w:highlight w:val="none"/>
          <w14:textFill>
            <w14:solidFill>
              <w14:schemeClr w14:val="tx1"/>
            </w14:solidFill>
          </w14:textFill>
        </w:rPr>
        <w:t>活动前3年内是供应商的控股股东或者实际控制人；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5.与供应商有其他可能影响政府采购活动公平、公正进行的关系；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1.审查、评价投标文件是否符合招标文件的商务、技术等实质性要求；</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eastAsia="宋体"/>
          <w:color w:val="000000" w:themeColor="text1"/>
          <w:sz w:val="24"/>
          <w:highlight w:val="none"/>
          <w14:textFill>
            <w14:solidFill>
              <w14:schemeClr w14:val="tx1"/>
            </w14:solidFill>
          </w14:textFill>
        </w:rPr>
        <w:t>委托直接确定中标人；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eastAsia="宋体"/>
          <w:color w:val="000000" w:themeColor="text1"/>
          <w:sz w:val="24"/>
          <w:highlight w:val="none"/>
          <w14:textFill>
            <w14:solidFill>
              <w14:schemeClr w14:val="tx1"/>
            </w14:solidFill>
          </w14:textFill>
        </w:rPr>
        <w:t>或者有关部门报告评标中发现的违法行为；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pPr>
        <w:pStyle w:val="22"/>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pP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（一）在资格标中出现投标报价的，或者报价文件中报价的服务跟商务与技术文件中的投标服务出现重大偏差的；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（二）不具备招标文件中规定的资格要求的；</w:t>
      </w:r>
      <w:r>
        <w:rPr>
          <w:rFonts w:hint="default" w:ascii="宋体" w:hAnsi="宋体" w:eastAsia="宋体"/>
          <w:color w:val="000000" w:themeColor="text1"/>
          <w:highlight w:val="none"/>
          <w14:textFill>
            <w14:solidFill>
              <w14:schemeClr w14:val="tx1"/>
            </w14:solidFill>
          </w14:textFill>
        </w:rPr>
        <w:tab/>
      </w:r>
    </w:p>
    <w:p>
      <w:pPr>
        <w:pStyle w:val="22"/>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w:t>
      </w:r>
      <w:r>
        <w:rPr>
          <w:rFonts w:hint="eastAsia"/>
          <w:color w:val="000000" w:themeColor="text1"/>
          <w:highlight w:val="none"/>
          <w:lang w:eastAsia="zh-CN"/>
          <w14:textFill>
            <w14:solidFill>
              <w14:schemeClr w14:val="tx1"/>
            </w14:solidFill>
          </w14:textFill>
        </w:rPr>
        <w:t>招标人</w:t>
      </w:r>
      <w:r>
        <w:rPr>
          <w:rFonts w:ascii="宋体" w:hAnsi="宋体" w:eastAsia="宋体"/>
          <w:color w:val="000000" w:themeColor="text1"/>
          <w:highlight w:val="none"/>
          <w14:textFill>
            <w14:solidFill>
              <w14:schemeClr w14:val="tx1"/>
            </w14:solidFill>
          </w14:textFill>
        </w:rPr>
        <w:t>不能接受的附加条件的；</w:t>
      </w:r>
    </w:p>
    <w:p>
      <w:pPr>
        <w:pStyle w:val="8"/>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（八）有</w:t>
      </w:r>
      <w:r>
        <w:rPr>
          <w:rFonts w:ascii="宋体" w:hAnsi="宋体" w:eastAsia="宋体"/>
          <w:color w:val="000000" w:themeColor="text1"/>
          <w:kern w:val="0"/>
          <w:sz w:val="24"/>
          <w:highlight w:val="none"/>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pPr>
        <w:pStyle w:val="22"/>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实质性要求（招标文件中打“▲”内容）不响应的；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p>
    <w:p>
      <w:pP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（十五）投标人未按规定提交投标保证金的。</w:t>
      </w:r>
    </w:p>
    <w:p>
      <w:pP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（十六）其他不符合法律法规相关规定的。</w:t>
      </w:r>
    </w:p>
    <w:p>
      <w:pP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2"/>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w:t>
      </w:r>
      <w:r>
        <w:rPr>
          <w:rFonts w:hint="eastAsia" w:ascii="宋体" w:hAnsi="宋体"/>
          <w:color w:val="000000" w:themeColor="text1"/>
          <w:sz w:val="24"/>
          <w:highlight w:val="none"/>
          <w:lang w:val="en-US" w:eastAsia="zh-CN"/>
          <w14:textFill>
            <w14:solidFill>
              <w14:schemeClr w14:val="tx1"/>
            </w14:solidFill>
          </w14:textFill>
        </w:rPr>
        <w:t>招标</w:t>
      </w:r>
      <w:r>
        <w:rPr>
          <w:rFonts w:cs="宋体"/>
          <w:color w:val="000000" w:themeColor="text1"/>
          <w:highlight w:val="none"/>
          <w14:textFill>
            <w14:solidFill>
              <w14:schemeClr w14:val="tx1"/>
            </w14:solidFill>
          </w14:textFill>
        </w:rPr>
        <w:t>任务取消的；</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法律、法规和招标文件规定的其他导致评标结果无效的。</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单位签订合同的；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招标人</w:t>
      </w:r>
      <w:r>
        <w:rPr>
          <w:rFonts w:hint="eastAsia" w:ascii="宋体" w:hAnsi="宋体"/>
          <w:bCs/>
          <w:color w:val="000000" w:themeColor="text1"/>
          <w:sz w:val="24"/>
          <w:highlight w:val="none"/>
          <w14:textFill>
            <w14:solidFill>
              <w14:schemeClr w14:val="tx1"/>
            </w14:solidFill>
          </w14:textFill>
        </w:rPr>
        <w:t>同意，将中标项目分包给他人的；</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）拒绝履行合同义务的；</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lang w:val="en-US" w:eastAsia="zh-CN"/>
          <w14:textFill>
            <w14:solidFill>
              <w14:schemeClr w14:val="tx1"/>
            </w14:solidFill>
          </w14:textFill>
        </w:rPr>
        <w:t>八</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九</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pP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七、评标过程的监控</w:t>
      </w:r>
    </w:p>
    <w:p>
      <w:pPr>
        <w:pStyle w:val="22"/>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15"/>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八、</w:t>
      </w:r>
      <w:r>
        <w:rPr>
          <w:rFonts w:ascii="宋体" w:hAnsi="宋体" w:eastAsia="宋体"/>
          <w:b/>
          <w:bCs/>
          <w:color w:val="000000" w:themeColor="text1"/>
          <w:sz w:val="24"/>
          <w:highlight w:val="none"/>
          <w14:textFill>
            <w14:solidFill>
              <w14:schemeClr w14:val="tx1"/>
            </w14:solidFill>
          </w14:textFill>
        </w:rPr>
        <w:t>评标程序</w:t>
      </w:r>
    </w:p>
    <w:p>
      <w:pP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（一）资格</w:t>
      </w:r>
      <w:r>
        <w:rPr>
          <w:rFonts w:ascii="宋体" w:hAnsi="宋体" w:eastAsia="宋体"/>
          <w:b/>
          <w:bCs/>
          <w:color w:val="000000" w:themeColor="text1"/>
          <w:sz w:val="24"/>
          <w:highlight w:val="none"/>
          <w14:textFill>
            <w14:solidFill>
              <w14:schemeClr w14:val="tx1"/>
            </w14:solidFill>
          </w14:textFill>
        </w:rPr>
        <w:t>审查</w:t>
      </w:r>
    </w:p>
    <w:p>
      <w:pPr>
        <w:pStyle w:val="8"/>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招标人</w:t>
      </w:r>
      <w:r>
        <w:rPr>
          <w:rFonts w:ascii="宋体" w:hAnsi="宋体" w:eastAsia="宋体"/>
          <w:color w:val="000000" w:themeColor="text1"/>
          <w:sz w:val="24"/>
          <w:highlight w:val="none"/>
          <w14:textFill>
            <w14:solidFill>
              <w14:schemeClr w14:val="tx1"/>
            </w14:solidFill>
          </w14:textFill>
        </w:rPr>
        <w:t>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具有本项目</w:t>
            </w:r>
            <w:r>
              <w:rPr>
                <w:rFonts w:hint="eastAsia"/>
                <w:color w:val="000000" w:themeColor="text1"/>
                <w:szCs w:val="21"/>
                <w:highlight w:val="none"/>
                <w:lang w:eastAsia="zh-CN"/>
                <w14:textFill>
                  <w14:solidFill>
                    <w14:schemeClr w14:val="tx1"/>
                  </w14:solidFill>
                </w14:textFill>
              </w:rPr>
              <w:t>招标人</w:t>
            </w:r>
            <w:r>
              <w:rPr>
                <w:rFonts w:hint="eastAsia"/>
                <w:color w:val="000000" w:themeColor="text1"/>
                <w:szCs w:val="21"/>
                <w:highlight w:val="none"/>
                <w14:textFill>
                  <w14:solidFill>
                    <w14:schemeClr w14:val="tx1"/>
                  </w14:solidFill>
                </w14:textFill>
              </w:rPr>
              <w:t>需求的机械租赁服务能力的</w:t>
            </w:r>
            <w:r>
              <w:rPr>
                <w:rFonts w:hint="eastAsia"/>
                <w:color w:val="000000" w:themeColor="text1"/>
                <w:szCs w:val="21"/>
                <w:highlight w:val="none"/>
                <w:lang w:val="en-US" w:eastAsia="zh-CN"/>
                <w14:textFill>
                  <w14:solidFill>
                    <w14:schemeClr w14:val="tx1"/>
                  </w14:solidFill>
                </w14:textFill>
              </w:rPr>
              <w:t>投标供应商</w:t>
            </w:r>
          </w:p>
        </w:tc>
        <w:tc>
          <w:tcPr>
            <w:tcW w:w="7092" w:type="dxa"/>
            <w:tcMar>
              <w:top w:w="57" w:type="dxa"/>
              <w:left w:w="108" w:type="dxa"/>
              <w:bottom w:w="0" w:type="dxa"/>
              <w:right w:w="108" w:type="dxa"/>
            </w:tcMar>
            <w:vAlign w:val="center"/>
          </w:tcPr>
          <w:p>
            <w:pPr>
              <w:pStyle w:val="54"/>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lang w:val="en-US" w:eastAsia="zh-CN"/>
                <w14:textFill>
                  <w14:solidFill>
                    <w14:schemeClr w14:val="tx1"/>
                  </w14:solidFill>
                </w14:textFill>
              </w:rPr>
              <w:t>投标供应商</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1.单位负责人为同一人或者存在直接控股、管理关系的不同供应商，不得同时参加本项目投标。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2.为本项目提供项目管理、监理等服务的供应商，不得再参与本项目投标。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bl>
    <w:p>
      <w:pPr>
        <w:pStyle w:val="8"/>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eastAsia="zh-CN"/>
          <w14:textFill>
            <w14:solidFill>
              <w14:schemeClr w14:val="tx1"/>
            </w14:solidFill>
          </w14:textFill>
        </w:rPr>
        <w:t>资格标</w:t>
      </w:r>
      <w:r>
        <w:rPr>
          <w:rFonts w:ascii="宋体" w:hAnsi="宋体" w:eastAsia="宋体"/>
          <w:b/>
          <w:bCs/>
          <w:color w:val="000000" w:themeColor="text1"/>
          <w:sz w:val="24"/>
          <w:highlight w:val="none"/>
          <w14:textFill>
            <w14:solidFill>
              <w14:schemeClr w14:val="tx1"/>
            </w14:solidFill>
          </w14:textFill>
        </w:rPr>
        <w:t>审查</w:t>
      </w:r>
    </w:p>
    <w:p>
      <w:pPr>
        <w:pStyle w:val="8"/>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b/>
          <w:bCs/>
          <w:color w:val="000000" w:themeColor="text1"/>
          <w:sz w:val="24"/>
          <w:highlight w:val="none"/>
          <w:lang w:eastAsia="zh-CN"/>
          <w14:textFill>
            <w14:solidFill>
              <w14:schemeClr w14:val="tx1"/>
            </w14:solidFill>
          </w14:textFill>
        </w:rPr>
        <w:t>资格标</w:t>
      </w:r>
      <w:r>
        <w:rPr>
          <w:rFonts w:ascii="宋体" w:hAnsi="宋体" w:eastAsia="宋体"/>
          <w:color w:val="000000" w:themeColor="text1"/>
          <w:sz w:val="24"/>
          <w:highlight w:val="none"/>
          <w14:textFill>
            <w14:solidFill>
              <w14:schemeClr w14:val="tx1"/>
            </w14:solidFill>
          </w14:textFill>
        </w:rPr>
        <w:t>审查，以确定其是否满足招标文件的实质性要求，对审查发现无效的进行必要的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投标文件未含有</w:t>
            </w:r>
            <w:r>
              <w:rPr>
                <w:rFonts w:hint="eastAsia"/>
                <w:color w:val="000000" w:themeColor="text1"/>
                <w:highlight w:val="none"/>
                <w:lang w:eastAsia="zh-CN"/>
                <w14:textFill>
                  <w14:solidFill>
                    <w14:schemeClr w14:val="tx1"/>
                  </w14:solidFill>
                </w14:textFill>
              </w:rPr>
              <w:t>招标人</w:t>
            </w:r>
            <w:r>
              <w:rPr>
                <w:rFonts w:hint="eastAsia"/>
                <w:color w:val="000000" w:themeColor="text1"/>
                <w:highlight w:val="none"/>
                <w14:textFill>
                  <w14:solidFill>
                    <w14:schemeClr w14:val="tx1"/>
                  </w14:solidFill>
                </w14:textFill>
              </w:rPr>
              <w:t>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符合第一章投标邀请“七、投标保证金”</w:t>
            </w:r>
          </w:p>
        </w:tc>
      </w:tr>
    </w:tbl>
    <w:p>
      <w:pPr>
        <w:pStyle w:val="22"/>
        <w:spacing w:before="0" w:beforeAutospacing="0" w:after="0" w:afterAutospacing="0" w:line="360" w:lineRule="auto"/>
        <w:ind w:firstLine="482"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（三）</w:t>
      </w:r>
      <w:r>
        <w:rPr>
          <w:rFonts w:ascii="Arial" w:hAnsi="Arial" w:eastAsia="宋体" w:cs="Arial"/>
          <w:b/>
          <w:bCs/>
          <w:color w:val="000000" w:themeColor="text1"/>
          <w:highlight w:val="none"/>
          <w14:textFill>
            <w14:solidFill>
              <w14:schemeClr w14:val="tx1"/>
            </w14:solidFill>
          </w14:textFill>
        </w:rPr>
        <w:t>商务标评审</w:t>
      </w:r>
    </w:p>
    <w:p>
      <w:pPr>
        <w:autoSpaceDE w:val="0"/>
        <w:autoSpaceDN w:val="0"/>
        <w:adjustRightInd w:val="0"/>
        <w:spacing w:line="360" w:lineRule="auto"/>
        <w:ind w:right="85" w:firstLine="240" w:firstLineChars="100"/>
        <w:rPr>
          <w:rFonts w:ascii="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评标按以下标准及要求进行：</w:t>
      </w:r>
    </w:p>
    <w:p>
      <w:pPr>
        <w:pStyle w:val="15"/>
        <w:snapToGrid w:val="0"/>
        <w:spacing w:line="360" w:lineRule="auto"/>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lang w:val="en-US" w:eastAsia="zh-CN"/>
          <w14:textFill>
            <w14:solidFill>
              <w14:schemeClr w14:val="tx1"/>
            </w14:solidFill>
          </w14:textFill>
        </w:rPr>
        <w:t>1</w:t>
      </w:r>
      <w:r>
        <w:rPr>
          <w:rFonts w:hint="eastAsia" w:ascii="宋体" w:hAnsi="宋体" w:eastAsia="宋体"/>
          <w:b/>
          <w:color w:val="000000" w:themeColor="text1"/>
          <w:sz w:val="24"/>
          <w:highlight w:val="none"/>
          <w14:textFill>
            <w14:solidFill>
              <w14:schemeClr w14:val="tx1"/>
            </w14:solidFill>
          </w14:textFill>
        </w:rPr>
        <w:t>.评审要求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（1）评标委员会应当按照招标文件中规定的评标方法和标准，对符合性审查合格的投标文件的商务部分进行综合比较与评价</w:t>
      </w:r>
      <w:r>
        <w:rPr>
          <w:rFonts w:hint="eastAsia" w:ascii="宋体"/>
          <w:bCs/>
          <w:color w:val="000000" w:themeColor="text1"/>
          <w:sz w:val="24"/>
          <w:highlight w:val="none"/>
          <w:lang w:val="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在经评审的有效标中，以所有有效报价的算术平均值作为评标标底价</w:t>
      </w:r>
      <w:r>
        <w:rPr>
          <w:rFonts w:hint="eastAsia" w:ascii="宋体" w:hAnsi="宋体" w:cs="宋体"/>
          <w:color w:val="000000" w:themeColor="text1"/>
          <w:sz w:val="24"/>
          <w:highlight w:val="none"/>
          <w:lang w:eastAsia="zh-CN"/>
          <w14:textFill>
            <w14:solidFill>
              <w14:schemeClr w14:val="tx1"/>
            </w14:solidFill>
          </w14:textFill>
        </w:rPr>
        <w:t>（百分号前保留两位小数）</w:t>
      </w:r>
      <w:r>
        <w:rPr>
          <w:rFonts w:hint="eastAsia" w:ascii="宋体" w:hAnsi="宋体" w:eastAsia="宋体" w:cs="宋体"/>
          <w:color w:val="000000" w:themeColor="text1"/>
          <w:sz w:val="24"/>
          <w:highlight w:val="none"/>
          <w14:textFill>
            <w14:solidFill>
              <w14:schemeClr w14:val="tx1"/>
            </w14:solidFill>
          </w14:textFill>
        </w:rPr>
        <w:t>；投标报价等于评标标底价得100分，每高于评标标底价1个百分点扣0.4分（即商务标得分=100-（投标报价-评标标底价）/评标标底价*100*0.4），每低于评标标底价1个百分点扣0.3分（即商务标得分=100-（评标标底价-投标报价）/评标标底价*100*0.3）。（计算结果均保留两位小数）</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对于投标文件报价出现前后不一致的，除招标文件另有规定外，按照下列规定修正：</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②投标文件中开标一览表（报价表）内容与投标文件中相应内容不一致的，以开标一览表（报价表）为准；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③大写金额和小写金额不一致的，以大写金额为准。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同时出现两种以上不一致的，按照前款规定的顺序修正。修正应当采用询标的形式，并加盖公章。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pPr>
        <w:autoSpaceDE w:val="0"/>
        <w:autoSpaceDN w:val="0"/>
        <w:adjustRightInd w:val="0"/>
        <w:spacing w:line="360" w:lineRule="auto"/>
        <w:ind w:right="85" w:firstLine="240" w:firstLineChars="1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根据投标人的商务标得分从高到低顺序排列，即得分最高者为第一中标候选人，次高者为第二中标候选人。如出现得分相同的，则由招标人抽签确定。</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（五）评标报告撰写</w:t>
      </w:r>
    </w:p>
    <w:p>
      <w:pPr>
        <w:spacing w:line="360" w:lineRule="auto"/>
        <w:ind w:firstLine="480"/>
        <w:rPr>
          <w:rFonts w:ascii="宋体" w:hAnsi="宋体" w:eastAsia="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bookmarkStart w:id="37" w:name="_Toc27944_WPSOffice_Level1"/>
    </w:p>
    <w:p>
      <w:pPr>
        <w:pStyle w:val="11"/>
        <w:ind w:firstLine="480"/>
        <w:rPr>
          <w:color w:val="000000" w:themeColor="text1"/>
          <w:highlight w:val="none"/>
          <w14:textFill>
            <w14:solidFill>
              <w14:schemeClr w14:val="tx1"/>
            </w14:solidFill>
          </w14:textFill>
        </w:rPr>
      </w:pPr>
    </w:p>
    <w:bookmarkEnd w:id="37"/>
    <w:p>
      <w:pPr>
        <w:pStyle w:val="11"/>
        <w:ind w:firstLine="723"/>
        <w:rPr>
          <w:rFonts w:ascii="仿宋" w:hAnsi="仿宋" w:eastAsia="仿宋" w:cs="仿宋"/>
          <w:b/>
          <w:color w:val="000000" w:themeColor="text1"/>
          <w:sz w:val="36"/>
          <w:szCs w:val="36"/>
          <w:highlight w:val="none"/>
          <w14:textFill>
            <w14:solidFill>
              <w14:schemeClr w14:val="tx1"/>
            </w14:solidFill>
          </w14:textFill>
        </w:rPr>
      </w:pPr>
    </w:p>
    <w:p>
      <w:pPr>
        <w:pStyle w:val="10"/>
        <w:rPr>
          <w:rFonts w:ascii="仿宋" w:hAnsi="仿宋" w:eastAsia="仿宋" w:cs="仿宋"/>
          <w:b/>
          <w:color w:val="000000" w:themeColor="text1"/>
          <w:sz w:val="36"/>
          <w:szCs w:val="36"/>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pPr>
        <w:spacing w:line="360" w:lineRule="auto"/>
        <w:rPr>
          <w:rFonts w:hint="eastAsia" w:ascii="宋体" w:hAnsi="宋体" w:cs="宋体"/>
          <w:sz w:val="24"/>
          <w:highlight w:val="none"/>
        </w:rPr>
      </w:pPr>
      <w:r>
        <w:rPr>
          <w:rFonts w:hint="eastAsia" w:ascii="宋体" w:hAnsi="宋体" w:cs="宋体"/>
          <w:sz w:val="24"/>
          <w:highlight w:val="none"/>
        </w:rPr>
        <w:t>承租方：（以下简称甲方）</w:t>
      </w:r>
    </w:p>
    <w:p>
      <w:pPr>
        <w:spacing w:line="360" w:lineRule="auto"/>
        <w:rPr>
          <w:rFonts w:hint="eastAsia" w:ascii="宋体" w:hAnsi="宋体" w:cs="宋体"/>
          <w:sz w:val="24"/>
          <w:highlight w:val="none"/>
        </w:rPr>
      </w:pPr>
      <w:r>
        <w:rPr>
          <w:rFonts w:hint="eastAsia" w:ascii="宋体" w:hAnsi="宋体" w:cs="宋体"/>
          <w:sz w:val="24"/>
          <w:highlight w:val="none"/>
        </w:rPr>
        <w:t>出租方：（以下简称乙方）</w:t>
      </w:r>
    </w:p>
    <w:p>
      <w:pPr>
        <w:spacing w:line="360" w:lineRule="auto"/>
        <w:ind w:firstLine="420"/>
        <w:rPr>
          <w:rFonts w:hint="eastAsia" w:ascii="宋体" w:hAnsi="宋体" w:cs="宋体"/>
          <w:sz w:val="24"/>
          <w:highlight w:val="none"/>
        </w:rPr>
      </w:pPr>
      <w:r>
        <w:rPr>
          <w:rFonts w:hint="eastAsia" w:ascii="宋体" w:hAnsi="宋体" w:cs="宋体"/>
          <w:sz w:val="24"/>
          <w:highlight w:val="none"/>
        </w:rPr>
        <w:t>根据《合同法》的有关规定，按照平等互利的原则，为明确甲方、乙双方的权利义务，经双方协商一致，特签订本合同。</w:t>
      </w:r>
    </w:p>
    <w:p>
      <w:pPr>
        <w:numPr>
          <w:ilvl w:val="0"/>
          <w:numId w:val="10"/>
        </w:numPr>
        <w:tabs>
          <w:tab w:val="left" w:pos="430"/>
        </w:tabs>
        <w:spacing w:line="360" w:lineRule="auto"/>
        <w:ind w:firstLine="420"/>
        <w:rPr>
          <w:rFonts w:hint="eastAsia" w:ascii="宋体" w:hAnsi="宋体" w:cs="宋体"/>
          <w:sz w:val="24"/>
          <w:highlight w:val="none"/>
        </w:rPr>
      </w:pPr>
      <w:r>
        <w:rPr>
          <w:rFonts w:hint="eastAsia" w:ascii="宋体" w:hAnsi="宋体" w:cs="宋体"/>
          <w:sz w:val="24"/>
          <w:highlight w:val="none"/>
        </w:rPr>
        <w:t>：租赁机械的名称：</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规格/型号/数量： 详见</w:t>
      </w:r>
      <w:r>
        <w:rPr>
          <w:rFonts w:hint="eastAsia" w:ascii="宋体" w:hAnsi="宋体" w:cs="宋体"/>
          <w:sz w:val="24"/>
          <w:highlight w:val="none"/>
          <w:lang w:eastAsia="zh-CN"/>
        </w:rPr>
        <w:t>招标文件第三章招标需求</w:t>
      </w:r>
    </w:p>
    <w:p>
      <w:pPr>
        <w:spacing w:line="360" w:lineRule="auto"/>
        <w:rPr>
          <w:rFonts w:hint="eastAsia" w:ascii="宋体" w:hAnsi="宋体" w:cs="宋体"/>
          <w:sz w:val="24"/>
          <w:highlight w:val="none"/>
        </w:rPr>
      </w:pPr>
      <w:r>
        <w:rPr>
          <w:rFonts w:hint="eastAsia" w:ascii="宋体" w:hAnsi="宋体" w:cs="宋体"/>
          <w:sz w:val="24"/>
          <w:highlight w:val="none"/>
        </w:rPr>
        <w:t>使用地点：</w:t>
      </w:r>
    </w:p>
    <w:p>
      <w:pPr>
        <w:spacing w:line="360" w:lineRule="auto"/>
        <w:ind w:firstLine="420"/>
        <w:rPr>
          <w:rFonts w:hint="eastAsia" w:ascii="宋体" w:hAnsi="宋体" w:cs="宋体"/>
          <w:sz w:val="24"/>
          <w:highlight w:val="none"/>
        </w:rPr>
      </w:pPr>
      <w:r>
        <w:rPr>
          <w:rFonts w:hint="eastAsia" w:ascii="宋体" w:hAnsi="宋体" w:cs="宋体"/>
          <w:sz w:val="24"/>
          <w:highlight w:val="none"/>
        </w:rPr>
        <w:t>第二条：合同期限</w:t>
      </w:r>
    </w:p>
    <w:p>
      <w:pPr>
        <w:spacing w:line="360" w:lineRule="auto"/>
        <w:ind w:firstLine="420"/>
        <w:rPr>
          <w:rFonts w:hint="eastAsia" w:ascii="宋体" w:hAnsi="宋体" w:eastAsia="宋体" w:cs="宋体"/>
          <w:sz w:val="24"/>
          <w:highlight w:val="none"/>
          <w:lang w:eastAsia="zh-CN"/>
        </w:rPr>
      </w:pPr>
      <w:r>
        <w:rPr>
          <w:rFonts w:hint="eastAsia" w:ascii="宋体" w:hAnsi="宋体" w:cs="宋体"/>
          <w:sz w:val="24"/>
          <w:highlight w:val="none"/>
          <w:lang w:val="en-US" w:eastAsia="zh-CN"/>
        </w:rPr>
        <w:t>2024年1月1日起至2024年12月31日或结算金额达到200万元，以两者先到为准合同终止</w:t>
      </w:r>
      <w:r>
        <w:rPr>
          <w:rFonts w:hint="eastAsia" w:ascii="宋体" w:hAnsi="宋体" w:cs="宋体"/>
          <w:sz w:val="24"/>
          <w:highlight w:val="none"/>
          <w:lang w:eastAsia="zh-CN"/>
        </w:rPr>
        <w:t>。</w:t>
      </w:r>
    </w:p>
    <w:p>
      <w:pPr>
        <w:numPr>
          <w:ilvl w:val="0"/>
          <w:numId w:val="11"/>
        </w:numPr>
        <w:spacing w:line="360" w:lineRule="auto"/>
        <w:ind w:firstLine="420"/>
        <w:rPr>
          <w:rFonts w:hint="eastAsia" w:ascii="宋体" w:hAnsi="宋体" w:cs="宋体"/>
          <w:sz w:val="24"/>
          <w:highlight w:val="none"/>
        </w:rPr>
      </w:pPr>
      <w:r>
        <w:rPr>
          <w:rFonts w:hint="eastAsia" w:ascii="宋体" w:hAnsi="宋体" w:cs="宋体"/>
          <w:sz w:val="24"/>
          <w:highlight w:val="none"/>
        </w:rPr>
        <w:t>：租赁及支付</w:t>
      </w:r>
    </w:p>
    <w:p>
      <w:pPr>
        <w:numPr>
          <w:ilvl w:val="0"/>
          <w:numId w:val="12"/>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租赁费计算：租赁费=</w:t>
      </w:r>
      <w:r>
        <w:rPr>
          <w:rFonts w:hint="eastAsia" w:ascii="Arial" w:cs="Arial"/>
          <w:highlight w:val="none"/>
          <w:lang w:bidi="ar"/>
        </w:rPr>
        <w:t>∑</w:t>
      </w:r>
      <w:r>
        <w:rPr>
          <w:rFonts w:hint="eastAsia" w:ascii="宋体" w:hAnsi="宋体" w:cs="Arial"/>
          <w:sz w:val="24"/>
          <w:highlight w:val="none"/>
          <w:lang w:bidi="ar"/>
        </w:rPr>
        <w:t>（</w:t>
      </w:r>
      <w:r>
        <w:rPr>
          <w:rFonts w:hint="eastAsia" w:ascii="宋体" w:hAnsi="宋体" w:cs="Arial"/>
          <w:sz w:val="24"/>
          <w:highlight w:val="none"/>
          <w:lang w:eastAsia="zh-CN" w:bidi="ar"/>
        </w:rPr>
        <w:t>全费用综合单价</w:t>
      </w:r>
      <w:r>
        <w:rPr>
          <w:rFonts w:hint="eastAsia" w:ascii="宋体" w:hAnsi="宋体" w:cs="Arial"/>
          <w:sz w:val="24"/>
          <w:highlight w:val="none"/>
          <w:lang w:bidi="ar"/>
        </w:rPr>
        <w:t>*投标结算率*相应机械租赁台班）（机械租赁台班以</w:t>
      </w:r>
      <w:r>
        <w:rPr>
          <w:rFonts w:hint="eastAsia" w:ascii="宋体" w:hAnsi="宋体" w:cs="Arial"/>
          <w:sz w:val="24"/>
          <w:highlight w:val="none"/>
          <w:lang w:eastAsia="zh-CN" w:bidi="ar"/>
        </w:rPr>
        <w:t>招标人</w:t>
      </w:r>
      <w:r>
        <w:rPr>
          <w:rFonts w:hint="eastAsia" w:ascii="宋体" w:hAnsi="宋体" w:cs="Arial"/>
          <w:sz w:val="24"/>
          <w:highlight w:val="none"/>
          <w:lang w:bidi="ar"/>
        </w:rPr>
        <w:t>代表签字确认为准）</w:t>
      </w:r>
      <w:r>
        <w:rPr>
          <w:rFonts w:hint="eastAsia" w:ascii="宋体" w:hAnsi="宋体" w:cs="Arial"/>
          <w:sz w:val="24"/>
          <w:highlight w:val="none"/>
          <w:lang w:eastAsia="zh-CN" w:bidi="ar"/>
        </w:rPr>
        <w:t>。</w:t>
      </w:r>
      <w:r>
        <w:rPr>
          <w:rFonts w:hint="eastAsia" w:ascii="宋体" w:hAnsi="宋体" w:cs="宋体"/>
          <w:sz w:val="24"/>
          <w:highlight w:val="none"/>
          <w:lang w:val="en-US" w:eastAsia="zh-CN"/>
        </w:rPr>
        <w:t>结算率：</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w:t>
      </w:r>
      <w:r>
        <w:rPr>
          <w:rFonts w:hint="eastAsia" w:ascii="宋体" w:hAnsi="宋体" w:cs="宋体"/>
          <w:sz w:val="24"/>
          <w:highlight w:val="none"/>
        </w:rPr>
        <w:t>一次性包死不作任何调整</w:t>
      </w:r>
      <w:r>
        <w:rPr>
          <w:rFonts w:hint="eastAsia" w:ascii="宋体" w:hAnsi="宋体" w:cs="宋体"/>
          <w:sz w:val="24"/>
          <w:highlight w:val="none"/>
          <w:lang w:eastAsia="zh-CN"/>
        </w:rPr>
        <w:t>。</w:t>
      </w:r>
    </w:p>
    <w:p>
      <w:pPr>
        <w:numPr>
          <w:ilvl w:val="0"/>
          <w:numId w:val="12"/>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租赁费支付：租赁费用按月计算，由出租方凭当月开具的实际租赁时间签证单及增值税专用发票交承租方办理结算手续。承租方按当月租金支付当月租赁费。</w:t>
      </w:r>
    </w:p>
    <w:p>
      <w:pPr>
        <w:spacing w:line="360" w:lineRule="auto"/>
        <w:ind w:firstLine="420"/>
        <w:rPr>
          <w:rFonts w:hint="eastAsia" w:ascii="宋体" w:hAnsi="宋体" w:cs="宋体"/>
          <w:sz w:val="24"/>
          <w:highlight w:val="none"/>
        </w:rPr>
      </w:pPr>
      <w:r>
        <w:rPr>
          <w:rFonts w:hint="eastAsia" w:ascii="宋体" w:hAnsi="宋体" w:cs="宋体"/>
          <w:sz w:val="24"/>
          <w:highlight w:val="none"/>
        </w:rPr>
        <w:t>第四条：租赁方式及设备的所有权</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1.租赁方式：机械设备由出租方配备专门的操作人员，负责设备的操作和维护保养工作。</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2.租赁设备的所有权：合同附件所列租赁设备的所有权属于出租方，承租方对租赁机械只享有租赁期间的使用权，没有设备的所有权。</w:t>
      </w:r>
    </w:p>
    <w:p>
      <w:pPr>
        <w:spacing w:line="360" w:lineRule="auto"/>
        <w:ind w:firstLine="420"/>
        <w:rPr>
          <w:rFonts w:hint="eastAsia" w:ascii="宋体" w:hAnsi="宋体" w:cs="宋体"/>
          <w:sz w:val="24"/>
          <w:highlight w:val="none"/>
        </w:rPr>
      </w:pPr>
      <w:r>
        <w:rPr>
          <w:rFonts w:hint="eastAsia" w:ascii="宋体" w:hAnsi="宋体" w:cs="宋体"/>
          <w:sz w:val="24"/>
          <w:highlight w:val="none"/>
        </w:rPr>
        <w:t>第五条：双方义务和责任</w:t>
      </w:r>
    </w:p>
    <w:p>
      <w:pPr>
        <w:spacing w:line="360" w:lineRule="auto"/>
        <w:rPr>
          <w:rFonts w:hint="eastAsia" w:ascii="宋体" w:hAnsi="宋体" w:cs="宋体"/>
          <w:sz w:val="24"/>
          <w:highlight w:val="none"/>
        </w:rPr>
      </w:pPr>
      <w:r>
        <w:rPr>
          <w:rFonts w:hint="eastAsia" w:ascii="宋体" w:hAnsi="宋体" w:cs="宋体"/>
          <w:sz w:val="24"/>
          <w:highlight w:val="none"/>
        </w:rPr>
        <w:t xml:space="preserve">   （一）出租方的义务和责任</w:t>
      </w:r>
    </w:p>
    <w:p>
      <w:pPr>
        <w:numPr>
          <w:ilvl w:val="0"/>
          <w:numId w:val="13"/>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密切配合承租方的施工生产，满足承租方施工要求。服从承租方施工人员的施工安排，但有权拒绝承租方的违章指挥。</w:t>
      </w:r>
    </w:p>
    <w:p>
      <w:pPr>
        <w:numPr>
          <w:ilvl w:val="0"/>
          <w:numId w:val="13"/>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负责配合设备操作，维护人员，负责设备的操作，日常的油料供应，机械维护保养和故障的处理，确保机械技术状态完好</w:t>
      </w:r>
      <w:r>
        <w:rPr>
          <w:rFonts w:hint="eastAsia"/>
          <w:highlight w:val="none"/>
        </w:rPr>
        <w:t>。</w:t>
      </w:r>
    </w:p>
    <w:p>
      <w:pPr>
        <w:numPr>
          <w:ilvl w:val="0"/>
          <w:numId w:val="13"/>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负责操作人员的工资及设备维修配件</w:t>
      </w:r>
      <w:r>
        <w:rPr>
          <w:rFonts w:hint="eastAsia"/>
          <w:highlight w:val="none"/>
        </w:rPr>
        <w:t>。</w:t>
      </w:r>
    </w:p>
    <w:p>
      <w:pPr>
        <w:numPr>
          <w:ilvl w:val="0"/>
          <w:numId w:val="13"/>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与承租方共同办理机械设备的租赁签认工作。</w:t>
      </w:r>
    </w:p>
    <w:p>
      <w:pPr>
        <w:numPr>
          <w:ilvl w:val="0"/>
          <w:numId w:val="13"/>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负责工作期间租赁机械和操作司机的安全，严禁违章施工，如违章施工造成的损失，出租方承担一切责任。</w:t>
      </w:r>
    </w:p>
    <w:p>
      <w:pPr>
        <w:numPr>
          <w:ilvl w:val="0"/>
          <w:numId w:val="13"/>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出租方的操作人员应严格按照操作规程操作租赁机械，若使用过程中出现安全责任事故由出租方自行负责，承租方不承担任何责任及费用。</w:t>
      </w:r>
    </w:p>
    <w:p>
      <w:pPr>
        <w:numPr>
          <w:ilvl w:val="0"/>
          <w:numId w:val="13"/>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负责租赁机械进出场运费，负责运输安全，负责通行证等相关手续办理费、承担运输费用及保险费。</w:t>
      </w:r>
    </w:p>
    <w:p>
      <w:pPr>
        <w:spacing w:line="360" w:lineRule="auto"/>
        <w:rPr>
          <w:rFonts w:hint="eastAsia" w:ascii="宋体" w:hAnsi="宋体" w:cs="宋体"/>
          <w:sz w:val="24"/>
          <w:highlight w:val="none"/>
        </w:rPr>
      </w:pPr>
      <w:r>
        <w:rPr>
          <w:rFonts w:hint="eastAsia" w:ascii="宋体" w:hAnsi="宋体" w:cs="宋体"/>
          <w:sz w:val="24"/>
          <w:highlight w:val="none"/>
        </w:rPr>
        <w:t xml:space="preserve">  （二）承租方的义务和责任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1、负责租赁设备的租赁工作时间签认及每月租费的签认工作，租赁费的及时支付。</w:t>
      </w:r>
    </w:p>
    <w:p>
      <w:pPr>
        <w:numPr>
          <w:ilvl w:val="0"/>
          <w:numId w:val="14"/>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对出租方在本单位项目租赁期间的监督和管理</w:t>
      </w:r>
      <w:r>
        <w:rPr>
          <w:rFonts w:hint="eastAsia"/>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第六条： 租赁机械的使用、维修、保养和费用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1.租赁机械在租赁期间内由出租方负责日常燃油、维修、保养，使设备保持良好状态，并承担由此产生的全部费用。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2.租赁机械在安装、保管、使用等过程中发生的一切费用、税款，均由出租方承担。</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第七条：租赁机械运费的承担</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租赁机械进退场的费用由出租方承担。</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第八条：违约责任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出租方在对承租方提出使用租赁设备通知后及时提供所需的机械设备，如出租方在2天内不能按承租方要求提供所需机械设备的，承租方有权选择其他单位或个人提供所需的机械设备，费用由出租方承担，并按500元/次赔偿承租方的损失，同时承租方有权解除本合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在合同服务期内，</w:t>
      </w:r>
      <w:r>
        <w:rPr>
          <w:rFonts w:hint="eastAsia" w:ascii="宋体" w:hAnsi="宋体" w:cs="宋体"/>
          <w:sz w:val="24"/>
          <w:highlight w:val="none"/>
        </w:rPr>
        <w:t>承租方</w:t>
      </w:r>
      <w:r>
        <w:rPr>
          <w:rFonts w:ascii="宋体" w:hAnsi="宋体" w:cs="宋体"/>
          <w:sz w:val="24"/>
          <w:highlight w:val="none"/>
        </w:rPr>
        <w:t>有权根据实际情况确定</w:t>
      </w:r>
      <w:r>
        <w:rPr>
          <w:rFonts w:hint="eastAsia" w:ascii="宋体" w:hAnsi="宋体" w:cs="宋体"/>
          <w:sz w:val="24"/>
          <w:highlight w:val="none"/>
          <w:lang w:val="en-US" w:eastAsia="zh-CN"/>
        </w:rPr>
        <w:t>租赁</w:t>
      </w:r>
      <w:r>
        <w:rPr>
          <w:rFonts w:ascii="宋体" w:hAnsi="宋体" w:cs="宋体"/>
          <w:sz w:val="24"/>
          <w:highlight w:val="none"/>
        </w:rPr>
        <w:t>需求，若服务期内</w:t>
      </w:r>
      <w:r>
        <w:rPr>
          <w:rFonts w:hint="eastAsia" w:ascii="宋体" w:hAnsi="宋体" w:cs="宋体"/>
          <w:sz w:val="24"/>
          <w:highlight w:val="none"/>
        </w:rPr>
        <w:t>承租方</w:t>
      </w:r>
      <w:r>
        <w:rPr>
          <w:rFonts w:ascii="宋体" w:hAnsi="宋体" w:cs="宋体"/>
          <w:sz w:val="24"/>
          <w:highlight w:val="none"/>
        </w:rPr>
        <w:t>因需求等问题提前终止合同的，</w:t>
      </w:r>
      <w:r>
        <w:rPr>
          <w:rFonts w:hint="eastAsia" w:ascii="宋体" w:hAnsi="宋体" w:cs="宋体"/>
          <w:sz w:val="24"/>
          <w:highlight w:val="none"/>
        </w:rPr>
        <w:t>出租方</w:t>
      </w:r>
      <w:r>
        <w:rPr>
          <w:rFonts w:ascii="宋体" w:hAnsi="宋体" w:cs="宋体"/>
          <w:sz w:val="24"/>
          <w:highlight w:val="none"/>
        </w:rPr>
        <w:t>对此表示认可，提前充分评估由此产生的影响，并承诺放弃由此产生的一切损失。</w:t>
      </w:r>
      <w:r>
        <w:rPr>
          <w:rFonts w:hint="eastAsia" w:ascii="宋体" w:hAnsi="宋体" w:cs="宋体"/>
          <w:sz w:val="24"/>
          <w:highlight w:val="none"/>
        </w:rPr>
        <w:t>若服务期内承租方因需求等问题提前终止合同的，履约保证金退回。</w:t>
      </w:r>
    </w:p>
    <w:p>
      <w:pPr>
        <w:spacing w:line="360" w:lineRule="auto"/>
        <w:rPr>
          <w:rFonts w:hint="eastAsia" w:ascii="宋体" w:hAnsi="宋体" w:cs="宋体"/>
          <w:sz w:val="24"/>
          <w:highlight w:val="none"/>
        </w:rPr>
      </w:pPr>
      <w:r>
        <w:rPr>
          <w:rFonts w:hint="eastAsia" w:ascii="宋体" w:hAnsi="宋体" w:cs="宋体"/>
          <w:sz w:val="24"/>
          <w:highlight w:val="none"/>
        </w:rPr>
        <w:t xml:space="preserve">    第九条：争议的解决</w:t>
      </w:r>
    </w:p>
    <w:p>
      <w:pPr>
        <w:spacing w:line="360" w:lineRule="auto"/>
        <w:rPr>
          <w:rFonts w:hint="eastAsia" w:ascii="宋体" w:hAnsi="宋体" w:cs="宋体"/>
          <w:sz w:val="24"/>
          <w:highlight w:val="none"/>
        </w:rPr>
      </w:pPr>
      <w:r>
        <w:rPr>
          <w:rFonts w:hint="eastAsia" w:ascii="宋体" w:hAnsi="宋体" w:cs="宋体"/>
          <w:sz w:val="24"/>
          <w:highlight w:val="none"/>
        </w:rPr>
        <w:t xml:space="preserve">    凡因履行本合同所发生的或本合同有关的一切争议，甲、乙双方应通过友好协商解决；如协商不能解决，应提交台州仲裁委员会进行仲裁裁决。</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仲裁的费用和胜诉的律师费用应由败诉方承担。</w:t>
      </w:r>
    </w:p>
    <w:p>
      <w:pPr>
        <w:spacing w:line="360" w:lineRule="auto"/>
        <w:rPr>
          <w:rFonts w:hint="eastAsia" w:ascii="宋体" w:hAnsi="宋体" w:cs="宋体"/>
          <w:sz w:val="24"/>
          <w:highlight w:val="none"/>
        </w:rPr>
      </w:pPr>
      <w:r>
        <w:rPr>
          <w:rFonts w:hint="eastAsia" w:ascii="宋体" w:hAnsi="宋体" w:cs="宋体"/>
          <w:sz w:val="24"/>
          <w:highlight w:val="none"/>
        </w:rPr>
        <w:t xml:space="preserve">    第十条：未尽事宜，双方另行协商解决，本协议壹式陆份，甲乙双方各执叁份，双方签字盖章后生效。</w:t>
      </w:r>
    </w:p>
    <w:p>
      <w:pPr>
        <w:spacing w:line="360" w:lineRule="auto"/>
        <w:rPr>
          <w:rFonts w:hint="eastAsia"/>
          <w:highlight w:val="none"/>
        </w:rPr>
      </w:pPr>
    </w:p>
    <w:p>
      <w:pPr>
        <w:spacing w:line="360" w:lineRule="auto"/>
        <w:rPr>
          <w:rFonts w:hint="eastAsia"/>
          <w:highlight w:val="none"/>
        </w:rPr>
      </w:pPr>
    </w:p>
    <w:p>
      <w:pPr>
        <w:spacing w:line="360" w:lineRule="auto"/>
        <w:rPr>
          <w:rFonts w:hint="eastAsia"/>
          <w:sz w:val="24"/>
          <w:highlight w:val="none"/>
        </w:rPr>
      </w:pPr>
      <w:r>
        <w:rPr>
          <w:rFonts w:hint="eastAsia"/>
          <w:sz w:val="24"/>
          <w:highlight w:val="none"/>
        </w:rPr>
        <w:t>承租方（甲方）：                            出租方（乙方）：</w:t>
      </w:r>
    </w:p>
    <w:p>
      <w:pPr>
        <w:spacing w:line="360" w:lineRule="auto"/>
        <w:rPr>
          <w:rFonts w:hint="eastAsia"/>
          <w:sz w:val="24"/>
          <w:highlight w:val="none"/>
        </w:rPr>
      </w:pPr>
    </w:p>
    <w:p>
      <w:pPr>
        <w:spacing w:line="360" w:lineRule="auto"/>
        <w:rPr>
          <w:rFonts w:hint="eastAsia"/>
          <w:sz w:val="24"/>
          <w:highlight w:val="none"/>
        </w:rPr>
      </w:pPr>
      <w:r>
        <w:rPr>
          <w:rFonts w:hint="eastAsia"/>
          <w:sz w:val="24"/>
          <w:highlight w:val="none"/>
        </w:rPr>
        <w:t>法定代表人：                                法定代表人：</w:t>
      </w:r>
    </w:p>
    <w:p>
      <w:pPr>
        <w:spacing w:line="360" w:lineRule="auto"/>
        <w:rPr>
          <w:rFonts w:hint="eastAsia"/>
          <w:sz w:val="24"/>
          <w:highlight w:val="none"/>
        </w:rPr>
      </w:pPr>
    </w:p>
    <w:p>
      <w:pPr>
        <w:spacing w:line="360" w:lineRule="auto"/>
        <w:rPr>
          <w:rFonts w:hint="eastAsia"/>
          <w:sz w:val="24"/>
          <w:highlight w:val="none"/>
        </w:rPr>
      </w:pPr>
      <w:r>
        <w:rPr>
          <w:rFonts w:hint="eastAsia"/>
          <w:sz w:val="24"/>
          <w:highlight w:val="none"/>
        </w:rPr>
        <w:t>委托代理人：                                委托代理人：</w:t>
      </w:r>
    </w:p>
    <w:p>
      <w:pPr>
        <w:spacing w:line="360" w:lineRule="auto"/>
        <w:rPr>
          <w:rFonts w:hint="eastAsia"/>
          <w:sz w:val="24"/>
          <w:highlight w:val="none"/>
        </w:rPr>
      </w:pPr>
    </w:p>
    <w:p>
      <w:pPr>
        <w:spacing w:line="360" w:lineRule="auto"/>
        <w:rPr>
          <w:rFonts w:hint="eastAsia"/>
          <w:sz w:val="24"/>
          <w:highlight w:val="none"/>
        </w:rPr>
      </w:pPr>
      <w:r>
        <w:rPr>
          <w:rFonts w:hint="eastAsia"/>
          <w:sz w:val="24"/>
          <w:highlight w:val="none"/>
        </w:rPr>
        <w:t>地址：                                      地址：</w:t>
      </w:r>
    </w:p>
    <w:p>
      <w:pPr>
        <w:spacing w:line="360" w:lineRule="auto"/>
        <w:rPr>
          <w:rFonts w:hint="eastAsia"/>
          <w:sz w:val="24"/>
          <w:highlight w:val="none"/>
        </w:rPr>
      </w:pPr>
    </w:p>
    <w:p>
      <w:pPr>
        <w:spacing w:line="360" w:lineRule="auto"/>
        <w:rPr>
          <w:rFonts w:hint="eastAsia"/>
          <w:sz w:val="24"/>
          <w:highlight w:val="none"/>
        </w:rPr>
      </w:pPr>
      <w:r>
        <w:rPr>
          <w:rFonts w:hint="eastAsia"/>
          <w:sz w:val="24"/>
          <w:highlight w:val="none"/>
        </w:rPr>
        <w:t>电话：                                      电话：</w:t>
      </w:r>
    </w:p>
    <w:p>
      <w:pPr>
        <w:spacing w:line="360" w:lineRule="auto"/>
        <w:rPr>
          <w:rFonts w:hint="eastAsia"/>
          <w:sz w:val="24"/>
          <w:highlight w:val="none"/>
        </w:rPr>
      </w:pPr>
    </w:p>
    <w:p>
      <w:pPr>
        <w:spacing w:line="360" w:lineRule="auto"/>
        <w:rPr>
          <w:rFonts w:hint="eastAsia"/>
          <w:sz w:val="24"/>
          <w:highlight w:val="none"/>
        </w:rPr>
      </w:pPr>
      <w:r>
        <w:rPr>
          <w:rFonts w:hint="eastAsia"/>
          <w:sz w:val="24"/>
          <w:highlight w:val="none"/>
        </w:rPr>
        <w:t>开户行：                                    开户行：</w:t>
      </w:r>
    </w:p>
    <w:p>
      <w:pPr>
        <w:spacing w:line="360" w:lineRule="auto"/>
        <w:rPr>
          <w:rFonts w:hint="eastAsia"/>
          <w:sz w:val="24"/>
          <w:highlight w:val="none"/>
        </w:rPr>
      </w:pPr>
    </w:p>
    <w:p>
      <w:pPr>
        <w:spacing w:line="360" w:lineRule="auto"/>
        <w:rPr>
          <w:rFonts w:hint="eastAsia"/>
          <w:sz w:val="24"/>
          <w:highlight w:val="none"/>
        </w:rPr>
      </w:pPr>
      <w:r>
        <w:rPr>
          <w:rFonts w:hint="eastAsia"/>
          <w:sz w:val="24"/>
          <w:highlight w:val="none"/>
        </w:rPr>
        <w:t>帐号：                                      帐号：</w:t>
      </w:r>
    </w:p>
    <w:p>
      <w:pPr>
        <w:spacing w:line="360" w:lineRule="auto"/>
        <w:rPr>
          <w:rFonts w:hint="eastAsia"/>
          <w:sz w:val="24"/>
          <w:highlight w:val="none"/>
        </w:rPr>
      </w:pPr>
    </w:p>
    <w:p>
      <w:pPr>
        <w:spacing w:line="360" w:lineRule="auto"/>
        <w:rPr>
          <w:rFonts w:hint="eastAsia"/>
          <w:sz w:val="24"/>
          <w:highlight w:val="none"/>
        </w:rPr>
      </w:pPr>
      <w:r>
        <w:rPr>
          <w:rFonts w:hint="eastAsia"/>
          <w:sz w:val="24"/>
          <w:highlight w:val="none"/>
        </w:rPr>
        <w:t>税号：                                      税号：</w:t>
      </w:r>
    </w:p>
    <w:p>
      <w:pPr>
        <w:spacing w:line="360" w:lineRule="auto"/>
        <w:rPr>
          <w:rFonts w:hint="eastAsia"/>
          <w:highlight w:val="none"/>
        </w:rPr>
      </w:pPr>
    </w:p>
    <w:p>
      <w:pPr>
        <w:spacing w:line="360" w:lineRule="auto"/>
        <w:rPr>
          <w:rFonts w:hint="eastAsia"/>
          <w:highlight w:val="none"/>
        </w:rPr>
      </w:pPr>
    </w:p>
    <w:p>
      <w:pPr>
        <w:spacing w:line="360" w:lineRule="auto"/>
        <w:rPr>
          <w:rFonts w:hint="eastAsia"/>
          <w:highlight w:val="none"/>
        </w:rPr>
      </w:pPr>
    </w:p>
    <w:p>
      <w:pPr>
        <w:pStyle w:val="23"/>
        <w:rPr>
          <w:rFonts w:hint="eastAsia"/>
          <w:highlight w:val="none"/>
        </w:rPr>
      </w:pPr>
    </w:p>
    <w:p>
      <w:pPr>
        <w:rPr>
          <w:rFonts w:hint="eastAsia"/>
          <w:highlight w:val="none"/>
        </w:rPr>
      </w:pPr>
    </w:p>
    <w:p>
      <w:pPr>
        <w:spacing w:line="360" w:lineRule="auto"/>
        <w:rPr>
          <w:rFonts w:hint="default" w:eastAsia="宋体"/>
          <w:highlight w:val="none"/>
          <w:lang w:val="en-US" w:eastAsia="zh-CN"/>
        </w:rPr>
      </w:pPr>
    </w:p>
    <w:p>
      <w:pPr>
        <w:spacing w:line="560" w:lineRule="exact"/>
        <w:rPr>
          <w:rFonts w:hint="eastAsia" w:ascii="黑体" w:hAnsi="宋体" w:eastAsia="黑体" w:cs="黑体"/>
          <w:bCs/>
          <w:sz w:val="24"/>
          <w:highlight w:val="none"/>
        </w:rPr>
      </w:pPr>
      <w:r>
        <w:rPr>
          <w:rFonts w:hint="eastAsia" w:ascii="黑体" w:hAnsi="宋体" w:eastAsia="黑体" w:cs="黑体"/>
          <w:bCs/>
          <w:sz w:val="24"/>
          <w:highlight w:val="none"/>
          <w:lang w:bidi="ar"/>
        </w:rPr>
        <w:t>附件：</w:t>
      </w:r>
    </w:p>
    <w:p>
      <w:pPr>
        <w:spacing w:line="560" w:lineRule="exact"/>
        <w:jc w:val="center"/>
        <w:rPr>
          <w:rFonts w:hint="eastAsia" w:ascii="仿宋_GB2312" w:hAnsi="华文中宋" w:eastAsia="仿宋_GB2312" w:cs="仿宋_GB2312"/>
          <w:b/>
          <w:sz w:val="24"/>
          <w:highlight w:val="none"/>
        </w:rPr>
      </w:pPr>
      <w:r>
        <w:rPr>
          <w:rFonts w:hint="eastAsia" w:ascii="黑体" w:hAnsi="宋体" w:eastAsia="黑体" w:cs="黑体"/>
          <w:bCs/>
          <w:sz w:val="24"/>
          <w:highlight w:val="none"/>
          <w:lang w:bidi="ar"/>
        </w:rPr>
        <w:t>服务诚信管理</w:t>
      </w:r>
    </w:p>
    <w:p>
      <w:pPr>
        <w:spacing w:line="560" w:lineRule="exact"/>
        <w:ind w:firstLine="720" w:firstLineChars="300"/>
        <w:rPr>
          <w:rFonts w:hint="eastAsia" w:ascii="宋体" w:hAnsi="宋体" w:cs="宋体"/>
          <w:sz w:val="24"/>
          <w:highlight w:val="none"/>
        </w:rPr>
      </w:pPr>
      <w:r>
        <w:rPr>
          <w:rFonts w:hint="eastAsia" w:ascii="宋体" w:hAnsi="宋体" w:cs="宋体"/>
          <w:sz w:val="24"/>
          <w:highlight w:val="none"/>
          <w:lang w:bidi="ar"/>
        </w:rPr>
        <w:t>为加强供应商合同履约管理，能及时提供劳务人员、机械、或其他货物，保证质量。特制订供应商诚信管理办法。</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bidi="ar"/>
        </w:rPr>
        <w:t>（一）劳务公司未提供反光背心（服装）、安全帽的；施工时间内劳务人员未穿反光背心、未戴安全帽的，均扣1分。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bidi="ar"/>
        </w:rPr>
        <w:t>（二）劳务用工、机械等签证应在一周内完成，若是供应商原因引起未在一周内完成签证的，扣1分。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bidi="ar"/>
        </w:rPr>
        <w:t>（三）所提供的机械应在使用年限内，机械操作员应持相应上岗证书，超过使用年限或无证上岗的，扣3分。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bidi="ar"/>
        </w:rPr>
        <w:t>（四）所提供的货物应与招标需求相符，否则扣3分。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bidi="ar"/>
        </w:rPr>
        <w:t>（五）未按要求时间内提供劳务人员、机械、货物的，扣3分。不可抗力原因确实无法提供，需及时提供正式纸质书面相关说明，经核查属实后不予扣分。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bidi="ar"/>
        </w:rPr>
        <w:t>（六）因供应商工作不到位，公司工程项目被“同创办”或相关部门通报批评或扣分的，扣9分。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bidi="ar"/>
        </w:rPr>
        <w:t>（七）劳务公司未按要求对劳务人员进行人身安全保险的，扣9分。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bidi="ar"/>
        </w:rPr>
        <w:t>（八）供应商恶意谎报工程量的，扣9分。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bidi="ar"/>
        </w:rPr>
        <w:t>（九）累计被扣分数达到9分的，取消接下来两次的提供人员（货物）资格；累计被扣分数达到18分的，再次取消两次的提供人员（货物）资格；累计被扣分数达到27分的，取消合同期内的提供人员（货物）资格，并列入公司黑名单。</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bidi="ar"/>
        </w:rPr>
        <w:t>（十）列入公司黑名单或被解除合同的供应商，在一至三年内禁止参加我公司采购活动。</w:t>
      </w:r>
    </w:p>
    <w:p>
      <w:pPr>
        <w:pStyle w:val="2"/>
        <w:jc w:val="center"/>
        <w:rPr>
          <w:rFonts w:hint="eastAsia" w:ascii="宋体" w:hAnsi="宋体" w:eastAsia="宋体" w:cs="宋体"/>
          <w:kern w:val="21"/>
          <w:sz w:val="24"/>
          <w:szCs w:val="24"/>
          <w:highlight w:val="none"/>
        </w:rPr>
      </w:pPr>
      <w:bookmarkStart w:id="38" w:name="_Toc291147771"/>
    </w:p>
    <w:p>
      <w:pPr>
        <w:rPr>
          <w:rFonts w:hint="eastAsia"/>
          <w:highlight w:val="none"/>
        </w:rPr>
      </w:pPr>
    </w:p>
    <w:p>
      <w:pPr>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br w:type="page"/>
      </w:r>
    </w:p>
    <w:p>
      <w:pPr>
        <w:pStyle w:val="2"/>
        <w:jc w:val="center"/>
        <w:rPr>
          <w:rFonts w:hint="eastAsia" w:ascii="宋体" w:hAnsi="宋体" w:eastAsia="宋体" w:cs="宋体"/>
          <w:sz w:val="24"/>
          <w:highlight w:val="none"/>
        </w:rPr>
      </w:pPr>
      <w:r>
        <w:rPr>
          <w:rFonts w:hint="eastAsia" w:ascii="宋体" w:hAnsi="宋体" w:eastAsia="宋体" w:cs="宋体"/>
          <w:kern w:val="21"/>
          <w:sz w:val="24"/>
          <w:szCs w:val="24"/>
          <w:highlight w:val="none"/>
        </w:rPr>
        <w:t>工程建设项目廉政责任书</w:t>
      </w:r>
      <w:bookmarkEnd w:id="38"/>
    </w:p>
    <w:p>
      <w:pPr>
        <w:spacing w:line="360" w:lineRule="auto"/>
        <w:ind w:firstLine="600" w:firstLineChars="250"/>
        <w:rPr>
          <w:rFonts w:ascii="宋体" w:hAnsi="宋体" w:cs="宋体"/>
          <w:bCs/>
          <w:sz w:val="24"/>
          <w:highlight w:val="none"/>
        </w:rPr>
      </w:pPr>
      <w:r>
        <w:rPr>
          <w:rFonts w:hint="eastAsia" w:ascii="宋体" w:hAnsi="宋体" w:cs="宋体"/>
          <w:bCs/>
          <w:sz w:val="24"/>
          <w:highlight w:val="none"/>
        </w:rPr>
        <w:t>项目名称：</w:t>
      </w:r>
      <w:r>
        <w:rPr>
          <w:rFonts w:hint="eastAsia" w:ascii="宋体" w:hAnsi="宋体" w:cs="宋体"/>
          <w:bCs/>
          <w:sz w:val="24"/>
          <w:highlight w:val="none"/>
          <w:u w:val="single"/>
        </w:rPr>
        <w:t xml:space="preserve">                 </w:t>
      </w:r>
    </w:p>
    <w:p>
      <w:pPr>
        <w:spacing w:line="360" w:lineRule="auto"/>
        <w:ind w:firstLine="600" w:firstLineChars="250"/>
        <w:rPr>
          <w:rFonts w:ascii="宋体" w:hAnsi="宋体" w:cs="宋体"/>
          <w:bCs/>
          <w:sz w:val="24"/>
          <w:highlight w:val="none"/>
        </w:rPr>
      </w:pPr>
      <w:r>
        <w:rPr>
          <w:rFonts w:hint="eastAsia" w:ascii="宋体" w:hAnsi="宋体" w:cs="宋体"/>
          <w:bCs/>
          <w:sz w:val="24"/>
          <w:highlight w:val="none"/>
        </w:rPr>
        <w:t>项目地址：</w:t>
      </w:r>
      <w:r>
        <w:rPr>
          <w:rFonts w:hint="eastAsia" w:ascii="宋体" w:hAnsi="宋体" w:cs="宋体"/>
          <w:bCs/>
          <w:sz w:val="24"/>
          <w:highlight w:val="none"/>
          <w:u w:val="single"/>
        </w:rPr>
        <w:t xml:space="preserve">                         </w:t>
      </w:r>
    </w:p>
    <w:p>
      <w:pPr>
        <w:spacing w:line="360" w:lineRule="auto"/>
        <w:ind w:firstLine="652" w:firstLineChars="272"/>
        <w:rPr>
          <w:rFonts w:hint="eastAsia" w:ascii="宋体" w:hAnsi="宋体" w:cs="宋体"/>
          <w:bCs/>
          <w:sz w:val="24"/>
          <w:highlight w:val="none"/>
          <w:u w:val="single"/>
        </w:rPr>
      </w:pPr>
      <w:r>
        <w:rPr>
          <w:rFonts w:hint="eastAsia" w:ascii="宋体" w:hAnsi="宋体" w:cs="宋体"/>
          <w:bCs/>
          <w:sz w:val="24"/>
          <w:highlight w:val="none"/>
        </w:rPr>
        <w:t>发包人（甲方）：</w:t>
      </w:r>
      <w:r>
        <w:rPr>
          <w:rFonts w:hint="eastAsia" w:ascii="宋体" w:hAnsi="宋体" w:cs="宋体"/>
          <w:bCs/>
          <w:sz w:val="24"/>
          <w:highlight w:val="none"/>
          <w:u w:val="single"/>
        </w:rPr>
        <w:t xml:space="preserve">台州市城市园林工程有限公司                </w:t>
      </w:r>
    </w:p>
    <w:p>
      <w:pPr>
        <w:spacing w:line="360" w:lineRule="auto"/>
        <w:ind w:firstLine="652" w:firstLineChars="272"/>
        <w:rPr>
          <w:rFonts w:hint="eastAsia" w:ascii="宋体" w:hAnsi="宋体" w:cs="宋体"/>
          <w:bCs/>
          <w:sz w:val="24"/>
          <w:highlight w:val="none"/>
        </w:rPr>
      </w:pPr>
      <w:r>
        <w:rPr>
          <w:rFonts w:hint="eastAsia" w:ascii="宋体" w:hAnsi="宋体" w:cs="宋体"/>
          <w:bCs/>
          <w:sz w:val="24"/>
          <w:highlight w:val="none"/>
        </w:rPr>
        <w:t>承包人（乙方）：</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第一条 甲乙双方的责任</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（一）应严格遵守国家关于市场准入、项目招标投标、工程建设、施工安装和市场活动等有关法律、法规，相关政策，以及廉政建设的各项规定。</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（二）严格执行建设工程项目承发包合同文件，自觉按合同办事。</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（三）业务活动必须坚持公开、公平、公正、诚信、透明的原则（除法律法规另有规定者外），不得为获取不正当的利益，损害国家、集体和对方利益，不得违反工程建设管理、施工安装的规章制度。</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（四）发现对方在业务活动中有违规、违纪、违法行为的，应及时提醒对方，情节严重的，应向其上级主管部门或纪检监察、司法等有关机关举报。</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第二条 甲方的责任</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甲方的领导和从事该建设工程项目的工作人员，在工程建设的事前、事中、事后应遵守以下规定：</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（一）不准向乙方和相关单位索要或接受回扣、礼金、有价证券、贵重物品和好处费、感谢费等。</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（二）不准在乙方和相关单位报销任何应由甲方或个人支付的费用。</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（三）不准要求、暗示和接受乙方和相关单位为个人装修住房、婚丧嫁娶、配偶子女的工作安排以及出国（境）、旅游等提供方便。</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（四）不准参加有可能影响公正执行公务的乙方和相关单位的宴请和健身、娱乐等活动。</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第三条 乙方的责任</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应与甲方保持正常的业务交往，按照有关法律法规和程序开展业务工作，严格执行工程建设的有关方针、政策，尤其是有关建筑施工安装的强制性标准和规范，并遵守以下规定：</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（一）不准以任何理由向甲方、相关单位及其工作人员索要、接受或赠送礼金、有价证券、贵重物品和回扣、好处费、感谢费等。</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（二）不准以任何理由为甲方和相关单位报销应由对方或个人支付的费用。</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（三）不准接受或暗示为甲方、相关单位或个人装修住房、婚丧嫁娶、配偶子女的工作安排以及出国（境）、旅游等提供方便。</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（四）不准以任何理由为甲方、相关单位或个人组织有可能影响公正执行公务的宴请、健身、娱乐等活动。</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第四条 违约责任</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第五条 本责任书作为工程施工合同的附件，与工程施工合同具有同等法律效力。经双方签署后立即生效。</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第六条 本责任书的有效期为双方签署之日起至该工程项目竣工验收合格时止。</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甲方单位：（盖章）　　　　           　　　乙方单位：（盖章）</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法定代表人：　　　              　　　　　法定代表人：</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地址：　　　　　　　　　          　　　　地址：</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电话：　　　　　　　　　　　　        　　电话：</w:t>
      </w:r>
    </w:p>
    <w:p>
      <w:pPr>
        <w:autoSpaceDE w:val="0"/>
        <w:autoSpaceDN w:val="0"/>
        <w:adjustRightInd w:val="0"/>
        <w:spacing w:line="360" w:lineRule="auto"/>
        <w:ind w:firstLine="840" w:firstLineChars="350"/>
        <w:rPr>
          <w:rFonts w:hint="eastAsia" w:ascii="宋体" w:hAnsi="宋体" w:cs="Arial"/>
          <w:sz w:val="24"/>
          <w:highlight w:val="none"/>
        </w:rPr>
      </w:pPr>
      <w:r>
        <w:rPr>
          <w:rFonts w:hint="eastAsia" w:ascii="宋体" w:hAnsi="宋体" w:cs="宋体"/>
          <w:bCs/>
          <w:sz w:val="24"/>
          <w:highlight w:val="none"/>
        </w:rPr>
        <w:t>年　月　日　　　　　                   　　年　月　日</w:t>
      </w:r>
      <w:r>
        <w:rPr>
          <w:rFonts w:hint="eastAsia" w:hAnsi="宋体" w:cs="宋体"/>
          <w:highlight w:val="none"/>
        </w:rPr>
        <w:t xml:space="preserve"> </w:t>
      </w:r>
    </w:p>
    <w:p>
      <w:pPr>
        <w:pStyle w:val="15"/>
        <w:snapToGrid w:val="0"/>
        <w:spacing w:before="120" w:after="120" w:line="360" w:lineRule="auto"/>
        <w:jc w:val="center"/>
        <w:rPr>
          <w:rFonts w:hint="eastAsia" w:ascii="宋体" w:hAnsi="宋体" w:cs="宋体"/>
          <w:bCs/>
          <w:color w:val="000000" w:themeColor="text1"/>
          <w:sz w:val="32"/>
          <w:szCs w:val="32"/>
          <w:highlight w:val="none"/>
          <w14:textFill>
            <w14:solidFill>
              <w14:schemeClr w14:val="tx1"/>
            </w14:solidFill>
          </w14:textFill>
        </w:rPr>
      </w:pPr>
      <w:r>
        <w:rPr>
          <w:b/>
          <w:bCs/>
          <w:sz w:val="32"/>
          <w:highlight w:val="none"/>
        </w:rPr>
        <w:br w:type="page"/>
      </w:r>
    </w:p>
    <w:p>
      <w:p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9" w:name="_Toc5481_WPSOffice_Level1"/>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9"/>
    </w:p>
    <w:p>
      <w:pPr>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pPr>
        <w:spacing w:line="360" w:lineRule="auto"/>
        <w:rPr>
          <w:rFonts w:ascii="宋体" w:hAnsi="宋体" w:eastAsia="宋体"/>
          <w:b/>
          <w:color w:val="000000" w:themeColor="text1"/>
          <w:sz w:val="30"/>
          <w:szCs w:val="30"/>
          <w:highlight w:val="none"/>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2024年度零星机械租赁项目</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招标</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QBJ2023238</w:t>
      </w: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z w:val="28"/>
          <w:szCs w:val="28"/>
          <w:highlight w:val="none"/>
          <w14:textFill>
            <w14:solidFill>
              <w14:schemeClr w14:val="tx1"/>
            </w14:solidFill>
          </w14:textFill>
        </w:rPr>
        <w:t>资格标）</w:t>
      </w:r>
    </w:p>
    <w:p>
      <w:pPr>
        <w:pStyle w:val="25"/>
        <w:rPr>
          <w:color w:val="000000" w:themeColor="text1"/>
          <w:highlight w:val="none"/>
          <w14:textFill>
            <w14:solidFill>
              <w14:schemeClr w14:val="tx1"/>
            </w14:solidFill>
          </w14:textFill>
        </w:rPr>
      </w:pP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w:t>
      </w:r>
      <w:r>
        <w:rPr>
          <w:rFonts w:hint="eastAsia" w:ascii="宋体" w:hAnsi="宋体"/>
          <w:color w:val="000000" w:themeColor="text1"/>
          <w:sz w:val="32"/>
          <w:szCs w:val="32"/>
          <w:highlight w:val="none"/>
          <w:lang w:val="en-US" w:eastAsia="zh-CN"/>
          <w14:textFill>
            <w14:solidFill>
              <w14:schemeClr w14:val="tx1"/>
            </w14:solidFill>
          </w14:textFill>
        </w:rPr>
        <w:t>盖</w:t>
      </w:r>
      <w:r>
        <w:rPr>
          <w:rFonts w:hint="eastAsia" w:ascii="宋体" w:hAnsi="宋体"/>
          <w:color w:val="000000" w:themeColor="text1"/>
          <w:sz w:val="32"/>
          <w:szCs w:val="32"/>
          <w:highlight w:val="none"/>
          <w14:textFill>
            <w14:solidFill>
              <w14:schemeClr w14:val="tx1"/>
            </w14:solidFill>
          </w14:textFill>
        </w:rPr>
        <w:t>章）：</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10"/>
        <w:rPr>
          <w:rFonts w:ascii="仿宋_GB2312" w:hAnsi="宋体" w:eastAsia="仿宋_GB2312"/>
          <w:b/>
          <w:color w:val="000000" w:themeColor="text1"/>
          <w:sz w:val="36"/>
          <w:szCs w:val="36"/>
          <w:highlight w:val="none"/>
          <w14:textFill>
            <w14:solidFill>
              <w14:schemeClr w14:val="tx1"/>
            </w14:solidFill>
          </w14:textFill>
        </w:rPr>
      </w:pPr>
    </w:p>
    <w:p>
      <w:pPr>
        <w:pStyle w:val="11"/>
        <w:ind w:firstLine="480"/>
        <w:rPr>
          <w:color w:val="000000" w:themeColor="text1"/>
          <w:highlight w:val="none"/>
          <w14:textFill>
            <w14:solidFill>
              <w14:schemeClr w14:val="tx1"/>
            </w14:solidFill>
          </w14:textFill>
        </w:rPr>
      </w:pPr>
    </w:p>
    <w:p>
      <w:pPr>
        <w:pStyle w:val="5"/>
        <w:rPr>
          <w:rFonts w:ascii="仿宋_GB2312" w:hAnsi="宋体" w:eastAsia="仿宋_GB2312"/>
          <w:b/>
          <w:color w:val="000000" w:themeColor="text1"/>
          <w:sz w:val="36"/>
          <w:szCs w:val="36"/>
          <w:highlight w:val="none"/>
          <w14:textFill>
            <w14:solidFill>
              <w14:schemeClr w14:val="tx1"/>
            </w14:solidFill>
          </w14:textFill>
        </w:rPr>
      </w:pPr>
    </w:p>
    <w:p>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资格标目录</w:t>
      </w:r>
    </w:p>
    <w:p>
      <w:pPr>
        <w:spacing w:line="360" w:lineRule="auto"/>
        <w:ind w:firstLine="560" w:firstLineChars="200"/>
        <w:rPr>
          <w:color w:val="000000" w:themeColor="text1"/>
          <w:sz w:val="28"/>
          <w:szCs w:val="36"/>
          <w:highlight w:val="none"/>
          <w14:textFill>
            <w14:solidFill>
              <w14:schemeClr w14:val="tx1"/>
            </w14:solidFill>
          </w14:textFill>
        </w:rPr>
      </w:pPr>
    </w:p>
    <w:p>
      <w:pPr>
        <w:numPr>
          <w:ilvl w:val="0"/>
          <w:numId w:val="15"/>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营业执照副本</w:t>
      </w:r>
      <w:r>
        <w:rPr>
          <w:rFonts w:hint="eastAsia" w:ascii="宋体" w:hAnsi="宋体"/>
          <w:sz w:val="24"/>
          <w:highlight w:val="none"/>
          <w:lang w:eastAsia="zh-CN"/>
        </w:rPr>
        <w:t>扫描件</w:t>
      </w:r>
      <w:r>
        <w:rPr>
          <w:rFonts w:hint="eastAsia" w:ascii="宋体" w:hAnsi="宋体"/>
          <w:sz w:val="24"/>
          <w:highlight w:val="none"/>
        </w:rPr>
        <w:t>；</w:t>
      </w:r>
    </w:p>
    <w:p>
      <w:pPr>
        <w:numPr>
          <w:ilvl w:val="0"/>
          <w:numId w:val="15"/>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法定代表人身份证明或</w:t>
      </w:r>
      <w:r>
        <w:rPr>
          <w:rFonts w:hint="eastAsia" w:ascii="宋体" w:hAnsi="宋体"/>
          <w:sz w:val="24"/>
          <w:highlight w:val="none"/>
        </w:rPr>
        <w:t>法定代表人授权书</w:t>
      </w:r>
      <w:r>
        <w:rPr>
          <w:rFonts w:hint="eastAsia" w:ascii="宋体" w:hAnsi="宋体"/>
          <w:kern w:val="0"/>
          <w:sz w:val="24"/>
          <w:highlight w:val="none"/>
        </w:rPr>
        <w:t>（格式见附件）；</w:t>
      </w:r>
    </w:p>
    <w:p>
      <w:pPr>
        <w:numPr>
          <w:ilvl w:val="0"/>
          <w:numId w:val="15"/>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提供开具增值税专用发票能力的证明材料，如一般纳税人证明文件或以往开具的增值税发票；</w:t>
      </w:r>
    </w:p>
    <w:p>
      <w:pPr>
        <w:numPr>
          <w:ilvl w:val="0"/>
          <w:numId w:val="15"/>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sz w:val="24"/>
        </w:rPr>
        <w:t>台州市诚信投标承诺书；</w:t>
      </w:r>
    </w:p>
    <w:p>
      <w:pPr>
        <w:numPr>
          <w:ilvl w:val="0"/>
          <w:numId w:val="15"/>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lang w:val="en-US" w:eastAsia="zh-CN"/>
        </w:rPr>
        <w:t>投标单位认为与本项目相关的其他资格证明</w:t>
      </w:r>
      <w:r>
        <w:rPr>
          <w:rFonts w:hint="eastAsia" w:ascii="宋体" w:hAnsi="宋体"/>
          <w:sz w:val="24"/>
          <w:highlight w:val="none"/>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3"/>
        <w:numPr>
          <w:ilvl w:val="0"/>
          <w:numId w:val="0"/>
        </w:numPr>
        <w:ind w:left="425"/>
        <w:jc w:val="both"/>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rPr>
          <w:rFonts w:ascii="宋体" w:hAnsi="宋体"/>
          <w:b/>
          <w:color w:val="000000" w:themeColor="text1"/>
          <w:sz w:val="28"/>
          <w:highlight w:val="none"/>
          <w14:textFill>
            <w14:solidFill>
              <w14:schemeClr w14:val="tx1"/>
            </w14:solidFill>
          </w14:textFill>
        </w:rPr>
      </w:pPr>
    </w:p>
    <w:p>
      <w:pPr>
        <w:pStyle w:val="5"/>
        <w:rPr>
          <w:rFonts w:ascii="宋体" w:hAnsi="宋体"/>
          <w:b/>
          <w:color w:val="000000" w:themeColor="text1"/>
          <w:sz w:val="28"/>
          <w:highlight w:val="none"/>
          <w14:textFill>
            <w14:solidFill>
              <w14:schemeClr w14:val="tx1"/>
            </w14:solidFill>
          </w14:textFill>
        </w:rPr>
      </w:pPr>
    </w:p>
    <w:p>
      <w:pPr>
        <w:spacing w:line="24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12"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p>
    <w:p>
      <w:pP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台州市城市园林工程有限公司 </w:t>
      </w:r>
      <w:r>
        <w:rPr>
          <w:rFonts w:hint="eastAsia" w:ascii="Times New Roman" w:hAnsi="Times New Roman" w:eastAsia="宋体" w:cs="Times New Roman"/>
          <w:color w:val="auto"/>
          <w:sz w:val="28"/>
          <w:szCs w:val="28"/>
          <w:highlight w:val="none"/>
        </w:rPr>
        <w:t>（</w:t>
      </w:r>
      <w:r>
        <w:rPr>
          <w:rFonts w:hint="eastAsia" w:cs="Times New Roman"/>
          <w:color w:val="auto"/>
          <w:sz w:val="28"/>
          <w:szCs w:val="28"/>
          <w:highlight w:val="none"/>
          <w:lang w:eastAsia="zh-CN"/>
        </w:rPr>
        <w:t>招标人</w:t>
      </w:r>
      <w:r>
        <w:rPr>
          <w:rFonts w:hint="eastAsia" w:ascii="Times New Roman" w:hAnsi="Times New Roman" w:eastAsia="宋体" w:cs="Times New Roman"/>
          <w:color w:val="auto"/>
          <w:sz w:val="28"/>
          <w:szCs w:val="28"/>
          <w:highlight w:val="none"/>
        </w:rPr>
        <w:t>）的</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2024年度零星机械租赁项目</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pPr>
        <w:widowControl/>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投标人（盖章）：</w:t>
      </w:r>
    </w:p>
    <w:p>
      <w:pPr>
        <w:widowControl/>
        <w:snapToGrid w:val="0"/>
        <w:spacing w:line="360" w:lineRule="auto"/>
        <w:ind w:left="280" w:hanging="280" w:hangingChars="100"/>
        <w:rPr>
          <w:rFonts w:hint="eastAsia" w:ascii="宋体" w:hAnsi="宋体" w:eastAsia="宋体" w:cs="宋体"/>
          <w:color w:val="auto"/>
          <w:sz w:val="28"/>
          <w:szCs w:val="28"/>
          <w:highlight w:val="none"/>
        </w:rPr>
      </w:pPr>
    </w:p>
    <w:p>
      <w:pP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pPr>
        <w:adjustRightInd/>
        <w:snapToGrid/>
        <w:spacing w:line="240" w:lineRule="auto"/>
        <w:ind w:right="0"/>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法定代表人身份证明</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pPr>
        <w:pStyle w:val="41"/>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pStyle w:val="41"/>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身份证扫描件：</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r>
        <w:rPr>
          <w:rFonts w:hint="eastAsia" w:ascii="宋体" w:hAnsi="宋体" w:eastAsia="宋体" w:cs="宋体"/>
          <w:color w:val="000000" w:themeColor="text1"/>
          <w:position w:val="-3"/>
          <w:sz w:val="24"/>
          <w:highlight w:val="none"/>
          <w14:textFill>
            <w14:solidFill>
              <w14:schemeClr w14:val="tx1"/>
            </w14:solidFill>
          </w14:textFill>
        </w:rPr>
        <w:t xml:space="preserve"> 投标人（盖章）：</w:t>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p>
    <w:p>
      <w:pP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pacing w:line="360" w:lineRule="auto"/>
        <w:jc w:val="center"/>
        <w:rPr>
          <w:b/>
          <w:color w:val="000000" w:themeColor="text1"/>
          <w:sz w:val="32"/>
          <w:szCs w:val="32"/>
          <w:highlight w:val="none"/>
          <w14:textFill>
            <w14:solidFill>
              <w14:schemeClr w14:val="tx1"/>
            </w14:solidFill>
          </w14:textFill>
        </w:rPr>
      </w:pPr>
      <w:bookmarkStart w:id="40" w:name="_Toc6870_WPSOffice_Level1"/>
      <w:bookmarkStart w:id="41" w:name="_Toc24373_WPSOffice_Level1"/>
      <w:r>
        <w:rPr>
          <w:rFonts w:hint="eastAsia"/>
          <w:b/>
          <w:color w:val="000000" w:themeColor="text1"/>
          <w:sz w:val="32"/>
          <w:szCs w:val="32"/>
          <w:highlight w:val="none"/>
          <w14:textFill>
            <w14:solidFill>
              <w14:schemeClr w14:val="tx1"/>
            </w14:solidFill>
          </w14:textFill>
        </w:rPr>
        <w:t>台州市诚信投标承诺书</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本人以企业法定代表人的身份郑重承诺：</w:t>
      </w:r>
    </w:p>
    <w:p>
      <w:pPr>
        <w:adjustRightInd w:val="0"/>
        <w:snapToGrid w:val="0"/>
        <w:spacing w:line="586" w:lineRule="exact"/>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将遵循公开、公平、公正和诚实信用的原则参加</w:t>
      </w:r>
      <w:r>
        <w:rPr>
          <w:rFonts w:hint="eastAsia"/>
          <w:color w:val="000000" w:themeColor="text1"/>
          <w:sz w:val="28"/>
          <w:szCs w:val="28"/>
          <w:highlight w:val="none"/>
          <w:u w:val="single"/>
          <w:lang w:eastAsia="zh-CN"/>
          <w14:textFill>
            <w14:solidFill>
              <w14:schemeClr w14:val="tx1"/>
            </w14:solidFill>
          </w14:textFill>
        </w:rPr>
        <w:t>2024年度零星机械租赁项目</w:t>
      </w:r>
      <w:r>
        <w:rPr>
          <w:rFonts w:hint="eastAsia"/>
          <w:color w:val="000000" w:themeColor="text1"/>
          <w:sz w:val="28"/>
          <w:szCs w:val="28"/>
          <w:highlight w:val="none"/>
          <w14:textFill>
            <w14:solidFill>
              <w14:schemeClr w14:val="tx1"/>
            </w14:solidFill>
          </w14:textFill>
        </w:rPr>
        <w:t>（招标项目名称）的投标；</w:t>
      </w:r>
    </w:p>
    <w:p>
      <w:pPr>
        <w:adjustRightInd w:val="0"/>
        <w:snapToGrid w:val="0"/>
        <w:spacing w:line="586" w:lineRule="exact"/>
        <w:ind w:firstLine="610" w:firstLineChars="21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二、所提供的一切材料都是真实、有效、合法的；</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三、不与其他投标人相互串通投标报价，不排挤其他投标人的公平竞争，不损害招标人或其他投标人的合法权益；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四、不与招标人或招标代理机构串通投标，损害国家利益、社会公共利益或者他人的合法权益；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五、不向招标人或者评标委员会成员行贿以牟取中标；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六、不以他人名义投标或者以其他方式弄虚作假，骗取中标。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七、本公司的投标资格已按照招标文件约定的逐条自查，并如实</w:t>
      </w:r>
      <w:r>
        <w:rPr>
          <w:rFonts w:hint="eastAsia"/>
          <w:color w:val="000000" w:themeColor="text1"/>
          <w:sz w:val="28"/>
          <w:szCs w:val="28"/>
          <w:highlight w:val="none"/>
          <w:lang w:val="en-US" w:eastAsia="zh-CN"/>
          <w14:textFill>
            <w14:solidFill>
              <w14:schemeClr w14:val="tx1"/>
            </w14:solidFill>
          </w14:textFill>
        </w:rPr>
        <w:t>提交</w:t>
      </w:r>
      <w:r>
        <w:rPr>
          <w:rFonts w:hint="eastAsia"/>
          <w:color w:val="000000" w:themeColor="text1"/>
          <w:sz w:val="28"/>
          <w:szCs w:val="28"/>
          <w:highlight w:val="none"/>
          <w14:textFill>
            <w14:solidFill>
              <w14:schemeClr w14:val="tx1"/>
            </w14:solidFill>
          </w14:textFill>
        </w:rPr>
        <w:t>。如招标人需要调查了解的，本公司负责本次投标的主管人员（分管经营的副总）将积极配合。主管人员：</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，手机号码：</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w:t>
      </w:r>
    </w:p>
    <w:p>
      <w:pPr>
        <w:adjustRightInd w:val="0"/>
        <w:snapToGrid w:val="0"/>
        <w:spacing w:line="586" w:lineRule="exact"/>
        <w:ind w:firstLine="722" w:firstLineChars="25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p>
      <w:pPr>
        <w:widowControl/>
        <w:snapToGrid w:val="0"/>
        <w:spacing w:line="360" w:lineRule="auto"/>
        <w:ind w:left="280" w:hanging="280" w:hangingChars="1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法定代表人（签字或盖章）：</w:t>
      </w:r>
    </w:p>
    <w:p>
      <w:pPr>
        <w:widowControl/>
        <w:snapToGrid w:val="0"/>
        <w:spacing w:line="360" w:lineRule="auto"/>
        <w:ind w:left="280" w:hanging="280" w:hangingChars="100"/>
        <w:jc w:val="righ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投标人（盖章）</w:t>
      </w:r>
      <w:r>
        <w:rPr>
          <w:rFonts w:hint="eastAsia"/>
          <w:color w:val="000000" w:themeColor="text1"/>
          <w:sz w:val="28"/>
          <w:szCs w:val="28"/>
          <w:highlight w:val="none"/>
          <w14:textFill>
            <w14:solidFill>
              <w14:schemeClr w14:val="tx1"/>
            </w14:solidFill>
          </w14:textFill>
        </w:rPr>
        <w:t>：</w:t>
      </w:r>
    </w:p>
    <w:p>
      <w:pPr>
        <w:spacing w:line="440" w:lineRule="exact"/>
        <w:ind w:right="480"/>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年   月   日</w:t>
      </w:r>
    </w:p>
    <w:p>
      <w:pPr>
        <w:rPr>
          <w:rFonts w:hint="eastAsia" w:ascii="宋体"/>
          <w:color w:val="000000" w:themeColor="text1"/>
          <w:sz w:val="28"/>
          <w:highlight w:val="none"/>
          <w14:textFill>
            <w14:solidFill>
              <w14:schemeClr w14:val="tx1"/>
            </w14:solidFill>
          </w14:textFill>
        </w:rPr>
      </w:pPr>
    </w:p>
    <w:p>
      <w:pPr>
        <w:spacing w:line="360" w:lineRule="auto"/>
        <w:ind w:firstLine="321" w:firstLineChars="100"/>
        <w:jc w:val="center"/>
        <w:rPr>
          <w:b/>
          <w:color w:val="000000" w:themeColor="text1"/>
          <w:sz w:val="32"/>
          <w:szCs w:val="32"/>
          <w:highlight w:val="none"/>
          <w14:textFill>
            <w14:solidFill>
              <w14:schemeClr w14:val="tx1"/>
            </w14:solidFill>
          </w14:textFill>
        </w:rPr>
      </w:pPr>
    </w:p>
    <w:bookmarkEnd w:id="40"/>
    <w:bookmarkEnd w:id="41"/>
    <w:p>
      <w:pPr>
        <w:rPr>
          <w:rFonts w:hint="eastAsia"/>
          <w:color w:val="000000" w:themeColor="text1"/>
          <w:sz w:val="44"/>
          <w:szCs w:val="44"/>
          <w:highlight w:val="none"/>
          <w:lang w:eastAsia="zh-CN"/>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2024年度零星机械租赁项目</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招标编号：</w:t>
      </w:r>
      <w:r>
        <w:rPr>
          <w:rFonts w:hint="eastAsia" w:ascii="宋体" w:hAnsi="宋体"/>
          <w:color w:val="000000" w:themeColor="text1"/>
          <w:sz w:val="36"/>
          <w:szCs w:val="36"/>
          <w:highlight w:val="none"/>
          <w:lang w:eastAsia="zh-CN"/>
          <w14:textFill>
            <w14:solidFill>
              <w14:schemeClr w14:val="tx1"/>
            </w14:solidFill>
          </w14:textFill>
        </w:rPr>
        <w:t>QBJ2023238</w:t>
      </w: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14:textFill>
            <w14:solidFill>
              <w14:schemeClr w14:val="tx1"/>
            </w14:solidFill>
          </w14:textFill>
        </w:rPr>
      </w:pPr>
      <w:bookmarkStart w:id="42" w:name="_Toc14572_WPSOffice_Level1"/>
      <w:bookmarkStart w:id="43" w:name="_Toc3932_WPSOffice_Level1"/>
      <w:r>
        <w:rPr>
          <w:rFonts w:hint="eastAsia"/>
          <w:color w:val="000000" w:themeColor="text1"/>
          <w:sz w:val="84"/>
          <w:szCs w:val="84"/>
          <w:highlight w:val="none"/>
          <w14:textFill>
            <w14:solidFill>
              <w14:schemeClr w14:val="tx1"/>
            </w14:solidFill>
          </w14:textFill>
        </w:rPr>
        <w:t>商</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务</w:t>
      </w:r>
    </w:p>
    <w:bookmarkEnd w:id="42"/>
    <w:bookmarkEnd w:id="43"/>
    <w:p>
      <w:pPr>
        <w:jc w:val="center"/>
        <w:rPr>
          <w:rFonts w:hint="eastAsia" w:eastAsia="宋体"/>
          <w:color w:val="000000" w:themeColor="text1"/>
          <w:sz w:val="84"/>
          <w:szCs w:val="84"/>
          <w:highlight w:val="none"/>
          <w:lang w:eastAsia="zh-CN"/>
          <w14:textFill>
            <w14:solidFill>
              <w14:schemeClr w14:val="tx1"/>
            </w14:solidFill>
          </w14:textFill>
        </w:rPr>
      </w:pPr>
      <w:r>
        <w:rPr>
          <w:rFonts w:hint="eastAsia"/>
          <w:color w:val="000000" w:themeColor="text1"/>
          <w:sz w:val="84"/>
          <w:szCs w:val="84"/>
          <w:highlight w:val="none"/>
          <w:lang w:val="en-US" w:eastAsia="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bookmarkStart w:id="44" w:name="_Toc4603_WPSOffice_Level1"/>
      <w:bookmarkStart w:id="45" w:name="_Toc26700_WPSOffice_Level1"/>
      <w:r>
        <w:rPr>
          <w:rFonts w:hint="eastAsia" w:ascii="宋体" w:hAnsi="宋体"/>
          <w:color w:val="000000" w:themeColor="text1"/>
          <w:sz w:val="36"/>
          <w:szCs w:val="36"/>
          <w:highlight w:val="none"/>
          <w14:textFill>
            <w14:solidFill>
              <w14:schemeClr w14:val="tx1"/>
            </w14:solidFill>
          </w14:textFill>
        </w:rPr>
        <w:t>投标人全称（</w:t>
      </w:r>
      <w:r>
        <w:rPr>
          <w:rFonts w:hint="eastAsia" w:ascii="宋体" w:hAnsi="宋体"/>
          <w:color w:val="000000" w:themeColor="text1"/>
          <w:sz w:val="36"/>
          <w:szCs w:val="36"/>
          <w:highlight w:val="none"/>
          <w:lang w:val="en-US" w:eastAsia="zh-CN"/>
          <w14:textFill>
            <w14:solidFill>
              <w14:schemeClr w14:val="tx1"/>
            </w14:solidFill>
          </w14:textFill>
        </w:rPr>
        <w:t>盖章</w:t>
      </w:r>
      <w:r>
        <w:rPr>
          <w:rFonts w:hint="eastAsia" w:ascii="宋体" w:hAnsi="宋体"/>
          <w:color w:val="000000" w:themeColor="text1"/>
          <w:sz w:val="36"/>
          <w:szCs w:val="36"/>
          <w:highlight w:val="none"/>
          <w14:textFill>
            <w14:solidFill>
              <w14:schemeClr w14:val="tx1"/>
            </w14:solidFill>
          </w14:textFill>
        </w:rPr>
        <w:t>）：</w:t>
      </w:r>
      <w:bookmarkEnd w:id="44"/>
      <w:bookmarkEnd w:id="45"/>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6" w:name="_Toc1391_WPSOffice_Level1"/>
      <w:bookmarkStart w:id="47" w:name="_Toc32593_WPSOffice_Level1"/>
      <w:r>
        <w:rPr>
          <w:rFonts w:hint="eastAsia" w:ascii="宋体" w:hAnsi="宋体"/>
          <w:color w:val="000000" w:themeColor="text1"/>
          <w:sz w:val="36"/>
          <w:szCs w:val="36"/>
          <w:highlight w:val="none"/>
          <w14:textFill>
            <w14:solidFill>
              <w14:schemeClr w14:val="tx1"/>
            </w14:solidFill>
          </w14:textFill>
        </w:rPr>
        <w:t>地    址：</w:t>
      </w:r>
      <w:bookmarkEnd w:id="46"/>
      <w:bookmarkEnd w:id="47"/>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8" w:name="_Toc3791_WPSOffice_Level1"/>
      <w:bookmarkStart w:id="49" w:name="_Toc20938_WPSOffice_Level1"/>
      <w:r>
        <w:rPr>
          <w:rFonts w:hint="eastAsia" w:ascii="宋体" w:hAnsi="宋体"/>
          <w:color w:val="000000" w:themeColor="text1"/>
          <w:sz w:val="36"/>
          <w:szCs w:val="36"/>
          <w:highlight w:val="none"/>
          <w14:textFill>
            <w14:solidFill>
              <w14:schemeClr w14:val="tx1"/>
            </w14:solidFill>
          </w14:textFill>
        </w:rPr>
        <w:t>时    间：</w:t>
      </w:r>
      <w:bookmarkEnd w:id="48"/>
      <w:bookmarkEnd w:id="49"/>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5"/>
        <w:rPr>
          <w:rFonts w:ascii="仿宋_GB2312" w:hAnsi="宋体" w:eastAsia="仿宋_GB2312"/>
          <w:b/>
          <w:color w:val="000000" w:themeColor="text1"/>
          <w:sz w:val="36"/>
          <w:szCs w:val="36"/>
          <w:highlight w:val="none"/>
          <w14:textFill>
            <w14:solidFill>
              <w14:schemeClr w14:val="tx1"/>
            </w14:solidFill>
          </w14:textFill>
        </w:rPr>
      </w:pPr>
    </w:p>
    <w:p>
      <w:pPr>
        <w:spacing w:line="480" w:lineRule="auto"/>
        <w:jc w:val="center"/>
        <w:rPr>
          <w:color w:val="000000" w:themeColor="text1"/>
          <w:highlight w:val="none"/>
          <w14:textFill>
            <w14:solidFill>
              <w14:schemeClr w14:val="tx1"/>
            </w14:solidFill>
          </w14:textFill>
        </w:rPr>
      </w:pPr>
      <w:bookmarkStart w:id="50" w:name="_Toc29537_WPSOffice_Level1"/>
      <w:bookmarkStart w:id="51" w:name="_Toc19972_WPSOffice_Level1"/>
      <w:r>
        <w:rPr>
          <w:rFonts w:hint="eastAsia" w:ascii="宋体" w:hAnsi="宋体"/>
          <w:b/>
          <w:bCs/>
          <w:color w:val="000000" w:themeColor="text1"/>
          <w:sz w:val="36"/>
          <w:szCs w:val="36"/>
          <w:highlight w:val="none"/>
          <w14:textFill>
            <w14:solidFill>
              <w14:schemeClr w14:val="tx1"/>
            </w14:solidFill>
          </w14:textFill>
        </w:rPr>
        <w:t>商务标目录</w:t>
      </w:r>
      <w:bookmarkEnd w:id="50"/>
      <w:bookmarkEnd w:id="51"/>
    </w:p>
    <w:p>
      <w:pPr>
        <w:rPr>
          <w:rFonts w:ascii="宋体" w:hAnsi="宋体" w:eastAsia="宋体" w:cs="宋体"/>
          <w:color w:val="000000" w:themeColor="text1"/>
          <w:sz w:val="28"/>
          <w:szCs w:val="28"/>
          <w:highlight w:val="none"/>
          <w14:textFill>
            <w14:solidFill>
              <w14:schemeClr w14:val="tx1"/>
            </w14:solidFill>
          </w14:textFill>
        </w:rPr>
      </w:pP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bookmarkStart w:id="52" w:name="_Toc6778_WPSOffice_Level1"/>
      <w:bookmarkStart w:id="53" w:name="_Toc2998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52"/>
    <w:bookmarkEnd w:id="53"/>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2" w:firstLineChars="200"/>
        <w:rPr>
          <w:rFonts w:ascii="宋体" w:hAnsi="宋体"/>
          <w:b/>
          <w:color w:val="000000" w:themeColor="text1"/>
          <w:sz w:val="24"/>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4</w:t>
      </w:r>
    </w:p>
    <w:p>
      <w:pPr>
        <w:spacing w:line="360" w:lineRule="auto"/>
        <w:ind w:left="-2" w:hanging="2"/>
        <w:jc w:val="center"/>
        <w:rPr>
          <w:rFonts w:hint="eastAsia" w:ascii="宋体" w:hAnsi="宋体"/>
          <w:b/>
          <w:color w:val="000000" w:themeColor="text1"/>
          <w:sz w:val="32"/>
          <w:szCs w:val="32"/>
          <w:highlight w:val="none"/>
          <w:lang w:val="en-US" w:eastAsia="zh-CN"/>
          <w14:textFill>
            <w14:solidFill>
              <w14:schemeClr w14:val="tx1"/>
            </w14:solidFill>
          </w14:textFill>
        </w:rPr>
      </w:pPr>
      <w:bookmarkStart w:id="54" w:name="_Toc30363_WPSOffice_Level1"/>
      <w:bookmarkStart w:id="55" w:name="_Toc16144_WPSOffice_Level1"/>
      <w:r>
        <w:rPr>
          <w:rFonts w:hint="eastAsia" w:ascii="宋体" w:hAnsi="宋体"/>
          <w:b/>
          <w:color w:val="000000" w:themeColor="text1"/>
          <w:sz w:val="32"/>
          <w:szCs w:val="32"/>
          <w:highlight w:val="none"/>
          <w:lang w:val="en-US" w:eastAsia="zh-CN"/>
          <w14:textFill>
            <w14:solidFill>
              <w14:schemeClr w14:val="tx1"/>
            </w14:solidFill>
          </w14:textFill>
        </w:rPr>
        <w:t>2024年度零星机械租赁项目</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投标函</w:t>
      </w:r>
      <w:r>
        <w:rPr>
          <w:rFonts w:hint="eastAsia" w:ascii="宋体" w:hAnsi="宋体"/>
          <w:b/>
          <w:color w:val="000000" w:themeColor="text1"/>
          <w:sz w:val="32"/>
          <w:szCs w:val="32"/>
          <w:highlight w:val="none"/>
          <w14:textFill>
            <w14:solidFill>
              <w14:schemeClr w14:val="tx1"/>
            </w14:solidFill>
          </w14:textFill>
        </w:rPr>
        <w:t xml:space="preserve"> </w:t>
      </w:r>
      <w:bookmarkEnd w:id="54"/>
      <w:bookmarkEnd w:id="55"/>
    </w:p>
    <w:p>
      <w:pPr>
        <w:spacing w:line="360" w:lineRule="auto"/>
        <w:jc w:val="left"/>
        <w:rPr>
          <w:rFonts w:hint="eastAsia" w:ascii="宋体" w:hAnsi="宋体" w:cs="宋体"/>
          <w:position w:val="-3"/>
          <w:sz w:val="24"/>
          <w:highlight w:val="none"/>
        </w:rPr>
      </w:pPr>
      <w:r>
        <w:rPr>
          <w:rFonts w:hint="eastAsia" w:ascii="宋体" w:hAnsi="宋体" w:cs="宋体"/>
          <w:position w:val="-3"/>
          <w:sz w:val="24"/>
          <w:highlight w:val="none"/>
        </w:rPr>
        <w:t>台州市城市园林工程有限公司：</w:t>
      </w:r>
    </w:p>
    <w:p>
      <w:pPr>
        <w:spacing w:line="360" w:lineRule="auto"/>
        <w:ind w:firstLine="480" w:firstLineChars="200"/>
        <w:rPr>
          <w:rFonts w:hint="eastAsia" w:ascii="宋体" w:hAnsi="宋体" w:cs="宋体"/>
          <w:snapToGrid w:val="0"/>
          <w:kern w:val="0"/>
          <w:sz w:val="24"/>
          <w:highlight w:val="none"/>
        </w:rPr>
      </w:pPr>
      <w:r>
        <w:rPr>
          <w:rFonts w:hint="eastAsia" w:ascii="宋体" w:hAnsi="宋体" w:cs="宋体"/>
          <w:position w:val="-3"/>
          <w:sz w:val="24"/>
          <w:highlight w:val="none"/>
        </w:rPr>
        <w:t>一、</w:t>
      </w:r>
      <w:r>
        <w:rPr>
          <w:rFonts w:hint="eastAsia" w:ascii="宋体" w:hAnsi="宋体" w:cs="宋体"/>
          <w:snapToGrid w:val="0"/>
          <w:kern w:val="0"/>
          <w:sz w:val="24"/>
          <w:highlight w:val="none"/>
        </w:rPr>
        <w:t>根据己收到的</w:t>
      </w:r>
      <w:r>
        <w:rPr>
          <w:rFonts w:hint="eastAsia" w:ascii="宋体" w:hAnsi="宋体" w:cs="宋体"/>
          <w:sz w:val="24"/>
          <w:highlight w:val="none"/>
        </w:rPr>
        <w:t>招</w:t>
      </w:r>
      <w:r>
        <w:rPr>
          <w:rFonts w:hint="eastAsia" w:ascii="宋体" w:hAnsi="宋体" w:cs="宋体"/>
          <w:snapToGrid w:val="0"/>
          <w:kern w:val="0"/>
          <w:sz w:val="24"/>
          <w:highlight w:val="none"/>
        </w:rPr>
        <w:t>标文件，我单位经考察现场和研究上述项目的招标文件后，在全部同意招标文件内容的前提下，我方保证：</w:t>
      </w:r>
    </w:p>
    <w:p>
      <w:pPr>
        <w:spacing w:line="360" w:lineRule="auto"/>
        <w:ind w:firstLine="480" w:firstLineChars="200"/>
        <w:rPr>
          <w:rFonts w:hint="eastAsia" w:ascii="宋体" w:hAnsi="宋体" w:cs="宋体"/>
          <w:position w:val="-3"/>
          <w:sz w:val="24"/>
          <w:highlight w:val="none"/>
        </w:rPr>
      </w:pPr>
      <w:r>
        <w:rPr>
          <w:rFonts w:hint="eastAsia" w:ascii="宋体" w:hAnsi="宋体" w:cs="宋体"/>
          <w:position w:val="-3"/>
          <w:sz w:val="24"/>
          <w:highlight w:val="none"/>
        </w:rPr>
        <w:t xml:space="preserve">1、愿以招标文件规定的综合单价的 </w:t>
      </w:r>
      <w:r>
        <w:rPr>
          <w:rFonts w:hint="eastAsia" w:ascii="宋体" w:hAnsi="宋体" w:cs="宋体"/>
          <w:position w:val="-3"/>
          <w:sz w:val="24"/>
          <w:highlight w:val="none"/>
          <w:u w:val="single"/>
        </w:rPr>
        <w:t xml:space="preserve">      </w:t>
      </w:r>
      <w:r>
        <w:rPr>
          <w:rFonts w:hint="eastAsia" w:ascii="宋体" w:hAnsi="宋体" w:cs="宋体"/>
          <w:position w:val="-3"/>
          <w:sz w:val="24"/>
          <w:highlight w:val="none"/>
        </w:rPr>
        <w:t>%的投标结算率（</w:t>
      </w:r>
      <w:r>
        <w:rPr>
          <w:rFonts w:hint="eastAsia" w:ascii="宋体" w:hAnsi="宋体" w:cs="宋体"/>
          <w:position w:val="-3"/>
          <w:sz w:val="24"/>
          <w:highlight w:val="none"/>
          <w:lang w:val="en-US" w:eastAsia="zh-CN"/>
        </w:rPr>
        <w:t>百分号前</w:t>
      </w:r>
      <w:r>
        <w:rPr>
          <w:rFonts w:hint="eastAsia" w:ascii="宋体" w:hAnsi="宋体" w:cs="宋体"/>
          <w:position w:val="-3"/>
          <w:sz w:val="24"/>
          <w:highlight w:val="none"/>
        </w:rPr>
        <w:t>保留二位小数）（投标结算率必须＜</w:t>
      </w:r>
      <w:r>
        <w:rPr>
          <w:rFonts w:hint="eastAsia" w:ascii="宋体" w:hAnsi="宋体" w:cs="宋体"/>
          <w:position w:val="-3"/>
          <w:sz w:val="24"/>
          <w:highlight w:val="none"/>
          <w:lang w:val="en-US" w:eastAsia="zh-CN"/>
        </w:rPr>
        <w:t>88</w:t>
      </w:r>
      <w:r>
        <w:rPr>
          <w:rFonts w:hint="eastAsia" w:ascii="宋体" w:hAnsi="宋体" w:cs="宋体"/>
          <w:position w:val="-3"/>
          <w:sz w:val="24"/>
          <w:highlight w:val="none"/>
        </w:rPr>
        <w:t>%，否则作无效标处理）承包上述招标项目。</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2、供货期限：</w:t>
      </w:r>
      <w:r>
        <w:rPr>
          <w:rFonts w:hint="default" w:ascii="宋体" w:hAnsi="宋体" w:cs="宋体"/>
          <w:position w:val="-3"/>
          <w:sz w:val="24"/>
          <w:highlight w:val="none"/>
        </w:rPr>
        <w:t>①</w:t>
      </w:r>
      <w:r>
        <w:rPr>
          <w:rFonts w:hint="eastAsia" w:ascii="宋体" w:hAnsi="宋体" w:cs="宋体"/>
          <w:position w:val="-3"/>
          <w:sz w:val="24"/>
          <w:highlight w:val="none"/>
        </w:rPr>
        <w:t>2024年1月1日起至2024年12月31日或结算金额达到200万元，以两者先到为准合同终止。</w:t>
      </w:r>
    </w:p>
    <w:p>
      <w:pPr>
        <w:spacing w:line="360" w:lineRule="auto"/>
        <w:ind w:firstLine="480" w:firstLineChars="200"/>
        <w:jc w:val="left"/>
        <w:rPr>
          <w:rFonts w:hint="eastAsia" w:ascii="宋体" w:hAnsi="宋体" w:cs="宋体"/>
          <w:position w:val="-3"/>
          <w:sz w:val="24"/>
          <w:highlight w:val="none"/>
        </w:rPr>
      </w:pPr>
      <w:r>
        <w:rPr>
          <w:rFonts w:hint="default" w:ascii="宋体" w:hAnsi="宋体" w:cs="宋体"/>
          <w:position w:val="-3"/>
          <w:sz w:val="24"/>
          <w:highlight w:val="none"/>
        </w:rPr>
        <w:t>②</w:t>
      </w:r>
      <w:r>
        <w:rPr>
          <w:rFonts w:hint="eastAsia" w:ascii="宋体" w:hAnsi="宋体" w:cs="宋体"/>
          <w:position w:val="-3"/>
          <w:sz w:val="24"/>
          <w:highlight w:val="none"/>
        </w:rPr>
        <w:t>货物到场时间要求：接到</w:t>
      </w:r>
      <w:r>
        <w:rPr>
          <w:rFonts w:hint="eastAsia" w:ascii="宋体" w:hAnsi="宋体" w:cs="宋体"/>
          <w:position w:val="-3"/>
          <w:sz w:val="24"/>
          <w:highlight w:val="none"/>
          <w:lang w:eastAsia="zh-CN"/>
        </w:rPr>
        <w:t>招标人</w:t>
      </w:r>
      <w:r>
        <w:rPr>
          <w:rFonts w:hint="eastAsia" w:ascii="宋体" w:hAnsi="宋体" w:cs="宋体"/>
          <w:position w:val="-3"/>
          <w:sz w:val="24"/>
          <w:highlight w:val="none"/>
        </w:rPr>
        <w:t>通知后，根据</w:t>
      </w:r>
      <w:r>
        <w:rPr>
          <w:rFonts w:hint="eastAsia" w:ascii="宋体" w:hAnsi="宋体" w:cs="宋体"/>
          <w:position w:val="-3"/>
          <w:sz w:val="24"/>
          <w:highlight w:val="none"/>
          <w:lang w:eastAsia="zh-CN"/>
        </w:rPr>
        <w:t>招标人</w:t>
      </w:r>
      <w:r>
        <w:rPr>
          <w:rFonts w:hint="eastAsia" w:ascii="宋体" w:hAnsi="宋体" w:cs="宋体"/>
          <w:position w:val="-3"/>
          <w:sz w:val="24"/>
          <w:highlight w:val="none"/>
        </w:rPr>
        <w:t>要求及时提供机械设备到</w:t>
      </w:r>
      <w:r>
        <w:rPr>
          <w:rFonts w:hint="eastAsia" w:ascii="宋体" w:hAnsi="宋体" w:cs="宋体"/>
          <w:position w:val="-3"/>
          <w:sz w:val="24"/>
          <w:highlight w:val="none"/>
          <w:lang w:eastAsia="zh-CN"/>
        </w:rPr>
        <w:t>招标人</w:t>
      </w:r>
      <w:r>
        <w:rPr>
          <w:rFonts w:hint="eastAsia" w:ascii="宋体" w:hAnsi="宋体" w:cs="宋体"/>
          <w:position w:val="-3"/>
          <w:sz w:val="24"/>
          <w:highlight w:val="none"/>
        </w:rPr>
        <w:t>指定地点，不得影响</w:t>
      </w:r>
      <w:r>
        <w:rPr>
          <w:rFonts w:hint="eastAsia" w:ascii="宋体" w:hAnsi="宋体" w:cs="宋体"/>
          <w:position w:val="-3"/>
          <w:sz w:val="24"/>
          <w:highlight w:val="none"/>
          <w:lang w:eastAsia="zh-CN"/>
        </w:rPr>
        <w:t>招标人</w:t>
      </w:r>
      <w:r>
        <w:rPr>
          <w:rFonts w:hint="eastAsia" w:ascii="宋体" w:hAnsi="宋体" w:cs="宋体"/>
          <w:position w:val="-3"/>
          <w:sz w:val="24"/>
          <w:highlight w:val="none"/>
        </w:rPr>
        <w:t>施工进度。</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3、质量符合招标文件要求；</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二、如果我方中标，我方将按招标文件规定提交履约担保。</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三、除非另外达成协议并生效，你方的中标通知书和本投标文件将构成约束我们双方的合同。</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sz w:val="24"/>
          <w:highlight w:val="none"/>
        </w:rPr>
        <w:t>四、</w:t>
      </w:r>
      <w:r>
        <w:rPr>
          <w:rFonts w:ascii="宋体" w:hAnsi="宋体" w:cs="宋体"/>
          <w:sz w:val="24"/>
          <w:highlight w:val="none"/>
        </w:rPr>
        <w:t>在合同服务期内，</w:t>
      </w:r>
      <w:r>
        <w:rPr>
          <w:rFonts w:hint="eastAsia" w:ascii="宋体" w:hAnsi="宋体" w:cs="宋体"/>
          <w:sz w:val="24"/>
          <w:highlight w:val="none"/>
          <w:lang w:eastAsia="zh-CN"/>
        </w:rPr>
        <w:t>招标人</w:t>
      </w:r>
      <w:r>
        <w:rPr>
          <w:rFonts w:ascii="宋体" w:hAnsi="宋体" w:cs="宋体"/>
          <w:sz w:val="24"/>
          <w:highlight w:val="none"/>
        </w:rPr>
        <w:t>有权根据实际情况确定</w:t>
      </w:r>
      <w:r>
        <w:rPr>
          <w:rFonts w:hint="eastAsia" w:ascii="宋体" w:hAnsi="宋体" w:cs="宋体"/>
          <w:sz w:val="24"/>
          <w:highlight w:val="none"/>
          <w:lang w:val="en-US" w:eastAsia="zh-CN"/>
        </w:rPr>
        <w:t>租赁</w:t>
      </w:r>
      <w:r>
        <w:rPr>
          <w:rFonts w:ascii="宋体" w:hAnsi="宋体" w:cs="宋体"/>
          <w:sz w:val="24"/>
          <w:highlight w:val="none"/>
        </w:rPr>
        <w:t>需求，若服务期内</w:t>
      </w:r>
      <w:r>
        <w:rPr>
          <w:rFonts w:hint="eastAsia" w:ascii="宋体" w:hAnsi="宋体" w:cs="宋体"/>
          <w:sz w:val="24"/>
          <w:highlight w:val="none"/>
          <w:lang w:eastAsia="zh-CN"/>
        </w:rPr>
        <w:t>招标人</w:t>
      </w:r>
      <w:r>
        <w:rPr>
          <w:rFonts w:ascii="宋体" w:hAnsi="宋体" w:cs="宋体"/>
          <w:sz w:val="24"/>
          <w:highlight w:val="none"/>
        </w:rPr>
        <w:t>因需求等问题提前终止合同的，</w:t>
      </w:r>
      <w:r>
        <w:rPr>
          <w:rFonts w:hint="eastAsia" w:ascii="宋体" w:hAnsi="宋体" w:cs="宋体"/>
          <w:sz w:val="24"/>
          <w:highlight w:val="none"/>
        </w:rPr>
        <w:t>我方</w:t>
      </w:r>
      <w:r>
        <w:rPr>
          <w:rFonts w:ascii="宋体" w:hAnsi="宋体" w:cs="宋体"/>
          <w:sz w:val="24"/>
          <w:highlight w:val="none"/>
        </w:rPr>
        <w:t>对此表示认可，提前充分评估由此产生的影响，并承诺放弃由此产生的一切损失。</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法定代表人（签字或盖章）：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投标人（盖单位公章）：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w:t>
      </w:r>
      <w:r>
        <w:rPr>
          <w:rFonts w:hint="eastAsia" w:ascii="宋体" w:hAnsi="宋体" w:cs="宋体"/>
          <w:position w:val="-3"/>
          <w:sz w:val="24"/>
          <w:highlight w:val="none"/>
          <w:lang w:eastAsia="zh-CN"/>
        </w:rPr>
        <w:t>：</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年    月  </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 日</w:t>
      </w:r>
    </w:p>
    <w:p>
      <w:pPr>
        <w:spacing w:line="360" w:lineRule="auto"/>
        <w:jc w:val="left"/>
        <w:rPr>
          <w:rFonts w:hint="eastAsia"/>
          <w:b/>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p>
    <w:p>
      <w:pPr>
        <w:spacing w:line="360" w:lineRule="auto"/>
        <w:jc w:val="center"/>
        <w:rPr>
          <w:rFonts w:hint="eastAsia" w:ascii="宋体" w:hAnsi="宋体" w:cs="宋体"/>
          <w:b/>
          <w:sz w:val="24"/>
          <w:highlight w:val="none"/>
        </w:rPr>
      </w:pPr>
      <w:r>
        <w:rPr>
          <w:rFonts w:hint="eastAsia" w:ascii="宋体" w:hAnsi="宋体" w:cs="宋体"/>
          <w:b/>
          <w:sz w:val="24"/>
          <w:highlight w:val="none"/>
        </w:rPr>
        <w:t>报价明细表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129"/>
        <w:gridCol w:w="2424"/>
        <w:gridCol w:w="1391"/>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48"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序号</w:t>
            </w:r>
          </w:p>
        </w:tc>
        <w:tc>
          <w:tcPr>
            <w:tcW w:w="2129"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设备</w:t>
            </w:r>
          </w:p>
        </w:tc>
        <w:tc>
          <w:tcPr>
            <w:tcW w:w="2424"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型号/规格</w:t>
            </w:r>
          </w:p>
        </w:tc>
        <w:tc>
          <w:tcPr>
            <w:tcW w:w="1391" w:type="dxa"/>
            <w:noWrap w:val="0"/>
            <w:vAlign w:val="center"/>
          </w:tcPr>
          <w:p>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全费用综合单价</w:t>
            </w:r>
          </w:p>
          <w:p>
            <w:pPr>
              <w:spacing w:line="360" w:lineRule="auto"/>
              <w:jc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（元/台班）</w:t>
            </w:r>
          </w:p>
        </w:tc>
        <w:tc>
          <w:tcPr>
            <w:tcW w:w="1464" w:type="dxa"/>
            <w:noWrap w:val="0"/>
            <w:vAlign w:val="center"/>
          </w:tcPr>
          <w:p>
            <w:pPr>
              <w:spacing w:line="360" w:lineRule="auto"/>
              <w:jc w:val="center"/>
              <w:rPr>
                <w:rFonts w:hint="eastAsia" w:ascii="宋体" w:hAnsi="宋体" w:cs="宋体"/>
                <w:b/>
                <w:bCs/>
                <w:color w:val="auto"/>
                <w:sz w:val="21"/>
                <w:szCs w:val="21"/>
                <w:highlight w:val="none"/>
              </w:rPr>
            </w:pPr>
            <w:r>
              <w:rPr>
                <w:rFonts w:hint="eastAsia"/>
                <w:b/>
                <w:bCs/>
                <w:color w:val="auto"/>
                <w:sz w:val="21"/>
                <w:szCs w:val="21"/>
                <w:highlight w:val="none"/>
              </w:rPr>
              <w:t>投标结算率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restart"/>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129" w:type="dxa"/>
            <w:vMerge w:val="restart"/>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挖机（履带式）（含进出场费）</w:t>
            </w: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50（60）</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1150</w:t>
            </w:r>
          </w:p>
        </w:tc>
        <w:tc>
          <w:tcPr>
            <w:tcW w:w="1464" w:type="dxa"/>
            <w:vMerge w:val="restart"/>
            <w:noWrap w:val="0"/>
            <w:vAlign w:val="center"/>
          </w:tcPr>
          <w:p>
            <w:pPr>
              <w:jc w:val="center"/>
              <w:rPr>
                <w:rFonts w:hint="eastAsia" w:ascii="宋体" w:hAnsi="宋体" w:cs="宋体"/>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w:t>
            </w:r>
            <w:r>
              <w:rPr>
                <w:rFonts w:hint="eastAsia" w:ascii="宋体" w:hAnsi="宋体" w:cs="宋体"/>
                <w:color w:val="auto"/>
                <w:position w:val="-3"/>
                <w:sz w:val="21"/>
                <w:szCs w:val="21"/>
                <w:highlight w:val="none"/>
              </w:rPr>
              <w:t>（百分号前保留二位小数）（投标结算率必须＜</w:t>
            </w:r>
            <w:r>
              <w:rPr>
                <w:rFonts w:hint="eastAsia" w:ascii="宋体" w:hAnsi="宋体" w:cs="宋体"/>
                <w:color w:val="auto"/>
                <w:position w:val="-3"/>
                <w:sz w:val="21"/>
                <w:szCs w:val="21"/>
                <w:highlight w:val="none"/>
                <w:lang w:val="en-US" w:eastAsia="zh-CN"/>
              </w:rPr>
              <w:t>88</w:t>
            </w:r>
            <w:r>
              <w:rPr>
                <w:rFonts w:hint="eastAsia" w:ascii="宋体" w:hAnsi="宋体" w:cs="宋体"/>
                <w:color w:val="auto"/>
                <w:position w:val="-3"/>
                <w:sz w:val="21"/>
                <w:szCs w:val="21"/>
                <w:highlight w:val="none"/>
              </w:rPr>
              <w:t>%，否则作无效标处理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120</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1600</w:t>
            </w:r>
          </w:p>
        </w:tc>
        <w:tc>
          <w:tcPr>
            <w:tcW w:w="1464" w:type="dxa"/>
            <w:vMerge w:val="continue"/>
            <w:noWrap w:val="0"/>
            <w:vAlign w:val="center"/>
          </w:tcPr>
          <w:p>
            <w:pPr>
              <w:jc w:val="center"/>
              <w:rPr>
                <w:rFonts w:hint="eastAsia"/>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2080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120履带</w:t>
            </w:r>
            <w:r>
              <w:rPr>
                <w:rFonts w:hint="eastAsia" w:ascii="宋体" w:hAnsi="宋体" w:cs="宋体"/>
                <w:color w:val="auto"/>
                <w:sz w:val="21"/>
                <w:szCs w:val="21"/>
                <w:highlight w:val="none"/>
              </w:rPr>
              <w:t>式炮头</w:t>
            </w:r>
            <w:r>
              <w:rPr>
                <w:rFonts w:hint="eastAsia" w:ascii="宋体" w:hAnsi="宋体" w:cs="宋体"/>
                <w:color w:val="auto"/>
                <w:sz w:val="21"/>
                <w:szCs w:val="21"/>
                <w:highlight w:val="none"/>
                <w:lang w:eastAsia="zh-CN"/>
              </w:rPr>
              <w:t>机</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2024</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8"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129"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挖机轮胎式</w:t>
            </w: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60型轮胎式</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8"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3</w:t>
            </w:r>
          </w:p>
        </w:tc>
        <w:tc>
          <w:tcPr>
            <w:tcW w:w="2129"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轮式破碎机（炮头机）</w:t>
            </w: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60、</w:t>
            </w:r>
            <w:r>
              <w:rPr>
                <w:rFonts w:hint="eastAsia" w:ascii="宋体" w:hAnsi="宋体" w:cs="宋体"/>
                <w:color w:val="auto"/>
                <w:sz w:val="21"/>
                <w:szCs w:val="21"/>
                <w:highlight w:val="none"/>
              </w:rPr>
              <w:t>70轮胎式炮头</w:t>
            </w:r>
            <w:r>
              <w:rPr>
                <w:rFonts w:hint="eastAsia" w:ascii="宋体" w:hAnsi="宋体" w:cs="宋体"/>
                <w:color w:val="auto"/>
                <w:sz w:val="21"/>
                <w:szCs w:val="21"/>
                <w:highlight w:val="none"/>
                <w:lang w:eastAsia="zh-CN"/>
              </w:rPr>
              <w:t>机</w:t>
            </w:r>
          </w:p>
        </w:tc>
        <w:tc>
          <w:tcPr>
            <w:tcW w:w="1391" w:type="dxa"/>
            <w:noWrap w:val="0"/>
            <w:vAlign w:val="center"/>
          </w:tcPr>
          <w:p>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1408</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restart"/>
            <w:noWrap w:val="0"/>
            <w:vAlign w:val="center"/>
          </w:tcPr>
          <w:p>
            <w:pPr>
              <w:spacing w:line="360" w:lineRule="auto"/>
              <w:jc w:val="center"/>
              <w:rPr>
                <w:rFonts w:hint="eastAsia" w:ascii="宋体" w:hAnsi="宋体" w:cs="宋体"/>
                <w:color w:val="auto"/>
                <w:sz w:val="21"/>
                <w:szCs w:val="21"/>
                <w:highlight w:val="none"/>
              </w:rPr>
            </w:pPr>
            <w:r>
              <w:rPr>
                <w:rFonts w:hint="eastAsia"/>
                <w:color w:val="auto"/>
                <w:sz w:val="21"/>
                <w:szCs w:val="21"/>
                <w:highlight w:val="none"/>
              </w:rPr>
              <w:t>4</w:t>
            </w:r>
          </w:p>
        </w:tc>
        <w:tc>
          <w:tcPr>
            <w:tcW w:w="2129" w:type="dxa"/>
            <w:vMerge w:val="restart"/>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吊车（含吊带、钢丝索）</w:t>
            </w: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8吨</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1100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16吨</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1330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25吨</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1760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35吨</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2000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50吨</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2880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0吨</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3960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8" w:type="dxa"/>
            <w:vMerge w:val="restart"/>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129" w:type="dxa"/>
            <w:vMerge w:val="restart"/>
            <w:noWrap w:val="0"/>
            <w:vAlign w:val="center"/>
          </w:tcPr>
          <w:p>
            <w:pPr>
              <w:spacing w:line="360" w:lineRule="auto"/>
              <w:jc w:val="center"/>
              <w:rPr>
                <w:rFonts w:hint="eastAsia" w:ascii="宋体" w:hAnsi="宋体" w:cs="宋体"/>
                <w:color w:val="auto"/>
                <w:sz w:val="21"/>
                <w:szCs w:val="21"/>
                <w:highlight w:val="none"/>
              </w:rPr>
            </w:pPr>
            <w:r>
              <w:rPr>
                <w:rFonts w:hint="eastAsia"/>
                <w:color w:val="auto"/>
                <w:sz w:val="21"/>
                <w:szCs w:val="21"/>
                <w:highlight w:val="none"/>
              </w:rPr>
              <w:t>运输车辆</w:t>
            </w: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1.0吨</w:t>
            </w:r>
            <w:r>
              <w:rPr>
                <w:rFonts w:hint="eastAsia" w:ascii="宋体" w:hAnsi="宋体" w:cs="宋体"/>
                <w:color w:val="auto"/>
                <w:sz w:val="21"/>
                <w:szCs w:val="21"/>
                <w:highlight w:val="none"/>
              </w:rPr>
              <w:t>轻型自卸货车斗容量2立方</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600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1.5吨</w:t>
            </w:r>
            <w:r>
              <w:rPr>
                <w:rFonts w:hint="eastAsia" w:ascii="宋体" w:hAnsi="宋体" w:cs="宋体"/>
                <w:color w:val="auto"/>
                <w:sz w:val="21"/>
                <w:szCs w:val="21"/>
                <w:highlight w:val="none"/>
              </w:rPr>
              <w:t>轻型自卸货车斗容量7立方</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1200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10吨</w:t>
            </w:r>
            <w:r>
              <w:rPr>
                <w:rFonts w:hint="eastAsia" w:ascii="宋体" w:hAnsi="宋体" w:cs="宋体"/>
                <w:color w:val="auto"/>
                <w:sz w:val="21"/>
                <w:szCs w:val="21"/>
                <w:highlight w:val="none"/>
              </w:rPr>
              <w:t>中型货车（规格：10立方）</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1400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15吨</w:t>
            </w:r>
            <w:r>
              <w:rPr>
                <w:rFonts w:hint="eastAsia" w:ascii="宋体" w:hAnsi="宋体" w:cs="宋体"/>
                <w:color w:val="auto"/>
                <w:sz w:val="21"/>
                <w:szCs w:val="21"/>
                <w:highlight w:val="none"/>
              </w:rPr>
              <w:t>重型自卸货车（规格：21立方</w:t>
            </w:r>
            <w:r>
              <w:rPr>
                <w:rFonts w:hint="eastAsia" w:ascii="宋体" w:hAnsi="宋体" w:cs="宋体"/>
                <w:color w:val="auto"/>
                <w:sz w:val="21"/>
                <w:szCs w:val="21"/>
                <w:highlight w:val="none"/>
                <w:lang w:eastAsia="zh-CN"/>
              </w:rPr>
              <w:t>）</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1900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15吨</w:t>
            </w:r>
            <w:r>
              <w:rPr>
                <w:rFonts w:hint="eastAsia" w:ascii="宋体" w:hAnsi="宋体" w:cs="宋体"/>
                <w:color w:val="auto"/>
                <w:sz w:val="21"/>
                <w:szCs w:val="21"/>
                <w:highlight w:val="none"/>
              </w:rPr>
              <w:t>重型自卸货车（规格：25立方）</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2100</w:t>
            </w:r>
          </w:p>
        </w:tc>
        <w:tc>
          <w:tcPr>
            <w:tcW w:w="1464" w:type="dxa"/>
            <w:vMerge w:val="continue"/>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8" w:type="dxa"/>
            <w:vMerge w:val="restart"/>
            <w:noWrap w:val="0"/>
            <w:vAlign w:val="center"/>
          </w:tcPr>
          <w:p>
            <w:pPr>
              <w:spacing w:line="360" w:lineRule="auto"/>
              <w:jc w:val="center"/>
              <w:rPr>
                <w:rFonts w:hint="eastAsia" w:ascii="宋体" w:hAnsi="宋体" w:cs="宋体"/>
                <w:color w:val="auto"/>
                <w:sz w:val="21"/>
                <w:szCs w:val="21"/>
                <w:highlight w:val="none"/>
              </w:rPr>
            </w:pPr>
            <w:r>
              <w:rPr>
                <w:rFonts w:hint="eastAsia"/>
                <w:color w:val="auto"/>
                <w:sz w:val="21"/>
                <w:szCs w:val="21"/>
                <w:highlight w:val="none"/>
              </w:rPr>
              <w:t>6</w:t>
            </w:r>
          </w:p>
        </w:tc>
        <w:tc>
          <w:tcPr>
            <w:tcW w:w="2129" w:type="dxa"/>
            <w:vMerge w:val="restart"/>
            <w:noWrap w:val="0"/>
            <w:vAlign w:val="center"/>
          </w:tcPr>
          <w:p>
            <w:pPr>
              <w:spacing w:line="360" w:lineRule="auto"/>
              <w:jc w:val="center"/>
              <w:rPr>
                <w:rFonts w:hint="eastAsia" w:ascii="宋体" w:hAnsi="宋体" w:cs="宋体"/>
                <w:color w:val="auto"/>
                <w:sz w:val="21"/>
                <w:szCs w:val="21"/>
                <w:highlight w:val="none"/>
              </w:rPr>
            </w:pPr>
            <w:r>
              <w:rPr>
                <w:rFonts w:hint="eastAsia"/>
                <w:color w:val="auto"/>
                <w:sz w:val="21"/>
                <w:szCs w:val="21"/>
                <w:highlight w:val="none"/>
              </w:rPr>
              <w:t>铲车（轮式装载机）</w:t>
            </w:r>
          </w:p>
        </w:tc>
        <w:tc>
          <w:tcPr>
            <w:tcW w:w="242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r>
              <w:rPr>
                <w:rFonts w:hint="eastAsia" w:ascii="宋体" w:hAnsi="宋体" w:eastAsia="宋体" w:cs="宋体"/>
                <w:color w:val="auto"/>
                <w:sz w:val="21"/>
                <w:szCs w:val="21"/>
                <w:highlight w:val="none"/>
                <w:lang w:val="en-US" w:eastAsia="zh-CN"/>
              </w:rPr>
              <w:t>0.3ｍ³</w:t>
            </w:r>
            <w:r>
              <w:rPr>
                <w:rFonts w:hint="eastAsia" w:ascii="宋体" w:hAnsi="宋体" w:eastAsia="宋体" w:cs="宋体"/>
                <w:color w:val="auto"/>
                <w:sz w:val="21"/>
                <w:szCs w:val="21"/>
                <w:highlight w:val="none"/>
              </w:rPr>
              <w:t>（型号12、型号15）</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550</w:t>
            </w:r>
          </w:p>
        </w:tc>
        <w:tc>
          <w:tcPr>
            <w:tcW w:w="1464" w:type="dxa"/>
            <w:vMerge w:val="continue"/>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r>
              <w:rPr>
                <w:rFonts w:hint="eastAsia" w:ascii="宋体" w:hAnsi="宋体" w:eastAsia="宋体" w:cs="宋体"/>
                <w:color w:val="auto"/>
                <w:sz w:val="21"/>
                <w:szCs w:val="21"/>
                <w:highlight w:val="none"/>
                <w:lang w:val="en-US" w:eastAsia="zh-CN"/>
              </w:rPr>
              <w:t>0.8ｍ³</w:t>
            </w:r>
            <w:r>
              <w:rPr>
                <w:rFonts w:hint="eastAsia" w:ascii="宋体" w:hAnsi="宋体" w:eastAsia="宋体" w:cs="宋体"/>
                <w:color w:val="auto"/>
                <w:sz w:val="21"/>
                <w:szCs w:val="21"/>
                <w:highlight w:val="none"/>
              </w:rPr>
              <w:t>（型号30）</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1400</w:t>
            </w:r>
          </w:p>
        </w:tc>
        <w:tc>
          <w:tcPr>
            <w:tcW w:w="1464" w:type="dxa"/>
            <w:vMerge w:val="continue"/>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8"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129" w:type="dxa"/>
            <w:vMerge w:val="continue"/>
            <w:noWrap w:val="0"/>
            <w:vAlign w:val="center"/>
          </w:tcPr>
          <w:p>
            <w:pPr>
              <w:spacing w:line="360" w:lineRule="auto"/>
              <w:jc w:val="center"/>
              <w:rPr>
                <w:rFonts w:hint="eastAsia" w:ascii="宋体" w:hAnsi="宋体" w:cs="宋体"/>
                <w:color w:val="auto"/>
                <w:sz w:val="21"/>
                <w:szCs w:val="21"/>
                <w:highlight w:val="none"/>
              </w:rPr>
            </w:pPr>
          </w:p>
        </w:tc>
        <w:tc>
          <w:tcPr>
            <w:tcW w:w="242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大型</w:t>
            </w:r>
            <w:r>
              <w:rPr>
                <w:rFonts w:hint="eastAsia" w:ascii="宋体" w:hAnsi="宋体" w:eastAsia="宋体" w:cs="宋体"/>
                <w:color w:val="auto"/>
                <w:sz w:val="21"/>
                <w:szCs w:val="21"/>
                <w:highlight w:val="none"/>
                <w:lang w:val="en-US" w:eastAsia="zh-CN"/>
              </w:rPr>
              <w:t>1.5ｍ³</w:t>
            </w:r>
            <w:r>
              <w:rPr>
                <w:rFonts w:hint="eastAsia" w:ascii="宋体" w:hAnsi="宋体" w:eastAsia="宋体" w:cs="宋体"/>
                <w:color w:val="auto"/>
                <w:sz w:val="21"/>
                <w:szCs w:val="21"/>
                <w:highlight w:val="none"/>
              </w:rPr>
              <w:t>（型号50）</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2000</w:t>
            </w:r>
          </w:p>
        </w:tc>
        <w:tc>
          <w:tcPr>
            <w:tcW w:w="1464" w:type="dxa"/>
            <w:vMerge w:val="continue"/>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48" w:type="dxa"/>
            <w:noWrap w:val="0"/>
            <w:vAlign w:val="center"/>
          </w:tcPr>
          <w:p>
            <w:pPr>
              <w:spacing w:line="360" w:lineRule="auto"/>
              <w:jc w:val="center"/>
              <w:rPr>
                <w:rFonts w:hint="eastAsia" w:ascii="宋体" w:hAnsi="宋体" w:cs="宋体"/>
                <w:color w:val="auto"/>
                <w:sz w:val="21"/>
                <w:szCs w:val="21"/>
                <w:highlight w:val="none"/>
              </w:rPr>
            </w:pPr>
            <w:r>
              <w:rPr>
                <w:rFonts w:hint="eastAsia"/>
                <w:color w:val="auto"/>
                <w:sz w:val="21"/>
                <w:szCs w:val="21"/>
                <w:highlight w:val="none"/>
              </w:rPr>
              <w:t>7</w:t>
            </w:r>
          </w:p>
        </w:tc>
        <w:tc>
          <w:tcPr>
            <w:tcW w:w="2129" w:type="dxa"/>
            <w:noWrap w:val="0"/>
            <w:vAlign w:val="center"/>
          </w:tcPr>
          <w:p>
            <w:pPr>
              <w:spacing w:line="360" w:lineRule="auto"/>
              <w:jc w:val="center"/>
              <w:rPr>
                <w:rFonts w:hint="eastAsia" w:ascii="宋体" w:hAnsi="宋体" w:cs="宋体"/>
                <w:color w:val="auto"/>
                <w:sz w:val="21"/>
                <w:szCs w:val="21"/>
                <w:highlight w:val="none"/>
              </w:rPr>
            </w:pPr>
            <w:r>
              <w:rPr>
                <w:rFonts w:hint="eastAsia"/>
                <w:color w:val="auto"/>
                <w:sz w:val="21"/>
                <w:szCs w:val="21"/>
                <w:highlight w:val="none"/>
              </w:rPr>
              <w:t>叉车</w:t>
            </w:r>
          </w:p>
        </w:tc>
        <w:tc>
          <w:tcPr>
            <w:tcW w:w="2424" w:type="dxa"/>
            <w:noWrap w:val="0"/>
            <w:vAlign w:val="center"/>
          </w:tcPr>
          <w:p>
            <w:pPr>
              <w:jc w:val="center"/>
              <w:rPr>
                <w:rFonts w:hint="eastAsia" w:ascii="宋体" w:hAnsi="宋体" w:cs="宋体"/>
                <w:color w:val="auto"/>
                <w:sz w:val="21"/>
                <w:szCs w:val="21"/>
                <w:highlight w:val="none"/>
              </w:rPr>
            </w:pPr>
            <w:r>
              <w:rPr>
                <w:rFonts w:hint="eastAsia"/>
                <w:color w:val="auto"/>
                <w:sz w:val="21"/>
                <w:szCs w:val="21"/>
                <w:highlight w:val="none"/>
              </w:rPr>
              <w:t>3吨</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900</w:t>
            </w:r>
          </w:p>
        </w:tc>
        <w:tc>
          <w:tcPr>
            <w:tcW w:w="1464" w:type="dxa"/>
            <w:vMerge w:val="continue"/>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48" w:type="dxa"/>
            <w:noWrap w:val="0"/>
            <w:vAlign w:val="center"/>
          </w:tcPr>
          <w:p>
            <w:pPr>
              <w:spacing w:line="360" w:lineRule="auto"/>
              <w:jc w:val="center"/>
              <w:rPr>
                <w:rFonts w:hint="eastAsia" w:ascii="宋体" w:hAnsi="宋体" w:cs="宋体"/>
                <w:color w:val="auto"/>
                <w:sz w:val="21"/>
                <w:szCs w:val="21"/>
                <w:highlight w:val="none"/>
              </w:rPr>
            </w:pPr>
            <w:r>
              <w:rPr>
                <w:rFonts w:hint="eastAsia"/>
                <w:color w:val="auto"/>
                <w:sz w:val="21"/>
                <w:szCs w:val="21"/>
                <w:highlight w:val="none"/>
              </w:rPr>
              <w:t>8</w:t>
            </w:r>
          </w:p>
        </w:tc>
        <w:tc>
          <w:tcPr>
            <w:tcW w:w="2129" w:type="dxa"/>
            <w:noWrap w:val="0"/>
            <w:vAlign w:val="center"/>
          </w:tcPr>
          <w:p>
            <w:pPr>
              <w:jc w:val="center"/>
              <w:rPr>
                <w:rFonts w:hint="eastAsia" w:ascii="宋体" w:hAnsi="宋体" w:cs="宋体"/>
                <w:color w:val="auto"/>
                <w:sz w:val="21"/>
                <w:szCs w:val="21"/>
                <w:highlight w:val="none"/>
              </w:rPr>
            </w:pPr>
            <w:r>
              <w:rPr>
                <w:rFonts w:hint="eastAsia"/>
                <w:color w:val="auto"/>
                <w:sz w:val="21"/>
                <w:szCs w:val="21"/>
                <w:highlight w:val="none"/>
              </w:rPr>
              <w:t>随车吊（含吊带、钢丝索）</w:t>
            </w:r>
          </w:p>
        </w:tc>
        <w:tc>
          <w:tcPr>
            <w:tcW w:w="2424" w:type="dxa"/>
            <w:noWrap w:val="0"/>
            <w:vAlign w:val="center"/>
          </w:tcPr>
          <w:p>
            <w:pPr>
              <w:jc w:val="center"/>
              <w:rPr>
                <w:rFonts w:hint="eastAsia" w:ascii="宋体" w:hAnsi="宋体" w:cs="宋体"/>
                <w:color w:val="auto"/>
                <w:sz w:val="21"/>
                <w:szCs w:val="21"/>
                <w:highlight w:val="none"/>
              </w:rPr>
            </w:pPr>
            <w:r>
              <w:rPr>
                <w:rFonts w:hint="eastAsia"/>
                <w:color w:val="auto"/>
                <w:sz w:val="21"/>
                <w:szCs w:val="21"/>
                <w:highlight w:val="none"/>
              </w:rPr>
              <w:t>10吨</w:t>
            </w:r>
          </w:p>
        </w:tc>
        <w:tc>
          <w:tcPr>
            <w:tcW w:w="1391"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1900</w:t>
            </w:r>
          </w:p>
        </w:tc>
        <w:tc>
          <w:tcPr>
            <w:tcW w:w="1464" w:type="dxa"/>
            <w:vMerge w:val="continue"/>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48" w:type="dxa"/>
            <w:noWrap w:val="0"/>
            <w:vAlign w:val="center"/>
          </w:tcPr>
          <w:p>
            <w:pPr>
              <w:spacing w:line="360" w:lineRule="auto"/>
              <w:jc w:val="center"/>
              <w:rPr>
                <w:rFonts w:hint="eastAsia" w:ascii="宋体" w:hAnsi="宋体" w:cs="宋体"/>
                <w:color w:val="auto"/>
                <w:sz w:val="21"/>
                <w:szCs w:val="21"/>
                <w:highlight w:val="none"/>
              </w:rPr>
            </w:pPr>
            <w:r>
              <w:rPr>
                <w:rFonts w:hint="eastAsia"/>
                <w:color w:val="auto"/>
                <w:sz w:val="21"/>
                <w:szCs w:val="21"/>
                <w:highlight w:val="none"/>
                <w:lang w:val="en-US" w:eastAsia="zh-CN"/>
              </w:rPr>
              <w:t>9</w:t>
            </w:r>
          </w:p>
        </w:tc>
        <w:tc>
          <w:tcPr>
            <w:tcW w:w="2129" w:type="dxa"/>
            <w:noWrap w:val="0"/>
            <w:vAlign w:val="center"/>
          </w:tcPr>
          <w:p>
            <w:pPr>
              <w:spacing w:line="360" w:lineRule="auto"/>
              <w:jc w:val="center"/>
              <w:rPr>
                <w:rFonts w:hint="eastAsia" w:ascii="宋体" w:hAnsi="宋体" w:cs="宋体"/>
                <w:color w:val="auto"/>
                <w:sz w:val="21"/>
                <w:szCs w:val="21"/>
                <w:highlight w:val="none"/>
              </w:rPr>
            </w:pPr>
            <w:r>
              <w:rPr>
                <w:rFonts w:hint="eastAsia"/>
                <w:color w:val="auto"/>
                <w:sz w:val="21"/>
                <w:szCs w:val="21"/>
                <w:highlight w:val="none"/>
              </w:rPr>
              <w:t>夹抱机</w:t>
            </w:r>
          </w:p>
        </w:tc>
        <w:tc>
          <w:tcPr>
            <w:tcW w:w="2424" w:type="dxa"/>
            <w:noWrap w:val="0"/>
            <w:vAlign w:val="center"/>
          </w:tcPr>
          <w:p>
            <w:pPr>
              <w:jc w:val="center"/>
              <w:rPr>
                <w:rFonts w:hint="eastAsia" w:ascii="宋体" w:hAnsi="宋体" w:cs="宋体"/>
                <w:color w:val="auto"/>
                <w:sz w:val="21"/>
                <w:szCs w:val="21"/>
                <w:highlight w:val="none"/>
              </w:rPr>
            </w:pPr>
            <w:r>
              <w:rPr>
                <w:rFonts w:hint="eastAsia"/>
                <w:color w:val="auto"/>
                <w:sz w:val="21"/>
                <w:szCs w:val="21"/>
                <w:highlight w:val="none"/>
              </w:rPr>
              <w:t>/</w:t>
            </w:r>
          </w:p>
        </w:tc>
        <w:tc>
          <w:tcPr>
            <w:tcW w:w="139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1600</w:t>
            </w:r>
          </w:p>
        </w:tc>
        <w:tc>
          <w:tcPr>
            <w:tcW w:w="1464" w:type="dxa"/>
            <w:vMerge w:val="continue"/>
            <w:noWrap w:val="0"/>
            <w:vAlign w:val="center"/>
          </w:tcPr>
          <w:p>
            <w:pPr>
              <w:jc w:val="center"/>
              <w:rPr>
                <w:rFonts w:hint="eastAsia"/>
                <w:color w:val="auto"/>
                <w:sz w:val="21"/>
                <w:szCs w:val="21"/>
                <w:highlight w:val="none"/>
              </w:rPr>
            </w:pPr>
          </w:p>
        </w:tc>
      </w:tr>
    </w:tbl>
    <w:p>
      <w:pPr>
        <w:spacing w:line="360" w:lineRule="auto"/>
        <w:rPr>
          <w:rFonts w:hint="eastAsia" w:ascii="宋体" w:hAnsi="宋体"/>
          <w:color w:val="auto"/>
          <w:sz w:val="24"/>
          <w:highlight w:val="none"/>
        </w:rPr>
      </w:pPr>
      <w:r>
        <w:rPr>
          <w:rFonts w:hint="eastAsia"/>
          <w:color w:val="auto"/>
          <w:sz w:val="24"/>
          <w:highlight w:val="none"/>
        </w:rPr>
        <w:t>备注：（1）</w:t>
      </w:r>
      <w:r>
        <w:rPr>
          <w:rFonts w:hint="eastAsia" w:ascii="宋体" w:hAnsi="宋体"/>
          <w:color w:val="auto"/>
          <w:sz w:val="24"/>
          <w:highlight w:val="none"/>
          <w:lang w:eastAsia="zh-CN"/>
        </w:rPr>
        <w:t>全费用综合单价</w:t>
      </w:r>
      <w:r>
        <w:rPr>
          <w:rFonts w:hint="eastAsia" w:ascii="宋体" w:hAnsi="宋体"/>
          <w:color w:val="auto"/>
          <w:sz w:val="24"/>
          <w:highlight w:val="none"/>
        </w:rPr>
        <w:t>包括劳务（机械操作员）、管理、运输、机械进退场费、通行证等相关手续办理费、保险、利润、规费、税金、合同包含的所有风险、责任等各项所有费用。</w:t>
      </w:r>
    </w:p>
    <w:p>
      <w:pPr>
        <w:numPr>
          <w:ilvl w:val="0"/>
          <w:numId w:val="16"/>
        </w:numPr>
        <w:spacing w:line="360" w:lineRule="auto"/>
        <w:rPr>
          <w:rFonts w:hint="eastAsia"/>
          <w:color w:val="auto"/>
          <w:sz w:val="24"/>
          <w:highlight w:val="none"/>
        </w:rPr>
      </w:pPr>
      <w:r>
        <w:rPr>
          <w:rFonts w:hint="eastAsia"/>
          <w:color w:val="auto"/>
          <w:sz w:val="24"/>
          <w:highlight w:val="none"/>
        </w:rPr>
        <w:t>每个台班按8小时计算。实际租赁机械设备按2个小时起算（不足2小时的按2小时计），不足一个台班的每小时按中标</w:t>
      </w:r>
      <w:r>
        <w:rPr>
          <w:rFonts w:hint="eastAsia"/>
          <w:color w:val="auto"/>
          <w:sz w:val="24"/>
          <w:highlight w:val="none"/>
          <w:lang w:eastAsia="zh-CN"/>
        </w:rPr>
        <w:t>全费用综合单价</w:t>
      </w:r>
      <w:r>
        <w:rPr>
          <w:rFonts w:hint="eastAsia"/>
          <w:color w:val="auto"/>
          <w:sz w:val="24"/>
          <w:highlight w:val="none"/>
        </w:rPr>
        <w:t>/8折算。</w:t>
      </w:r>
    </w:p>
    <w:p>
      <w:pPr>
        <w:numPr>
          <w:ilvl w:val="0"/>
          <w:numId w:val="16"/>
        </w:numPr>
        <w:spacing w:line="360" w:lineRule="auto"/>
        <w:rPr>
          <w:rFonts w:hint="eastAsia"/>
          <w:color w:val="auto"/>
          <w:sz w:val="24"/>
          <w:highlight w:val="none"/>
        </w:rPr>
      </w:pPr>
      <w:r>
        <w:rPr>
          <w:rFonts w:hint="eastAsia"/>
          <w:color w:val="auto"/>
          <w:sz w:val="24"/>
          <w:highlight w:val="none"/>
        </w:rPr>
        <w:t>本次机械租赁为业主方近期需求，若涉及及其它机械租赁的，投标人须配合业主主要求，相关价格可由承包人提交市场价，经发包人审核签证确认后作为结算依据。</w:t>
      </w:r>
    </w:p>
    <w:p>
      <w:pPr>
        <w:numPr>
          <w:ilvl w:val="0"/>
          <w:numId w:val="16"/>
        </w:numPr>
        <w:spacing w:line="360" w:lineRule="auto"/>
        <w:rPr>
          <w:rFonts w:hint="eastAsia"/>
          <w:color w:val="auto"/>
          <w:sz w:val="24"/>
          <w:highlight w:val="none"/>
        </w:rPr>
      </w:pPr>
      <w:r>
        <w:rPr>
          <w:rFonts w:hint="eastAsia"/>
          <w:color w:val="auto"/>
          <w:sz w:val="24"/>
          <w:highlight w:val="none"/>
        </w:rPr>
        <w:t>在合同服务期内，</w:t>
      </w:r>
      <w:r>
        <w:rPr>
          <w:rFonts w:hint="eastAsia"/>
          <w:color w:val="auto"/>
          <w:sz w:val="24"/>
          <w:highlight w:val="none"/>
          <w:lang w:eastAsia="zh-CN"/>
        </w:rPr>
        <w:t>招标人</w:t>
      </w:r>
      <w:r>
        <w:rPr>
          <w:rFonts w:hint="eastAsia"/>
          <w:color w:val="auto"/>
          <w:sz w:val="24"/>
          <w:highlight w:val="none"/>
        </w:rPr>
        <w:t>有权根据实际情况确定</w:t>
      </w:r>
      <w:r>
        <w:rPr>
          <w:rFonts w:hint="eastAsia"/>
          <w:color w:val="auto"/>
          <w:sz w:val="24"/>
          <w:highlight w:val="none"/>
          <w:lang w:val="en-US" w:eastAsia="zh-CN"/>
        </w:rPr>
        <w:t>租赁</w:t>
      </w:r>
      <w:r>
        <w:rPr>
          <w:rFonts w:hint="eastAsia"/>
          <w:color w:val="auto"/>
          <w:sz w:val="24"/>
          <w:highlight w:val="none"/>
        </w:rPr>
        <w:t>需求，若服务期内</w:t>
      </w:r>
      <w:r>
        <w:rPr>
          <w:rFonts w:hint="eastAsia"/>
          <w:color w:val="auto"/>
          <w:sz w:val="24"/>
          <w:highlight w:val="none"/>
          <w:lang w:eastAsia="zh-CN"/>
        </w:rPr>
        <w:t>招标人</w:t>
      </w:r>
      <w:r>
        <w:rPr>
          <w:rFonts w:hint="eastAsia"/>
          <w:color w:val="auto"/>
          <w:sz w:val="24"/>
          <w:highlight w:val="none"/>
        </w:rPr>
        <w:t>因需求等问题提前终止合同的，我方对此表示认可，提前充分评估由此产生的影响，并承诺放弃由此产生的一切损失。</w:t>
      </w:r>
    </w:p>
    <w:p>
      <w:pPr>
        <w:pStyle w:val="23"/>
        <w:rPr>
          <w:rFonts w:hint="eastAsia"/>
          <w:color w:val="auto"/>
          <w:highlight w:val="none"/>
        </w:rPr>
      </w:pPr>
    </w:p>
    <w:p>
      <w:pPr>
        <w:spacing w:line="360" w:lineRule="auto"/>
        <w:rPr>
          <w:rFonts w:hint="eastAsia"/>
          <w:color w:val="auto"/>
          <w:sz w:val="24"/>
          <w:highlight w:val="none"/>
        </w:rPr>
      </w:pPr>
      <w:r>
        <w:rPr>
          <w:rFonts w:hint="eastAsia"/>
          <w:color w:val="auto"/>
          <w:sz w:val="24"/>
          <w:highlight w:val="none"/>
        </w:rPr>
        <w:t>法定代表人（签字或盖章）：                          投标人（盖单位公章）：</w:t>
      </w:r>
    </w:p>
    <w:p>
      <w:pPr>
        <w:spacing w:line="360" w:lineRule="auto"/>
        <w:rPr>
          <w:rFonts w:hint="eastAsia"/>
          <w:color w:val="auto"/>
          <w:sz w:val="24"/>
          <w:highlight w:val="none"/>
        </w:rPr>
      </w:pPr>
    </w:p>
    <w:p>
      <w:pPr>
        <w:spacing w:line="360" w:lineRule="auto"/>
        <w:jc w:val="right"/>
        <w:rPr>
          <w:rFonts w:hint="eastAsia" w:ascii="宋体" w:hAnsi="宋体" w:cs="宋体"/>
          <w:position w:val="-3"/>
          <w:sz w:val="24"/>
          <w:highlight w:val="none"/>
        </w:rPr>
      </w:pPr>
      <w:r>
        <w:rPr>
          <w:rFonts w:hint="eastAsia"/>
          <w:color w:val="auto"/>
          <w:sz w:val="24"/>
          <w:highlight w:val="none"/>
        </w:rPr>
        <w:t>日期：    年     月     日</w:t>
      </w:r>
    </w:p>
    <w:p>
      <w:pPr>
        <w:pStyle w:val="18"/>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AVjQH1oQEAAC0DAAAOAAAAAAAAAAEA&#10;IAAAAB8BAABkcnMvZTJvRG9jLnhtbFBLBQYAAAAABgAGAFkBAAAy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pPr>
      <w:pStyle w:val="6"/>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DVY6+foQEAAC0DAAAOAAAAAAAAAAEA&#10;IAAAAB8BAABkcnMvZTJvRG9jLnhtbFBLBQYAAAAABgAGAFkBAAAy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Aykp5RrQEAAEQD&#10;AAAOAAAAAAAAAAEAIAAAAB8BAABkcnMvZTJvRG9jLnhtbFBLBQYAAAAABgAGAFkBAAA+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B88AE"/>
    <w:multiLevelType w:val="singleLevel"/>
    <w:tmpl w:val="C74B88AE"/>
    <w:lvl w:ilvl="0" w:tentative="0">
      <w:start w:val="1"/>
      <w:numFmt w:val="decimal"/>
      <w:suff w:val="nothing"/>
      <w:lvlText w:val="（%1）"/>
      <w:lvlJc w:val="left"/>
    </w:lvl>
  </w:abstractNum>
  <w:abstractNum w:abstractNumId="1">
    <w:nsid w:val="CD925077"/>
    <w:multiLevelType w:val="singleLevel"/>
    <w:tmpl w:val="CD925077"/>
    <w:lvl w:ilvl="0" w:tentative="0">
      <w:start w:val="1"/>
      <w:numFmt w:val="decimal"/>
      <w:suff w:val="nothing"/>
      <w:lvlText w:val="（%1）"/>
      <w:lvlJc w:val="left"/>
    </w:lvl>
  </w:abstractNum>
  <w:abstractNum w:abstractNumId="2">
    <w:nsid w:val="00000000"/>
    <w:multiLevelType w:val="singleLevel"/>
    <w:tmpl w:val="00000000"/>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bullet"/>
      <w:pStyle w:val="7"/>
      <w:lvlText w:val=""/>
      <w:lvlJc w:val="left"/>
      <w:pPr>
        <w:tabs>
          <w:tab w:val="left" w:pos="360"/>
        </w:tabs>
        <w:ind w:left="360" w:hanging="360"/>
      </w:pPr>
      <w:rPr>
        <w:rFonts w:hint="default" w:ascii="Wingdings" w:hAnsi="Wingdings"/>
      </w:rPr>
    </w:lvl>
  </w:abstractNum>
  <w:abstractNum w:abstractNumId="5">
    <w:nsid w:val="00000005"/>
    <w:multiLevelType w:val="singleLevel"/>
    <w:tmpl w:val="00000005"/>
    <w:lvl w:ilvl="0" w:tentative="0">
      <w:start w:val="1"/>
      <w:numFmt w:val="decimal"/>
      <w:pStyle w:val="6"/>
      <w:lvlText w:val="%1."/>
      <w:lvlJc w:val="left"/>
      <w:pPr>
        <w:tabs>
          <w:tab w:val="left" w:pos="360"/>
        </w:tabs>
        <w:ind w:left="360" w:hanging="360"/>
      </w:p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8">
    <w:nsid w:val="00000009"/>
    <w:multiLevelType w:val="singleLevel"/>
    <w:tmpl w:val="00000009"/>
    <w:lvl w:ilvl="0" w:tentative="0">
      <w:start w:val="1"/>
      <w:numFmt w:val="chineseCounting"/>
      <w:suff w:val="space"/>
      <w:lvlText w:val="第%1章"/>
      <w:lvlJc w:val="left"/>
      <w:rPr>
        <w:rFonts w:hint="eastAsia"/>
      </w:rPr>
    </w:lvl>
  </w:abstractNum>
  <w:abstractNum w:abstractNumId="9">
    <w:nsid w:val="0000000A"/>
    <w:multiLevelType w:val="singleLevel"/>
    <w:tmpl w:val="0000000A"/>
    <w:lvl w:ilvl="0" w:tentative="0">
      <w:start w:val="1"/>
      <w:numFmt w:val="chineseCounting"/>
      <w:suff w:val="nothing"/>
      <w:lvlText w:val="%1、"/>
      <w:lvlJc w:val="left"/>
      <w:rPr>
        <w:rFonts w:hint="eastAsia"/>
      </w:rPr>
    </w:lvl>
  </w:abstractNum>
  <w:abstractNum w:abstractNumId="10">
    <w:nsid w:val="030844F0"/>
    <w:multiLevelType w:val="singleLevel"/>
    <w:tmpl w:val="030844F0"/>
    <w:lvl w:ilvl="0" w:tentative="0">
      <w:start w:val="2"/>
      <w:numFmt w:val="decimal"/>
      <w:suff w:val="nothing"/>
      <w:lvlText w:val="（%1）"/>
      <w:lvlJc w:val="left"/>
    </w:lvl>
  </w:abstractNum>
  <w:abstractNum w:abstractNumId="11">
    <w:nsid w:val="5A20CCA0"/>
    <w:multiLevelType w:val="singleLevel"/>
    <w:tmpl w:val="5A20CCA0"/>
    <w:lvl w:ilvl="0" w:tentative="0">
      <w:start w:val="1"/>
      <w:numFmt w:val="chineseCounting"/>
      <w:suff w:val="nothing"/>
      <w:lvlText w:val="第%1条"/>
      <w:lvlJc w:val="left"/>
    </w:lvl>
  </w:abstractNum>
  <w:abstractNum w:abstractNumId="12">
    <w:nsid w:val="5A20CDBC"/>
    <w:multiLevelType w:val="singleLevel"/>
    <w:tmpl w:val="5A20CDBC"/>
    <w:lvl w:ilvl="0" w:tentative="0">
      <w:start w:val="3"/>
      <w:numFmt w:val="chineseCounting"/>
      <w:suff w:val="space"/>
      <w:lvlText w:val="第%1条"/>
      <w:lvlJc w:val="left"/>
    </w:lvl>
  </w:abstractNum>
  <w:abstractNum w:abstractNumId="13">
    <w:nsid w:val="5A20CE3A"/>
    <w:multiLevelType w:val="singleLevel"/>
    <w:tmpl w:val="5A20CE3A"/>
    <w:lvl w:ilvl="0" w:tentative="0">
      <w:start w:val="1"/>
      <w:numFmt w:val="decimal"/>
      <w:suff w:val="nothing"/>
      <w:lvlText w:val="%1."/>
      <w:lvlJc w:val="left"/>
    </w:lvl>
  </w:abstractNum>
  <w:abstractNum w:abstractNumId="14">
    <w:nsid w:val="5A20D3BE"/>
    <w:multiLevelType w:val="singleLevel"/>
    <w:tmpl w:val="5A20D3BE"/>
    <w:lvl w:ilvl="0" w:tentative="0">
      <w:start w:val="1"/>
      <w:numFmt w:val="decimal"/>
      <w:suff w:val="nothing"/>
      <w:lvlText w:val="%1."/>
      <w:lvlJc w:val="left"/>
    </w:lvl>
  </w:abstractNum>
  <w:abstractNum w:abstractNumId="15">
    <w:nsid w:val="5A20D698"/>
    <w:multiLevelType w:val="singleLevel"/>
    <w:tmpl w:val="5A20D698"/>
    <w:lvl w:ilvl="0" w:tentative="0">
      <w:start w:val="1"/>
      <w:numFmt w:val="decimal"/>
      <w:suff w:val="nothing"/>
      <w:lvlText w:val="%1."/>
      <w:lvlJc w:val="left"/>
    </w:lvl>
  </w:abstractNum>
  <w:num w:numId="1">
    <w:abstractNumId w:val="7"/>
  </w:num>
  <w:num w:numId="2">
    <w:abstractNumId w:val="5"/>
  </w:num>
  <w:num w:numId="3">
    <w:abstractNumId w:val="4"/>
  </w:num>
  <w:num w:numId="4">
    <w:abstractNumId w:val="2"/>
  </w:num>
  <w:num w:numId="5">
    <w:abstractNumId w:val="8"/>
  </w:num>
  <w:num w:numId="6">
    <w:abstractNumId w:val="6"/>
  </w:num>
  <w:num w:numId="7">
    <w:abstractNumId w:val="9"/>
  </w:num>
  <w:num w:numId="8">
    <w:abstractNumId w:val="3"/>
  </w:num>
  <w:num w:numId="9">
    <w:abstractNumId w:val="1"/>
  </w:num>
  <w:num w:numId="10">
    <w:abstractNumId w:val="11"/>
  </w:num>
  <w:num w:numId="11">
    <w:abstractNumId w:val="12"/>
  </w:num>
  <w:num w:numId="12">
    <w:abstractNumId w:val="13"/>
  </w:num>
  <w:num w:numId="13">
    <w:abstractNumId w:val="14"/>
  </w:num>
  <w:num w:numId="14">
    <w:abstractNumId w:val="1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NmUwZGI5YTYxYWRmNDQ2NmFkYzdlMDQ2OGEwZTIifQ=="/>
  </w:docVars>
  <w:rsids>
    <w:rsidRoot w:val="00000000"/>
    <w:rsid w:val="05E1390B"/>
    <w:rsid w:val="0DCC5CD5"/>
    <w:rsid w:val="0F743728"/>
    <w:rsid w:val="14AF4E03"/>
    <w:rsid w:val="1C41122D"/>
    <w:rsid w:val="2C5B58E2"/>
    <w:rsid w:val="366C0322"/>
    <w:rsid w:val="39F865EB"/>
    <w:rsid w:val="3B9703AF"/>
    <w:rsid w:val="403102E6"/>
    <w:rsid w:val="41F477D8"/>
    <w:rsid w:val="42694E81"/>
    <w:rsid w:val="49A65F5E"/>
    <w:rsid w:val="500C7508"/>
    <w:rsid w:val="57EB04EF"/>
    <w:rsid w:val="67E26786"/>
    <w:rsid w:val="71766353"/>
    <w:rsid w:val="73A4064D"/>
    <w:rsid w:val="799F7821"/>
    <w:rsid w:val="7A730C2B"/>
    <w:rsid w:val="7D176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2">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qFormat/>
    <w:uiPriority w:val="0"/>
    <w:pPr>
      <w:keepNext/>
      <w:keepLines/>
      <w:tabs>
        <w:tab w:val="left" w:pos="8280"/>
      </w:tabs>
      <w:spacing w:before="260" w:after="260" w:line="416" w:lineRule="auto"/>
      <w:outlineLvl w:val="2"/>
    </w:pPr>
    <w:rPr>
      <w:bCs/>
      <w:szCs w:val="32"/>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List Bullet"/>
    <w:basedOn w:val="1"/>
    <w:next w:val="1"/>
    <w:qFormat/>
    <w:uiPriority w:val="0"/>
    <w:pPr>
      <w:numPr>
        <w:ilvl w:val="0"/>
        <w:numId w:val="3"/>
      </w:numPr>
    </w:pPr>
  </w:style>
  <w:style w:type="paragraph" w:styleId="8">
    <w:name w:val="annotation text"/>
    <w:basedOn w:val="1"/>
    <w:link w:val="75"/>
    <w:qFormat/>
    <w:uiPriority w:val="0"/>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link w:val="77"/>
    <w:qFormat/>
    <w:uiPriority w:val="0"/>
    <w:pPr>
      <w:ind w:firstLine="200" w:firstLineChars="200"/>
    </w:pPr>
  </w:style>
  <w:style w:type="paragraph" w:styleId="12">
    <w:name w:val="toc 6"/>
    <w:basedOn w:val="1"/>
    <w:next w:val="1"/>
    <w:qFormat/>
    <w:uiPriority w:val="39"/>
    <w:pPr>
      <w:ind w:left="2100" w:leftChars="1000"/>
    </w:pPr>
    <w:rPr>
      <w:rFonts w:ascii="Calibri" w:hAnsi="Calibri"/>
    </w:rPr>
  </w:style>
  <w:style w:type="paragraph" w:styleId="13">
    <w:name w:val="Body Text Indent"/>
    <w:basedOn w:val="1"/>
    <w:next w:val="1"/>
    <w:qFormat/>
    <w:uiPriority w:val="0"/>
    <w:pPr>
      <w:spacing w:after="120"/>
      <w:ind w:left="420" w:leftChars="200"/>
    </w:pPr>
  </w:style>
  <w:style w:type="paragraph" w:styleId="14">
    <w:name w:val="List Bullet 2"/>
    <w:basedOn w:val="1"/>
    <w:next w:val="7"/>
    <w:qFormat/>
    <w:uiPriority w:val="0"/>
    <w:pPr>
      <w:numPr>
        <w:ilvl w:val="0"/>
        <w:numId w:val="4"/>
      </w:numPr>
    </w:pPr>
  </w:style>
  <w:style w:type="paragraph" w:styleId="15">
    <w:name w:val="Plain Text"/>
    <w:basedOn w:val="1"/>
    <w:next w:val="16"/>
    <w:link w:val="67"/>
    <w:qFormat/>
    <w:uiPriority w:val="0"/>
    <w:rPr>
      <w:rFonts w:ascii="宋体" w:hAnsi="Courier New" w:cs="宋体"/>
    </w:rPr>
  </w:style>
  <w:style w:type="paragraph" w:styleId="16">
    <w:name w:val="Date"/>
    <w:basedOn w:val="1"/>
    <w:next w:val="1"/>
    <w:qFormat/>
    <w:uiPriority w:val="0"/>
    <w:pPr>
      <w:ind w:left="2500" w:leftChars="2500"/>
    </w:pPr>
    <w:rPr>
      <w:rFonts w:ascii="Calibri" w:hAnsi="Calibri" w:eastAsia="楷体_GB2312" w:cs="宋体"/>
      <w:sz w:val="32"/>
      <w:szCs w:val="22"/>
    </w:rPr>
  </w:style>
  <w:style w:type="paragraph" w:styleId="17">
    <w:name w:val="Balloon Text"/>
    <w:basedOn w:val="1"/>
    <w:link w:val="57"/>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宋体" w:hAnsi="宋体"/>
      <w:sz w:val="24"/>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Cambria" w:hAnsi="Cambria"/>
      <w:b/>
      <w:bCs/>
      <w:kern w:val="0"/>
      <w:sz w:val="32"/>
      <w:szCs w:val="32"/>
    </w:rPr>
  </w:style>
  <w:style w:type="paragraph" w:styleId="24">
    <w:name w:val="annotation subject"/>
    <w:basedOn w:val="8"/>
    <w:next w:val="8"/>
    <w:link w:val="76"/>
    <w:qFormat/>
    <w:uiPriority w:val="0"/>
    <w:rPr>
      <w:b/>
      <w:bCs/>
    </w:rPr>
  </w:style>
  <w:style w:type="paragraph" w:styleId="25">
    <w:name w:val="Body Text First Indent 2"/>
    <w:basedOn w:val="13"/>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10"/>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宋体"/>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宋体" w:cs="宋体"/>
      <w:szCs w:val="21"/>
    </w:rPr>
  </w:style>
  <w:style w:type="paragraph" w:customStyle="1" w:styleId="45">
    <w:name w:val="纯文本_0_1"/>
    <w:basedOn w:val="1"/>
    <w:qFormat/>
    <w:uiPriority w:val="0"/>
    <w:pPr>
      <w:widowControl/>
      <w:jc w:val="left"/>
    </w:pPr>
    <w:rPr>
      <w:rFonts w:ascii="宋体" w:hAnsi="Courier New" w:eastAsia="宋体" w:cs="宋体"/>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8"/>
    <w:link w:val="17"/>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qFormat/>
    <w:uiPriority w:val="99"/>
    <w:rPr>
      <w:rFonts w:ascii="Times New Roman" w:hAnsi="Times New Roman" w:eastAsia="宋体" w:cs="Times New Roman"/>
      <w:kern w:val="2"/>
      <w:sz w:val="21"/>
      <w:szCs w:val="24"/>
      <w:lang w:val="en-US" w:eastAsia="zh-CN" w:bidi="ar-SA"/>
    </w:rPr>
  </w:style>
  <w:style w:type="paragraph" w:customStyle="1" w:styleId="65">
    <w:name w:val="修订2"/>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5"/>
    <w:qFormat/>
    <w:uiPriority w:val="0"/>
    <w:rPr>
      <w:rFonts w:ascii="宋体" w:hAnsi="Courier New" w:cs="宋体"/>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qFormat/>
    <w:uiPriority w:val="0"/>
    <w:tblPr>
      <w:tblCellMar>
        <w:top w:w="0" w:type="dxa"/>
        <w:left w:w="0" w:type="dxa"/>
        <w:bottom w:w="0" w:type="dxa"/>
        <w:right w:w="0" w:type="dxa"/>
      </w:tblCellMar>
    </w:tblPr>
  </w:style>
  <w:style w:type="character" w:customStyle="1" w:styleId="75">
    <w:name w:val="批注文字 字符"/>
    <w:basedOn w:val="28"/>
    <w:link w:val="8"/>
    <w:qFormat/>
    <w:uiPriority w:val="0"/>
    <w:rPr>
      <w:kern w:val="2"/>
      <w:sz w:val="21"/>
      <w:szCs w:val="24"/>
    </w:rPr>
  </w:style>
  <w:style w:type="character" w:customStyle="1" w:styleId="76">
    <w:name w:val="批注主题 字符"/>
    <w:basedOn w:val="75"/>
    <w:link w:val="24"/>
    <w:qFormat/>
    <w:uiPriority w:val="0"/>
    <w:rPr>
      <w:b/>
      <w:bCs/>
      <w:kern w:val="2"/>
      <w:sz w:val="21"/>
      <w:szCs w:val="24"/>
    </w:rPr>
  </w:style>
  <w:style w:type="character" w:customStyle="1" w:styleId="77">
    <w:name w:val="正文文本首行缩进 字符"/>
    <w:basedOn w:val="28"/>
    <w:link w:val="11"/>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8"/>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39</Pages>
  <Words>20489</Words>
  <Characters>21266</Characters>
  <Paragraphs>897</Paragraphs>
  <TotalTime>12</TotalTime>
  <ScaleCrop>false</ScaleCrop>
  <LinksUpToDate>false</LinksUpToDate>
  <CharactersWithSpaces>22521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admin</cp:lastModifiedBy>
  <cp:lastPrinted>2023-11-24T00:31:00Z</cp:lastPrinted>
  <dcterms:modified xsi:type="dcterms:W3CDTF">2023-11-27T12:35:48Z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