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b/>
          <w:bCs/>
          <w:color w:val="auto"/>
          <w:sz w:val="36"/>
          <w:szCs w:val="3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b/>
          <w:bCs/>
          <w:color w:val="auto"/>
          <w:sz w:val="36"/>
          <w:szCs w:val="32"/>
          <w:highlight w:val="none"/>
        </w:rPr>
      </w:pPr>
    </w:p>
    <w:p>
      <w:pPr>
        <w:spacing w:line="480" w:lineRule="auto"/>
        <w:jc w:val="center"/>
        <w:rPr>
          <w:rFonts w:hint="eastAsia" w:ascii="宋体" w:hAnsi="宋体"/>
          <w:b/>
          <w:sz w:val="96"/>
          <w:szCs w:val="72"/>
        </w:rPr>
      </w:pPr>
      <w:bookmarkStart w:id="0" w:name="_Toc32435_WPSOffice_Type1"/>
      <w:r>
        <w:rPr>
          <w:rFonts w:hint="eastAsia" w:ascii="宋体" w:hAnsi="宋体"/>
          <w:b/>
          <w:sz w:val="96"/>
          <w:szCs w:val="72"/>
        </w:rPr>
        <w:t>招 标 文 件</w:t>
      </w:r>
    </w:p>
    <w:p>
      <w:pPr>
        <w:jc w:val="center"/>
        <w:rPr>
          <w:rFonts w:hint="eastAsia" w:ascii="宋体" w:hAnsi="宋体"/>
          <w:sz w:val="44"/>
          <w:szCs w:val="20"/>
        </w:rPr>
      </w:pPr>
    </w:p>
    <w:p>
      <w:pPr>
        <w:snapToGrid w:val="0"/>
        <w:spacing w:before="120" w:beforeLines="50" w:line="360" w:lineRule="auto"/>
        <w:rPr>
          <w:rFonts w:hint="eastAsia" w:ascii="宋体" w:hAnsi="宋体"/>
          <w:sz w:val="30"/>
          <w:szCs w:val="72"/>
        </w:rPr>
      </w:pPr>
      <w:r>
        <w:rPr>
          <w:rFonts w:hint="eastAsia" w:ascii="宋体" w:hAnsi="宋体"/>
          <w:b/>
          <w:sz w:val="72"/>
          <w:szCs w:val="72"/>
        </w:rPr>
        <w:t xml:space="preserve">    </w:t>
      </w:r>
    </w:p>
    <w:p>
      <w:pPr>
        <w:pStyle w:val="20"/>
        <w:tabs>
          <w:tab w:val="left" w:pos="1620"/>
        </w:tabs>
        <w:snapToGrid w:val="0"/>
        <w:spacing w:beforeLines="0" w:afterLines="0"/>
        <w:ind w:firstLine="1175" w:firstLineChars="418"/>
        <w:rPr>
          <w:rFonts w:hint="eastAsia" w:hAnsi="宋体" w:eastAsia="宋体"/>
          <w:b/>
          <w:bCs/>
          <w:sz w:val="28"/>
          <w:lang w:eastAsia="zh-CN"/>
        </w:rPr>
      </w:pPr>
      <w:r>
        <w:rPr>
          <w:rFonts w:hAnsi="宋体"/>
          <w:b/>
          <w:bCs/>
          <w:sz w:val="28"/>
        </w:rPr>
        <w:t>项目编号：QBJ2024009</w:t>
      </w:r>
    </w:p>
    <w:p>
      <w:pPr>
        <w:pStyle w:val="20"/>
        <w:tabs>
          <w:tab w:val="left" w:pos="1620"/>
        </w:tabs>
        <w:snapToGrid w:val="0"/>
        <w:spacing w:beforeLines="0" w:afterLines="0"/>
        <w:ind w:firstLine="1124" w:firstLineChars="400"/>
        <w:rPr>
          <w:rFonts w:hint="eastAsia" w:hAnsi="宋体" w:eastAsia="宋体"/>
          <w:b/>
          <w:bCs/>
          <w:sz w:val="28"/>
          <w:lang w:eastAsia="zh-CN"/>
        </w:rPr>
      </w:pPr>
      <w:r>
        <w:rPr>
          <w:rFonts w:hAnsi="宋体"/>
          <w:b/>
          <w:bCs/>
          <w:sz w:val="28"/>
        </w:rPr>
        <w:t>项目名称：</w:t>
      </w:r>
      <w:r>
        <w:rPr>
          <w:rFonts w:hint="eastAsia" w:hAnsi="宋体"/>
          <w:b/>
          <w:bCs/>
          <w:sz w:val="28"/>
          <w:lang w:eastAsia="zh-CN"/>
        </w:rPr>
        <w:t>台州东发建设投资有限公司2024年度电池采购（第一批）</w:t>
      </w:r>
    </w:p>
    <w:p>
      <w:pPr>
        <w:pStyle w:val="20"/>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0"/>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0"/>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0"/>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0"/>
        <w:snapToGrid w:val="0"/>
        <w:spacing w:beforeLines="0" w:afterLines="0" w:line="360" w:lineRule="auto"/>
        <w:ind w:firstLine="1184" w:firstLineChars="393"/>
        <w:rPr>
          <w:rFonts w:hAnsi="宋体"/>
          <w:b/>
          <w:bCs/>
          <w:sz w:val="30"/>
          <w:szCs w:val="30"/>
        </w:rPr>
      </w:pPr>
    </w:p>
    <w:p>
      <w:pPr>
        <w:pStyle w:val="20"/>
        <w:snapToGrid w:val="0"/>
        <w:spacing w:beforeLines="0" w:afterLines="0" w:line="360" w:lineRule="auto"/>
        <w:rPr>
          <w:rFonts w:hAnsi="宋体"/>
          <w:b/>
          <w:bCs/>
          <w:sz w:val="30"/>
          <w:szCs w:val="30"/>
        </w:rPr>
      </w:pPr>
    </w:p>
    <w:p>
      <w:pPr>
        <w:pStyle w:val="20"/>
        <w:snapToGrid w:val="0"/>
        <w:spacing w:beforeLines="0" w:afterLines="0" w:line="360" w:lineRule="auto"/>
        <w:rPr>
          <w:rFonts w:hAnsi="宋体"/>
          <w:b/>
          <w:bCs/>
          <w:sz w:val="30"/>
          <w:szCs w:val="30"/>
        </w:rPr>
      </w:pPr>
    </w:p>
    <w:p>
      <w:pPr>
        <w:pStyle w:val="20"/>
        <w:snapToGrid w:val="0"/>
        <w:spacing w:beforeLines="0" w:afterLines="0" w:line="360" w:lineRule="auto"/>
        <w:rPr>
          <w:rFonts w:hAnsi="宋体"/>
          <w:b/>
          <w:bCs/>
          <w:sz w:val="30"/>
          <w:szCs w:val="30"/>
        </w:rPr>
      </w:pPr>
    </w:p>
    <w:p>
      <w:pPr>
        <w:pStyle w:val="20"/>
        <w:snapToGrid w:val="0"/>
        <w:spacing w:beforeLines="0" w:afterLines="0" w:line="360" w:lineRule="auto"/>
        <w:jc w:val="center"/>
        <w:rPr>
          <w:rFonts w:hint="eastAsia" w:hAnsi="宋体"/>
          <w:b/>
          <w:bCs/>
          <w:sz w:val="30"/>
          <w:szCs w:val="30"/>
        </w:rPr>
      </w:pPr>
    </w:p>
    <w:p>
      <w:pPr>
        <w:pStyle w:val="20"/>
        <w:snapToGrid w:val="0"/>
        <w:spacing w:beforeLines="0" w:afterLines="0" w:line="360" w:lineRule="auto"/>
        <w:jc w:val="center"/>
        <w:rPr>
          <w:rFonts w:hint="eastAsia" w:hAnsi="宋体"/>
          <w:b/>
          <w:bCs/>
          <w:sz w:val="30"/>
          <w:szCs w:val="30"/>
        </w:rPr>
      </w:pPr>
    </w:p>
    <w:p>
      <w:pPr>
        <w:jc w:val="center"/>
        <w:rPr>
          <w:rFonts w:hint="eastAsia" w:ascii="宋体" w:hAnsi="宋体" w:cs="宋体"/>
          <w:color w:val="auto"/>
          <w:sz w:val="48"/>
          <w:szCs w:val="56"/>
          <w:highlight w:val="none"/>
        </w:rPr>
      </w:pPr>
      <w:r>
        <w:rPr>
          <w:rFonts w:hAnsi="宋体"/>
          <w:b/>
          <w:bCs/>
          <w:w w:val="95"/>
          <w:sz w:val="30"/>
          <w:szCs w:val="30"/>
        </w:rPr>
        <w:t>二〇</w:t>
      </w:r>
      <w:r>
        <w:rPr>
          <w:rFonts w:hint="eastAsia" w:hAnsi="宋体"/>
          <w:b/>
          <w:bCs/>
          <w:w w:val="95"/>
          <w:sz w:val="30"/>
          <w:szCs w:val="30"/>
        </w:rPr>
        <w:t>二</w:t>
      </w:r>
      <w:r>
        <w:rPr>
          <w:rFonts w:hint="eastAsia" w:hAnsi="宋体"/>
          <w:b/>
          <w:bCs/>
          <w:w w:val="95"/>
          <w:sz w:val="30"/>
          <w:szCs w:val="30"/>
          <w:lang w:val="en-US" w:eastAsia="zh-CN"/>
        </w:rPr>
        <w:t>四</w:t>
      </w:r>
      <w:r>
        <w:rPr>
          <w:rFonts w:hAnsi="宋体"/>
          <w:b/>
          <w:bCs/>
          <w:w w:val="95"/>
          <w:sz w:val="30"/>
          <w:szCs w:val="30"/>
        </w:rPr>
        <w:t>年</w:t>
      </w:r>
      <w:r>
        <w:rPr>
          <w:rFonts w:hint="eastAsia" w:hAnsi="宋体"/>
          <w:b/>
          <w:bCs/>
          <w:w w:val="95"/>
          <w:sz w:val="30"/>
          <w:szCs w:val="30"/>
          <w:lang w:val="en-US" w:eastAsia="zh-CN"/>
        </w:rPr>
        <w:t>一</w:t>
      </w:r>
      <w:r>
        <w:rPr>
          <w:rFonts w:hAnsi="宋体"/>
          <w:b/>
          <w:bCs/>
          <w:w w:val="95"/>
          <w:sz w:val="30"/>
          <w:szCs w:val="30"/>
        </w:rPr>
        <w:t>月</w:t>
      </w:r>
      <w:r>
        <w:rPr>
          <w:rFonts w:hAnsi="宋体"/>
          <w:sz w:val="44"/>
          <w:szCs w:val="44"/>
        </w:rPr>
        <w:br w:type="page"/>
      </w:r>
      <w:r>
        <w:rPr>
          <w:rFonts w:hint="eastAsia" w:ascii="宋体" w:hAnsi="宋体" w:cs="宋体"/>
          <w:color w:val="auto"/>
          <w:sz w:val="48"/>
          <w:szCs w:val="56"/>
          <w:highlight w:val="none"/>
        </w:rPr>
        <w:t>目录</w:t>
      </w:r>
    </w:p>
    <w:p>
      <w:pPr>
        <w:jc w:val="center"/>
        <w:rPr>
          <w:rFonts w:hint="eastAsia" w:ascii="宋体" w:hAnsi="宋体" w:cs="宋体"/>
          <w:color w:val="auto"/>
          <w:sz w:val="48"/>
          <w:szCs w:val="56"/>
          <w:highlight w:val="none"/>
        </w:rPr>
      </w:pPr>
    </w:p>
    <w:p>
      <w:pPr>
        <w:jc w:val="center"/>
        <w:rPr>
          <w:rFonts w:hint="eastAsia" w:ascii="宋体" w:hAnsi="宋体" w:cs="宋体"/>
          <w:color w:val="auto"/>
          <w:sz w:val="48"/>
          <w:szCs w:val="56"/>
          <w:highlight w:val="none"/>
        </w:rPr>
      </w:pPr>
    </w:p>
    <w:p>
      <w:pPr>
        <w:pStyle w:val="86"/>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"第一章"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第一章  公开招标采购公告</w:t>
      </w:r>
      <w:r>
        <w:rPr>
          <w:rFonts w:hint="eastAsia" w:ascii="宋体" w:hAnsi="宋体" w:cs="宋体"/>
          <w:color w:val="auto"/>
          <w:sz w:val="36"/>
          <w:szCs w:val="36"/>
          <w:highlight w:val="none"/>
        </w:rPr>
        <w:fldChar w:fldCharType="end"/>
      </w:r>
    </w:p>
    <w:p>
      <w:pPr>
        <w:pStyle w:val="86"/>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"第二章" </w:instrText>
      </w:r>
      <w:r>
        <w:rPr>
          <w:rFonts w:hint="eastAsia" w:ascii="宋体" w:hAnsi="宋体" w:cs="宋体"/>
          <w:color w:val="auto"/>
          <w:sz w:val="36"/>
          <w:szCs w:val="36"/>
          <w:highlight w:val="none"/>
        </w:rPr>
        <w:fldChar w:fldCharType="separate"/>
      </w:r>
      <w:r>
        <w:rPr>
          <w:rStyle w:val="44"/>
          <w:rFonts w:hint="eastAsia" w:ascii="宋体" w:hAnsi="宋体" w:cs="宋体"/>
          <w:color w:val="auto"/>
          <w:sz w:val="36"/>
          <w:szCs w:val="36"/>
          <w:highlight w:val="none"/>
          <w:u w:val="none"/>
        </w:rPr>
        <w:t>第二章  招标需求</w:t>
      </w:r>
      <w:r>
        <w:rPr>
          <w:rFonts w:hint="eastAsia" w:ascii="宋体" w:hAnsi="宋体" w:cs="宋体"/>
          <w:color w:val="auto"/>
          <w:sz w:val="36"/>
          <w:szCs w:val="36"/>
          <w:highlight w:val="none"/>
        </w:rPr>
        <w:fldChar w:fldCharType="end"/>
      </w:r>
    </w:p>
    <w:p>
      <w:pPr>
        <w:pStyle w:val="86"/>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"第三章"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第三章  投标人须知</w:t>
      </w:r>
      <w:r>
        <w:rPr>
          <w:rFonts w:hint="eastAsia" w:ascii="宋体" w:hAnsi="宋体" w:cs="宋体"/>
          <w:color w:val="auto"/>
          <w:sz w:val="36"/>
          <w:szCs w:val="36"/>
          <w:highlight w:val="none"/>
        </w:rPr>
        <w:fldChar w:fldCharType="end"/>
      </w:r>
    </w:p>
    <w:p>
      <w:pPr>
        <w:pStyle w:val="86"/>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"第四章"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第四章 评标办法及评分标准</w:t>
      </w:r>
      <w:r>
        <w:rPr>
          <w:rFonts w:hint="eastAsia" w:ascii="宋体" w:hAnsi="宋体" w:cs="宋体"/>
          <w:color w:val="auto"/>
          <w:sz w:val="36"/>
          <w:szCs w:val="36"/>
          <w:highlight w:val="none"/>
        </w:rPr>
        <w:fldChar w:fldCharType="end"/>
      </w:r>
    </w:p>
    <w:p>
      <w:pPr>
        <w:pStyle w:val="86"/>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"第五章" </w:instrText>
      </w:r>
      <w:r>
        <w:rPr>
          <w:rFonts w:hint="eastAsia" w:ascii="宋体" w:hAnsi="宋体" w:cs="宋体"/>
          <w:color w:val="auto"/>
          <w:sz w:val="36"/>
          <w:szCs w:val="36"/>
          <w:highlight w:val="none"/>
        </w:rPr>
        <w:fldChar w:fldCharType="separate"/>
      </w:r>
      <w:r>
        <w:rPr>
          <w:rStyle w:val="44"/>
          <w:rFonts w:hint="eastAsia" w:ascii="宋体" w:hAnsi="宋体" w:cs="宋体"/>
          <w:color w:val="auto"/>
          <w:sz w:val="36"/>
          <w:szCs w:val="36"/>
          <w:highlight w:val="none"/>
          <w:u w:val="none"/>
        </w:rPr>
        <w:t>第五章 合同格式（仅参考）</w:t>
      </w:r>
      <w:r>
        <w:rPr>
          <w:rFonts w:hint="eastAsia" w:ascii="宋体" w:hAnsi="宋体" w:cs="宋体"/>
          <w:color w:val="auto"/>
          <w:sz w:val="36"/>
          <w:szCs w:val="36"/>
          <w:highlight w:val="none"/>
        </w:rPr>
        <w:fldChar w:fldCharType="end"/>
      </w:r>
    </w:p>
    <w:p>
      <w:pPr>
        <w:pStyle w:val="86"/>
        <w:tabs>
          <w:tab w:val="right" w:leader="dot" w:pos="9356"/>
        </w:tabs>
        <w:rPr>
          <w:rFonts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"第六章"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第六章　投标文件格式</w:t>
      </w:r>
      <w:r>
        <w:rPr>
          <w:rFonts w:hint="eastAsia" w:ascii="宋体" w:hAnsi="宋体" w:cs="宋体"/>
          <w:color w:val="auto"/>
          <w:sz w:val="36"/>
          <w:szCs w:val="36"/>
          <w:highlight w:val="none"/>
        </w:rPr>
        <w:fldChar w:fldCharType="end"/>
      </w:r>
    </w:p>
    <w:bookmarkEnd w:id="0"/>
    <w:p>
      <w:pPr>
        <w:pStyle w:val="20"/>
        <w:snapToGrid w:val="0"/>
        <w:spacing w:before="120" w:beforeLines="0" w:after="120" w:afterLines="0" w:line="240" w:lineRule="auto"/>
        <w:outlineLvl w:val="0"/>
        <w:rPr>
          <w:rFonts w:hAnsi="宋体" w:cs="宋体"/>
          <w:color w:val="auto"/>
          <w:sz w:val="30"/>
          <w:szCs w:val="30"/>
          <w:highlight w:val="none"/>
        </w:rPr>
      </w:pPr>
      <w:bookmarkStart w:id="1" w:name="_Toc10354_WPSOffice_Level1"/>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1"/>
        <w:ind w:left="7000"/>
        <w:rPr>
          <w:color w:val="auto"/>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outlineLvl w:val="0"/>
        <w:rPr>
          <w:rFonts w:hAnsi="宋体" w:cs="宋体"/>
          <w:color w:val="auto"/>
          <w:sz w:val="30"/>
          <w:szCs w:val="30"/>
          <w:highlight w:val="none"/>
        </w:rPr>
      </w:pPr>
    </w:p>
    <w:p>
      <w:pPr>
        <w:pStyle w:val="20"/>
        <w:snapToGrid w:val="0"/>
        <w:spacing w:before="120" w:beforeLines="0" w:after="120" w:afterLines="0" w:line="240" w:lineRule="auto"/>
        <w:jc w:val="center"/>
        <w:outlineLvl w:val="0"/>
        <w:rPr>
          <w:rFonts w:hAnsi="宋体" w:cs="宋体"/>
          <w:color w:val="auto"/>
          <w:sz w:val="30"/>
          <w:szCs w:val="30"/>
          <w:highlight w:val="none"/>
        </w:rPr>
      </w:pPr>
      <w:bookmarkStart w:id="2" w:name="第一章"/>
      <w:r>
        <w:rPr>
          <w:rFonts w:hAnsi="宋体" w:cs="宋体"/>
          <w:color w:val="auto"/>
          <w:sz w:val="30"/>
          <w:szCs w:val="30"/>
          <w:highlight w:val="none"/>
        </w:rPr>
        <w:t>第一章  公开招标采购公告</w:t>
      </w:r>
      <w:bookmarkEnd w:id="1"/>
      <w:bookmarkEnd w:id="2"/>
      <w: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fldChar w:fldCharType="begin"/>
      </w:r>
      <w:r>
        <w:rPr>
          <w:rFonts w:hAnsi="宋体" w:cs="宋体"/>
          <w:color w:val="auto"/>
          <w:sz w:val="30"/>
          <w:szCs w:val="30"/>
          <w:highlight w:val="none"/>
        </w:rPr>
        <w:instrText xml:space="preserve"> XE "</w:instrText>
      </w:r>
      <w:r>
        <w:rPr>
          <w:rFonts w:hAnsi="宋体" w:cs="宋体"/>
          <w:color w:val="auto"/>
          <w:highlight w:val="none"/>
        </w:rPr>
        <w:instrText xml:space="preserve">第一章  公开招标采购公告</w:instrText>
      </w:r>
      <w:r>
        <w:rPr>
          <w:rFonts w:hAnsi="宋体" w:cs="宋体"/>
          <w:color w:val="auto"/>
          <w:sz w:val="30"/>
          <w:szCs w:val="30"/>
          <w:highlight w:val="none"/>
        </w:rPr>
        <w:instrText xml:space="preserve">" </w:instrText>
      </w:r>
      <w:r>
        <w:rPr>
          <w:rFonts w:hAnsi="宋体" w:cs="宋体"/>
          <w:color w:val="auto"/>
          <w:sz w:val="30"/>
          <w:szCs w:val="30"/>
          <w:highlight w:val="none"/>
        </w:rPr>
        <w:fldChar w:fldCharType="end"/>
      </w:r>
    </w:p>
    <w:p>
      <w:pPr>
        <w:pStyle w:val="118"/>
        <w:widowControl w:val="0"/>
        <w:spacing w:after="0" w:afterLines="0"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参照《中华人民共和国</w:t>
      </w:r>
      <w:r>
        <w:rPr>
          <w:rFonts w:hint="eastAsia" w:ascii="宋体" w:hAnsi="宋体" w:cs="宋体"/>
          <w:color w:val="auto"/>
          <w:szCs w:val="24"/>
          <w:highlight w:val="none"/>
          <w:lang w:val="en-US" w:eastAsia="zh-CN"/>
        </w:rPr>
        <w:t>招标投标</w:t>
      </w:r>
      <w:r>
        <w:rPr>
          <w:rFonts w:hint="eastAsia" w:ascii="宋体" w:hAnsi="宋体" w:cs="宋体"/>
          <w:color w:val="auto"/>
          <w:szCs w:val="24"/>
          <w:highlight w:val="none"/>
        </w:rPr>
        <w:t>法》等规定，受采购人委托，现就</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eastAsia="zh-CN"/>
        </w:rPr>
        <w:t>台州东发建设投资有限公司2024年度电池采购（第一批）</w:t>
      </w:r>
      <w:r>
        <w:rPr>
          <w:rFonts w:hint="eastAsia" w:ascii="宋体" w:hAnsi="宋体" w:cs="宋体"/>
          <w:color w:val="auto"/>
          <w:szCs w:val="24"/>
          <w:highlight w:val="none"/>
        </w:rPr>
        <w:t>进行公开招标采购，欢迎合格供应商前来投标：</w:t>
      </w:r>
    </w:p>
    <w:p>
      <w:pPr>
        <w:pStyle w:val="20"/>
        <w:tabs>
          <w:tab w:val="left" w:pos="1620"/>
        </w:tabs>
        <w:snapToGrid w:val="0"/>
        <w:spacing w:before="0" w:beforeLines="0" w:after="0" w:afterLines="0" w:line="360" w:lineRule="auto"/>
        <w:ind w:firstLine="482" w:firstLineChars="200"/>
        <w:rPr>
          <w:rFonts w:hAnsi="宋体" w:cs="宋体"/>
          <w:b w:val="0"/>
          <w:bCs/>
          <w:color w:val="auto"/>
          <w:sz w:val="28"/>
          <w:highlight w:val="none"/>
        </w:rPr>
      </w:pPr>
      <w:r>
        <w:rPr>
          <w:rFonts w:hAnsi="宋体" w:cs="宋体"/>
          <w:bCs/>
          <w:color w:val="auto"/>
          <w:highlight w:val="none"/>
        </w:rPr>
        <w:t>一、项目编号：QBJ2024009</w:t>
      </w:r>
    </w:p>
    <w:p>
      <w:pPr>
        <w:snapToGrid w:val="0"/>
        <w:spacing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highlight w:val="none"/>
        </w:rPr>
        <w:t>二、采购方式：</w:t>
      </w:r>
      <w:r>
        <w:rPr>
          <w:rFonts w:hint="eastAsia" w:ascii="宋体" w:hAnsi="宋体" w:cs="宋体"/>
          <w:color w:val="auto"/>
          <w:sz w:val="24"/>
          <w:highlight w:val="none"/>
        </w:rPr>
        <w:t>公开招标</w:t>
      </w:r>
    </w:p>
    <w:p>
      <w:pPr>
        <w:snapToGrid w:val="0"/>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采购内容及数量</w:t>
      </w:r>
    </w:p>
    <w:tbl>
      <w:tblPr>
        <w:tblStyle w:val="38"/>
        <w:tblW w:w="488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9"/>
        <w:gridCol w:w="1430"/>
        <w:gridCol w:w="1111"/>
        <w:gridCol w:w="1063"/>
        <w:gridCol w:w="1481"/>
        <w:gridCol w:w="25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s="Arial"/>
                <w:bCs/>
                <w:color w:val="auto"/>
                <w:sz w:val="21"/>
                <w:szCs w:val="21"/>
                <w:highlight w:val="none"/>
              </w:rPr>
            </w:pPr>
            <w:r>
              <w:rPr>
                <w:rFonts w:hint="eastAsia" w:ascii="宋体" w:hAnsi="宋体" w:cs="Arial"/>
                <w:bCs/>
                <w:color w:val="auto"/>
                <w:sz w:val="21"/>
                <w:szCs w:val="21"/>
                <w:highlight w:val="none"/>
              </w:rPr>
              <w:t>采购内容</w:t>
            </w:r>
          </w:p>
        </w:tc>
        <w:tc>
          <w:tcPr>
            <w:tcW w:w="7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default" w:ascii="宋体" w:hAnsi="宋体" w:cs="Arial"/>
                <w:bCs/>
                <w:color w:val="auto"/>
                <w:sz w:val="21"/>
                <w:szCs w:val="21"/>
                <w:highlight w:val="none"/>
              </w:rPr>
            </w:pPr>
            <w:r>
              <w:rPr>
                <w:rFonts w:hint="eastAsia" w:ascii="宋体" w:hAnsi="宋体" w:cs="Arial"/>
                <w:bCs/>
                <w:color w:val="auto"/>
                <w:sz w:val="21"/>
                <w:szCs w:val="21"/>
                <w:highlight w:val="none"/>
              </w:rPr>
              <w:t>单位</w:t>
            </w: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cs="Arial"/>
                <w:bCs/>
                <w:color w:val="auto"/>
                <w:sz w:val="21"/>
                <w:szCs w:val="21"/>
                <w:highlight w:val="none"/>
              </w:rPr>
            </w:pPr>
            <w:r>
              <w:rPr>
                <w:rFonts w:hint="eastAsia" w:ascii="宋体" w:hAnsi="宋体" w:cs="Arial"/>
                <w:bCs/>
                <w:color w:val="auto"/>
                <w:sz w:val="21"/>
                <w:szCs w:val="21"/>
                <w:highlight w:val="none"/>
              </w:rPr>
              <w:t>数量</w:t>
            </w: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cs="Arial"/>
                <w:bCs/>
                <w:color w:val="auto"/>
                <w:sz w:val="21"/>
                <w:szCs w:val="21"/>
                <w:highlight w:val="none"/>
              </w:rPr>
            </w:pPr>
            <w:r>
              <w:rPr>
                <w:rFonts w:hint="eastAsia" w:ascii="宋体" w:hAnsi="宋体" w:cs="Arial"/>
                <w:bCs/>
                <w:color w:val="auto"/>
                <w:sz w:val="21"/>
                <w:szCs w:val="21"/>
                <w:highlight w:val="none"/>
              </w:rPr>
              <w:t>总预算（元）</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cs="Arial"/>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免维护干电池组</w:t>
            </w:r>
          </w:p>
        </w:tc>
        <w:tc>
          <w:tcPr>
            <w:tcW w:w="7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≥60V45AH</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个</w:t>
            </w: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200</w:t>
            </w:r>
          </w:p>
        </w:tc>
        <w:tc>
          <w:tcPr>
            <w:tcW w:w="80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Arial"/>
                <w:bCs/>
                <w:color w:val="auto"/>
                <w:sz w:val="21"/>
                <w:szCs w:val="21"/>
                <w:highlight w:val="none"/>
                <w:lang w:val="en-US" w:eastAsia="zh-CN"/>
              </w:rPr>
            </w:pPr>
            <w:r>
              <w:rPr>
                <w:rFonts w:hint="default" w:ascii="宋体" w:hAnsi="宋体" w:eastAsia="宋体" w:cs="Arial"/>
                <w:bCs/>
                <w:color w:val="auto"/>
                <w:sz w:val="21"/>
                <w:szCs w:val="21"/>
                <w:highlight w:val="none"/>
                <w:lang w:val="en-US" w:eastAsia="zh-CN"/>
              </w:rPr>
              <w:t>176610</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≥6-EVF-45；满足四桶车使用，225*120*170（±10cm）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水电池组</w:t>
            </w:r>
          </w:p>
        </w:tc>
        <w:tc>
          <w:tcPr>
            <w:tcW w:w="7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≥72V80斤</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个</w:t>
            </w: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60</w:t>
            </w:r>
          </w:p>
        </w:tc>
        <w:tc>
          <w:tcPr>
            <w:tcW w:w="80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p>
        </w:tc>
        <w:tc>
          <w:tcPr>
            <w:tcW w:w="1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≥6-EV-80；满足侧翻车使用，355*160*305（±10cm）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免维护干电池组</w:t>
            </w:r>
          </w:p>
        </w:tc>
        <w:tc>
          <w:tcPr>
            <w:tcW w:w="7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≥48V32AH</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个</w:t>
            </w: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500</w:t>
            </w:r>
          </w:p>
        </w:tc>
        <w:tc>
          <w:tcPr>
            <w:tcW w:w="80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p>
        </w:tc>
        <w:tc>
          <w:tcPr>
            <w:tcW w:w="1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≥6-EVF-32.2；满足扫地车使用，255*75*165（±10cm）</w:t>
            </w:r>
          </w:p>
        </w:tc>
      </w:tr>
    </w:tbl>
    <w:p>
      <w:pPr>
        <w:snapToGrid w:val="0"/>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w:t>
      </w:r>
      <w:r>
        <w:rPr>
          <w:rFonts w:hint="eastAsia" w:ascii="宋体" w:hAnsi="宋体" w:cs="宋体"/>
          <w:b/>
          <w:bCs/>
          <w:color w:val="auto"/>
          <w:sz w:val="24"/>
          <w:highlight w:val="none"/>
        </w:rPr>
        <w:t>合格投标人的资格要求：</w:t>
      </w:r>
    </w:p>
    <w:p>
      <w:pPr>
        <w:snapToGrid w:val="0"/>
        <w:spacing w:line="360" w:lineRule="auto"/>
        <w:ind w:firstLine="542" w:firstLineChars="225"/>
        <w:rPr>
          <w:rFonts w:hint="eastAsia" w:ascii="宋体" w:hAnsi="宋体" w:cs="Arial"/>
          <w:color w:val="auto"/>
          <w:sz w:val="24"/>
          <w:highlight w:val="none"/>
        </w:rPr>
      </w:pPr>
      <w:bookmarkStart w:id="3" w:name="第二章"/>
      <w:bookmarkStart w:id="4" w:name="_Toc18554_WPSOffice_Level1"/>
      <w:r>
        <w:rPr>
          <w:rFonts w:hint="eastAsia" w:ascii="宋体" w:hAnsi="宋体" w:cs="Arial"/>
          <w:b/>
          <w:color w:val="auto"/>
          <w:sz w:val="24"/>
          <w:highlight w:val="none"/>
        </w:rPr>
        <w:t>1、具有独立法人资格且有良好履约能力及售后服务体系的制造商或代理商；如代理商参加投标的必须取得制造商对本项目的授权证书</w:t>
      </w:r>
      <w:r>
        <w:rPr>
          <w:rFonts w:hint="eastAsia" w:ascii="宋体" w:hAnsi="宋体" w:cs="Arial"/>
          <w:bCs/>
          <w:color w:val="auto"/>
          <w:sz w:val="24"/>
          <w:highlight w:val="none"/>
        </w:rPr>
        <w:t>。</w:t>
      </w:r>
    </w:p>
    <w:p>
      <w:pPr>
        <w:snapToGrid w:val="0"/>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color w:val="auto"/>
          <w:sz w:val="24"/>
          <w:highlight w:val="none"/>
        </w:rPr>
        <w:t>台州湾新区小额工程电子交易平台（网址：</w:t>
      </w:r>
      <w:r>
        <w:rPr>
          <w:color w:val="auto"/>
          <w:sz w:val="24"/>
          <w:highlight w:val="none"/>
        </w:rPr>
        <w:t>http://www.tzwztb.com/</w:t>
      </w:r>
      <w:r>
        <w:rPr>
          <w:rFonts w:hint="eastAsia" w:ascii="宋体" w:hAnsi="宋体" w:cs="宋体"/>
          <w:color w:val="auto"/>
          <w:sz w:val="24"/>
          <w:highlight w:val="none"/>
        </w:rPr>
        <w:t>）</w:t>
      </w:r>
      <w:r>
        <w:rPr>
          <w:rFonts w:hint="eastAsia" w:ascii="宋体" w:hAnsi="宋体" w:cs="Arial"/>
          <w:color w:val="auto"/>
          <w:sz w:val="24"/>
          <w:highlight w:val="none"/>
        </w:rPr>
        <w:t>下载获取。请各投标人密切关注</w:t>
      </w:r>
      <w:r>
        <w:rPr>
          <w:rFonts w:hint="eastAsia" w:ascii="宋体" w:hAnsi="宋体" w:cs="宋体"/>
          <w:color w:val="auto"/>
          <w:sz w:val="24"/>
          <w:highlight w:val="none"/>
        </w:rPr>
        <w:t>台州湾新区小额工程电子交易平台</w:t>
      </w:r>
      <w:r>
        <w:rPr>
          <w:rFonts w:hint="eastAsia" w:ascii="宋体" w:hAnsi="宋体" w:cs="Arial"/>
          <w:color w:val="auto"/>
          <w:sz w:val="24"/>
          <w:highlight w:val="none"/>
        </w:rPr>
        <w:t>或</w:t>
      </w:r>
      <w:r>
        <w:rPr>
          <w:rFonts w:hint="eastAsia" w:ascii="宋体" w:hAnsi="宋体" w:cs="宋体"/>
          <w:color w:val="auto"/>
          <w:kern w:val="0"/>
          <w:sz w:val="24"/>
          <w:highlight w:val="none"/>
        </w:rPr>
        <w:t>浙江政府采购网</w:t>
      </w:r>
      <w:r>
        <w:rPr>
          <w:rFonts w:hint="eastAsia" w:ascii="宋体" w:hAnsi="宋体" w:cs="Arial"/>
          <w:color w:val="auto"/>
          <w:sz w:val="24"/>
          <w:highlight w:val="none"/>
        </w:rPr>
        <w:t>对本项目的答疑和澄清，由于投标人未及时了解答疑和澄清造成的后果，招标人、招标代理概不负责。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pStyle w:val="103"/>
        <w:tabs>
          <w:tab w:val="left" w:pos="567"/>
        </w:tabs>
        <w:adjustRightInd w:val="0"/>
        <w:snapToGrid w:val="0"/>
        <w:spacing w:line="348" w:lineRule="auto"/>
        <w:ind w:firstLine="480"/>
        <w:rPr>
          <w:rFonts w:hint="eastAsia" w:ascii="宋体"/>
          <w:color w:val="auto"/>
          <w:szCs w:val="21"/>
          <w:highlight w:val="none"/>
        </w:rPr>
      </w:pP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递交截止时间：202</w:t>
      </w:r>
      <w:r>
        <w:rPr>
          <w:rFonts w:hint="eastAsia" w:ascii="宋体"/>
          <w:color w:val="auto"/>
          <w:szCs w:val="21"/>
          <w:highlight w:val="none"/>
          <w:lang w:val="en-US" w:eastAsia="zh-CN"/>
        </w:rPr>
        <w:t>4</w:t>
      </w:r>
      <w:r>
        <w:rPr>
          <w:rFonts w:hint="eastAsia" w:ascii="宋体"/>
          <w:color w:val="auto"/>
          <w:szCs w:val="21"/>
          <w:highlight w:val="none"/>
        </w:rPr>
        <w:t>年</w:t>
      </w:r>
      <w:r>
        <w:rPr>
          <w:rFonts w:hint="eastAsia" w:ascii="宋体"/>
          <w:color w:val="auto"/>
          <w:szCs w:val="21"/>
          <w:highlight w:val="none"/>
          <w:lang w:val="en-US" w:eastAsia="zh-CN"/>
        </w:rPr>
        <w:t>1</w:t>
      </w:r>
      <w:r>
        <w:rPr>
          <w:rFonts w:hint="eastAsia" w:ascii="宋体"/>
          <w:color w:val="auto"/>
          <w:szCs w:val="21"/>
          <w:highlight w:val="none"/>
        </w:rPr>
        <w:t>月</w:t>
      </w:r>
      <w:r>
        <w:rPr>
          <w:rFonts w:hint="eastAsia" w:ascii="宋体"/>
          <w:color w:val="auto"/>
          <w:szCs w:val="21"/>
          <w:highlight w:val="none"/>
          <w:lang w:val="en-US" w:eastAsia="zh-CN"/>
        </w:rPr>
        <w:t>22</w:t>
      </w:r>
      <w:r>
        <w:rPr>
          <w:rFonts w:hint="eastAsia" w:ascii="宋体"/>
          <w:color w:val="auto"/>
          <w:szCs w:val="21"/>
          <w:highlight w:val="none"/>
        </w:rPr>
        <w:t>日</w:t>
      </w:r>
      <w:r>
        <w:rPr>
          <w:rFonts w:hint="eastAsia" w:ascii="宋体"/>
          <w:color w:val="auto"/>
          <w:szCs w:val="21"/>
          <w:highlight w:val="none"/>
          <w:lang w:val="en-US" w:eastAsia="zh-CN"/>
        </w:rPr>
        <w:t>14</w:t>
      </w:r>
      <w:r>
        <w:rPr>
          <w:rFonts w:hint="eastAsia" w:ascii="宋体"/>
          <w:color w:val="auto"/>
          <w:szCs w:val="21"/>
          <w:highlight w:val="none"/>
        </w:rPr>
        <w:t>时</w:t>
      </w:r>
      <w:r>
        <w:rPr>
          <w:rFonts w:hint="eastAsia" w:ascii="宋体"/>
          <w:color w:val="auto"/>
          <w:szCs w:val="21"/>
          <w:highlight w:val="none"/>
          <w:lang w:val="en-US" w:eastAsia="zh-CN"/>
        </w:rPr>
        <w:t>3</w:t>
      </w:r>
      <w:r>
        <w:rPr>
          <w:rFonts w:hint="eastAsia" w:ascii="宋体"/>
          <w:color w:val="auto"/>
          <w:szCs w:val="21"/>
          <w:highlight w:val="none"/>
        </w:rPr>
        <w:t>0分（北京时间）</w:t>
      </w:r>
    </w:p>
    <w:p>
      <w:pPr>
        <w:pStyle w:val="103"/>
        <w:tabs>
          <w:tab w:val="left" w:pos="567"/>
        </w:tabs>
        <w:adjustRightInd w:val="0"/>
        <w:snapToGrid w:val="0"/>
        <w:spacing w:line="348" w:lineRule="auto"/>
        <w:ind w:left="280" w:leftChars="100" w:firstLine="240" w:firstLineChars="100"/>
        <w:rPr>
          <w:rFonts w:hint="eastAsia" w:ascii="宋体"/>
          <w:color w:val="auto"/>
          <w:szCs w:val="21"/>
          <w:highlight w:val="none"/>
        </w:rPr>
      </w:pPr>
      <w:r>
        <w:rPr>
          <w:rFonts w:hint="eastAsia" w:ascii="宋体"/>
          <w:color w:val="auto"/>
          <w:szCs w:val="21"/>
          <w:highlight w:val="none"/>
        </w:rPr>
        <w:t>2</w:t>
      </w:r>
      <w:r>
        <w:rPr>
          <w:rFonts w:ascii="宋体"/>
          <w:color w:val="auto"/>
          <w:szCs w:val="21"/>
          <w:highlight w:val="none"/>
        </w:rPr>
        <w:t>.</w:t>
      </w:r>
      <w:r>
        <w:rPr>
          <w:rFonts w:hint="eastAsia" w:ascii="宋体"/>
          <w:color w:val="auto"/>
          <w:szCs w:val="21"/>
          <w:highlight w:val="none"/>
        </w:rPr>
        <w:t>电子投标文件的递交：</w:t>
      </w:r>
    </w:p>
    <w:p>
      <w:pPr>
        <w:spacing w:line="300" w:lineRule="auto"/>
        <w:ind w:firstLine="480" w:firstLineChars="200"/>
        <w:rPr>
          <w:rFonts w:hint="eastAsia" w:ascii="宋体"/>
          <w:color w:val="auto"/>
          <w:sz w:val="24"/>
          <w:szCs w:val="21"/>
          <w:highlight w:val="none"/>
        </w:rPr>
      </w:pPr>
      <w:r>
        <w:rPr>
          <w:rFonts w:hint="eastAsia" w:ascii="宋体"/>
          <w:color w:val="auto"/>
          <w:sz w:val="24"/>
          <w:szCs w:val="21"/>
          <w:highlight w:val="none"/>
        </w:rPr>
        <w:t>1) 台州湾新区小额工程电子交易平台（网址：http://www.tzwztb.com/）；</w:t>
      </w:r>
    </w:p>
    <w:p>
      <w:pPr>
        <w:spacing w:line="300" w:lineRule="auto"/>
        <w:ind w:firstLine="480" w:firstLineChars="200"/>
        <w:rPr>
          <w:rFonts w:hint="eastAsia" w:ascii="宋体"/>
          <w:color w:val="auto"/>
          <w:sz w:val="24"/>
          <w:szCs w:val="21"/>
          <w:highlight w:val="none"/>
        </w:rPr>
      </w:pPr>
      <w:r>
        <w:rPr>
          <w:rFonts w:hint="eastAsia" w:ascii="宋体"/>
          <w:color w:val="auto"/>
          <w:sz w:val="24"/>
          <w:szCs w:val="21"/>
          <w:highlight w:val="none"/>
        </w:rPr>
        <w:t>2) 投标人应提前办好ca锁（办理网址：http://www.tseal.cn/tcloud/common.xhtml?projId=295），绑定平台账户。</w:t>
      </w:r>
    </w:p>
    <w:p>
      <w:pPr>
        <w:pStyle w:val="103"/>
        <w:tabs>
          <w:tab w:val="left" w:pos="567"/>
        </w:tabs>
        <w:adjustRightInd w:val="0"/>
        <w:snapToGrid w:val="0"/>
        <w:spacing w:line="348" w:lineRule="auto"/>
        <w:ind w:firstLine="518" w:firstLineChars="216"/>
        <w:rPr>
          <w:rFonts w:hint="eastAsia" w:ascii="宋体"/>
          <w:color w:val="auto"/>
          <w:szCs w:val="21"/>
          <w:highlight w:val="none"/>
        </w:rPr>
      </w:pPr>
      <w:r>
        <w:rPr>
          <w:rFonts w:hint="eastAsia" w:ascii="宋体"/>
          <w:color w:val="auto"/>
          <w:szCs w:val="21"/>
          <w:highlight w:val="none"/>
        </w:rPr>
        <w:t>3)缴纳保证金（或购买、上传电子保函）后，点击“电子投标文件制作工具”，进入制作页面，签章并加密上传电子投标文件。</w:t>
      </w:r>
    </w:p>
    <w:p>
      <w:pPr>
        <w:pStyle w:val="103"/>
        <w:tabs>
          <w:tab w:val="left" w:pos="567"/>
        </w:tabs>
        <w:adjustRightInd w:val="0"/>
        <w:snapToGrid w:val="0"/>
        <w:spacing w:line="348" w:lineRule="auto"/>
        <w:ind w:firstLine="518" w:firstLineChars="216"/>
        <w:rPr>
          <w:rFonts w:hint="eastAsia" w:ascii="宋体"/>
          <w:color w:val="auto"/>
          <w:szCs w:val="21"/>
          <w:highlight w:val="none"/>
        </w:rPr>
      </w:pPr>
      <w:r>
        <w:rPr>
          <w:rFonts w:ascii="宋体"/>
          <w:color w:val="auto"/>
          <w:szCs w:val="21"/>
          <w:highlight w:val="none"/>
        </w:rPr>
        <w:t>3.</w:t>
      </w:r>
      <w:r>
        <w:rPr>
          <w:rFonts w:hint="eastAsia" w:ascii="宋体"/>
          <w:color w:val="auto"/>
          <w:szCs w:val="21"/>
          <w:highlight w:val="none"/>
        </w:rPr>
        <w:t>电子投标文件未在投标文件递交截止时间前递交至 台州湾新区小额工程电子交易平台将被拒绝，后果由各投标人自行承担。</w:t>
      </w:r>
    </w:p>
    <w:p>
      <w:pPr>
        <w:numPr>
          <w:ilvl w:val="0"/>
          <w:numId w:val="4"/>
        </w:numPr>
        <w:snapToGrid w:val="0"/>
        <w:spacing w:line="360" w:lineRule="auto"/>
        <w:ind w:firstLine="482" w:firstLineChars="200"/>
        <w:rPr>
          <w:rFonts w:hint="eastAsia" w:ascii="宋体" w:hAnsi="宋体" w:cs="Arial"/>
          <w:color w:val="auto"/>
          <w:sz w:val="24"/>
          <w:highlight w:val="none"/>
        </w:rPr>
      </w:pPr>
      <w:r>
        <w:rPr>
          <w:rFonts w:hint="eastAsia" w:ascii="宋体" w:hAnsi="宋体" w:cs="Arial"/>
          <w:b/>
          <w:bCs/>
          <w:color w:val="auto"/>
          <w:sz w:val="24"/>
          <w:highlight w:val="none"/>
        </w:rPr>
        <w:t>开标时间</w:t>
      </w:r>
      <w:r>
        <w:rPr>
          <w:rFonts w:hint="eastAsia" w:ascii="宋体" w:hAnsi="宋体" w:cs="Arial"/>
          <w:color w:val="auto"/>
          <w:sz w:val="24"/>
          <w:highlight w:val="none"/>
        </w:rPr>
        <w:t>：</w:t>
      </w:r>
      <w:r>
        <w:rPr>
          <w:rFonts w:hint="eastAsia" w:ascii="宋体" w:hAnsi="宋体" w:cs="Arial"/>
          <w:color w:val="auto"/>
          <w:sz w:val="24"/>
          <w:highlight w:val="none"/>
          <w:u w:val="single"/>
        </w:rPr>
        <w:t xml:space="preserve"> 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日</w:t>
      </w:r>
      <w:r>
        <w:rPr>
          <w:rFonts w:hint="eastAsia" w:ascii="宋体" w:hAnsi="宋体" w:cs="Arial"/>
          <w:color w:val="auto"/>
          <w:sz w:val="24"/>
          <w:highlight w:val="none"/>
          <w:u w:val="single"/>
          <w:lang w:val="en-US" w:eastAsia="zh-CN"/>
        </w:rPr>
        <w:t>14</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3</w:t>
      </w:r>
      <w:r>
        <w:rPr>
          <w:rFonts w:hint="eastAsia" w:ascii="宋体" w:hAnsi="宋体" w:cs="Arial"/>
          <w:color w:val="auto"/>
          <w:sz w:val="24"/>
          <w:highlight w:val="none"/>
          <w:u w:val="single"/>
        </w:rPr>
        <w:t>0分</w:t>
      </w:r>
      <w:r>
        <w:rPr>
          <w:rFonts w:hint="eastAsia" w:ascii="宋体" w:hAnsi="宋体"/>
          <w:color w:val="auto"/>
          <w:sz w:val="24"/>
          <w:highlight w:val="none"/>
        </w:rPr>
        <w:t>（北京时间）</w:t>
      </w:r>
      <w:r>
        <w:rPr>
          <w:rFonts w:hint="eastAsia" w:ascii="宋体" w:hAnsi="宋体" w:cs="Arial"/>
          <w:color w:val="auto"/>
          <w:sz w:val="24"/>
          <w:highlight w:val="none"/>
        </w:rPr>
        <w:t>。</w:t>
      </w:r>
    </w:p>
    <w:p>
      <w:pPr>
        <w:pStyle w:val="11"/>
        <w:ind w:firstLine="482" w:firstLineChars="200"/>
        <w:rPr>
          <w:rFonts w:hint="eastAsia" w:ascii="宋体" w:hAnsi="宋体" w:cs="Arial"/>
          <w:color w:val="auto"/>
          <w:sz w:val="24"/>
          <w:highlight w:val="none"/>
        </w:rPr>
      </w:pPr>
      <w:r>
        <w:rPr>
          <w:rFonts w:hint="eastAsia" w:ascii="宋体" w:hAnsi="宋体" w:cs="Arial"/>
          <w:b/>
          <w:bCs/>
          <w:color w:val="auto"/>
          <w:sz w:val="24"/>
          <w:highlight w:val="none"/>
        </w:rPr>
        <w:t>八、开标地点</w:t>
      </w:r>
      <w:r>
        <w:rPr>
          <w:rFonts w:hint="eastAsia" w:ascii="宋体" w:hAnsi="宋体" w:cs="Arial"/>
          <w:color w:val="auto"/>
          <w:sz w:val="24"/>
          <w:highlight w:val="none"/>
        </w:rPr>
        <w:t>：本项目开评标环节实行全流程电子化，投标人可自行登录不见面开标大厅观看。（</w:t>
      </w:r>
      <w:r>
        <w:rPr>
          <w:rFonts w:hint="eastAsia" w:ascii="宋体" w:hAnsi="宋体" w:cs="Arial"/>
          <w:color w:val="auto"/>
          <w:sz w:val="24"/>
          <w:highlight w:val="none"/>
        </w:rPr>
        <w:fldChar w:fldCharType="begin"/>
      </w:r>
      <w:r>
        <w:rPr>
          <w:rFonts w:hint="eastAsia" w:ascii="宋体" w:hAnsi="宋体" w:cs="Arial"/>
          <w:color w:val="auto"/>
          <w:sz w:val="24"/>
          <w:highlight w:val="none"/>
        </w:rPr>
        <w:instrText xml:space="preserve"> HYPERLINK "http://www.tzwztb.com/live/" </w:instrText>
      </w:r>
      <w:r>
        <w:rPr>
          <w:rFonts w:hint="eastAsia" w:ascii="宋体" w:hAnsi="宋体" w:cs="Arial"/>
          <w:color w:val="auto"/>
          <w:sz w:val="24"/>
          <w:highlight w:val="none"/>
        </w:rPr>
        <w:fldChar w:fldCharType="separate"/>
      </w:r>
      <w:r>
        <w:rPr>
          <w:rFonts w:hint="eastAsia" w:ascii="宋体" w:hAnsi="宋体" w:cs="Arial"/>
          <w:color w:val="auto"/>
          <w:sz w:val="24"/>
          <w:highlight w:val="none"/>
        </w:rPr>
        <w:t>www.tzwztb.com/live/</w:t>
      </w:r>
      <w:r>
        <w:rPr>
          <w:rFonts w:hint="eastAsia" w:ascii="宋体" w:hAnsi="宋体" w:cs="Arial"/>
          <w:color w:val="auto"/>
          <w:sz w:val="24"/>
          <w:highlight w:val="none"/>
        </w:rPr>
        <w:fldChar w:fldCharType="end"/>
      </w:r>
      <w:r>
        <w:rPr>
          <w:rFonts w:hint="eastAsia" w:ascii="宋体" w:hAnsi="宋体" w:cs="Arial"/>
          <w:color w:val="auto"/>
          <w:sz w:val="24"/>
          <w:highlight w:val="none"/>
        </w:rPr>
        <w:t xml:space="preserve"> ）</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0.35万</w:t>
      </w:r>
      <w:r>
        <w:rPr>
          <w:rFonts w:hint="eastAsia" w:ascii="宋体" w:hAnsi="宋体" w:cs="宋体"/>
          <w:bCs/>
          <w:color w:val="auto"/>
          <w:kern w:val="0"/>
          <w:sz w:val="24"/>
          <w:highlight w:val="none"/>
        </w:rPr>
        <w:t>元。</w:t>
      </w:r>
    </w:p>
    <w:p>
      <w:pPr>
        <w:pStyle w:val="37"/>
        <w:ind w:left="0" w:leftChars="0" w:firstLine="48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提交时间：</w:t>
      </w:r>
      <w:r>
        <w:rPr>
          <w:rFonts w:ascii="宋体" w:hAnsi="宋体" w:cs="宋体"/>
          <w:bCs/>
          <w:color w:val="auto"/>
          <w:kern w:val="0"/>
          <w:sz w:val="24"/>
          <w:highlight w:val="none"/>
          <w:u w:val="single"/>
        </w:rPr>
        <w:t>202</w:t>
      </w:r>
      <w:r>
        <w:rPr>
          <w:rFonts w:hint="eastAsia" w:ascii="宋体" w:hAnsi="宋体" w:cs="宋体"/>
          <w:bCs/>
          <w:color w:val="auto"/>
          <w:kern w:val="0"/>
          <w:sz w:val="24"/>
          <w:highlight w:val="none"/>
          <w:u w:val="single"/>
          <w:lang w:val="en-US" w:eastAsia="zh-CN"/>
        </w:rPr>
        <w:t>4</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1</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22</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14</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rPr>
        <w:t>00-</w:t>
      </w:r>
      <w:r>
        <w:rPr>
          <w:rFonts w:hint="eastAsia" w:ascii="宋体" w:hAnsi="宋体" w:cs="宋体"/>
          <w:bCs/>
          <w:color w:val="auto"/>
          <w:kern w:val="0"/>
          <w:sz w:val="24"/>
          <w:highlight w:val="none"/>
          <w:u w:val="single"/>
          <w:lang w:val="en-US" w:eastAsia="zh-CN"/>
        </w:rPr>
        <w:t>14</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w:t>
      </w:r>
      <w:r>
        <w:rPr>
          <w:rFonts w:hint="eastAsia" w:ascii="宋体" w:hAnsi="宋体" w:cs="宋体"/>
          <w:bCs/>
          <w:color w:val="auto"/>
          <w:kern w:val="0"/>
          <w:sz w:val="24"/>
          <w:highlight w:val="none"/>
          <w:u w:val="single"/>
        </w:rPr>
        <w:t>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0576-88517783</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1</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1</w:t>
      </w:r>
      <w:bookmarkStart w:id="14" w:name="_GoBack"/>
      <w:bookmarkEnd w:id="14"/>
      <w:r>
        <w:rPr>
          <w:rFonts w:hint="eastAsia" w:ascii="宋体" w:hAnsi="宋体" w:cs="宋体"/>
          <w:b/>
          <w:bCs/>
          <w:color w:val="auto"/>
          <w:kern w:val="0"/>
          <w:sz w:val="24"/>
          <w:highlight w:val="none"/>
          <w:u w:val="single"/>
          <w:lang w:val="en-US" w:eastAsia="zh-CN"/>
        </w:rPr>
        <w:t>9</w:t>
      </w:r>
      <w:r>
        <w:rPr>
          <w:rFonts w:hint="eastAsia" w:ascii="宋体" w:hAnsi="宋体" w:cs="宋体"/>
          <w:b/>
          <w:bCs/>
          <w:color w:val="auto"/>
          <w:kern w:val="0"/>
          <w:sz w:val="24"/>
          <w:highlight w:val="none"/>
          <w:u w:val="none"/>
          <w:lang w:val="en-US" w:eastAsia="zh-CN"/>
        </w:rPr>
        <w:t>日</w:t>
      </w:r>
      <w:r>
        <w:rPr>
          <w:rFonts w:hint="eastAsia" w:ascii="宋体" w:hAnsi="宋体" w:cs="宋体"/>
          <w:b/>
          <w:bCs/>
          <w:color w:val="auto"/>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color w:val="auto"/>
          <w:sz w:val="24"/>
          <w:highlight w:val="none"/>
        </w:rPr>
        <w:t>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r>
        <w:rPr>
          <w:rFonts w:hint="eastAsia" w:ascii="宋体" w:hAnsi="宋体" w:cs="宋体"/>
          <w:color w:val="auto"/>
          <w:sz w:val="24"/>
          <w:highlight w:val="none"/>
        </w:rPr>
        <w:t>。</w:t>
      </w:r>
    </w:p>
    <w:p>
      <w:pPr>
        <w:snapToGrid w:val="0"/>
        <w:spacing w:line="360" w:lineRule="auto"/>
        <w:ind w:firstLine="482" w:firstLineChars="200"/>
        <w:rPr>
          <w:rFonts w:hint="eastAsia" w:ascii="宋体" w:hAnsi="宋体" w:cs="Arial"/>
          <w:b/>
          <w:color w:val="auto"/>
          <w:sz w:val="24"/>
          <w:highlight w:val="none"/>
        </w:rPr>
      </w:pP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朱女士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sz w:val="24"/>
          <w:highlight w:val="none"/>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李灵芝、</w:t>
      </w:r>
      <w:r>
        <w:rPr>
          <w:rFonts w:hint="eastAsia" w:ascii="宋体" w:hAnsi="宋体" w:cs="宋体"/>
          <w:color w:val="auto"/>
          <w:sz w:val="24"/>
          <w:highlight w:val="none"/>
          <w:u w:val="single"/>
        </w:rPr>
        <w:t xml:space="preserve">李洪林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 xml:space="preserve">0576-88517783  </w:t>
      </w:r>
      <w:r>
        <w:rPr>
          <w:rFonts w:hint="eastAsia" w:ascii="宋体" w:hAnsi="宋体" w:cs="宋体"/>
          <w:color w:val="auto"/>
          <w:sz w:val="24"/>
          <w:highlight w:val="none"/>
        </w:rPr>
        <w:t xml:space="preserve">  </w:t>
      </w:r>
    </w:p>
    <w:p>
      <w:pPr>
        <w:widowControl/>
        <w:spacing w:line="336"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0576-88517791</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台州湾新区司法与审计局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 址：</w:t>
      </w:r>
      <w:r>
        <w:rPr>
          <w:rFonts w:hint="eastAsia" w:ascii="宋体" w:hAnsi="宋体" w:cs="宋体"/>
          <w:color w:val="auto"/>
          <w:sz w:val="24"/>
          <w:highlight w:val="none"/>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rPr>
        <w:t xml:space="preserve">徐先生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0576-88538849</w:t>
      </w:r>
    </w:p>
    <w:p>
      <w:pPr>
        <w:pStyle w:val="87"/>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（四）台州湾新区小额工程电子交易平台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蔡永正、王明月</w:t>
      </w:r>
    </w:p>
    <w:p>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pPr>
        <w:snapToGrid w:val="0"/>
        <w:spacing w:line="336" w:lineRule="auto"/>
        <w:ind w:firstLine="5760" w:firstLineChars="2400"/>
        <w:jc w:val="left"/>
        <w:rPr>
          <w:rFonts w:hint="eastAsia" w:ascii="宋体" w:hAnsi="宋体" w:cs="宋体"/>
          <w:color w:val="auto"/>
          <w:sz w:val="24"/>
          <w:highlight w:val="none"/>
        </w:rPr>
      </w:pPr>
    </w:p>
    <w:p>
      <w:pPr>
        <w:snapToGrid w:val="0"/>
        <w:spacing w:line="336" w:lineRule="auto"/>
        <w:ind w:firstLine="6396" w:firstLineChars="2665"/>
        <w:jc w:val="right"/>
        <w:rPr>
          <w:rFonts w:hint="eastAsia" w:ascii="宋体" w:hAnsi="宋体" w:cs="宋体"/>
          <w:color w:val="auto"/>
          <w:sz w:val="24"/>
          <w:highlight w:val="none"/>
        </w:rPr>
      </w:pPr>
      <w:r>
        <w:rPr>
          <w:rFonts w:hint="eastAsia" w:ascii="宋体" w:hAnsi="宋体" w:cs="宋体"/>
          <w:color w:val="auto"/>
          <w:sz w:val="24"/>
          <w:highlight w:val="none"/>
        </w:rPr>
        <w:t>台州市建设咨询有限公司</w:t>
      </w:r>
    </w:p>
    <w:p>
      <w:pPr>
        <w:snapToGrid w:val="0"/>
        <w:spacing w:line="360" w:lineRule="auto"/>
        <w:ind w:left="238" w:firstLine="5940" w:firstLineChars="2475"/>
        <w:rPr>
          <w:rFonts w:ascii="宋体" w:hAnsi="宋体" w:cs="Arial"/>
          <w:color w:val="auto"/>
          <w:sz w:val="24"/>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年1月</w:t>
      </w:r>
    </w:p>
    <w:p>
      <w:pPr>
        <w:pStyle w:val="20"/>
        <w:tabs>
          <w:tab w:val="left" w:pos="1620"/>
        </w:tabs>
        <w:snapToGrid w:val="0"/>
        <w:spacing w:beforeLines="0" w:afterLines="0"/>
        <w:jc w:val="center"/>
        <w:rPr>
          <w:rFonts w:hAnsi="宋体"/>
          <w:color w:val="auto"/>
          <w:sz w:val="30"/>
          <w:szCs w:val="30"/>
          <w:highlight w:val="none"/>
        </w:rPr>
        <w:sectPr>
          <w:headerReference r:id="rId3" w:type="default"/>
          <w:footerReference r:id="rId4"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0"/>
        <w:numPr>
          <w:ilvl w:val="0"/>
          <w:numId w:val="5"/>
        </w:numPr>
        <w:tabs>
          <w:tab w:val="left" w:pos="1620"/>
        </w:tabs>
        <w:snapToGrid w:val="0"/>
        <w:spacing w:before="120" w:beforeLines="0" w:after="120" w:afterLines="0"/>
        <w:jc w:val="center"/>
        <w:rPr>
          <w:rFonts w:hAnsi="宋体"/>
          <w:color w:val="auto"/>
          <w:sz w:val="36"/>
          <w:szCs w:val="36"/>
          <w:highlight w:val="none"/>
        </w:rPr>
      </w:pPr>
      <w:r>
        <w:rPr>
          <w:rFonts w:hAnsi="宋体"/>
          <w:color w:val="auto"/>
          <w:sz w:val="36"/>
          <w:szCs w:val="36"/>
          <w:highlight w:val="none"/>
        </w:rPr>
        <w:t xml:space="preserve"> </w:t>
      </w:r>
      <w:r>
        <w:rPr>
          <w:rFonts w:hAnsi="宋体"/>
          <w:bCs/>
          <w:color w:val="auto"/>
          <w:sz w:val="36"/>
          <w:szCs w:val="36"/>
          <w:highlight w:val="none"/>
        </w:rPr>
        <w:t>招</w:t>
      </w:r>
      <w:r>
        <w:rPr>
          <w:rFonts w:hAnsi="宋体"/>
          <w:color w:val="auto"/>
          <w:sz w:val="36"/>
          <w:szCs w:val="36"/>
          <w:highlight w:val="none"/>
        </w:rPr>
        <w:t>标需求</w:t>
      </w:r>
      <w:bookmarkEnd w:id="3"/>
      <w:bookmarkEnd w:id="4"/>
    </w:p>
    <w:p>
      <w:pPr>
        <w:pStyle w:val="37"/>
        <w:tabs>
          <w:tab w:val="left" w:pos="720"/>
          <w:tab w:val="left" w:pos="900"/>
          <w:tab w:val="left" w:pos="1260"/>
          <w:tab w:val="left" w:pos="2160"/>
          <w:tab w:val="left" w:pos="2880"/>
          <w:tab w:val="left" w:pos="3600"/>
          <w:tab w:val="left" w:pos="4320"/>
          <w:tab w:val="left" w:pos="5040"/>
          <w:tab w:val="left" w:pos="5760"/>
        </w:tabs>
        <w:spacing w:line="360" w:lineRule="auto"/>
        <w:ind w:left="0" w:leftChars="0" w:firstLine="480"/>
        <w:jc w:val="left"/>
        <w:rPr>
          <w:rFonts w:hint="eastAsia" w:ascii="Calibri" w:hAnsi="Calibri" w:eastAsia="宋体"/>
          <w:color w:val="auto"/>
          <w:sz w:val="24"/>
          <w:highlight w:val="none"/>
        </w:rPr>
      </w:pPr>
      <w:r>
        <w:rPr>
          <w:rFonts w:hint="eastAsia" w:ascii="Calibri" w:hAnsi="Calibri" w:eastAsia="宋体"/>
          <w:color w:val="auto"/>
          <w:sz w:val="24"/>
          <w:highlight w:val="none"/>
        </w:rPr>
        <w:t>本次招标为</w:t>
      </w:r>
      <w:r>
        <w:rPr>
          <w:rFonts w:hint="eastAsia" w:ascii="Calibri" w:hAnsi="Calibri" w:eastAsia="宋体"/>
          <w:color w:val="auto"/>
          <w:sz w:val="24"/>
          <w:highlight w:val="none"/>
          <w:lang w:eastAsia="zh-CN"/>
        </w:rPr>
        <w:t>台州东发建设投资有限公司2024年度电池采购（第一批）</w:t>
      </w:r>
      <w:r>
        <w:rPr>
          <w:rFonts w:hint="eastAsia" w:ascii="Calibri" w:hAnsi="Calibri" w:eastAsia="宋体"/>
          <w:color w:val="auto"/>
          <w:sz w:val="24"/>
          <w:highlight w:val="none"/>
        </w:rPr>
        <w:t>，具体采购明细清单见下表：</w:t>
      </w:r>
    </w:p>
    <w:p>
      <w:pPr>
        <w:pStyle w:val="93"/>
        <w:spacing w:line="600" w:lineRule="exact"/>
        <w:ind w:firstLine="0" w:firstLineChars="0"/>
        <w:textAlignment w:val="center"/>
        <w:rPr>
          <w:rFonts w:hint="eastAsia" w:ascii="宋体" w:hAnsi="宋体"/>
          <w:b/>
          <w:bCs/>
          <w:color w:val="0C0C0C"/>
          <w:spacing w:val="6"/>
          <w:sz w:val="24"/>
          <w:szCs w:val="24"/>
          <w:highlight w:val="none"/>
        </w:rPr>
      </w:pPr>
      <w:bookmarkStart w:id="5" w:name="_Toc28376_WPSOffice_Level1"/>
      <w:bookmarkStart w:id="6" w:name="第三章"/>
      <w:r>
        <w:rPr>
          <w:rFonts w:hint="eastAsia" w:ascii="宋体" w:hAnsi="宋体"/>
          <w:b/>
          <w:bCs/>
          <w:color w:val="0C0C0C"/>
          <w:spacing w:val="6"/>
          <w:sz w:val="24"/>
          <w:szCs w:val="24"/>
          <w:highlight w:val="none"/>
        </w:rPr>
        <w:t>一、项目要求</w:t>
      </w:r>
    </w:p>
    <w:tbl>
      <w:tblPr>
        <w:tblStyle w:val="38"/>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int="eastAsia" w:hAnsi="宋体" w:cs="Calibri"/>
                <w:color w:val="0C0C0C"/>
                <w:highlight w:val="none"/>
                <w:lang w:eastAsia="zh-CN"/>
              </w:rPr>
              <w:t>台州东发建设投资有限公司2024年度电池采购（第一批）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Ansi="宋体" w:cs="Calibri"/>
                <w:color w:val="0C0C0C"/>
                <w:highlight w:val="none"/>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snapToGrid w:val="0"/>
              <w:spacing w:before="120" w:beforeLines="0" w:beforeAutospacing="0" w:after="120" w:afterLines="0" w:afterAutospacing="0" w:line="240" w:lineRule="auto"/>
              <w:ind w:left="0" w:right="0"/>
              <w:outlineLvl w:val="0"/>
              <w:rPr>
                <w:rFonts w:hAnsi="宋体" w:cs="Calibri"/>
                <w:color w:val="0C0C0C"/>
                <w:highlight w:val="none"/>
              </w:rPr>
            </w:pPr>
            <w:r>
              <w:rPr>
                <w:rFonts w:hint="eastAsia" w:hAnsi="宋体" w:cs="Calibri"/>
                <w:color w:val="0C0C0C"/>
                <w:highlight w:val="none"/>
                <w:lang w:eastAsia="zh-CN"/>
              </w:rPr>
              <w:t>台州东发建设投资有限公司2024年度电池采购（第一批）</w:t>
            </w:r>
          </w:p>
        </w:tc>
      </w:tr>
    </w:tbl>
    <w:p>
      <w:pPr>
        <w:pStyle w:val="93"/>
        <w:spacing w:line="600" w:lineRule="exact"/>
        <w:ind w:firstLine="0" w:firstLineChars="0"/>
        <w:textAlignment w:val="center"/>
        <w:rPr>
          <w:rFonts w:hint="default" w:ascii="宋体" w:hAnsi="宋体" w:eastAsia="宋体"/>
          <w:b/>
          <w:bCs/>
          <w:color w:val="0C0C0C"/>
          <w:spacing w:val="6"/>
          <w:sz w:val="24"/>
          <w:szCs w:val="24"/>
          <w:highlight w:val="none"/>
          <w:lang w:val="en-US" w:eastAsia="zh-CN"/>
        </w:rPr>
      </w:pPr>
      <w:r>
        <w:rPr>
          <w:rFonts w:hint="eastAsia" w:ascii="宋体" w:hAnsi="宋体"/>
          <w:b/>
          <w:bCs/>
          <w:color w:val="0C0C0C"/>
          <w:spacing w:val="6"/>
          <w:sz w:val="24"/>
          <w:szCs w:val="24"/>
          <w:highlight w:val="none"/>
          <w:lang w:val="en-US" w:eastAsia="zh-CN"/>
        </w:rPr>
        <w:t>二、技术规格书</w:t>
      </w:r>
    </w:p>
    <w:tbl>
      <w:tblPr>
        <w:tblStyle w:val="38"/>
        <w:tblW w:w="50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9"/>
        <w:gridCol w:w="1615"/>
        <w:gridCol w:w="1254"/>
        <w:gridCol w:w="1201"/>
        <w:gridCol w:w="2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cs="Arial"/>
                <w:bCs/>
                <w:color w:val="auto"/>
                <w:sz w:val="21"/>
                <w:szCs w:val="21"/>
                <w:highlight w:val="none"/>
              </w:rPr>
            </w:pPr>
            <w:r>
              <w:rPr>
                <w:rFonts w:hint="eastAsia" w:ascii="宋体" w:hAnsi="宋体" w:cs="Arial"/>
                <w:bCs/>
                <w:color w:val="auto"/>
                <w:sz w:val="21"/>
                <w:szCs w:val="21"/>
                <w:highlight w:val="none"/>
              </w:rPr>
              <w:t>采购内容</w:t>
            </w:r>
          </w:p>
        </w:tc>
        <w:tc>
          <w:tcPr>
            <w:tcW w:w="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default" w:ascii="宋体" w:hAnsi="宋体" w:cs="Arial"/>
                <w:bCs/>
                <w:color w:val="auto"/>
                <w:sz w:val="21"/>
                <w:szCs w:val="21"/>
                <w:highlight w:val="none"/>
              </w:rPr>
            </w:pPr>
            <w:r>
              <w:rPr>
                <w:rFonts w:hint="eastAsia" w:ascii="宋体" w:hAnsi="宋体" w:cs="Arial"/>
                <w:bCs/>
                <w:color w:val="auto"/>
                <w:sz w:val="21"/>
                <w:szCs w:val="21"/>
                <w:highlight w:val="none"/>
              </w:rPr>
              <w:t>单位</w:t>
            </w:r>
          </w:p>
        </w:tc>
        <w:tc>
          <w:tcPr>
            <w:tcW w:w="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cs="Arial"/>
                <w:bCs/>
                <w:color w:val="auto"/>
                <w:sz w:val="21"/>
                <w:szCs w:val="21"/>
                <w:highlight w:val="none"/>
              </w:rPr>
            </w:pPr>
            <w:r>
              <w:rPr>
                <w:rFonts w:hint="eastAsia" w:ascii="宋体" w:hAnsi="宋体" w:cs="Arial"/>
                <w:bCs/>
                <w:color w:val="auto"/>
                <w:sz w:val="21"/>
                <w:szCs w:val="21"/>
                <w:highlight w:val="none"/>
              </w:rPr>
              <w:t>数量</w:t>
            </w:r>
          </w:p>
        </w:tc>
        <w:tc>
          <w:tcPr>
            <w:tcW w:w="16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cs="Arial"/>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免维护干电池组</w:t>
            </w:r>
          </w:p>
        </w:tc>
        <w:tc>
          <w:tcPr>
            <w:tcW w:w="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≥60V45AH</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个</w:t>
            </w:r>
          </w:p>
        </w:tc>
        <w:tc>
          <w:tcPr>
            <w:tcW w:w="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default"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200</w:t>
            </w:r>
          </w:p>
        </w:tc>
        <w:tc>
          <w:tcPr>
            <w:tcW w:w="16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≥6-EVF-45；满足四桶车使用，225*120*170（±10cm）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水电池组</w:t>
            </w:r>
          </w:p>
        </w:tc>
        <w:tc>
          <w:tcPr>
            <w:tcW w:w="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≥72V80斤</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个</w:t>
            </w:r>
          </w:p>
        </w:tc>
        <w:tc>
          <w:tcPr>
            <w:tcW w:w="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60</w:t>
            </w:r>
          </w:p>
        </w:tc>
        <w:tc>
          <w:tcPr>
            <w:tcW w:w="16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≥6-EV-80；满足侧翻车使用，355*160*305（±10cm）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10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免维护干电池组</w:t>
            </w:r>
          </w:p>
        </w:tc>
        <w:tc>
          <w:tcPr>
            <w:tcW w:w="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≥48V32AH</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个</w:t>
            </w:r>
          </w:p>
        </w:tc>
        <w:tc>
          <w:tcPr>
            <w:tcW w:w="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500</w:t>
            </w:r>
          </w:p>
        </w:tc>
        <w:tc>
          <w:tcPr>
            <w:tcW w:w="16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≥6-EVF-32.2；满足扫地车使用，255*75*165（±10cm）</w:t>
            </w:r>
          </w:p>
        </w:tc>
      </w:tr>
    </w:tbl>
    <w:p>
      <w:pPr>
        <w:spacing w:line="480" w:lineRule="exact"/>
        <w:jc w:val="left"/>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备注：（1）质保期内需满足每次充满电后，车辆一次可满载行驶≥40km，若达不到要求按不合格处理，质保期内因质量问题及产品不合格等原因，由供应方采取以旧换新的方式免费提供新的电池及零配件以供更换，或扣除对应金额质量保证金。</w:t>
      </w:r>
    </w:p>
    <w:p>
      <w:pPr>
        <w:spacing w:line="480" w:lineRule="exact"/>
        <w:jc w:val="left"/>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（2）所供应的电池经使用满一年后，供应方需按回收价进行回收，具体使用开始时间以对应批次电池安装完成起开始计算。</w:t>
      </w:r>
    </w:p>
    <w:p>
      <w:pPr>
        <w:spacing w:line="480" w:lineRule="exact"/>
        <w:jc w:val="left"/>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（3）需提供对应型号原装充电器、连接线等相关配件。</w:t>
      </w:r>
    </w:p>
    <w:p>
      <w:pPr>
        <w:spacing w:line="480" w:lineRule="exact"/>
        <w:jc w:val="left"/>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（4）提供的电池，需符合相关尺寸要求或需匹配对应型号车辆等相关要求。</w:t>
      </w:r>
    </w:p>
    <w:p>
      <w:pPr>
        <w:pStyle w:val="20"/>
        <w:numPr>
          <w:ilvl w:val="0"/>
          <w:numId w:val="0"/>
        </w:numPr>
        <w:snapToGrid w:val="0"/>
        <w:spacing w:before="120" w:beforeLines="0" w:after="120" w:afterLines="0" w:line="240" w:lineRule="auto"/>
        <w:ind w:leftChars="0"/>
        <w:outlineLvl w:val="0"/>
        <w:rPr>
          <w:rFonts w:hint="eastAsia" w:ascii="宋体" w:hAnsi="宋体" w:eastAsia="宋体" w:cs="Arial"/>
          <w:b w:val="0"/>
          <w:bCs/>
          <w:color w:val="auto"/>
          <w:kern w:val="2"/>
          <w:sz w:val="21"/>
          <w:szCs w:val="21"/>
          <w:highlight w:val="none"/>
          <w:lang w:val="en-US" w:eastAsia="zh-CN" w:bidi="ar-SA"/>
        </w:rPr>
      </w:pPr>
      <w:r>
        <w:rPr>
          <w:rFonts w:hint="eastAsia" w:ascii="宋体" w:hAnsi="宋体" w:eastAsia="宋体" w:cs="Arial"/>
          <w:b w:val="0"/>
          <w:bCs/>
          <w:color w:val="auto"/>
          <w:kern w:val="2"/>
          <w:sz w:val="21"/>
          <w:szCs w:val="21"/>
          <w:highlight w:val="none"/>
          <w:lang w:val="en-US" w:eastAsia="zh-CN" w:bidi="ar-SA"/>
        </w:rPr>
        <w:t>（5）包安装、原车辆上电池拆卸。</w:t>
      </w:r>
    </w:p>
    <w:p>
      <w:pPr>
        <w:pStyle w:val="20"/>
        <w:numPr>
          <w:ilvl w:val="0"/>
          <w:numId w:val="0"/>
        </w:numPr>
        <w:snapToGrid w:val="0"/>
        <w:spacing w:before="120" w:beforeLines="0" w:after="120" w:afterLines="0" w:line="240" w:lineRule="auto"/>
        <w:ind w:leftChars="0"/>
        <w:outlineLvl w:val="0"/>
        <w:rPr>
          <w:rFonts w:hint="eastAsia" w:ascii="宋体" w:hAnsi="宋体" w:eastAsia="宋体" w:cs="Arial"/>
          <w:b w:val="0"/>
          <w:bCs/>
          <w:color w:val="auto"/>
          <w:kern w:val="2"/>
          <w:sz w:val="21"/>
          <w:szCs w:val="21"/>
          <w:highlight w:val="none"/>
          <w:lang w:val="en-US" w:eastAsia="zh-CN" w:bidi="ar-SA"/>
        </w:rPr>
      </w:pPr>
      <w:r>
        <w:rPr>
          <w:rFonts w:hint="eastAsia" w:ascii="宋体" w:hAnsi="宋体" w:eastAsia="宋体" w:cs="Arial"/>
          <w:b w:val="0"/>
          <w:bCs/>
          <w:color w:val="auto"/>
          <w:kern w:val="2"/>
          <w:sz w:val="21"/>
          <w:szCs w:val="21"/>
          <w:highlight w:val="none"/>
          <w:lang w:val="en-US" w:eastAsia="zh-CN" w:bidi="ar-SA"/>
        </w:rPr>
        <w:t>（6）车辆照片型号：</w:t>
      </w:r>
    </w:p>
    <w:p>
      <w:pPr>
        <w:pStyle w:val="20"/>
        <w:numPr>
          <w:ilvl w:val="0"/>
          <w:numId w:val="6"/>
        </w:numPr>
        <w:snapToGrid w:val="0"/>
        <w:spacing w:before="120" w:beforeLines="0" w:after="120" w:afterLines="0" w:line="240" w:lineRule="auto"/>
        <w:ind w:leftChars="0"/>
        <w:outlineLvl w:val="0"/>
        <w:rPr>
          <w:rFonts w:hint="eastAsia" w:hAnsi="宋体" w:eastAsia="宋体" w:cs="Times New Roman"/>
          <w:color w:val="0C0C0C"/>
          <w:szCs w:val="21"/>
          <w:highlight w:val="none"/>
          <w:lang w:val="en-US" w:eastAsia="zh-CN"/>
        </w:rPr>
      </w:pPr>
      <w:r>
        <w:rPr>
          <w:rFonts w:hint="eastAsia" w:hAnsi="宋体" w:eastAsia="宋体" w:cs="Times New Roman"/>
          <w:color w:val="0C0C0C"/>
          <w:szCs w:val="21"/>
          <w:highlight w:val="none"/>
          <w:lang w:val="en-US" w:eastAsia="zh-CN"/>
        </w:rPr>
        <w:t>三轮侧翻车:（绿保安 LB3LT240-4）</w:t>
      </w:r>
    </w:p>
    <w:p>
      <w:pPr>
        <w:pStyle w:val="20"/>
        <w:snapToGrid w:val="0"/>
        <w:spacing w:before="120" w:beforeLines="0" w:after="120" w:afterLines="0" w:line="240" w:lineRule="auto"/>
        <w:outlineLvl w:val="0"/>
      </w:pPr>
      <w:r>
        <w:drawing>
          <wp:inline distT="0" distB="0" distL="114300" distR="114300">
            <wp:extent cx="2855595" cy="2141855"/>
            <wp:effectExtent l="0" t="0" r="1905" b="10795"/>
            <wp:docPr id="1" name="图片 1" descr="侧翻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侧翻车"/>
                    <pic:cNvPicPr>
                      <a:picLocks noChangeAspect="1"/>
                    </pic:cNvPicPr>
                  </pic:nvPicPr>
                  <pic:blipFill>
                    <a:blip r:embed="rId10"/>
                    <a:stretch>
                      <a:fillRect/>
                    </a:stretch>
                  </pic:blipFill>
                  <pic:spPr>
                    <a:xfrm>
                      <a:off x="0" y="0"/>
                      <a:ext cx="2855595" cy="2141855"/>
                    </a:xfrm>
                    <a:prstGeom prst="rect">
                      <a:avLst/>
                    </a:prstGeom>
                    <a:noFill/>
                    <a:ln>
                      <a:noFill/>
                    </a:ln>
                  </pic:spPr>
                </pic:pic>
              </a:graphicData>
            </a:graphic>
          </wp:inline>
        </w:drawing>
      </w:r>
    </w:p>
    <w:p>
      <w:pPr>
        <w:pStyle w:val="20"/>
        <w:snapToGrid w:val="0"/>
        <w:spacing w:before="120" w:beforeLines="0" w:after="120" w:afterLines="0" w:line="240" w:lineRule="auto"/>
        <w:outlineLvl w:val="0"/>
      </w:pPr>
    </w:p>
    <w:p>
      <w:pPr>
        <w:pStyle w:val="20"/>
        <w:numPr>
          <w:ilvl w:val="0"/>
          <w:numId w:val="7"/>
        </w:numPr>
        <w:snapToGrid w:val="0"/>
        <w:spacing w:before="120" w:beforeLines="0" w:after="120" w:afterLines="0" w:line="240" w:lineRule="auto"/>
        <w:ind w:leftChars="0"/>
        <w:outlineLvl w:val="0"/>
        <w:rPr>
          <w:rFonts w:hint="eastAsia" w:hAnsi="宋体" w:eastAsia="宋体" w:cs="Times New Roman"/>
          <w:color w:val="0C0C0C"/>
          <w:szCs w:val="21"/>
          <w:highlight w:val="none"/>
          <w:lang w:val="en-US" w:eastAsia="zh-CN"/>
        </w:rPr>
      </w:pPr>
      <w:r>
        <w:rPr>
          <w:rFonts w:hint="eastAsia" w:hAnsi="宋体" w:eastAsia="宋体" w:cs="Times New Roman"/>
          <w:color w:val="0C0C0C"/>
          <w:szCs w:val="21"/>
          <w:highlight w:val="none"/>
          <w:lang w:val="en-US" w:eastAsia="zh-CN"/>
        </w:rPr>
        <w:t>三轮扫地车:电瓶箱尺寸35*30cm±2</w:t>
      </w:r>
    </w:p>
    <w:p>
      <w:pPr>
        <w:pStyle w:val="20"/>
        <w:snapToGrid w:val="0"/>
        <w:spacing w:before="120" w:beforeLines="0" w:after="120" w:afterLines="0" w:line="240" w:lineRule="auto"/>
        <w:outlineLvl w:val="0"/>
      </w:pPr>
      <w:r>
        <w:drawing>
          <wp:inline distT="0" distB="0" distL="114300" distR="114300">
            <wp:extent cx="2856865" cy="2141855"/>
            <wp:effectExtent l="0" t="0" r="635" b="10795"/>
            <wp:docPr id="2" name="图片 2" descr="扫地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地车"/>
                    <pic:cNvPicPr>
                      <a:picLocks noChangeAspect="1"/>
                    </pic:cNvPicPr>
                  </pic:nvPicPr>
                  <pic:blipFill>
                    <a:blip r:embed="rId11"/>
                    <a:stretch>
                      <a:fillRect/>
                    </a:stretch>
                  </pic:blipFill>
                  <pic:spPr>
                    <a:xfrm>
                      <a:off x="0" y="0"/>
                      <a:ext cx="2856865" cy="2141855"/>
                    </a:xfrm>
                    <a:prstGeom prst="rect">
                      <a:avLst/>
                    </a:prstGeom>
                    <a:noFill/>
                    <a:ln>
                      <a:noFill/>
                    </a:ln>
                  </pic:spPr>
                </pic:pic>
              </a:graphicData>
            </a:graphic>
          </wp:inline>
        </w:drawing>
      </w:r>
    </w:p>
    <w:p>
      <w:pPr>
        <w:pStyle w:val="20"/>
        <w:numPr>
          <w:ilvl w:val="0"/>
          <w:numId w:val="7"/>
        </w:numPr>
        <w:snapToGrid w:val="0"/>
        <w:spacing w:before="120" w:beforeLines="0" w:after="120" w:afterLines="0" w:line="240" w:lineRule="auto"/>
        <w:ind w:left="0" w:leftChars="0" w:firstLine="0" w:firstLineChars="0"/>
        <w:outlineLvl w:val="0"/>
        <w:rPr>
          <w:rFonts w:hint="eastAsia" w:hAnsi="宋体" w:eastAsia="宋体" w:cs="Times New Roman"/>
          <w:color w:val="0C0C0C"/>
          <w:szCs w:val="21"/>
          <w:highlight w:val="none"/>
          <w:lang w:val="en-US" w:eastAsia="zh-CN"/>
        </w:rPr>
      </w:pPr>
      <w:r>
        <w:rPr>
          <w:rFonts w:hint="eastAsia" w:hAnsi="宋体" w:eastAsia="宋体" w:cs="Times New Roman"/>
          <w:color w:val="0C0C0C"/>
          <w:szCs w:val="21"/>
          <w:highlight w:val="none"/>
          <w:lang w:val="en-US" w:eastAsia="zh-CN"/>
        </w:rPr>
        <w:t>三轮四桶车:电瓶箱尺寸60*27cm±2</w:t>
      </w:r>
    </w:p>
    <w:p>
      <w:pPr>
        <w:spacing w:line="480" w:lineRule="exact"/>
        <w:jc w:val="left"/>
        <w:rPr>
          <w:rFonts w:hint="eastAsia" w:ascii="宋体" w:hAnsi="宋体"/>
          <w:color w:val="auto"/>
          <w:sz w:val="30"/>
          <w:szCs w:val="30"/>
          <w:highlight w:val="none"/>
          <w:lang w:val="en-US" w:eastAsia="zh-CN"/>
        </w:rPr>
      </w:pPr>
    </w:p>
    <w:p>
      <w:pPr>
        <w:pStyle w:val="20"/>
        <w:snapToGrid w:val="0"/>
        <w:spacing w:beforeLines="0" w:afterLines="0" w:line="240" w:lineRule="auto"/>
        <w:outlineLvl w:val="0"/>
        <w:rPr>
          <w:rFonts w:hAnsi="宋体"/>
          <w:b/>
          <w:color w:val="0C0C0C"/>
          <w:highlight w:val="none"/>
        </w:rPr>
      </w:pPr>
    </w:p>
    <w:p>
      <w:pPr>
        <w:pStyle w:val="20"/>
        <w:snapToGrid w:val="0"/>
        <w:spacing w:beforeLines="0" w:afterLines="0" w:line="240" w:lineRule="auto"/>
        <w:outlineLvl w:val="0"/>
        <w:rPr>
          <w:rFonts w:hAnsi="宋体"/>
          <w:b/>
          <w:color w:val="0C0C0C"/>
          <w:highlight w:val="none"/>
        </w:rPr>
      </w:pPr>
      <w:r>
        <w:drawing>
          <wp:inline distT="0" distB="0" distL="114300" distR="114300">
            <wp:extent cx="2853055" cy="1615440"/>
            <wp:effectExtent l="0" t="0" r="4445" b="3810"/>
            <wp:docPr id="3" name="图片 6" descr="IMG_3990.HE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3990.HEIC.JPG"/>
                    <pic:cNvPicPr>
                      <a:picLocks noChangeAspect="1"/>
                    </pic:cNvPicPr>
                  </pic:nvPicPr>
                  <pic:blipFill>
                    <a:blip r:embed="rId12"/>
                    <a:stretch>
                      <a:fillRect/>
                    </a:stretch>
                  </pic:blipFill>
                  <pic:spPr>
                    <a:xfrm>
                      <a:off x="0" y="0"/>
                      <a:ext cx="2853055" cy="1615440"/>
                    </a:xfrm>
                    <a:prstGeom prst="rect">
                      <a:avLst/>
                    </a:prstGeom>
                    <a:noFill/>
                    <a:ln>
                      <a:noFill/>
                    </a:ln>
                  </pic:spPr>
                </pic:pic>
              </a:graphicData>
            </a:graphic>
          </wp:inline>
        </w:drawing>
      </w:r>
    </w:p>
    <w:p>
      <w:pPr>
        <w:pStyle w:val="20"/>
        <w:snapToGrid w:val="0"/>
        <w:spacing w:beforeLines="0" w:afterLines="0" w:line="240" w:lineRule="auto"/>
        <w:outlineLvl w:val="0"/>
        <w:rPr>
          <w:rFonts w:hAnsi="宋体"/>
          <w:b/>
          <w:color w:val="0C0C0C"/>
          <w:highlight w:val="none"/>
        </w:rPr>
      </w:pPr>
      <w:r>
        <w:rPr>
          <w:rFonts w:hAnsi="宋体"/>
          <w:b/>
          <w:color w:val="0C0C0C"/>
          <w:highlight w:val="none"/>
        </w:rPr>
        <w:t>三、商务需求表</w:t>
      </w:r>
    </w:p>
    <w:tbl>
      <w:tblPr>
        <w:tblStyle w:val="3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0C0C0C"/>
                <w:sz w:val="24"/>
                <w:highlight w:val="none"/>
              </w:rPr>
            </w:pPr>
            <w:r>
              <w:rPr>
                <w:rFonts w:hint="eastAsia" w:ascii="宋体" w:hAnsi="宋体" w:cs="Calibri"/>
                <w:color w:val="0C0C0C"/>
                <w:sz w:val="24"/>
                <w:highlight w:val="none"/>
              </w:rPr>
              <w:t>总体要求</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eastAsia" w:ascii="宋体" w:hAnsi="宋体" w:cs="Calibri"/>
                <w:color w:val="0C0C0C"/>
                <w:sz w:val="24"/>
                <w:highlight w:val="none"/>
              </w:rPr>
            </w:pPr>
            <w:r>
              <w:rPr>
                <w:rFonts w:hint="eastAsia" w:ascii="宋体" w:hAnsi="宋体" w:cs="Calibri"/>
                <w:color w:val="0C0C0C"/>
                <w:sz w:val="24"/>
                <w:szCs w:val="24"/>
                <w:highlight w:val="none"/>
              </w:rPr>
              <w:t>生产商需按本技术规格书的要求完成材料采购、运输、</w:t>
            </w:r>
            <w:r>
              <w:rPr>
                <w:rFonts w:hint="eastAsia" w:ascii="宋体" w:hAnsi="宋体" w:cs="Calibri"/>
                <w:color w:val="0C0C0C"/>
                <w:sz w:val="24"/>
                <w:szCs w:val="24"/>
                <w:highlight w:val="none"/>
                <w:lang w:eastAsia="zh-CN"/>
              </w:rPr>
              <w:t>装卸</w:t>
            </w:r>
            <w:r>
              <w:rPr>
                <w:rFonts w:hint="eastAsia" w:ascii="宋体" w:hAnsi="宋体" w:cs="Calibri"/>
                <w:color w:val="0C0C0C"/>
                <w:sz w:val="24"/>
                <w:szCs w:val="24"/>
                <w:highlight w:val="none"/>
              </w:rPr>
              <w:t>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0C0C0C"/>
                <w:sz w:val="24"/>
                <w:highlight w:val="none"/>
              </w:rPr>
            </w:pPr>
            <w:r>
              <w:rPr>
                <w:rFonts w:hint="eastAsia" w:ascii="宋体" w:hAnsi="宋体" w:cs="Calibri"/>
                <w:color w:val="0C0C0C"/>
                <w:sz w:val="24"/>
                <w:highlight w:val="none"/>
              </w:rPr>
              <w:t>投标总报价</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0C0C0C"/>
                <w:sz w:val="24"/>
                <w:highlight w:val="none"/>
              </w:rPr>
            </w:pPr>
            <w:r>
              <w:rPr>
                <w:rFonts w:hint="eastAsia" w:ascii="宋体" w:hAnsi="宋体" w:cs="Calibri"/>
                <w:color w:val="0C0C0C"/>
                <w:sz w:val="24"/>
                <w:szCs w:val="24"/>
                <w:highlight w:val="none"/>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0C0C0C"/>
                <w:sz w:val="24"/>
                <w:highlight w:val="none"/>
              </w:rPr>
            </w:pPr>
            <w:r>
              <w:rPr>
                <w:rFonts w:hint="eastAsia" w:ascii="宋体" w:hAnsi="宋体" w:cs="Calibri"/>
                <w:color w:val="0C0C0C"/>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0C0C0C"/>
                <w:sz w:val="24"/>
                <w:highlight w:val="none"/>
              </w:rPr>
            </w:pPr>
            <w:r>
              <w:rPr>
                <w:rFonts w:hint="eastAsia" w:ascii="宋体" w:hAnsi="宋体" w:cs="Calibri"/>
                <w:color w:val="0C0C0C"/>
                <w:sz w:val="24"/>
                <w:highlight w:val="none"/>
              </w:rPr>
              <w:t>招标范围为招标人提供的设计要求所包含的</w:t>
            </w:r>
            <w:r>
              <w:rPr>
                <w:rFonts w:hint="eastAsia" w:ascii="宋体" w:hAnsi="宋体" w:cs="Calibri"/>
                <w:color w:val="0C0C0C"/>
                <w:sz w:val="24"/>
                <w:highlight w:val="none"/>
                <w:u w:val="single"/>
                <w:lang w:eastAsia="zh-CN"/>
              </w:rPr>
              <w:t>台州东发建设投资有限公司2024年度电池采购（第一批）</w:t>
            </w:r>
            <w:r>
              <w:rPr>
                <w:rFonts w:hint="eastAsia" w:ascii="宋体" w:hAnsi="宋体" w:cs="Calibri"/>
                <w:bCs/>
                <w:color w:val="0C0C0C"/>
                <w:sz w:val="24"/>
                <w:highlight w:val="none"/>
              </w:rPr>
              <w:t>采购</w:t>
            </w:r>
            <w:r>
              <w:rPr>
                <w:rFonts w:hint="eastAsia" w:ascii="宋体" w:hAnsi="宋体" w:cs="Calibri"/>
                <w:color w:val="0C0C0C"/>
                <w:sz w:val="24"/>
                <w:highlight w:val="none"/>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0C0C0C"/>
                <w:sz w:val="24"/>
                <w:highlight w:val="none"/>
              </w:rPr>
            </w:pPr>
            <w:r>
              <w:rPr>
                <w:rFonts w:hint="eastAsia" w:ascii="宋体" w:hAnsi="宋体" w:cs="Calibri"/>
                <w:color w:val="0C0C0C"/>
                <w:sz w:val="24"/>
                <w:highlight w:val="none"/>
              </w:rPr>
              <w:t>交货时间及地点</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Calibri"/>
                <w:color w:val="0C0C0C"/>
                <w:sz w:val="24"/>
                <w:highlight w:val="none"/>
                <w:lang w:eastAsia="zh-CN"/>
              </w:rPr>
            </w:pPr>
            <w:r>
              <w:rPr>
                <w:rFonts w:hint="eastAsia" w:ascii="宋体" w:hAnsi="宋体" w:cs="Calibri"/>
                <w:color w:val="0C0C0C"/>
                <w:sz w:val="24"/>
                <w:highlight w:val="none"/>
              </w:rPr>
              <w:t>交货时间：</w:t>
            </w:r>
            <w:r>
              <w:rPr>
                <w:rFonts w:hint="eastAsia" w:ascii="宋体" w:hAnsi="宋体" w:cs="Calibri"/>
                <w:color w:val="0C0C0C"/>
                <w:sz w:val="24"/>
                <w:szCs w:val="21"/>
                <w:highlight w:val="none"/>
              </w:rPr>
              <w:t>自收到中标通知书后15个工作日内完成供货；如因项目需要分批次供货的，则每批次货物自接到买方通知后</w:t>
            </w:r>
            <w:r>
              <w:rPr>
                <w:rFonts w:hint="eastAsia" w:ascii="宋体" w:hAnsi="宋体" w:cs="Calibri"/>
                <w:color w:val="0C0C0C"/>
                <w:sz w:val="24"/>
                <w:szCs w:val="21"/>
                <w:highlight w:val="none"/>
                <w:lang w:val="en-US" w:eastAsia="zh-CN"/>
              </w:rPr>
              <w:t>5</w:t>
            </w:r>
            <w:r>
              <w:rPr>
                <w:rFonts w:hint="eastAsia" w:ascii="宋体" w:hAnsi="宋体" w:cs="Calibri"/>
                <w:color w:val="0C0C0C"/>
                <w:sz w:val="24"/>
                <w:szCs w:val="21"/>
                <w:highlight w:val="none"/>
              </w:rPr>
              <w:t>个工作日内完成供货。</w:t>
            </w:r>
          </w:p>
          <w:p>
            <w:pPr>
              <w:keepNext w:val="0"/>
              <w:keepLines w:val="0"/>
              <w:suppressLineNumbers w:val="0"/>
              <w:snapToGrid w:val="0"/>
              <w:spacing w:before="0" w:beforeAutospacing="0" w:after="0" w:afterAutospacing="0"/>
              <w:ind w:left="0" w:right="0"/>
              <w:rPr>
                <w:rFonts w:hint="default" w:ascii="宋体" w:hAnsi="宋体" w:cs="Calibri"/>
                <w:color w:val="0C0C0C"/>
                <w:sz w:val="24"/>
                <w:highlight w:val="none"/>
              </w:rPr>
            </w:pPr>
            <w:r>
              <w:rPr>
                <w:rFonts w:hint="eastAsia" w:ascii="宋体" w:hAnsi="宋体" w:cs="Calibri"/>
                <w:color w:val="0C0C0C"/>
                <w:sz w:val="24"/>
                <w:highlight w:val="none"/>
              </w:rPr>
              <w:t>交货地点：</w:t>
            </w:r>
            <w:r>
              <w:rPr>
                <w:rFonts w:hint="eastAsia" w:ascii="宋体" w:hAnsi="宋体" w:cs="Calibri"/>
                <w:color w:val="auto"/>
                <w:sz w:val="24"/>
                <w:highlight w:val="none"/>
                <w:lang w:eastAsia="zh-CN"/>
              </w:rPr>
              <w:t>台州湾新区采购人指定地点</w:t>
            </w:r>
            <w:r>
              <w:rPr>
                <w:rFonts w:hint="eastAsia" w:ascii="宋体" w:hAnsi="宋体" w:cs="Calibri"/>
                <w:color w:val="0C0C0C"/>
                <w:sz w:val="24"/>
                <w:highlight w:val="none"/>
              </w:rPr>
              <w:t>。</w:t>
            </w:r>
            <w:r>
              <w:rPr>
                <w:rFonts w:hint="default" w:ascii="宋体" w:hAnsi="宋体" w:cs="Calibri"/>
                <w:color w:val="0C0C0C"/>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0C0C0C"/>
                <w:sz w:val="24"/>
                <w:highlight w:val="none"/>
              </w:rPr>
            </w:pPr>
            <w:r>
              <w:rPr>
                <w:rFonts w:hint="eastAsia" w:ascii="宋体" w:hAnsi="宋体" w:eastAsia="宋体" w:cs="Times New Roman"/>
                <w:color w:val="0C0C0C"/>
                <w:sz w:val="24"/>
                <w:szCs w:val="24"/>
                <w:highlight w:val="none"/>
              </w:rPr>
              <w:t>质保期要求</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Times New Roman"/>
                <w:color w:val="0C0C0C"/>
                <w:sz w:val="24"/>
                <w:szCs w:val="21"/>
                <w:highlight w:val="none"/>
                <w:lang w:val="en-US" w:eastAsia="zh-CN"/>
              </w:rPr>
            </w:pPr>
            <w:r>
              <w:rPr>
                <w:rFonts w:hint="eastAsia" w:ascii="宋体" w:hAnsi="宋体" w:eastAsia="宋体" w:cs="Times New Roman"/>
                <w:color w:val="0C0C0C"/>
                <w:sz w:val="24"/>
                <w:szCs w:val="21"/>
                <w:highlight w:val="none"/>
                <w:lang w:val="en-US" w:eastAsia="zh-CN"/>
              </w:rPr>
              <w:t>质保期：一年；</w:t>
            </w:r>
          </w:p>
          <w:p>
            <w:pPr>
              <w:keepNext w:val="0"/>
              <w:keepLines w:val="0"/>
              <w:suppressLineNumbers w:val="0"/>
              <w:snapToGrid w:val="0"/>
              <w:spacing w:before="0" w:beforeAutospacing="0" w:after="0" w:afterAutospacing="0"/>
              <w:ind w:left="0" w:right="0"/>
              <w:rPr>
                <w:rFonts w:hint="eastAsia" w:ascii="宋体" w:hAnsi="宋体" w:cs="Calibri"/>
                <w:color w:val="0C0C0C"/>
                <w:sz w:val="24"/>
                <w:highlight w:val="none"/>
              </w:rPr>
            </w:pPr>
            <w:r>
              <w:rPr>
                <w:rFonts w:hint="eastAsia" w:ascii="宋体" w:hAnsi="宋体" w:cs="Calibri"/>
                <w:color w:val="0C0C0C"/>
                <w:sz w:val="24"/>
                <w:highlight w:val="none"/>
              </w:rPr>
              <w:t>质保期内需满足每次充满电后，车辆一次可满载行驶≥40km，若达不到要求按不合格处理，质保期内因质量问题及产品不合格等原因，由供应方采取以旧换新的方式免费提供新的电池及零配件以供更换，或扣除对应金额质量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0C0C0C"/>
                <w:sz w:val="24"/>
                <w:highlight w:val="none"/>
              </w:rPr>
            </w:pPr>
            <w:r>
              <w:rPr>
                <w:rFonts w:hint="eastAsia" w:ascii="宋体" w:hAnsi="宋体" w:cs="Calibri"/>
                <w:color w:val="0C0C0C"/>
                <w:sz w:val="24"/>
                <w:highlight w:val="none"/>
              </w:rPr>
              <w:t>付款条件</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0C0C0C"/>
                <w:sz w:val="24"/>
                <w:highlight w:val="none"/>
                <w:u w:val="single"/>
              </w:rPr>
            </w:pPr>
            <w:r>
              <w:rPr>
                <w:rFonts w:hint="eastAsia" w:ascii="宋体" w:hAnsi="宋体" w:cs="Calibri"/>
                <w:bCs/>
                <w:color w:val="0C0C0C"/>
                <w:sz w:val="24"/>
                <w:highlight w:val="none"/>
              </w:rPr>
              <w:t>详见合同条款</w:t>
            </w:r>
          </w:p>
        </w:tc>
      </w:tr>
    </w:tbl>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p>
    <w:p>
      <w:pPr>
        <w:snapToGrid w:val="0"/>
        <w:spacing w:before="120" w:beforeLines="50" w:after="120" w:afterLines="50"/>
        <w:jc w:val="both"/>
        <w:rPr>
          <w:rFonts w:ascii="宋体" w:hAnsi="宋体"/>
          <w:color w:val="auto"/>
          <w:sz w:val="30"/>
          <w:szCs w:val="30"/>
          <w:highlight w:val="none"/>
        </w:rPr>
      </w:pPr>
    </w:p>
    <w:p>
      <w:pPr>
        <w:snapToGrid w:val="0"/>
        <w:spacing w:before="120" w:beforeLines="50" w:after="120" w:afterLines="50"/>
        <w:ind w:firstLine="600" w:firstLineChars="200"/>
        <w:jc w:val="center"/>
        <w:rPr>
          <w:rFonts w:ascii="宋体" w:hAnsi="宋体"/>
          <w:color w:val="auto"/>
          <w:sz w:val="30"/>
          <w:szCs w:val="30"/>
          <w:highlight w:val="none"/>
        </w:rPr>
      </w:pPr>
      <w:r>
        <w:rPr>
          <w:rFonts w:ascii="宋体" w:hAnsi="宋体"/>
          <w:color w:val="auto"/>
          <w:sz w:val="30"/>
          <w:szCs w:val="30"/>
          <w:highlight w:val="none"/>
        </w:rPr>
        <w:t>第三章  投标人须知</w:t>
      </w:r>
      <w:bookmarkEnd w:id="5"/>
    </w:p>
    <w:bookmarkEnd w:id="6"/>
    <w:p>
      <w:pPr>
        <w:snapToGrid w:val="0"/>
        <w:spacing w:before="120" w:beforeLines="50" w:after="120" w:afterLines="50"/>
        <w:ind w:left="238"/>
        <w:jc w:val="center"/>
        <w:outlineLvl w:val="1"/>
        <w:rPr>
          <w:rFonts w:ascii="宋体" w:hAnsi="宋体"/>
          <w:b/>
          <w:color w:val="auto"/>
          <w:szCs w:val="28"/>
          <w:highlight w:val="none"/>
        </w:rPr>
      </w:pPr>
      <w:r>
        <w:rPr>
          <w:rFonts w:hint="eastAsia" w:ascii="宋体" w:hAnsi="宋体"/>
          <w:b/>
          <w:color w:val="auto"/>
          <w:szCs w:val="28"/>
          <w:highlight w:val="none"/>
        </w:rPr>
        <w:t>前 附 表</w:t>
      </w:r>
    </w:p>
    <w:tbl>
      <w:tblPr>
        <w:tblStyle w:val="38"/>
        <w:tblW w:w="9240" w:type="dxa"/>
        <w:tblInd w:w="-4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1050" w:right="0" w:hanging="1050" w:hangingChars="500"/>
              <w:rPr>
                <w:rFonts w:hint="eastAsia" w:ascii="宋体" w:hAnsi="宋体" w:eastAsia="宋体" w:cs="Calibri"/>
                <w:color w:val="auto"/>
                <w:sz w:val="21"/>
                <w:szCs w:val="21"/>
                <w:highlight w:val="none"/>
                <w:lang w:eastAsia="zh-CN"/>
              </w:rPr>
            </w:pPr>
            <w:r>
              <w:rPr>
                <w:rFonts w:hint="eastAsia" w:ascii="宋体" w:hAnsi="宋体" w:cs="Calibri"/>
                <w:color w:val="auto"/>
                <w:sz w:val="21"/>
                <w:szCs w:val="21"/>
                <w:highlight w:val="none"/>
              </w:rPr>
              <w:t>项目名称：</w:t>
            </w:r>
            <w:r>
              <w:rPr>
                <w:rFonts w:hint="eastAsia" w:ascii="宋体" w:hAnsi="宋体" w:cs="Calibri"/>
                <w:color w:val="auto"/>
                <w:sz w:val="21"/>
                <w:szCs w:val="21"/>
                <w:highlight w:val="none"/>
                <w:lang w:eastAsia="zh-CN"/>
              </w:rPr>
              <w:t>台州东发建设投资有限公司2024年度电池采购（第一批）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auto"/>
                <w:sz w:val="21"/>
                <w:szCs w:val="21"/>
                <w:highlight w:val="none"/>
              </w:rPr>
            </w:pPr>
            <w:r>
              <w:rPr>
                <w:rFonts w:hint="eastAsia" w:ascii="宋体" w:hAnsi="宋体" w:cs="Calibri"/>
                <w:color w:val="auto"/>
                <w:sz w:val="21"/>
                <w:szCs w:val="21"/>
                <w:highlight w:val="none"/>
              </w:rPr>
              <w:t>采购数量：详见第二章“主要技术规格及要求”</w:t>
            </w:r>
          </w:p>
          <w:p>
            <w:pPr>
              <w:keepNext w:val="0"/>
              <w:keepLines w:val="0"/>
              <w:suppressLineNumbers w:val="0"/>
              <w:snapToGrid w:val="0"/>
              <w:spacing w:before="0" w:beforeAutospacing="0" w:after="0" w:afterAutospacing="0"/>
              <w:ind w:left="0" w:right="0"/>
              <w:rPr>
                <w:rFonts w:hint="eastAsia" w:ascii="宋体" w:hAnsi="宋体" w:cs="Calibri"/>
                <w:color w:val="auto"/>
                <w:sz w:val="21"/>
                <w:szCs w:val="21"/>
                <w:highlight w:val="none"/>
              </w:rPr>
            </w:pPr>
            <w:r>
              <w:rPr>
                <w:rFonts w:hint="eastAsia" w:ascii="宋体" w:hAnsi="宋体" w:cs="Calibri"/>
                <w:color w:val="auto"/>
                <w:sz w:val="21"/>
                <w:szCs w:val="21"/>
                <w:highlight w:val="none"/>
              </w:rPr>
              <w:t>采购单位：台州东发建设投资有限公司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auto"/>
                <w:sz w:val="21"/>
                <w:szCs w:val="21"/>
                <w:highlight w:val="none"/>
              </w:rPr>
            </w:pPr>
            <w:r>
              <w:rPr>
                <w:rFonts w:hint="eastAsia" w:ascii="宋体" w:hAnsi="宋体" w:cs="Calibri"/>
                <w:color w:val="auto"/>
                <w:sz w:val="21"/>
                <w:szCs w:val="21"/>
                <w:highlight w:val="none"/>
              </w:rPr>
              <w:t>投标报价及费用：</w:t>
            </w:r>
            <w:r>
              <w:rPr>
                <w:rFonts w:hint="default" w:ascii="宋体" w:hAnsi="宋体" w:cs="Calibri"/>
                <w:color w:val="auto"/>
                <w:sz w:val="21"/>
                <w:szCs w:val="21"/>
                <w:highlight w:val="none"/>
              </w:rPr>
              <w:t>1</w:t>
            </w:r>
            <w:r>
              <w:rPr>
                <w:rFonts w:hint="eastAsia" w:ascii="宋体" w:hAnsi="宋体" w:cs="Calibri"/>
                <w:color w:val="auto"/>
                <w:sz w:val="21"/>
                <w:szCs w:val="21"/>
                <w:highlight w:val="none"/>
              </w:rPr>
              <w:t>、本项目投标应以人民币报价；</w:t>
            </w:r>
            <w:r>
              <w:rPr>
                <w:rFonts w:hint="default" w:ascii="宋体" w:hAnsi="宋体" w:cs="Calibri"/>
                <w:color w:val="auto"/>
                <w:sz w:val="21"/>
                <w:szCs w:val="21"/>
                <w:highlight w:val="none"/>
              </w:rPr>
              <w:t>2</w:t>
            </w:r>
            <w:r>
              <w:rPr>
                <w:rFonts w:hint="eastAsia" w:ascii="宋体" w:hAnsi="宋体" w:cs="Calibri"/>
                <w:color w:val="auto"/>
                <w:sz w:val="21"/>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auto"/>
                <w:sz w:val="21"/>
                <w:szCs w:val="21"/>
                <w:highlight w:val="none"/>
              </w:rPr>
            </w:pPr>
            <w:r>
              <w:rPr>
                <w:rFonts w:hint="eastAsia" w:ascii="宋体" w:hAnsi="宋体" w:cs="Calibri"/>
                <w:color w:val="auto"/>
                <w:sz w:val="21"/>
                <w:szCs w:val="21"/>
                <w:highlight w:val="none"/>
              </w:rPr>
              <w:t>投标保证金：</w:t>
            </w:r>
            <w:r>
              <w:rPr>
                <w:rFonts w:hint="eastAsia" w:ascii="宋体" w:hAnsi="宋体" w:cs="Calibri"/>
                <w:color w:val="auto"/>
                <w:sz w:val="21"/>
                <w:szCs w:val="21"/>
                <w:highlight w:val="none"/>
                <w:u w:val="single"/>
                <w:lang w:val="en-US" w:eastAsia="zh-CN"/>
              </w:rPr>
              <w:t>0.35万</w:t>
            </w:r>
            <w:r>
              <w:rPr>
                <w:rFonts w:hint="eastAsia" w:ascii="宋体" w:hAnsi="宋体" w:cs="Calibri"/>
                <w:color w:val="auto"/>
                <w:sz w:val="21"/>
                <w:szCs w:val="21"/>
                <w:highlight w:val="none"/>
              </w:rPr>
              <w:t>元，应按《招标采购公告》第九条规定交纳。</w:t>
            </w:r>
          </w:p>
          <w:p>
            <w:pPr>
              <w:keepNext w:val="0"/>
              <w:keepLines w:val="0"/>
              <w:suppressLineNumbers w:val="0"/>
              <w:snapToGrid w:val="0"/>
              <w:spacing w:before="0" w:beforeAutospacing="0" w:after="0" w:afterAutospacing="0"/>
              <w:ind w:left="0" w:right="0"/>
              <w:rPr>
                <w:rFonts w:hint="default" w:ascii="宋体" w:hAnsi="宋体" w:cs="Calibri"/>
                <w:color w:val="auto"/>
                <w:sz w:val="21"/>
                <w:szCs w:val="21"/>
                <w:highlight w:val="none"/>
              </w:rPr>
            </w:pPr>
            <w:r>
              <w:rPr>
                <w:rFonts w:hint="eastAsia" w:ascii="宋体" w:hAnsi="宋体" w:cs="Times New Roman"/>
                <w:color w:val="auto"/>
                <w:sz w:val="21"/>
                <w:szCs w:val="21"/>
                <w:highlight w:val="none"/>
              </w:rPr>
              <w:t>投标保证金缴纳方式：银行转帐、银行保函、保险机构保证保险保单、融资担保公司保函。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宋体" w:hAnsi="宋体" w:cs="Calibri"/>
                <w:color w:val="auto"/>
                <w:sz w:val="21"/>
                <w:szCs w:val="21"/>
                <w:highlight w:val="none"/>
              </w:rPr>
            </w:pPr>
            <w:r>
              <w:rPr>
                <w:rFonts w:hint="eastAsia" w:ascii="宋体" w:hAnsi="宋体" w:cs="Calibri"/>
                <w:color w:val="auto"/>
                <w:sz w:val="21"/>
                <w:szCs w:val="21"/>
                <w:highlight w:val="none"/>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宋体" w:hAnsi="宋体" w:cs="Calibri"/>
                <w:color w:val="auto"/>
                <w:sz w:val="21"/>
                <w:szCs w:val="21"/>
                <w:highlight w:val="none"/>
              </w:rPr>
            </w:pPr>
            <w:r>
              <w:rPr>
                <w:rFonts w:hint="eastAsia" w:ascii="宋体" w:hAnsi="宋体" w:cs="Calibri"/>
                <w:color w:val="auto"/>
                <w:sz w:val="21"/>
                <w:szCs w:val="21"/>
                <w:highlight w:val="none"/>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rPr>
                <w:rFonts w:hint="default" w:ascii="宋体" w:hAnsi="宋体" w:cs="Calibri"/>
                <w:color w:val="auto"/>
                <w:sz w:val="21"/>
                <w:szCs w:val="21"/>
                <w:highlight w:val="none"/>
              </w:rPr>
            </w:pPr>
            <w:r>
              <w:rPr>
                <w:rFonts w:hint="eastAsia" w:ascii="宋体" w:hAnsi="宋体" w:cs="Calibri"/>
                <w:color w:val="auto"/>
                <w:sz w:val="21"/>
                <w:szCs w:val="21"/>
                <w:highlight w:val="none"/>
              </w:rPr>
              <w:t>答疑与澄清：投标人如认为招标文件表述不清晰、存在歧视性、排他性或者其他违法内容的，必须在投标截止时间10日前以书面形式要求招标采购单位作出解释、澄清或者向招标采购单位提出书面质疑；招标采购单位的回复将以公告形式送达所有潜在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suppressLineNumbers w:val="0"/>
              <w:spacing w:before="0" w:beforeAutospacing="0" w:afterAutospacing="0"/>
              <w:ind w:left="0" w:right="0"/>
              <w:rPr>
                <w:rFonts w:hint="eastAsia" w:ascii="宋体" w:hAnsi="宋体" w:cs="Calibri"/>
                <w:color w:val="auto"/>
                <w:szCs w:val="21"/>
                <w:highlight w:val="none"/>
              </w:rPr>
            </w:pPr>
            <w:r>
              <w:rPr>
                <w:rFonts w:hint="eastAsia" w:ascii="宋体" w:hAnsi="宋体" w:cs="Calibri"/>
                <w:color w:val="auto"/>
                <w:szCs w:val="21"/>
                <w:highlight w:val="none"/>
              </w:rPr>
              <w:t>投标文件组成：</w:t>
            </w:r>
          </w:p>
          <w:p>
            <w:pPr>
              <w:pStyle w:val="11"/>
              <w:keepNext w:val="0"/>
              <w:keepLines w:val="0"/>
              <w:suppressLineNumbers w:val="0"/>
              <w:spacing w:before="0" w:beforeAutospacing="0" w:afterAutospacing="0"/>
              <w:ind w:left="0" w:right="0"/>
              <w:rPr>
                <w:rFonts w:hint="default" w:ascii="宋体" w:hAnsi="宋体" w:cs="Calibri"/>
                <w:color w:val="auto"/>
                <w:szCs w:val="21"/>
                <w:highlight w:val="none"/>
              </w:rPr>
            </w:pPr>
            <w:r>
              <w:rPr>
                <w:rFonts w:hint="eastAsia" w:ascii="宋体" w:hAnsi="宋体" w:cs="Calibri"/>
                <w:color w:val="auto"/>
                <w:szCs w:val="21"/>
                <w:highlight w:val="none"/>
              </w:rPr>
              <w:t>1、商务标。</w:t>
            </w:r>
            <w:r>
              <w:rPr>
                <w:rFonts w:hint="eastAsia" w:ascii="宋体" w:hAnsi="宋体" w:cs="Times New Roman"/>
                <w:b/>
                <w:bCs/>
                <w:color w:val="auto"/>
                <w:szCs w:val="21"/>
                <w:highlight w:val="none"/>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 w:val="21"/>
                <w:szCs w:val="21"/>
                <w:highlight w:val="none"/>
              </w:rPr>
            </w:pPr>
            <w:r>
              <w:rPr>
                <w:rFonts w:hint="eastAsia" w:ascii="宋体" w:hAnsi="宋体" w:cs="Calibri"/>
                <w:color w:val="auto"/>
                <w:sz w:val="21"/>
                <w:szCs w:val="21"/>
                <w:highlight w:val="none"/>
              </w:rPr>
              <w:t>投标截止时间及地点：</w:t>
            </w:r>
            <w:r>
              <w:rPr>
                <w:rFonts w:hint="eastAsia" w:ascii="宋体" w:hAnsi="宋体" w:cs="Arial"/>
                <w:color w:val="auto"/>
                <w:sz w:val="21"/>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宋体" w:hAnsi="宋体" w:cs="Calibri"/>
                <w:color w:val="auto"/>
                <w:sz w:val="21"/>
                <w:szCs w:val="21"/>
                <w:highlight w:val="none"/>
              </w:rPr>
            </w:pPr>
            <w:r>
              <w:rPr>
                <w:rFonts w:hint="eastAsia" w:ascii="宋体" w:hAnsi="宋体" w:cs="Calibri"/>
                <w:color w:val="auto"/>
                <w:sz w:val="21"/>
                <w:szCs w:val="21"/>
                <w:highlight w:val="none"/>
              </w:rPr>
              <w:t>开标时间及地点：</w:t>
            </w:r>
            <w:r>
              <w:rPr>
                <w:rFonts w:hint="eastAsia" w:ascii="宋体" w:hAnsi="宋体" w:cs="Arial"/>
                <w:color w:val="auto"/>
                <w:sz w:val="21"/>
                <w:szCs w:val="21"/>
                <w:highlight w:val="none"/>
                <w:u w:val="single"/>
              </w:rPr>
              <w:t>见招标公告；</w:t>
            </w:r>
            <w:r>
              <w:rPr>
                <w:rFonts w:hint="default" w:ascii="宋体" w:hAnsi="宋体" w:cs="Calibri"/>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Calibri"/>
                <w:color w:val="auto"/>
                <w:sz w:val="21"/>
                <w:szCs w:val="21"/>
                <w:highlight w:val="none"/>
              </w:rPr>
            </w:pPr>
            <w:r>
              <w:rPr>
                <w:rFonts w:hint="eastAsia" w:ascii="宋体" w:hAnsi="宋体" w:cs="Calibri"/>
                <w:color w:val="auto"/>
                <w:sz w:val="21"/>
                <w:szCs w:val="21"/>
                <w:highlight w:val="none"/>
              </w:rPr>
              <w:t>结果公示：台州湾新区小额工程电子交易平台（网址：http://www.tzwztb.com/）和浙江省政府采购网(https://zfcg.czt.zj.gov.cn/)。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投标保证金退还（不计息）：除招标文件规定不予退还保证金的情形外，未中标人的投标保证金在中标通知书发出后5个工作日内退还，中标人的投标保证金在合同签订后5个工作日内退还。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签订合同时间：</w:t>
            </w:r>
            <w:r>
              <w:rPr>
                <w:rFonts w:hint="eastAsia" w:ascii="宋体" w:hAnsi="宋体" w:cs="Calibri"/>
                <w:color w:val="0D0D0D"/>
                <w:sz w:val="21"/>
                <w:szCs w:val="21"/>
                <w:highlight w:val="none"/>
              </w:rPr>
              <w:t>在《中标通知书》发出之日起</w:t>
            </w:r>
            <w:r>
              <w:rPr>
                <w:rFonts w:hint="eastAsia" w:ascii="宋体" w:hAnsi="宋体" w:cs="Calibri"/>
                <w:color w:val="0D0D0D"/>
                <w:sz w:val="21"/>
                <w:szCs w:val="21"/>
                <w:highlight w:val="none"/>
                <w:lang w:val="en-US" w:eastAsia="zh-CN"/>
              </w:rPr>
              <w:t>15</w:t>
            </w:r>
            <w:r>
              <w:rPr>
                <w:rFonts w:hint="eastAsia" w:ascii="宋体" w:hAnsi="宋体" w:cs="Calibri"/>
                <w:color w:val="0D0D0D"/>
                <w:sz w:val="21"/>
                <w:szCs w:val="21"/>
                <w:highlight w:val="none"/>
              </w:rPr>
              <w:t>日内签订合同。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履约保证金的收取及退还:</w:t>
            </w:r>
            <w:r>
              <w:rPr>
                <w:rFonts w:hint="eastAsia" w:ascii="宋体" w:hAnsi="宋体" w:cs="Calibri"/>
                <w:b/>
                <w:bCs/>
                <w:color w:val="auto"/>
                <w:sz w:val="21"/>
                <w:szCs w:val="21"/>
                <w:highlight w:val="none"/>
              </w:rPr>
              <w:t>中标价的5%，在合同履行完毕（</w:t>
            </w:r>
            <w:r>
              <w:rPr>
                <w:rFonts w:hint="eastAsia" w:ascii="宋体" w:hAnsi="宋体" w:cs="Calibri"/>
                <w:b/>
                <w:bCs/>
                <w:color w:val="auto"/>
                <w:sz w:val="21"/>
                <w:szCs w:val="21"/>
                <w:highlight w:val="none"/>
                <w:lang w:eastAsia="zh-CN"/>
              </w:rPr>
              <w:t>供货完成且</w:t>
            </w:r>
            <w:r>
              <w:rPr>
                <w:rFonts w:hint="eastAsia" w:ascii="宋体" w:hAnsi="宋体" w:cs="Calibri"/>
                <w:b/>
                <w:bCs/>
                <w:color w:val="auto"/>
                <w:sz w:val="21"/>
                <w:szCs w:val="21"/>
                <w:highlight w:val="none"/>
                <w:lang w:val="en-US" w:eastAsia="zh-CN"/>
              </w:rPr>
              <w:t>付清全部货款</w:t>
            </w:r>
            <w:r>
              <w:rPr>
                <w:rFonts w:hint="eastAsia" w:ascii="宋体" w:hAnsi="宋体" w:cs="Calibri"/>
                <w:b/>
                <w:bCs/>
                <w:color w:val="auto"/>
                <w:sz w:val="21"/>
                <w:szCs w:val="21"/>
                <w:highlight w:val="none"/>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 w:val="21"/>
                <w:szCs w:val="21"/>
                <w:highlight w:val="none"/>
              </w:rPr>
            </w:pPr>
            <w:r>
              <w:rPr>
                <w:rFonts w:hint="eastAsia" w:ascii="宋体" w:hAnsi="宋体" w:cs="Calibri"/>
                <w:color w:val="auto"/>
                <w:sz w:val="21"/>
                <w:szCs w:val="21"/>
                <w:highlight w:val="none"/>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s="Calibri"/>
                <w:color w:val="auto"/>
                <w:sz w:val="21"/>
                <w:szCs w:val="21"/>
                <w:highlight w:val="none"/>
              </w:rPr>
            </w:pPr>
            <w:r>
              <w:rPr>
                <w:rFonts w:hint="eastAsia" w:ascii="宋体" w:hAnsi="宋体" w:cs="Calibri"/>
                <w:color w:val="auto"/>
                <w:sz w:val="21"/>
                <w:szCs w:val="21"/>
                <w:highlight w:val="none"/>
              </w:rPr>
              <w:t>投标文件递交要求：1、投标人无需到开标现场，电子投标文件上传至台州湾新区小额工程电子交易平台。如遇有问题的请联系蔡先生，13454667697；王女士，13757680207。</w:t>
            </w:r>
          </w:p>
          <w:p>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s="Calibri"/>
                <w:color w:val="auto"/>
                <w:sz w:val="21"/>
                <w:szCs w:val="21"/>
                <w:highlight w:val="none"/>
              </w:rPr>
            </w:pPr>
            <w:r>
              <w:rPr>
                <w:rFonts w:hint="eastAsia" w:ascii="宋体" w:hAnsi="宋体" w:cs="Calibri"/>
                <w:color w:val="auto"/>
                <w:sz w:val="21"/>
                <w:szCs w:val="21"/>
                <w:highlight w:val="none"/>
              </w:rPr>
              <w:t>2、电子投标文件上传步骤：</w:t>
            </w:r>
          </w:p>
          <w:p>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s="Calibri"/>
                <w:color w:val="auto"/>
                <w:sz w:val="21"/>
                <w:szCs w:val="21"/>
                <w:highlight w:val="none"/>
              </w:rPr>
            </w:pPr>
            <w:r>
              <w:rPr>
                <w:rFonts w:hint="eastAsia" w:ascii="宋体" w:hAnsi="宋体" w:cs="Calibri"/>
                <w:color w:val="auto"/>
                <w:sz w:val="21"/>
                <w:szCs w:val="21"/>
                <w:highlight w:val="none"/>
              </w:rPr>
              <w:t>1) 台州湾新区小额工程电子交易平台（网址：http://www.tzwztb.com/）；</w:t>
            </w:r>
          </w:p>
          <w:p>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s="Calibri"/>
                <w:color w:val="auto"/>
                <w:sz w:val="21"/>
                <w:szCs w:val="21"/>
                <w:highlight w:val="none"/>
              </w:rPr>
            </w:pPr>
            <w:r>
              <w:rPr>
                <w:rFonts w:hint="eastAsia" w:ascii="宋体" w:hAnsi="宋体" w:cs="Calibri"/>
                <w:color w:val="auto"/>
                <w:sz w:val="21"/>
                <w:szCs w:val="21"/>
                <w:highlight w:val="none"/>
              </w:rPr>
              <w:t>2) 投标人应提前办好ca锁（办理网址：http://www.tseal.cn/tcloud/common.xhtml?projId=295），绑定平台账户。</w:t>
            </w:r>
          </w:p>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Calibri"/>
                <w:color w:val="auto"/>
                <w:sz w:val="21"/>
                <w:szCs w:val="21"/>
                <w:highlight w:val="none"/>
              </w:rPr>
            </w:pPr>
            <w:r>
              <w:rPr>
                <w:rFonts w:hint="eastAsia" w:ascii="宋体" w:hAnsi="宋体" w:cs="Calibri"/>
                <w:color w:val="auto"/>
                <w:sz w:val="21"/>
                <w:szCs w:val="21"/>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 w:val="21"/>
                <w:szCs w:val="21"/>
                <w:highlight w:val="none"/>
              </w:rPr>
            </w:pPr>
            <w:r>
              <w:rPr>
                <w:rFonts w:hint="eastAsia" w:ascii="宋体" w:hAnsi="宋体" w:cs="Calibri"/>
                <w:color w:val="auto"/>
                <w:sz w:val="21"/>
                <w:szCs w:val="21"/>
                <w:highlight w:val="none"/>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Calibri"/>
                <w:color w:val="auto"/>
                <w:sz w:val="21"/>
                <w:szCs w:val="21"/>
                <w:highlight w:val="none"/>
              </w:rPr>
            </w:pPr>
            <w:r>
              <w:rPr>
                <w:rFonts w:hint="eastAsia" w:ascii="宋体" w:hAnsi="宋体" w:cs="Calibri"/>
                <w:b/>
                <w:bCs/>
                <w:color w:val="auto"/>
                <w:sz w:val="21"/>
                <w:szCs w:val="21"/>
                <w:highlight w:val="none"/>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本项目开资格标，资格标评审结束后再开技术标，最后开商务标。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Calibri"/>
                <w:color w:val="auto"/>
                <w:sz w:val="21"/>
                <w:szCs w:val="21"/>
                <w:highlight w:val="none"/>
                <w:lang w:eastAsia="zh-CN"/>
              </w:rPr>
            </w:pPr>
            <w:r>
              <w:rPr>
                <w:rFonts w:hint="eastAsia" w:ascii="宋体" w:hAnsi="宋体" w:cs="Calibri"/>
                <w:color w:val="auto"/>
                <w:sz w:val="21"/>
                <w:szCs w:val="21"/>
                <w:highlight w:val="none"/>
              </w:rPr>
              <w:t>2</w:t>
            </w:r>
            <w:r>
              <w:rPr>
                <w:rFonts w:hint="eastAsia" w:ascii="宋体" w:hAnsi="宋体" w:cs="Calibri"/>
                <w:color w:val="auto"/>
                <w:sz w:val="21"/>
                <w:szCs w:val="21"/>
                <w:highlight w:val="none"/>
                <w:lang w:val="en-US" w:eastAsia="zh-CN"/>
              </w:rPr>
              <w:t>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s="Calibri"/>
                <w:color w:val="auto"/>
                <w:sz w:val="21"/>
                <w:szCs w:val="21"/>
                <w:highlight w:val="none"/>
              </w:rPr>
            </w:pPr>
            <w:r>
              <w:rPr>
                <w:rFonts w:hint="eastAsia" w:ascii="宋体" w:hAnsi="宋体" w:cs="Calibri"/>
                <w:color w:val="auto"/>
                <w:sz w:val="21"/>
                <w:szCs w:val="21"/>
                <w:highlight w:val="none"/>
              </w:rPr>
              <w:t>解释：本招标文件的解释权属于招标采购单位。</w:t>
            </w:r>
          </w:p>
        </w:tc>
      </w:tr>
    </w:tbl>
    <w:p>
      <w:pPr>
        <w:pStyle w:val="20"/>
        <w:snapToGrid w:val="0"/>
        <w:spacing w:beforeLines="0" w:afterLines="0" w:line="240" w:lineRule="auto"/>
        <w:rPr>
          <w:rFonts w:hAnsi="宋体"/>
          <w:color w:val="auto"/>
          <w:sz w:val="30"/>
          <w:szCs w:val="30"/>
          <w:highlight w:val="none"/>
        </w:rPr>
      </w:pPr>
      <w:r>
        <w:rPr>
          <w:rFonts w:hAnsi="宋体"/>
          <w:b w:val="0"/>
          <w:color w:val="auto"/>
          <w:sz w:val="30"/>
          <w:szCs w:val="30"/>
          <w:highlight w:val="none"/>
        </w:rPr>
        <w:br w:type="page"/>
      </w:r>
      <w:r>
        <w:rPr>
          <w:rFonts w:hAnsi="宋体"/>
          <w:color w:val="auto"/>
          <w:sz w:val="30"/>
          <w:szCs w:val="30"/>
          <w:highlight w:val="none"/>
        </w:rPr>
        <w:t>一、总  则</w:t>
      </w:r>
    </w:p>
    <w:p>
      <w:pPr>
        <w:snapToGrid w:val="0"/>
        <w:spacing w:line="360" w:lineRule="exact"/>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360" w:lineRule="exact"/>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pPr>
        <w:snapToGrid w:val="0"/>
        <w:spacing w:before="120" w:beforeLines="50" w:line="360" w:lineRule="exact"/>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招标采购单位系指组织本次招标的代理机构（“采购人”）和采购单位。</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“产品”系指供方按招标文件规定，须向采购人提供的一切设备、保险、税金、备品备件、工具、手册及其它有关技术资料和材料。</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“服务”系指招标文件规定投标人须承担的调试、技术协助、校准、培训、技术指导以及其他类似的义务。</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pPr>
        <w:snapToGrid w:val="0"/>
        <w:spacing w:line="360" w:lineRule="exact"/>
        <w:ind w:firstLine="480" w:firstLineChars="200"/>
        <w:jc w:val="left"/>
        <w:rPr>
          <w:rFonts w:hint="eastAsia"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pPr>
        <w:snapToGrid w:val="0"/>
        <w:spacing w:before="120" w:beforeLines="50" w:line="360" w:lineRule="exact"/>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pPr>
        <w:snapToGrid w:val="0"/>
        <w:spacing w:before="120" w:beforeLines="50" w:line="360" w:lineRule="exact"/>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pPr>
        <w:pStyle w:val="14"/>
        <w:snapToGrid w:val="0"/>
        <w:spacing w:line="360" w:lineRule="exact"/>
        <w:ind w:firstLine="480" w:firstLineChars="200"/>
        <w:jc w:val="left"/>
        <w:rPr>
          <w:rFonts w:hAnsi="宋体"/>
          <w:color w:val="auto"/>
          <w:sz w:val="24"/>
          <w:highlight w:val="none"/>
        </w:rPr>
      </w:pPr>
      <w:r>
        <w:rPr>
          <w:rFonts w:hAnsi="宋体"/>
          <w:color w:val="auto"/>
          <w:sz w:val="24"/>
          <w:highlight w:val="none"/>
        </w:rPr>
        <w:t>投标人代表须携带有效身份证件。如投标人代表不是法定代表人，须有法定代表人出具的授权委托书。</w:t>
      </w:r>
    </w:p>
    <w:p>
      <w:pPr>
        <w:snapToGrid w:val="0"/>
        <w:spacing w:before="120" w:beforeLines="50" w:line="360" w:lineRule="exact"/>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pPr>
        <w:snapToGrid w:val="0"/>
        <w:spacing w:line="360" w:lineRule="exact"/>
        <w:ind w:firstLine="480" w:firstLineChars="200"/>
        <w:jc w:val="left"/>
        <w:rPr>
          <w:rFonts w:ascii="宋体" w:hAnsi="宋体"/>
          <w:color w:val="auto"/>
          <w:sz w:val="24"/>
          <w:szCs w:val="20"/>
          <w:highlight w:val="none"/>
        </w:rPr>
      </w:pPr>
      <w:r>
        <w:rPr>
          <w:rFonts w:hint="eastAsia" w:ascii="宋体" w:hAnsi="宋体"/>
          <w:color w:val="auto"/>
          <w:sz w:val="24"/>
          <w:highlight w:val="none"/>
        </w:rPr>
        <w:t>不论投标结果如何，投标人均应自行承担所有与投标有关的全部费用（招标文件有相关规定除外）。</w:t>
      </w:r>
    </w:p>
    <w:p>
      <w:pPr>
        <w:snapToGrid w:val="0"/>
        <w:spacing w:before="120" w:beforeLines="50" w:line="360" w:lineRule="exact"/>
        <w:ind w:firstLine="472" w:firstLineChars="196"/>
        <w:jc w:val="left"/>
        <w:rPr>
          <w:rFonts w:ascii="宋体" w:hAnsi="宋体"/>
          <w:b/>
          <w:color w:val="auto"/>
          <w:sz w:val="24"/>
          <w:szCs w:val="20"/>
          <w:highlight w:val="none"/>
        </w:rPr>
      </w:pPr>
      <w:r>
        <w:rPr>
          <w:rFonts w:hint="eastAsia" w:ascii="宋体" w:hAnsi="宋体"/>
          <w:b/>
          <w:color w:val="auto"/>
          <w:sz w:val="24"/>
          <w:highlight w:val="none"/>
        </w:rPr>
        <w:t>（六）联合体投标</w:t>
      </w:r>
    </w:p>
    <w:p>
      <w:pPr>
        <w:snapToGrid w:val="0"/>
        <w:spacing w:line="360" w:lineRule="exact"/>
        <w:ind w:firstLine="480" w:firstLineChars="200"/>
        <w:jc w:val="left"/>
        <w:rPr>
          <w:rFonts w:hint="eastAsia" w:ascii="宋体" w:hAnsi="宋体"/>
          <w:color w:val="auto"/>
          <w:sz w:val="24"/>
          <w:highlight w:val="none"/>
        </w:rPr>
      </w:pPr>
      <w:r>
        <w:rPr>
          <w:rFonts w:hint="eastAsia" w:ascii="宋体" w:hAnsi="宋体" w:cs="Arial"/>
          <w:color w:val="auto"/>
          <w:sz w:val="24"/>
          <w:highlight w:val="none"/>
        </w:rPr>
        <w:t>本项目不接受联合体投标</w:t>
      </w:r>
      <w:r>
        <w:rPr>
          <w:rFonts w:hint="eastAsia" w:ascii="宋体" w:hAnsi="宋体"/>
          <w:color w:val="auto"/>
          <w:sz w:val="24"/>
          <w:highlight w:val="none"/>
        </w:rPr>
        <w:t>。</w:t>
      </w:r>
    </w:p>
    <w:p>
      <w:pPr>
        <w:snapToGrid w:val="0"/>
        <w:spacing w:before="120" w:beforeLines="50" w:line="360" w:lineRule="exact"/>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pPr>
        <w:snapToGrid w:val="0"/>
        <w:spacing w:line="360" w:lineRule="exact"/>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未经采购人同意，</w:t>
      </w:r>
      <w:r>
        <w:rPr>
          <w:rFonts w:ascii="宋体" w:hAnsi="宋体" w:cs="宋体"/>
          <w:color w:val="auto"/>
          <w:kern w:val="0"/>
          <w:sz w:val="24"/>
          <w:highlight w:val="none"/>
        </w:rPr>
        <w:t>本项目不允许转包。</w:t>
      </w:r>
    </w:p>
    <w:p>
      <w:pPr>
        <w:snapToGrid w:val="0"/>
        <w:spacing w:before="120" w:beforeLines="50" w:line="360" w:lineRule="exact"/>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0"/>
        <w:spacing w:before="120" w:after="120"/>
        <w:ind w:firstLine="482"/>
        <w:rPr>
          <w:rFonts w:hAnsi="宋体"/>
          <w:bCs/>
          <w:color w:val="auto"/>
          <w:highlight w:val="none"/>
        </w:rPr>
      </w:pPr>
      <w:r>
        <w:rPr>
          <w:rFonts w:hAnsi="宋体"/>
          <w:color w:val="auto"/>
          <w:highlight w:val="none"/>
        </w:rPr>
        <w:t>▲1.</w:t>
      </w:r>
      <w:r>
        <w:rPr>
          <w:rFonts w:hAnsi="宋体"/>
          <w:bCs/>
          <w:color w:val="auto"/>
          <w:highlight w:val="none"/>
        </w:rPr>
        <w:t>多家供应商参加投标，如其中两家或两家以上供应商的法定代表人为同一人或相互之间存在投资关系且达到控股的。评审时，取其中通过资格审查后的报价最低一家为有效供应商；当报价相同时，由评标委员会集体决定。</w:t>
      </w:r>
    </w:p>
    <w:p>
      <w:pPr>
        <w:pStyle w:val="20"/>
        <w:spacing w:before="120" w:after="120"/>
        <w:ind w:firstLine="482"/>
        <w:rPr>
          <w:rFonts w:hAnsi="宋体"/>
          <w:bCs/>
          <w:color w:val="auto"/>
          <w:highlight w:val="none"/>
        </w:rPr>
      </w:pPr>
      <w:r>
        <w:rPr>
          <w:rFonts w:hAnsi="宋体"/>
          <w:bCs/>
          <w:color w:val="auto"/>
          <w:highlight w:val="none"/>
        </w:rPr>
        <w:t xml:space="preserve">  多家代理商或经销商参加投标，如其中两家或两家以上供应商存在分级代理或代销关系，且提供的是其所代理品牌产品的，评审时，按上述规定确定其中一家为有效供应商。</w:t>
      </w:r>
    </w:p>
    <w:p>
      <w:pPr>
        <w:pStyle w:val="20"/>
        <w:spacing w:before="120" w:after="120"/>
        <w:ind w:firstLine="482"/>
        <w:rPr>
          <w:rFonts w:hAnsi="宋体"/>
          <w:bCs/>
          <w:color w:val="auto"/>
          <w:highlight w:val="none"/>
        </w:rPr>
      </w:pPr>
      <w:r>
        <w:rPr>
          <w:rFonts w:hAnsi="宋体"/>
          <w:bCs/>
          <w:color w:val="auto"/>
          <w:highlight w:val="none"/>
        </w:rPr>
        <w:t xml:space="preserve">  同一家原生产厂商授权多家代理商参加投标的，评审时，按上述规定确定其中一家为有效供应商。</w:t>
      </w:r>
    </w:p>
    <w:p>
      <w:pPr>
        <w:pStyle w:val="20"/>
        <w:snapToGrid w:val="0"/>
        <w:spacing w:before="120" w:after="120" w:line="360" w:lineRule="exact"/>
        <w:ind w:left="3" w:leftChars="1" w:firstLine="482" w:firstLineChars="200"/>
        <w:rPr>
          <w:rFonts w:hAnsi="宋体"/>
          <w:bCs/>
          <w:color w:val="0000FF"/>
          <w:highlight w:val="none"/>
        </w:rPr>
      </w:pPr>
      <w:r>
        <w:rPr>
          <w:rFonts w:hAnsi="宋体"/>
          <w:color w:val="auto"/>
          <w:highlight w:val="none"/>
        </w:rPr>
        <w:t>▲2、如</w:t>
      </w:r>
      <w:r>
        <w:rPr>
          <w:rFonts w:hAnsi="宋体" w:cs="宋体"/>
          <w:bCs/>
          <w:color w:val="auto"/>
          <w:highlight w:val="none"/>
        </w:rPr>
        <w:t>制造商投标所使用的资格、信誉、荣誉、业绩与企业认证必须为制造商所拥有</w:t>
      </w:r>
      <w:r>
        <w:rPr>
          <w:rFonts w:hAnsi="宋体"/>
          <w:color w:val="auto"/>
          <w:highlight w:val="none"/>
        </w:rPr>
        <w:t>。</w:t>
      </w:r>
      <w:r>
        <w:rPr>
          <w:rFonts w:hAnsi="宋体"/>
          <w:bCs/>
          <w:color w:val="auto"/>
          <w:highlight w:val="none"/>
        </w:rPr>
        <w:t>（如代理商及经销商投标，需提供其制造商的</w:t>
      </w:r>
      <w:r>
        <w:rPr>
          <w:rFonts w:hAnsi="宋体" w:cs="宋体"/>
          <w:bCs/>
          <w:color w:val="auto"/>
          <w:highlight w:val="none"/>
        </w:rPr>
        <w:t>资格、信誉、荣誉与企业认证</w:t>
      </w:r>
      <w:r>
        <w:rPr>
          <w:rFonts w:hAnsi="宋体"/>
          <w:bCs/>
          <w:color w:val="auto"/>
          <w:highlight w:val="none"/>
        </w:rPr>
        <w:t>）</w:t>
      </w:r>
    </w:p>
    <w:p>
      <w:pPr>
        <w:pStyle w:val="20"/>
        <w:snapToGrid w:val="0"/>
        <w:spacing w:before="120" w:after="120" w:line="360" w:lineRule="exact"/>
        <w:ind w:left="3" w:leftChars="1" w:firstLine="482" w:firstLineChars="200"/>
        <w:rPr>
          <w:rFonts w:hAnsi="宋体"/>
          <w:color w:val="auto"/>
          <w:highlight w:val="none"/>
        </w:rPr>
      </w:pPr>
      <w:r>
        <w:rPr>
          <w:rFonts w:hAnsi="宋体"/>
          <w:color w:val="auto"/>
          <w:highlight w:val="none"/>
        </w:rPr>
        <w:t>▲3、投标人应仔细阅读招标文件的所有内容，按照招标文件的要求提交投标文件，并对所提供的全部资料的真实性承担法律责任。</w:t>
      </w:r>
    </w:p>
    <w:p>
      <w:pPr>
        <w:pStyle w:val="20"/>
        <w:snapToGrid w:val="0"/>
        <w:spacing w:before="120" w:after="120" w:line="360" w:lineRule="exact"/>
        <w:ind w:firstLine="472" w:firstLineChars="196"/>
        <w:jc w:val="left"/>
        <w:outlineLvl w:val="1"/>
        <w:rPr>
          <w:rFonts w:hAnsi="宋体"/>
          <w:color w:val="auto"/>
          <w:highlight w:val="none"/>
        </w:rPr>
      </w:pPr>
      <w:r>
        <w:rPr>
          <w:rFonts w:hAnsi="宋体"/>
          <w:color w:val="auto"/>
          <w:highlight w:val="none"/>
        </w:rPr>
        <w:t>▲4、投标人在投标活动中提供任何虚假材料,其投标无效，并报监管部门查处；中标后发现的,构成犯罪的，依法追究刑事责任；尚不构成犯罪的，依照招标投标法第五十四条的规定处罚。</w:t>
      </w:r>
    </w:p>
    <w:p>
      <w:pPr>
        <w:pStyle w:val="20"/>
        <w:snapToGrid w:val="0"/>
        <w:spacing w:before="120" w:after="120" w:line="360" w:lineRule="exact"/>
        <w:ind w:firstLine="472" w:firstLineChars="196"/>
        <w:jc w:val="left"/>
        <w:outlineLvl w:val="1"/>
        <w:rPr>
          <w:rFonts w:hAnsi="宋体"/>
          <w:bCs/>
          <w:color w:val="auto"/>
          <w:highlight w:val="none"/>
        </w:rPr>
      </w:pPr>
      <w:r>
        <w:rPr>
          <w:rFonts w:hAnsi="宋体"/>
          <w:bCs/>
          <w:color w:val="auto"/>
          <w:highlight w:val="none"/>
        </w:rPr>
        <w:t>（九）质疑和投诉</w:t>
      </w:r>
    </w:p>
    <w:p>
      <w:pPr>
        <w:pStyle w:val="20"/>
        <w:snapToGrid w:val="0"/>
        <w:spacing w:before="120" w:after="120" w:line="360" w:lineRule="exact"/>
        <w:ind w:left="3" w:leftChars="1" w:firstLine="482" w:firstLineChars="200"/>
        <w:rPr>
          <w:rFonts w:hAnsi="宋体"/>
          <w:color w:val="auto"/>
          <w:highlight w:val="none"/>
        </w:rPr>
      </w:pPr>
      <w:r>
        <w:rPr>
          <w:rFonts w:hAnsi="宋体"/>
          <w:color w:val="auto"/>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pPr>
        <w:pStyle w:val="20"/>
        <w:snapToGrid w:val="0"/>
        <w:spacing w:before="120" w:after="120" w:line="360" w:lineRule="exact"/>
        <w:ind w:firstLine="482" w:firstLineChars="200"/>
        <w:rPr>
          <w:rFonts w:hAnsi="宋体"/>
          <w:bCs/>
          <w:color w:val="auto"/>
          <w:highlight w:val="none"/>
        </w:rPr>
      </w:pPr>
      <w:r>
        <w:rPr>
          <w:rFonts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0"/>
        <w:snapToGrid w:val="0"/>
        <w:spacing w:beforeLines="0" w:afterLines="0" w:line="360" w:lineRule="exact"/>
        <w:rPr>
          <w:rFonts w:hAnsi="宋体"/>
          <w:color w:val="auto"/>
          <w:sz w:val="30"/>
          <w:szCs w:val="30"/>
          <w:highlight w:val="none"/>
        </w:rPr>
      </w:pPr>
      <w:r>
        <w:rPr>
          <w:rFonts w:hAnsi="宋体"/>
          <w:color w:val="auto"/>
          <w:sz w:val="30"/>
          <w:szCs w:val="30"/>
          <w:highlight w:val="none"/>
        </w:rPr>
        <w:t>二、招标文件</w:t>
      </w:r>
    </w:p>
    <w:p>
      <w:pPr>
        <w:snapToGrid w:val="0"/>
        <w:spacing w:line="360" w:lineRule="exact"/>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（一）招标文件的构成。本招标文件由以下部份组成：</w:t>
      </w:r>
    </w:p>
    <w:p>
      <w:pPr>
        <w:snapToGrid w:val="0"/>
        <w:spacing w:line="360" w:lineRule="exact"/>
        <w:ind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.公开招标采购公告</w:t>
      </w:r>
    </w:p>
    <w:p>
      <w:pPr>
        <w:snapToGrid w:val="0"/>
        <w:spacing w:line="3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2.招标需求</w:t>
      </w:r>
    </w:p>
    <w:p>
      <w:pPr>
        <w:snapToGrid w:val="0"/>
        <w:spacing w:line="3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3.投标人须知</w:t>
      </w:r>
    </w:p>
    <w:p>
      <w:pPr>
        <w:snapToGrid w:val="0"/>
        <w:spacing w:line="360" w:lineRule="exact"/>
        <w:ind w:firstLine="480" w:firstLineChars="200"/>
        <w:jc w:val="left"/>
        <w:rPr>
          <w:rFonts w:ascii="宋体" w:hAnsi="宋体"/>
          <w:color w:val="auto"/>
          <w:sz w:val="24"/>
          <w:szCs w:val="20"/>
          <w:highlight w:val="none"/>
        </w:rPr>
      </w:pPr>
      <w:r>
        <w:rPr>
          <w:rFonts w:hint="eastAsia" w:ascii="宋体" w:hAnsi="宋体"/>
          <w:color w:val="auto"/>
          <w:sz w:val="24"/>
          <w:highlight w:val="none"/>
        </w:rPr>
        <w:t>4.评标办法及评分标准</w:t>
      </w:r>
    </w:p>
    <w:p>
      <w:pPr>
        <w:snapToGrid w:val="0"/>
        <w:spacing w:line="360" w:lineRule="exact"/>
        <w:ind w:firstLine="480" w:firstLineChars="200"/>
        <w:jc w:val="left"/>
        <w:rPr>
          <w:rFonts w:hint="eastAsia"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.合同主要条款</w:t>
      </w:r>
    </w:p>
    <w:p>
      <w:pPr>
        <w:snapToGrid w:val="0"/>
        <w:spacing w:line="360" w:lineRule="exact"/>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pPr>
        <w:snapToGrid w:val="0"/>
        <w:spacing w:line="360" w:lineRule="exact"/>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pPr>
        <w:snapToGrid w:val="0"/>
        <w:spacing w:before="120" w:beforeLines="50" w:line="360" w:lineRule="exact"/>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pPr>
        <w:snapToGrid w:val="0"/>
        <w:spacing w:line="360" w:lineRule="exact"/>
        <w:ind w:firstLine="480" w:firstLineChars="200"/>
        <w:jc w:val="left"/>
        <w:rPr>
          <w:rFonts w:ascii="宋体" w:hAns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pPr>
        <w:pStyle w:val="4"/>
        <w:widowControl w:val="0"/>
        <w:tabs>
          <w:tab w:val="clear" w:pos="454"/>
          <w:tab w:val="clear" w:pos="900"/>
        </w:tabs>
        <w:snapToGrid w:val="0"/>
        <w:spacing w:before="120" w:beforeLines="50" w:after="120" w:line="360" w:lineRule="exact"/>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pPr>
        <w:pStyle w:val="20"/>
        <w:snapToGrid w:val="0"/>
        <w:spacing w:before="120" w:after="120" w:line="360" w:lineRule="exact"/>
        <w:ind w:firstLine="482" w:firstLineChars="200"/>
        <w:rPr>
          <w:rFonts w:hAnsi="宋体" w:cs="宋体"/>
          <w:color w:val="auto"/>
          <w:highlight w:val="none"/>
        </w:rPr>
      </w:pPr>
      <w:r>
        <w:rPr>
          <w:rFonts w:hAnsi="宋体" w:cs="宋体"/>
          <w:color w:val="auto"/>
          <w:highlight w:val="none"/>
        </w:rPr>
        <w:t>1.投标人应认真阅读本招标文件，发现其中有误或有不合理要求的，投标人必须在投标截止时间10日前以书面形式要求招标采购单位澄清。招标单位对应当自收到异议之日起3日内作出答复；招标单位对已发出的招标文件进行必要澄清、答复、修改或补充的，采购代理机构应当在招标文件要求提交投标文件截止时间5日前，在指定的信息发布媒体（台州湾新区小额工程电子交易平台（网址：http://www.tzwztb.com/）和浙江省政府采购网(https://zfcg.czt.zj.gov.cn/)）上发布更正公告，招标人、采购代理机构的任何工作人员对投标人所作的任何口头解释、介绍、答复，只能供投标人参考，对招标人无任何约束力。</w:t>
      </w:r>
    </w:p>
    <w:p>
      <w:pPr>
        <w:pStyle w:val="20"/>
        <w:snapToGrid w:val="0"/>
        <w:spacing w:before="120" w:after="120" w:line="360" w:lineRule="exact"/>
        <w:ind w:firstLine="482" w:firstLineChars="200"/>
        <w:rPr>
          <w:rFonts w:hAnsi="宋体" w:cs="宋体"/>
          <w:color w:val="auto"/>
          <w:highlight w:val="none"/>
        </w:rPr>
      </w:pPr>
      <w:r>
        <w:rPr>
          <w:rFonts w:hAnsi="宋体" w:cs="宋体"/>
          <w:color w:val="auto"/>
          <w:highlight w:val="none"/>
        </w:rPr>
        <w:t>2.招标文件澄清、答复、修改、补充的内容为招标文件的组成部分。当招标文件与招标文件的答复、澄清、修改、补充通知就同一内容的表述不一致时，以最后发出的书面文件为准。</w:t>
      </w:r>
    </w:p>
    <w:p>
      <w:pPr>
        <w:pStyle w:val="20"/>
        <w:snapToGrid w:val="0"/>
        <w:spacing w:before="120" w:after="120" w:line="360" w:lineRule="exact"/>
        <w:ind w:firstLine="482" w:firstLineChars="200"/>
        <w:rPr>
          <w:rFonts w:hAnsi="宋体"/>
          <w:color w:val="auto"/>
          <w:highlight w:val="none"/>
        </w:rPr>
      </w:pPr>
      <w:r>
        <w:rPr>
          <w:rFonts w:hAnsi="宋体" w:cs="宋体"/>
          <w:color w:val="auto"/>
          <w:highlight w:val="none"/>
        </w:rPr>
        <w:t>3.招标文件的澄清、答复、修改或补充都应该通过采购代理机构以法定形式发布，采购人非通过本机构，不得擅自澄清、答复、修改或补充招标文件。</w:t>
      </w:r>
    </w:p>
    <w:p>
      <w:pPr>
        <w:pStyle w:val="20"/>
        <w:snapToGrid w:val="0"/>
        <w:spacing w:beforeLines="0" w:afterLines="0" w:line="360" w:lineRule="exact"/>
        <w:rPr>
          <w:rFonts w:hAnsi="宋体"/>
          <w:color w:val="auto"/>
          <w:sz w:val="30"/>
          <w:szCs w:val="30"/>
          <w:highlight w:val="none"/>
        </w:rPr>
      </w:pPr>
      <w:r>
        <w:rPr>
          <w:rFonts w:hAnsi="宋体"/>
          <w:color w:val="auto"/>
          <w:sz w:val="30"/>
          <w:szCs w:val="30"/>
          <w:highlight w:val="none"/>
        </w:rPr>
        <w:t>三、投标文件的编制</w:t>
      </w:r>
    </w:p>
    <w:p>
      <w:pPr>
        <w:snapToGrid w:val="0"/>
        <w:spacing w:line="3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ab/>
      </w:r>
      <w:r>
        <w:rPr>
          <w:rFonts w:hint="eastAsia" w:ascii="宋体" w:hAnsi="宋体"/>
          <w:b/>
          <w:color w:val="auto"/>
          <w:sz w:val="24"/>
          <w:highlight w:val="none"/>
        </w:rPr>
        <w:t>投标文件的要求</w:t>
      </w:r>
    </w:p>
    <w:p>
      <w:pPr>
        <w:snapToGrid w:val="0"/>
        <w:spacing w:line="360" w:lineRule="exact"/>
        <w:ind w:firstLine="470" w:firstLineChars="196"/>
        <w:jc w:val="left"/>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、投标人应仔细阅读招标文件的所有内容，按照要求详细编制投标文件，并保证投标文件的正确性和真实性。</w:t>
      </w:r>
    </w:p>
    <w:p>
      <w:pPr>
        <w:snapToGrid w:val="0"/>
        <w:spacing w:line="360" w:lineRule="exact"/>
        <w:ind w:firstLine="470" w:firstLineChars="196"/>
        <w:jc w:val="left"/>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、不按招标文件的要求提供的投标文件将被拒绝。</w:t>
      </w:r>
    </w:p>
    <w:p>
      <w:pPr>
        <w:snapToGrid w:val="0"/>
        <w:spacing w:line="360" w:lineRule="exact"/>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（二）投标文件的组成</w:t>
      </w:r>
    </w:p>
    <w:p>
      <w:pPr>
        <w:snapToGrid w:val="0"/>
        <w:spacing w:line="360" w:lineRule="exact"/>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投标人接到招标文件后，按照采购人的要求提供：资格标、商务标和技术标，样品。</w:t>
      </w:r>
    </w:p>
    <w:p>
      <w:pPr>
        <w:tabs>
          <w:tab w:val="left" w:pos="312"/>
        </w:tabs>
        <w:spacing w:line="36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1.商务标</w:t>
      </w:r>
    </w:p>
    <w:p>
      <w:pPr>
        <w:autoSpaceDE w:val="0"/>
        <w:autoSpaceDN w:val="0"/>
        <w:adjustRightInd w:val="0"/>
        <w:spacing w:line="3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（1）法定代表人身份证明或授权委托书（格式见附件）；</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（2）有效的营业执照扫描件加盖公章；</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（3）投标人、法定代表人近三年无行贿犯罪记录承诺（格式见附件）；</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（4）“信用中国”查询记录；</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（5）诚信投标承诺书（格式见附件）；</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6</w:t>
      </w:r>
      <w:r>
        <w:rPr>
          <w:rFonts w:hint="eastAsia" w:ascii="宋体" w:hAnsi="宋体"/>
          <w:b/>
          <w:color w:val="auto"/>
          <w:sz w:val="24"/>
          <w:highlight w:val="none"/>
        </w:rPr>
        <w:t>）开标一览表（格式见附件）；</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7</w:t>
      </w:r>
      <w:r>
        <w:rPr>
          <w:rFonts w:hint="eastAsia" w:ascii="宋体" w:hAnsi="宋体"/>
          <w:b/>
          <w:color w:val="auto"/>
          <w:sz w:val="24"/>
          <w:highlight w:val="none"/>
        </w:rPr>
        <w:t>）投标报价明细清单（格式见附件）；</w:t>
      </w:r>
    </w:p>
    <w:p>
      <w:pPr>
        <w:autoSpaceDE w:val="0"/>
        <w:autoSpaceDN w:val="0"/>
        <w:adjustRightInd w:val="0"/>
        <w:spacing w:line="360" w:lineRule="exact"/>
        <w:ind w:left="480"/>
        <w:rPr>
          <w:rFonts w:hint="eastAsia"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8</w:t>
      </w:r>
      <w:r>
        <w:rPr>
          <w:rFonts w:hint="eastAsia" w:ascii="宋体" w:hAnsi="宋体"/>
          <w:b/>
          <w:color w:val="auto"/>
          <w:sz w:val="24"/>
          <w:highlight w:val="none"/>
        </w:rPr>
        <w:t>）投标人认为可以证明自身实力的其他相关材料（如有）。</w:t>
      </w:r>
    </w:p>
    <w:p>
      <w:pPr>
        <w:spacing w:line="360" w:lineRule="exact"/>
        <w:ind w:firstLine="472" w:firstLineChars="196"/>
        <w:rPr>
          <w:rFonts w:ascii="宋体" w:hAnsi="宋体"/>
          <w:b/>
          <w:color w:val="auto"/>
          <w:sz w:val="24"/>
          <w:highlight w:val="none"/>
        </w:rPr>
      </w:pPr>
      <w:r>
        <w:rPr>
          <w:rFonts w:hint="eastAsia" w:ascii="宋体" w:hAnsi="宋体"/>
          <w:b/>
          <w:color w:val="auto"/>
          <w:sz w:val="24"/>
          <w:highlight w:val="none"/>
        </w:rPr>
        <w:t>（三）投标文件的语言及计量</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投标文件以及投标人与采购人就有关投标事宜的所有来往函电，均应以中文汉语书写。除签名、盖章、专用名称等特殊情形外，以中文汉语以外的文字表述的投标文件视同未提供。</w:t>
      </w:r>
    </w:p>
    <w:p>
      <w:pPr>
        <w:spacing w:line="3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exact"/>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（四）投标报价</w:t>
      </w:r>
    </w:p>
    <w:p>
      <w:pPr>
        <w:pStyle w:val="20"/>
        <w:spacing w:before="120" w:after="120" w:line="360" w:lineRule="exact"/>
        <w:ind w:firstLine="723" w:firstLineChars="300"/>
        <w:rPr>
          <w:rFonts w:hAnsi="宋体"/>
          <w:color w:val="auto"/>
          <w:highlight w:val="none"/>
        </w:rPr>
      </w:pPr>
      <w:r>
        <w:rPr>
          <w:rFonts w:hAnsi="宋体"/>
          <w:color w:val="auto"/>
          <w:highlight w:val="none"/>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pPr>
        <w:pStyle w:val="20"/>
        <w:spacing w:before="120" w:after="120" w:line="360" w:lineRule="exact"/>
        <w:ind w:firstLine="482" w:firstLineChars="200"/>
        <w:rPr>
          <w:rFonts w:hAnsi="宋体"/>
          <w:color w:val="auto"/>
          <w:highlight w:val="none"/>
        </w:rPr>
      </w:pPr>
      <w:r>
        <w:rPr>
          <w:rFonts w:hAnsi="宋体"/>
          <w:color w:val="auto"/>
          <w:highlight w:val="none"/>
        </w:rPr>
        <w:t>2、报价组成：</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1投标报价应按</w:t>
      </w:r>
      <w:r>
        <w:rPr>
          <w:rFonts w:hint="eastAsia" w:ascii="宋体" w:hAnsi="宋体"/>
          <w:color w:val="auto"/>
          <w:sz w:val="24"/>
          <w:highlight w:val="none"/>
        </w:rPr>
        <w:t>招标文件</w:t>
      </w:r>
      <w:r>
        <w:rPr>
          <w:rFonts w:ascii="宋体" w:hAnsi="宋体"/>
          <w:color w:val="auto"/>
          <w:sz w:val="24"/>
          <w:highlight w:val="none"/>
        </w:rPr>
        <w:t>中相关附表格式填写。</w:t>
      </w:r>
    </w:p>
    <w:p>
      <w:pPr>
        <w:pStyle w:val="11"/>
        <w:ind w:firstLine="480" w:firstLineChars="200"/>
        <w:rPr>
          <w:rFonts w:hint="eastAsia" w:ascii="宋体" w:hAnsi="宋体"/>
          <w:b/>
          <w:bCs/>
          <w:color w:val="auto"/>
          <w:highlight w:val="none"/>
        </w:rPr>
      </w:pPr>
      <w:r>
        <w:rPr>
          <w:rFonts w:hint="eastAsia" w:ascii="宋体" w:hAnsi="宋体"/>
          <w:color w:val="auto"/>
          <w:sz w:val="24"/>
          <w:highlight w:val="none"/>
        </w:rPr>
        <w:t>▲2.2 投标报价应是招标文件所确定的招标范围内全部工作内容的价格表现。</w:t>
      </w:r>
      <w:r>
        <w:rPr>
          <w:rFonts w:hint="eastAsia" w:ascii="宋体" w:hAnsi="宋体"/>
          <w:sz w:val="24"/>
          <w:highlight w:val="none"/>
        </w:rPr>
        <w:t>其应包括</w:t>
      </w:r>
      <w:r>
        <w:rPr>
          <w:rFonts w:hint="eastAsia" w:ascii="宋体" w:hAnsi="宋体"/>
          <w:b/>
          <w:bCs/>
          <w:sz w:val="24"/>
          <w:highlight w:val="none"/>
        </w:rPr>
        <w:t>产品设计、加工制作、运输费、装卸费、人工费、材料费、</w:t>
      </w:r>
      <w:r>
        <w:rPr>
          <w:rFonts w:hint="eastAsia" w:ascii="宋体" w:hAnsi="宋体"/>
          <w:b/>
          <w:bCs/>
          <w:sz w:val="24"/>
          <w:highlight w:val="none"/>
          <w:lang w:val="en-US" w:eastAsia="zh-CN"/>
        </w:rPr>
        <w:t>安装费、</w:t>
      </w:r>
      <w:r>
        <w:rPr>
          <w:rFonts w:hint="eastAsia" w:ascii="宋体" w:hAnsi="宋体"/>
          <w:b/>
          <w:bCs/>
          <w:sz w:val="24"/>
          <w:highlight w:val="none"/>
        </w:rPr>
        <w:t>保险费、售后服务、利润、税金及合同包含的所有风险、责任等</w:t>
      </w:r>
      <w:r>
        <w:rPr>
          <w:rFonts w:hint="eastAsia" w:ascii="宋体" w:hAnsi="宋体"/>
          <w:b/>
          <w:bCs/>
          <w:sz w:val="24"/>
          <w:highlight w:val="none"/>
          <w:lang w:val="en-US" w:eastAsia="zh-CN"/>
        </w:rPr>
        <w:t>除安装外</w:t>
      </w:r>
      <w:r>
        <w:rPr>
          <w:rFonts w:hint="eastAsia" w:ascii="宋体" w:hAnsi="宋体"/>
          <w:b/>
          <w:bCs/>
          <w:sz w:val="24"/>
          <w:highlight w:val="none"/>
        </w:rPr>
        <w:t>可能发生的一切费用。投标人应根据上述因素自行综合考虑，招标人可根据实际情况调整工程量，中标人不得以此为要求调整综合单价。结算时，中标人在综合单价不变的前提下，根据实际工程量按实调整，综合单价一次性包死，日后不作调整。</w:t>
      </w:r>
      <w:r>
        <w:rPr>
          <w:rFonts w:hint="eastAsia" w:ascii="宋体" w:hAnsi="宋体"/>
          <w:color w:val="auto"/>
          <w:sz w:val="24"/>
          <w:highlight w:val="none"/>
        </w:rPr>
        <w:t>如有漏项，视同已包含在其总项目中。</w:t>
      </w:r>
      <w:r>
        <w:rPr>
          <w:rFonts w:hint="eastAsia" w:ascii="宋体" w:hAnsi="宋体"/>
          <w:bCs/>
          <w:color w:val="auto"/>
          <w:sz w:val="24"/>
          <w:highlight w:val="none"/>
        </w:rPr>
        <w:t>投标人应根据上述因素自行考虑含入投标价格。结算时，根据完成的实际工作量按实结算。</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3、采购人不接受任何选择报价，对每一种货物只允许一个报价。</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4、采购人要求分项报价是为了方便评标，但在任何情况下不限制采购人以其认为最合适的条款、条件签订合同的权利。</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5、投标人所报的投标价在合同执行过程中是固定不变的，不得以任何理由予以变更（除招标文件中另有说明的外）。任何包含价格调整的要求，将被认为是非实质性响应投标而予以拒绝。</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6、相关报价单需打印或用不褪色的墨水填写， 投标报价单不得涂改和增删，如有错漏必须修改，修改处须由同一签署人签字或盖章。由于字迹模糊或表达不清引起的后果由投标人负责。</w:t>
      </w:r>
    </w:p>
    <w:p>
      <w:pPr>
        <w:pStyle w:val="4"/>
        <w:widowControl w:val="0"/>
        <w:tabs>
          <w:tab w:val="clear" w:pos="454"/>
          <w:tab w:val="clear" w:pos="900"/>
        </w:tabs>
        <w:snapToGrid w:val="0"/>
        <w:spacing w:before="120" w:beforeLines="50" w:after="120" w:line="36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（五）投标文件的有效期</w:t>
      </w:r>
    </w:p>
    <w:p>
      <w:pPr>
        <w:pStyle w:val="4"/>
        <w:widowControl w:val="0"/>
        <w:tabs>
          <w:tab w:val="clear" w:pos="454"/>
          <w:tab w:val="clear" w:pos="900"/>
        </w:tabs>
        <w:snapToGrid w:val="0"/>
        <w:spacing w:after="120" w:line="360" w:lineRule="exact"/>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ascii="宋体" w:hAnsi="宋体"/>
          <w:color w:val="auto"/>
          <w:szCs w:val="24"/>
          <w:highlight w:val="none"/>
          <w:u w:val="single"/>
        </w:rPr>
        <w:t xml:space="preserve"> </w:t>
      </w:r>
      <w:r>
        <w:rPr>
          <w:rFonts w:hint="eastAsia" w:ascii="宋体" w:hAnsi="宋体"/>
          <w:color w:val="auto"/>
          <w:szCs w:val="24"/>
          <w:highlight w:val="none"/>
          <w:u w:val="single"/>
        </w:rPr>
        <w:t>90</w:t>
      </w:r>
      <w:r>
        <w:rPr>
          <w:rFonts w:ascii="宋体" w:hAnsi="宋体"/>
          <w:color w:val="auto"/>
          <w:szCs w:val="24"/>
          <w:highlight w:val="none"/>
        </w:rPr>
        <w:t>天投标</w:t>
      </w:r>
      <w:r>
        <w:rPr>
          <w:rFonts w:hint="eastAsia" w:ascii="宋体" w:hAnsi="宋体"/>
          <w:color w:val="auto"/>
          <w:szCs w:val="24"/>
          <w:highlight w:val="none"/>
        </w:rPr>
        <w:t>文件</w:t>
      </w:r>
      <w:r>
        <w:rPr>
          <w:rFonts w:ascii="宋体" w:hAnsi="宋体"/>
          <w:color w:val="auto"/>
          <w:szCs w:val="24"/>
          <w:highlight w:val="none"/>
        </w:rPr>
        <w:t>应保持有效。</w:t>
      </w:r>
      <w:r>
        <w:rPr>
          <w:rFonts w:hint="eastAsia" w:ascii="宋体" w:hAnsi="宋体"/>
          <w:color w:val="auto"/>
          <w:szCs w:val="24"/>
          <w:highlight w:val="none"/>
        </w:rPr>
        <w:t>中标人投标文件有效期延长至合同有效期。</w:t>
      </w:r>
      <w:r>
        <w:rPr>
          <w:rFonts w:ascii="宋体" w:hAnsi="宋体"/>
          <w:color w:val="auto"/>
          <w:szCs w:val="24"/>
          <w:highlight w:val="none"/>
        </w:rPr>
        <w:t>有效期</w:t>
      </w:r>
      <w:r>
        <w:rPr>
          <w:rFonts w:hint="eastAsia" w:ascii="宋体" w:hAnsi="宋体"/>
          <w:color w:val="auto"/>
          <w:szCs w:val="24"/>
          <w:highlight w:val="none"/>
        </w:rPr>
        <w:t>不足</w:t>
      </w:r>
      <w:r>
        <w:rPr>
          <w:rFonts w:ascii="宋体" w:hAnsi="宋体"/>
          <w:color w:val="auto"/>
          <w:szCs w:val="24"/>
          <w:highlight w:val="none"/>
        </w:rPr>
        <w:t>的投标</w:t>
      </w:r>
      <w:r>
        <w:rPr>
          <w:rFonts w:hint="eastAsia" w:ascii="宋体" w:hAnsi="宋体"/>
          <w:color w:val="auto"/>
          <w:szCs w:val="24"/>
          <w:highlight w:val="none"/>
        </w:rPr>
        <w:t>文件</w:t>
      </w:r>
      <w:r>
        <w:rPr>
          <w:rFonts w:ascii="宋体" w:hAnsi="宋体"/>
          <w:color w:val="auto"/>
          <w:szCs w:val="24"/>
          <w:highlight w:val="none"/>
        </w:rPr>
        <w:t>将被拒绝。</w:t>
      </w:r>
    </w:p>
    <w:p>
      <w:pPr>
        <w:pStyle w:val="4"/>
        <w:widowControl w:val="0"/>
        <w:tabs>
          <w:tab w:val="clear" w:pos="454"/>
          <w:tab w:val="clear" w:pos="900"/>
        </w:tabs>
        <w:snapToGrid w:val="0"/>
        <w:spacing w:after="120" w:line="360" w:lineRule="exact"/>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在特殊情况下，采购人可与投标人协商延长投标书的有效期，这种要求和答复均以书面形式进行。</w:t>
      </w:r>
    </w:p>
    <w:p>
      <w:pPr>
        <w:snapToGrid w:val="0"/>
        <w:spacing w:line="360" w:lineRule="exact"/>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投标人可拒绝接受延期要求而不会导致投标保证金被没收。同意延长有效期的投标人需要相应延长投标保证金的有效期，但不能修改投标文件。</w:t>
      </w:r>
      <w:r>
        <w:rPr>
          <w:rFonts w:ascii="宋体" w:hAnsi="宋体"/>
          <w:b/>
          <w:color w:val="auto"/>
          <w:sz w:val="24"/>
          <w:highlight w:val="none"/>
        </w:rPr>
        <w:t xml:space="preserve"> </w:t>
      </w:r>
    </w:p>
    <w:p>
      <w:pPr>
        <w:snapToGrid w:val="0"/>
        <w:spacing w:line="360" w:lineRule="exact"/>
        <w:ind w:firstLine="480" w:firstLineChars="200"/>
        <w:jc w:val="left"/>
        <w:outlineLvl w:val="0"/>
        <w:rPr>
          <w:rFonts w:hint="eastAsia"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pPr>
        <w:snapToGrid w:val="0"/>
        <w:spacing w:before="120" w:beforeLines="50" w:line="360" w:lineRule="exact"/>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（六）投标保证金</w:t>
      </w:r>
    </w:p>
    <w:p>
      <w:pPr>
        <w:snapToGrid w:val="0"/>
        <w:spacing w:line="360" w:lineRule="exact"/>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pPr>
        <w:snapToGrid w:val="0"/>
        <w:spacing w:line="360" w:lineRule="exact"/>
        <w:ind w:firstLine="480" w:firstLineChars="200"/>
        <w:jc w:val="left"/>
        <w:rPr>
          <w:rFonts w:hint="eastAsia"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保证金形式：</w:t>
      </w:r>
      <w:r>
        <w:rPr>
          <w:rFonts w:hint="eastAsia" w:ascii="宋体" w:hAnsi="宋体"/>
          <w:color w:val="auto"/>
          <w:sz w:val="24"/>
          <w:highlight w:val="none"/>
        </w:rPr>
        <w:t>银行转帐、</w:t>
      </w:r>
      <w:r>
        <w:rPr>
          <w:rFonts w:hint="eastAsia" w:ascii="宋体" w:hAnsi="宋体" w:cs="Arial"/>
          <w:bCs/>
          <w:color w:val="auto"/>
          <w:sz w:val="24"/>
          <w:highlight w:val="none"/>
        </w:rPr>
        <w:t>银行保函、保险机构保证保险保单、融</w:t>
      </w:r>
      <w:r>
        <w:rPr>
          <w:rFonts w:hint="eastAsia" w:ascii="宋体" w:hAnsi="宋体"/>
          <w:color w:val="auto"/>
          <w:sz w:val="24"/>
          <w:highlight w:val="none"/>
        </w:rPr>
        <w:t>资担保公司保函</w:t>
      </w:r>
      <w:r>
        <w:rPr>
          <w:rFonts w:hint="eastAsia" w:ascii="宋体" w:hAnsi="宋体"/>
          <w:color w:val="auto"/>
          <w:sz w:val="24"/>
          <w:highlight w:val="none"/>
          <w:u w:val="single"/>
        </w:rPr>
        <w:t>。</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未中标人</w:t>
      </w:r>
      <w:r>
        <w:rPr>
          <w:rFonts w:hint="eastAsia" w:ascii="宋体" w:hAnsi="宋体"/>
          <w:color w:val="auto"/>
          <w:sz w:val="24"/>
          <w:highlight w:val="none"/>
        </w:rPr>
        <w:t>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中标人应在中标通知书发出</w:t>
      </w:r>
      <w:r>
        <w:rPr>
          <w:rFonts w:hint="eastAsia" w:ascii="宋体" w:hAnsi="宋体"/>
          <w:color w:val="auto"/>
          <w:sz w:val="24"/>
          <w:highlight w:val="none"/>
        </w:rPr>
        <w:t>后</w:t>
      </w:r>
      <w:r>
        <w:rPr>
          <w:rFonts w:hint="eastAsia" w:ascii="宋体" w:hAnsi="宋体"/>
          <w:color w:val="auto"/>
          <w:sz w:val="24"/>
          <w:highlight w:val="none"/>
          <w:u w:val="single"/>
          <w:lang w:val="en-US" w:eastAsia="zh-CN"/>
        </w:rPr>
        <w:t>15</w:t>
      </w:r>
      <w:r>
        <w:rPr>
          <w:rFonts w:hint="eastAsia" w:ascii="宋体" w:hAnsi="宋体"/>
          <w:color w:val="auto"/>
          <w:sz w:val="24"/>
          <w:highlight w:val="none"/>
        </w:rPr>
        <w:t>日内与采购人签订合同</w:t>
      </w:r>
      <w:r>
        <w:rPr>
          <w:rFonts w:ascii="宋体" w:hAnsi="宋体"/>
          <w:color w:val="auto"/>
          <w:sz w:val="24"/>
          <w:highlight w:val="none"/>
        </w:rPr>
        <w:t>，中标人的投标保证金在合同签订后5</w:t>
      </w:r>
      <w:r>
        <w:rPr>
          <w:rFonts w:hint="eastAsia" w:ascii="宋体" w:hAnsi="宋体"/>
          <w:color w:val="auto"/>
          <w:sz w:val="24"/>
          <w:highlight w:val="none"/>
        </w:rPr>
        <w:t>个工作日</w:t>
      </w:r>
      <w:r>
        <w:rPr>
          <w:rFonts w:ascii="宋体" w:hAnsi="宋体"/>
          <w:color w:val="auto"/>
          <w:sz w:val="24"/>
          <w:highlight w:val="none"/>
        </w:rPr>
        <w:t>内退还。</w:t>
      </w:r>
    </w:p>
    <w:p>
      <w:pPr>
        <w:snapToGrid w:val="0"/>
        <w:spacing w:line="360" w:lineRule="exact"/>
        <w:ind w:firstLine="480" w:firstLineChars="200"/>
        <w:jc w:val="left"/>
        <w:rPr>
          <w:rFonts w:ascii="宋体" w:hAnsi="宋体"/>
          <w:b/>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保证金不计息。</w:t>
      </w:r>
    </w:p>
    <w:p>
      <w:pPr>
        <w:snapToGrid w:val="0"/>
        <w:spacing w:line="360" w:lineRule="exact"/>
        <w:ind w:firstLine="472" w:firstLineChars="196"/>
        <w:jc w:val="left"/>
        <w:rPr>
          <w:rFonts w:hint="eastAsia" w:ascii="宋体" w:hAnsi="宋体"/>
          <w:b/>
          <w:bCs/>
          <w:color w:val="auto"/>
          <w:sz w:val="24"/>
          <w:szCs w:val="20"/>
          <w:highlight w:val="none"/>
        </w:rPr>
      </w:pPr>
      <w:r>
        <w:rPr>
          <w:rFonts w:ascii="宋体" w:hAnsi="宋体"/>
          <w:b/>
          <w:bCs/>
          <w:color w:val="auto"/>
          <w:sz w:val="24"/>
          <w:highlight w:val="none"/>
        </w:rPr>
        <w:t>6</w:t>
      </w:r>
      <w:r>
        <w:rPr>
          <w:rFonts w:hint="eastAsia" w:ascii="宋体" w:hAnsi="宋体"/>
          <w:b/>
          <w:bCs/>
          <w:color w:val="auto"/>
          <w:sz w:val="24"/>
          <w:highlight w:val="none"/>
        </w:rPr>
        <w:t>.投标人有</w:t>
      </w:r>
      <w:r>
        <w:rPr>
          <w:rFonts w:ascii="宋体" w:hAnsi="宋体"/>
          <w:b/>
          <w:bCs/>
          <w:color w:val="auto"/>
          <w:sz w:val="24"/>
          <w:highlight w:val="none"/>
        </w:rPr>
        <w:t>下列情</w:t>
      </w:r>
      <w:r>
        <w:rPr>
          <w:rFonts w:hint="eastAsia" w:ascii="宋体" w:hAnsi="宋体"/>
          <w:b/>
          <w:bCs/>
          <w:color w:val="auto"/>
          <w:sz w:val="24"/>
          <w:highlight w:val="none"/>
        </w:rPr>
        <w:t>形之一的</w:t>
      </w:r>
      <w:r>
        <w:rPr>
          <w:rFonts w:ascii="宋体" w:hAnsi="宋体"/>
          <w:b/>
          <w:bCs/>
          <w:color w:val="auto"/>
          <w:sz w:val="24"/>
          <w:highlight w:val="none"/>
        </w:rPr>
        <w:t>，投标保证金将不予退还：</w:t>
      </w:r>
    </w:p>
    <w:p>
      <w:pPr>
        <w:snapToGrid w:val="0"/>
        <w:spacing w:line="36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投标人在投标有效期内撤回投标文件的；</w:t>
      </w:r>
    </w:p>
    <w:p>
      <w:pPr>
        <w:snapToGrid w:val="0"/>
        <w:spacing w:line="360" w:lineRule="exact"/>
        <w:ind w:firstLine="470" w:firstLineChars="196"/>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未按规定提交履约</w:t>
      </w:r>
      <w:r>
        <w:rPr>
          <w:rFonts w:ascii="宋体" w:hAnsi="宋体"/>
          <w:bCs/>
          <w:color w:val="auto"/>
          <w:sz w:val="24"/>
          <w:highlight w:val="none"/>
        </w:rPr>
        <w:t>保证金或</w:t>
      </w:r>
      <w:r>
        <w:rPr>
          <w:rFonts w:hint="eastAsia" w:ascii="宋体" w:hAnsi="宋体"/>
          <w:bCs/>
          <w:color w:val="auto"/>
          <w:sz w:val="24"/>
          <w:highlight w:val="none"/>
        </w:rPr>
        <w:t>履约保函的；</w:t>
      </w:r>
    </w:p>
    <w:p>
      <w:pPr>
        <w:snapToGrid w:val="0"/>
        <w:spacing w:line="360" w:lineRule="exact"/>
        <w:ind w:firstLine="470" w:firstLineChars="196"/>
        <w:jc w:val="left"/>
        <w:rPr>
          <w:rFonts w:ascii="宋体" w:hAnsi="宋体"/>
          <w:bCs/>
          <w:color w:val="auto"/>
          <w:sz w:val="24"/>
          <w:highlight w:val="none"/>
        </w:rPr>
      </w:pPr>
      <w:r>
        <w:rPr>
          <w:rFonts w:ascii="宋体" w:hAnsi="宋体"/>
          <w:bCs/>
          <w:color w:val="auto"/>
          <w:sz w:val="24"/>
          <w:highlight w:val="none"/>
        </w:rPr>
        <w:t>（3）投标人在投标过程中弄虚作假，提供虚假材料</w:t>
      </w:r>
      <w:r>
        <w:rPr>
          <w:rFonts w:hint="eastAsia" w:ascii="宋体" w:hAnsi="宋体"/>
          <w:bCs/>
          <w:color w:val="auto"/>
          <w:sz w:val="24"/>
          <w:highlight w:val="none"/>
        </w:rPr>
        <w:t>的</w:t>
      </w:r>
      <w:r>
        <w:rPr>
          <w:rFonts w:ascii="宋体" w:hAnsi="宋体"/>
          <w:bCs/>
          <w:color w:val="auto"/>
          <w:sz w:val="24"/>
          <w:highlight w:val="none"/>
        </w:rPr>
        <w:t>；</w:t>
      </w:r>
    </w:p>
    <w:p>
      <w:pPr>
        <w:snapToGrid w:val="0"/>
        <w:spacing w:line="360" w:lineRule="exact"/>
        <w:ind w:firstLine="470" w:firstLineChars="196"/>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中标人无正当理由不与采购人签订合同的；</w:t>
      </w:r>
    </w:p>
    <w:p>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将中标项目转让给他人或者在投标文件中未说明且未经招标采购单位同意，将中标项目分包给他人的；</w:t>
      </w:r>
    </w:p>
    <w:p>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（6）拒绝履行合同义务的；</w:t>
      </w:r>
    </w:p>
    <w:p>
      <w:pPr>
        <w:snapToGrid w:val="0"/>
        <w:spacing w:line="360" w:lineRule="exact"/>
        <w:ind w:firstLine="470" w:firstLineChars="196"/>
        <w:rPr>
          <w:rFonts w:hint="eastAsia" w:ascii="宋体" w:hAnsi="宋体"/>
          <w:bCs/>
          <w:color w:val="auto"/>
          <w:sz w:val="24"/>
          <w:highlight w:val="none"/>
          <w:lang w:eastAsia="zh-CN"/>
        </w:rPr>
      </w:pPr>
      <w:r>
        <w:rPr>
          <w:rFonts w:hint="eastAsia" w:ascii="宋体" w:hAnsi="宋体"/>
          <w:bCs/>
          <w:color w:val="auto"/>
          <w:sz w:val="24"/>
          <w:highlight w:val="none"/>
        </w:rPr>
        <w:t>（7）有《关于印发&lt;台州市工程建设投标保函管理规定&gt;的通知》（台公管办〔2022〕2号）第十一条规定情形的</w:t>
      </w:r>
      <w:r>
        <w:rPr>
          <w:rFonts w:hint="eastAsia" w:ascii="宋体" w:hAnsi="宋体"/>
          <w:bCs/>
          <w:color w:val="auto"/>
          <w:sz w:val="24"/>
          <w:highlight w:val="none"/>
          <w:lang w:eastAsia="zh-CN"/>
        </w:rPr>
        <w:t>：</w:t>
      </w:r>
    </w:p>
    <w:p>
      <w:pPr>
        <w:snapToGrid w:val="0"/>
        <w:spacing w:line="360" w:lineRule="exact"/>
        <w:ind w:firstLine="470" w:firstLineChars="196"/>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lang w:eastAsia="zh-CN"/>
        </w:rPr>
        <w:t xml:space="preserve">投标截止时间后，投标人撤销投标文件的； </w:t>
      </w:r>
    </w:p>
    <w:p>
      <w:pPr>
        <w:snapToGrid w:val="0"/>
        <w:spacing w:line="360" w:lineRule="exact"/>
        <w:ind w:firstLine="470" w:firstLineChars="196"/>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lang w:eastAsia="zh-CN"/>
        </w:rPr>
        <w:t xml:space="preserve">投标人放弃中标候选人或中标资格的（包括中标人 无正当理由不与招标人订立合同；在签订合同时向招标人提出 附加条件；不按照招标文件要求提交履约担保）； </w:t>
      </w:r>
    </w:p>
    <w:p>
      <w:pPr>
        <w:snapToGrid w:val="0"/>
        <w:spacing w:line="360" w:lineRule="exact"/>
        <w:ind w:firstLine="470" w:firstLineChars="196"/>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lang w:eastAsia="zh-CN"/>
        </w:rPr>
        <w:t>投标人存在串通投标或弄虚作假违法行为的（包括 但不限于同一项目不同投标人的电子投标文件的文件制作机器 码或文件创建标识码相同的；不同投标人从同一投标单位或同 一自然人的 IP地址下载招标文件、上传投标文件、购买保函或 参加投标活动的人员为同一标段其他投标人的在职人员的；不 同投标人通过同一单位或者个人账户购买保函的）；</w:t>
      </w:r>
    </w:p>
    <w:p>
      <w:pPr>
        <w:snapToGrid w:val="0"/>
        <w:spacing w:line="360" w:lineRule="exact"/>
        <w:ind w:firstLine="470" w:firstLineChars="196"/>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 xml:space="preserve"> </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lang w:eastAsia="zh-CN"/>
        </w:rPr>
        <w:t>有关法律法规规定的其他情形</w:t>
      </w:r>
    </w:p>
    <w:p>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（8）其他严重扰乱招投标程序的；</w:t>
      </w:r>
    </w:p>
    <w:p>
      <w:pPr>
        <w:snapToGrid w:val="0"/>
        <w:spacing w:before="120" w:beforeLines="50" w:line="360" w:lineRule="exact"/>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（七）投标文件的签署和份数</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360" w:lineRule="exact"/>
        <w:ind w:firstLine="241" w:firstLineChars="100"/>
        <w:jc w:val="left"/>
        <w:rPr>
          <w:rFonts w:ascii="宋体" w:hAnsi="宋体"/>
          <w:b/>
          <w:color w:val="auto"/>
          <w:sz w:val="24"/>
          <w:szCs w:val="20"/>
          <w:highlight w:val="none"/>
        </w:rPr>
      </w:pPr>
      <w:r>
        <w:rPr>
          <w:rFonts w:hint="eastAsia" w:ascii="宋体" w:hAnsi="宋体"/>
          <w:b/>
          <w:color w:val="auto"/>
          <w:sz w:val="24"/>
          <w:highlight w:val="none"/>
        </w:rPr>
        <w:t>（八）投标文件的包装、递交、修改和撤回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360" w:lineRule="exact"/>
        <w:ind w:firstLine="472" w:firstLineChars="196"/>
        <w:outlineLvl w:val="2"/>
        <w:rPr>
          <w:rFonts w:ascii="宋体" w:hAnsi="宋体"/>
          <w:b/>
          <w:color w:val="auto"/>
          <w:sz w:val="24"/>
          <w:szCs w:val="20"/>
          <w:highlight w:val="none"/>
        </w:rPr>
      </w:pPr>
      <w:r>
        <w:rPr>
          <w:rFonts w:hint="eastAsia" w:ascii="宋体" w:hAnsi="宋体"/>
          <w:b/>
          <w:color w:val="auto"/>
          <w:sz w:val="24"/>
          <w:highlight w:val="none"/>
        </w:rPr>
        <w:t>（九）投标无效的情形</w:t>
      </w:r>
    </w:p>
    <w:p>
      <w:pPr>
        <w:snapToGrid w:val="0"/>
        <w:spacing w:line="360" w:lineRule="exact"/>
        <w:ind w:firstLine="480" w:firstLineChars="200"/>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exact"/>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在符合性审查和商务评审时，如发现下列情形之一的，投标文件将被视为无效：</w:t>
      </w:r>
    </w:p>
    <w:p>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（3）投标文件未按招标文件要求签署、盖章的；</w:t>
      </w:r>
    </w:p>
    <w:p>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6</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pPr>
        <w:snapToGrid w:val="0"/>
        <w:spacing w:line="360" w:lineRule="exact"/>
        <w:ind w:firstLine="470" w:firstLineChars="196"/>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7</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8</w:t>
      </w:r>
      <w:r>
        <w:rPr>
          <w:rFonts w:ascii="宋体" w:hAnsi="宋体"/>
          <w:color w:val="auto"/>
          <w:sz w:val="24"/>
          <w:highlight w:val="none"/>
        </w:rPr>
        <w:t>）</w:t>
      </w:r>
      <w:r>
        <w:rPr>
          <w:rFonts w:hint="eastAsia" w:ascii="宋体" w:hAnsi="宋体"/>
          <w:color w:val="auto"/>
          <w:sz w:val="24"/>
          <w:highlight w:val="none"/>
        </w:rPr>
        <w:t>未实质性</w:t>
      </w:r>
      <w:r>
        <w:rPr>
          <w:rFonts w:ascii="宋体" w:hAnsi="宋体"/>
          <w:color w:val="auto"/>
          <w:sz w:val="24"/>
          <w:highlight w:val="none"/>
        </w:rPr>
        <w:t>响应招标文件要求或者投标文件有招标方不能接受的附加条件的；</w:t>
      </w:r>
    </w:p>
    <w:p>
      <w:pPr>
        <w:snapToGrid w:val="0"/>
        <w:spacing w:line="360" w:lineRule="exact"/>
        <w:ind w:left="407" w:leftChars="142" w:hanging="9" w:hangingChars="4"/>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）两家或两家以上投标单位上传投标文件的ip地址（或工程清单锁地址）相同，视为串标行为，取消评标资格。</w:t>
      </w:r>
    </w:p>
    <w:p>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）法律法规或规章规定属无效标情形的。</w:t>
      </w:r>
    </w:p>
    <w:p>
      <w:pPr>
        <w:pStyle w:val="14"/>
        <w:snapToGrid w:val="0"/>
        <w:spacing w:line="360" w:lineRule="exact"/>
        <w:ind w:firstLine="472" w:firstLineChars="196"/>
        <w:rPr>
          <w:rFonts w:hAnsi="宋体"/>
          <w:b/>
          <w:bCs/>
          <w:color w:val="auto"/>
          <w:sz w:val="24"/>
          <w:highlight w:val="none"/>
        </w:rPr>
      </w:pPr>
      <w:r>
        <w:rPr>
          <w:rFonts w:hint="eastAsia" w:hAnsi="宋体" w:cs="Calibri"/>
          <w:b/>
          <w:bCs/>
          <w:color w:val="auto"/>
          <w:sz w:val="24"/>
          <w:highlight w:val="none"/>
          <w:lang w:val="en-US" w:eastAsia="zh-CN"/>
        </w:rPr>
        <w:t>2</w:t>
      </w:r>
      <w:r>
        <w:rPr>
          <w:rFonts w:hAnsi="宋体" w:cs="Calibri"/>
          <w:b/>
          <w:bCs/>
          <w:color w:val="auto"/>
          <w:sz w:val="24"/>
          <w:highlight w:val="none"/>
        </w:rPr>
        <w:t>.</w:t>
      </w:r>
      <w:r>
        <w:rPr>
          <w:rFonts w:hAnsi="宋体"/>
          <w:b/>
          <w:bCs/>
          <w:color w:val="auto"/>
          <w:sz w:val="24"/>
          <w:highlight w:val="none"/>
        </w:rPr>
        <w:t>在报价评审时，如发现下列情形之一的，投标文件将被视为无效：</w:t>
      </w:r>
    </w:p>
    <w:p>
      <w:pPr>
        <w:pStyle w:val="14"/>
        <w:snapToGrid w:val="0"/>
        <w:spacing w:line="360" w:lineRule="exact"/>
        <w:ind w:firstLine="470" w:firstLineChars="196"/>
        <w:rPr>
          <w:rFonts w:hAnsi="宋体"/>
          <w:color w:val="auto"/>
          <w:sz w:val="24"/>
          <w:highlight w:val="none"/>
        </w:rPr>
      </w:pPr>
      <w:r>
        <w:rPr>
          <w:rFonts w:hint="eastAsia" w:hAnsi="宋体"/>
          <w:color w:val="auto"/>
          <w:sz w:val="24"/>
          <w:highlight w:val="none"/>
        </w:rPr>
        <w:t>（1）未采用人民币报价或者未按照招标文件标明的币种报价的；</w:t>
      </w:r>
    </w:p>
    <w:p>
      <w:pPr>
        <w:pStyle w:val="14"/>
        <w:snapToGrid w:val="0"/>
        <w:spacing w:line="360" w:lineRule="exact"/>
        <w:ind w:firstLine="480" w:firstLineChars="200"/>
        <w:rPr>
          <w:rFonts w:hint="eastAsia" w:hAnsi="宋体"/>
          <w:color w:val="auto"/>
          <w:sz w:val="24"/>
          <w:highlight w:val="none"/>
        </w:rPr>
      </w:pPr>
      <w:r>
        <w:rPr>
          <w:rFonts w:hint="eastAsia" w:hAnsi="宋体"/>
          <w:color w:val="auto"/>
          <w:sz w:val="24"/>
          <w:highlight w:val="none"/>
        </w:rPr>
        <w:t>（2）投标报价具有选择性，或者开标价格与投标文件承诺的优惠（折扣）价格不一致的；</w:t>
      </w:r>
    </w:p>
    <w:p>
      <w:pPr>
        <w:pStyle w:val="14"/>
        <w:snapToGrid w:val="0"/>
        <w:spacing w:line="360" w:lineRule="exact"/>
        <w:ind w:firstLine="480" w:firstLineChars="200"/>
        <w:rPr>
          <w:rFonts w:hint="eastAsia" w:hAnsi="宋体"/>
          <w:color w:val="auto"/>
          <w:sz w:val="24"/>
          <w:highlight w:val="none"/>
        </w:rPr>
      </w:pPr>
      <w:r>
        <w:rPr>
          <w:rFonts w:hint="eastAsia" w:hAnsi="宋体"/>
          <w:color w:val="auto"/>
          <w:sz w:val="24"/>
          <w:highlight w:val="none"/>
        </w:rPr>
        <w:t>（3）投标报价不得超过单价最高限价或总价最高限价，超过单价最高限价或总价最高限价的报价为无效标。</w:t>
      </w:r>
    </w:p>
    <w:p>
      <w:pPr>
        <w:pStyle w:val="14"/>
        <w:snapToGrid w:val="0"/>
        <w:spacing w:line="360" w:lineRule="exact"/>
        <w:ind w:firstLine="480" w:firstLineChars="200"/>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w:t>
      </w:r>
      <w:r>
        <w:rPr>
          <w:rFonts w:hint="eastAsia" w:hAnsi="宋体"/>
          <w:b/>
          <w:color w:val="auto"/>
          <w:sz w:val="24"/>
          <w:highlight w:val="none"/>
        </w:rPr>
        <w:t>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r>
        <w:rPr>
          <w:rFonts w:hint="eastAsia" w:hAnsi="宋体"/>
          <w:color w:val="auto"/>
          <w:sz w:val="24"/>
          <w:highlight w:val="none"/>
        </w:rPr>
        <w:t>。</w:t>
      </w:r>
    </w:p>
    <w:p>
      <w:pPr>
        <w:pStyle w:val="14"/>
        <w:snapToGrid w:val="0"/>
        <w:spacing w:line="360" w:lineRule="exact"/>
        <w:ind w:firstLine="472" w:firstLineChars="196"/>
        <w:rPr>
          <w:rFonts w:hAnsi="宋体"/>
          <w:b/>
          <w:color w:val="auto"/>
          <w:sz w:val="24"/>
          <w:highlight w:val="none"/>
        </w:rPr>
      </w:pPr>
      <w:r>
        <w:rPr>
          <w:rFonts w:hint="eastAsia" w:hAnsi="宋体"/>
          <w:b/>
          <w:color w:val="auto"/>
          <w:sz w:val="24"/>
          <w:highlight w:val="none"/>
          <w:lang w:val="en-US" w:eastAsia="zh-CN"/>
        </w:rPr>
        <w:t>3</w:t>
      </w:r>
      <w:r>
        <w:rPr>
          <w:rFonts w:hAnsi="宋体"/>
          <w:b/>
          <w:color w:val="auto"/>
          <w:sz w:val="24"/>
          <w:highlight w:val="none"/>
        </w:rPr>
        <w:t>.被拒绝的报价文件为无效。</w:t>
      </w:r>
    </w:p>
    <w:p>
      <w:pPr>
        <w:pStyle w:val="20"/>
        <w:snapToGrid w:val="0"/>
        <w:spacing w:beforeLines="0" w:afterLines="0" w:line="360" w:lineRule="exact"/>
        <w:rPr>
          <w:rFonts w:hAnsi="宋体"/>
          <w:color w:val="auto"/>
          <w:sz w:val="30"/>
          <w:szCs w:val="30"/>
          <w:highlight w:val="none"/>
        </w:rPr>
      </w:pPr>
      <w:r>
        <w:rPr>
          <w:rFonts w:hAnsi="宋体"/>
          <w:color w:val="auto"/>
          <w:sz w:val="30"/>
          <w:szCs w:val="30"/>
          <w:highlight w:val="none"/>
        </w:rPr>
        <w:t>四、开标</w:t>
      </w:r>
    </w:p>
    <w:p>
      <w:pPr>
        <w:pStyle w:val="20"/>
        <w:snapToGrid w:val="0"/>
        <w:spacing w:beforeLines="0" w:afterLines="0"/>
        <w:ind w:firstLine="472" w:firstLineChars="196"/>
        <w:rPr>
          <w:rFonts w:hAnsi="宋体"/>
          <w:color w:val="auto"/>
          <w:highlight w:val="none"/>
        </w:rPr>
      </w:pPr>
      <w:r>
        <w:rPr>
          <w:rFonts w:hAnsi="宋体"/>
          <w:color w:val="auto"/>
          <w:highlight w:val="none"/>
        </w:rPr>
        <w:t>（一）开标准备</w:t>
      </w:r>
    </w:p>
    <w:p>
      <w:pPr>
        <w:pStyle w:val="34"/>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44"/>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0"/>
        <w:snapToGrid w:val="0"/>
        <w:spacing w:beforeLines="0" w:afterLines="0"/>
        <w:ind w:firstLine="472" w:firstLineChars="196"/>
        <w:rPr>
          <w:rFonts w:hAnsi="宋体"/>
          <w:color w:val="auto"/>
          <w:highlight w:val="none"/>
        </w:rPr>
      </w:pPr>
      <w:r>
        <w:rPr>
          <w:rFonts w:hAnsi="宋体"/>
          <w:color w:val="auto"/>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0"/>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0"/>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0"/>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0"/>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0"/>
        <w:snapToGrid w:val="0"/>
        <w:spacing w:beforeLines="0" w:afterLines="0" w:line="360" w:lineRule="exact"/>
        <w:rPr>
          <w:rFonts w:hAnsi="宋体"/>
          <w:color w:val="auto"/>
          <w:sz w:val="30"/>
          <w:szCs w:val="30"/>
          <w:highlight w:val="none"/>
        </w:rPr>
      </w:pPr>
      <w:r>
        <w:rPr>
          <w:rFonts w:hAnsi="宋体"/>
          <w:color w:val="auto"/>
          <w:sz w:val="30"/>
          <w:szCs w:val="30"/>
          <w:highlight w:val="none"/>
        </w:rPr>
        <w:t>五、评标</w:t>
      </w:r>
    </w:p>
    <w:p>
      <w:pPr>
        <w:pStyle w:val="20"/>
        <w:snapToGrid w:val="0"/>
        <w:spacing w:before="120" w:after="120" w:line="360" w:lineRule="exact"/>
        <w:ind w:left="876" w:leftChars="128" w:hanging="518" w:hangingChars="215"/>
        <w:rPr>
          <w:rFonts w:hAnsi="宋体"/>
          <w:color w:val="auto"/>
          <w:highlight w:val="none"/>
        </w:rPr>
      </w:pPr>
      <w:r>
        <w:rPr>
          <w:rFonts w:hAnsi="宋体"/>
          <w:color w:val="auto"/>
          <w:highlight w:val="none"/>
        </w:rPr>
        <w:t>（一）组建评标委员会</w:t>
      </w:r>
    </w:p>
    <w:p>
      <w:pPr>
        <w:pStyle w:val="20"/>
        <w:snapToGrid w:val="0"/>
        <w:spacing w:before="120" w:after="120" w:line="360" w:lineRule="exact"/>
        <w:ind w:firstLine="482" w:firstLineChars="200"/>
        <w:rPr>
          <w:rFonts w:hAnsi="宋体"/>
          <w:color w:val="auto"/>
          <w:highlight w:val="none"/>
        </w:rPr>
      </w:pPr>
      <w:r>
        <w:rPr>
          <w:rFonts w:hAnsi="宋体"/>
          <w:color w:val="auto"/>
          <w:highlight w:val="none"/>
        </w:rPr>
        <w:t>本项目评标委员会由评审专家或评审专家和采购人代表组成。</w:t>
      </w:r>
    </w:p>
    <w:p>
      <w:pPr>
        <w:pStyle w:val="20"/>
        <w:snapToGrid w:val="0"/>
        <w:spacing w:before="120" w:after="120" w:line="360" w:lineRule="exact"/>
        <w:ind w:left="879" w:leftChars="129" w:hanging="518" w:hangingChars="215"/>
        <w:rPr>
          <w:rFonts w:hAnsi="宋体"/>
          <w:color w:val="auto"/>
          <w:highlight w:val="none"/>
        </w:rPr>
      </w:pPr>
      <w:r>
        <w:rPr>
          <w:rFonts w:hAnsi="宋体"/>
          <w:color w:val="auto"/>
          <w:highlight w:val="none"/>
        </w:rPr>
        <w:t>（二）评标的方式</w:t>
      </w:r>
    </w:p>
    <w:p>
      <w:pPr>
        <w:pStyle w:val="20"/>
        <w:snapToGrid w:val="0"/>
        <w:spacing w:before="120" w:after="120" w:line="360" w:lineRule="exact"/>
        <w:ind w:left="879" w:leftChars="228" w:hanging="241" w:hangingChars="100"/>
        <w:rPr>
          <w:rFonts w:hAnsi="宋体"/>
          <w:color w:val="auto"/>
          <w:highlight w:val="none"/>
        </w:rPr>
      </w:pPr>
      <w:r>
        <w:rPr>
          <w:rFonts w:hAnsi="宋体"/>
          <w:color w:val="auto"/>
          <w:highlight w:val="none"/>
        </w:rPr>
        <w:t>本项目采用不公开方式评标，评标的依据为招标文件和投标文件。</w:t>
      </w:r>
    </w:p>
    <w:p>
      <w:pPr>
        <w:pStyle w:val="20"/>
        <w:snapToGrid w:val="0"/>
        <w:spacing w:before="120" w:after="120" w:line="360" w:lineRule="exact"/>
        <w:ind w:left="879" w:leftChars="129" w:hanging="518" w:hangingChars="215"/>
        <w:rPr>
          <w:rFonts w:hAnsi="宋体"/>
          <w:color w:val="auto"/>
          <w:highlight w:val="none"/>
        </w:rPr>
      </w:pPr>
      <w:r>
        <w:rPr>
          <w:rFonts w:hAnsi="宋体"/>
          <w:color w:val="auto"/>
          <w:highlight w:val="none"/>
        </w:rPr>
        <w:t>（三）</w:t>
      </w:r>
      <w:r>
        <w:rPr>
          <w:rFonts w:hAnsi="宋体"/>
          <w:bCs/>
          <w:color w:val="auto"/>
          <w:highlight w:val="none"/>
        </w:rPr>
        <w:t>评标程序</w:t>
      </w:r>
    </w:p>
    <w:p>
      <w:pPr>
        <w:snapToGrid w:val="0"/>
        <w:spacing w:line="360" w:lineRule="exact"/>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360" w:lineRule="exact"/>
        <w:ind w:firstLine="480" w:firstLineChars="200"/>
        <w:rPr>
          <w:rFonts w:hint="eastAsia" w:ascii="宋体" w:hAnsi="宋体"/>
          <w:b/>
          <w:color w:val="auto"/>
          <w:sz w:val="24"/>
          <w:szCs w:val="20"/>
          <w:highlight w:val="none"/>
        </w:rPr>
      </w:pPr>
      <w:r>
        <w:rPr>
          <w:rFonts w:hint="eastAsia" w:ascii="宋体" w:hAnsi="宋体"/>
          <w:color w:val="auto"/>
          <w:sz w:val="24"/>
          <w:highlight w:val="none"/>
        </w:rPr>
        <w:t>采购人代表和代理机构工作人员协助评标委员会对投标人的资格</w:t>
      </w:r>
      <w:r>
        <w:rPr>
          <w:rFonts w:ascii="宋体" w:hAnsi="宋体"/>
          <w:color w:val="auto"/>
          <w:sz w:val="24"/>
          <w:highlight w:val="none"/>
        </w:rPr>
        <w:t>和投标文件的完整性、合法性等进行审查。</w:t>
      </w:r>
    </w:p>
    <w:p>
      <w:pPr>
        <w:snapToGrid w:val="0"/>
        <w:spacing w:line="360" w:lineRule="exact"/>
        <w:ind w:firstLine="472" w:firstLineChars="196"/>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360" w:lineRule="exact"/>
        <w:ind w:firstLine="480" w:firstLineChars="200"/>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snapToGrid w:val="0"/>
        <w:spacing w:line="360" w:lineRule="exact"/>
        <w:ind w:firstLine="480" w:firstLineChars="200"/>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2）评标委员会将根据投标人的投标文件进行审查、核对,如有疑问,将对投标人进行询标,投标人要向评标委员会澄清有关问题,并最终以书面形式进行答复。</w:t>
      </w:r>
      <w:r>
        <w:rPr>
          <w:rFonts w:hint="eastAsia" w:ascii="宋体" w:hAnsi="宋体"/>
          <w:color w:val="auto"/>
          <w:sz w:val="24"/>
          <w:highlight w:val="none"/>
        </w:rPr>
        <w:t>投标人代表未到场或者拒绝澄清或者澄清的内容改变了投标文件的实质性内容的，评标委员会有权对该投标文件作出不利于投标人的评判。</w:t>
      </w:r>
    </w:p>
    <w:p>
      <w:pPr>
        <w:snapToGrid w:val="0"/>
        <w:spacing w:line="360" w:lineRule="exact"/>
        <w:ind w:firstLine="480" w:firstLineChars="200"/>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。评标委员会按评标原则推荐中标候选人同时起草评标报告。</w:t>
      </w:r>
    </w:p>
    <w:p>
      <w:pPr>
        <w:snapToGrid w:val="0"/>
        <w:spacing w:line="360" w:lineRule="exact"/>
        <w:ind w:firstLine="359" w:firstLineChars="149"/>
        <w:rPr>
          <w:rFonts w:ascii="宋体" w:hAnsi="宋体"/>
          <w:b/>
          <w:color w:val="auto"/>
          <w:sz w:val="24"/>
          <w:szCs w:val="20"/>
          <w:highlight w:val="none"/>
        </w:rPr>
      </w:pPr>
      <w:r>
        <w:rPr>
          <w:rFonts w:hint="eastAsia" w:ascii="宋体" w:hAnsi="宋体"/>
          <w:b/>
          <w:color w:val="auto"/>
          <w:sz w:val="24"/>
          <w:highlight w:val="none"/>
        </w:rPr>
        <w:t>（四）澄清问题的形式</w:t>
      </w:r>
    </w:p>
    <w:p>
      <w:pPr>
        <w:snapToGrid w:val="0"/>
        <w:spacing w:line="360" w:lineRule="exact"/>
        <w:ind w:firstLine="480" w:firstLineChars="200"/>
        <w:rPr>
          <w:rFonts w:ascii="宋体" w:hAnsi="宋体"/>
          <w:color w:val="auto"/>
          <w:sz w:val="24"/>
          <w:szCs w:val="20"/>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发送到邮箱或不见面开标大厅的“互动”模块，并不得超出投标文件的范围或者改变投标文件的实质性内容。</w:t>
      </w:r>
    </w:p>
    <w:p>
      <w:pPr>
        <w:pStyle w:val="20"/>
        <w:snapToGrid w:val="0"/>
        <w:spacing w:before="120" w:after="120" w:line="360" w:lineRule="exact"/>
        <w:ind w:left="877" w:leftChars="129" w:hanging="516" w:hangingChars="214"/>
        <w:rPr>
          <w:rFonts w:hAnsi="宋体"/>
          <w:color w:val="auto"/>
          <w:highlight w:val="none"/>
        </w:rPr>
      </w:pPr>
      <w:r>
        <w:rPr>
          <w:rFonts w:hAnsi="宋体"/>
          <w:color w:val="auto"/>
          <w:highlight w:val="none"/>
        </w:rPr>
        <w:t>（五）错误修正</w:t>
      </w:r>
    </w:p>
    <w:p>
      <w:pPr>
        <w:pStyle w:val="20"/>
        <w:snapToGrid w:val="0"/>
        <w:spacing w:before="120" w:after="120" w:line="360" w:lineRule="exact"/>
        <w:ind w:firstLine="482" w:firstLineChars="200"/>
        <w:rPr>
          <w:rFonts w:hAnsi="宋体"/>
          <w:color w:val="auto"/>
          <w:highlight w:val="none"/>
        </w:rPr>
      </w:pPr>
      <w:r>
        <w:rPr>
          <w:rFonts w:hAnsi="宋体"/>
          <w:color w:val="auto"/>
          <w:highlight w:val="none"/>
        </w:rPr>
        <w:t>投标文件如果出现计算或表达上的错误，修正错误的原则如下：</w:t>
      </w:r>
    </w:p>
    <w:p>
      <w:pPr>
        <w:pStyle w:val="20"/>
        <w:snapToGrid w:val="0"/>
        <w:spacing w:before="120" w:after="120" w:line="360" w:lineRule="exact"/>
        <w:ind w:firstLine="482" w:firstLineChars="200"/>
        <w:rPr>
          <w:rFonts w:hAnsi="宋体"/>
          <w:color w:val="auto"/>
          <w:highlight w:val="none"/>
        </w:rPr>
      </w:pPr>
      <w:r>
        <w:rPr>
          <w:rFonts w:hAnsi="宋体"/>
          <w:color w:val="auto"/>
          <w:highlight w:val="none"/>
        </w:rPr>
        <w:t>1、</w:t>
      </w:r>
      <w:r>
        <w:rPr>
          <w:rFonts w:hAnsi="宋体" w:cs="宋体"/>
          <w:color w:val="auto"/>
          <w:highlight w:val="none"/>
        </w:rPr>
        <w:t>“台州湾新区小额工程电子交易平台”上开启的投标报价与电子投标文件中开标一览表（报价表）内容不一致的，以电子投标文件中开标一览表（报价表）为准；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3、大写金额和小写金额不一致的，以大写金额为准；</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4、单价金额小数点或者百分比有明显错位的，以投标承诺书的总价为准，并修改单价；</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5、总价金额与按单价汇总金额不一致的，以总价金额为准，合理调整单价。</w:t>
      </w:r>
    </w:p>
    <w:p>
      <w:pPr>
        <w:pStyle w:val="20"/>
        <w:snapToGrid w:val="0"/>
        <w:spacing w:before="120" w:after="120" w:line="360" w:lineRule="exact"/>
        <w:ind w:firstLine="482" w:firstLineChars="200"/>
        <w:rPr>
          <w:rFonts w:hAnsi="宋体"/>
          <w:bCs/>
          <w:color w:val="auto"/>
          <w:highlight w:val="none"/>
        </w:rPr>
      </w:pPr>
      <w:r>
        <w:rPr>
          <w:rFonts w:hAnsi="宋体"/>
          <w:bCs/>
          <w:color w:val="auto"/>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360" w:lineRule="exact"/>
        <w:ind w:firstLine="359" w:firstLineChars="149"/>
        <w:rPr>
          <w:rFonts w:ascii="宋体" w:hAnsi="宋体"/>
          <w:b/>
          <w:color w:val="auto"/>
          <w:kern w:val="0"/>
          <w:sz w:val="24"/>
          <w:highlight w:val="none"/>
        </w:rPr>
      </w:pPr>
      <w:r>
        <w:rPr>
          <w:rFonts w:hint="eastAsia" w:ascii="宋体" w:hAnsi="宋体"/>
          <w:b/>
          <w:color w:val="auto"/>
          <w:kern w:val="0"/>
          <w:sz w:val="24"/>
          <w:highlight w:val="none"/>
        </w:rPr>
        <w:t>（六）有下列情况之一的，本次招标作为废标处理，除采购任务取消外，由采购人重新组织招标：</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1、符合专业条件的投标人或者对招标文件作实质响应的投标人不足3家；</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2、出现影响采购公正的违法、违规行为的；</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3、投标人的报价均超过了采购最高限价，采购人不能支付的；</w:t>
      </w:r>
    </w:p>
    <w:p>
      <w:pPr>
        <w:snapToGrid w:val="0"/>
        <w:spacing w:line="360" w:lineRule="exact"/>
        <w:ind w:firstLine="480" w:firstLineChars="200"/>
        <w:rPr>
          <w:rFonts w:ascii="宋体" w:hAnsi="宋体"/>
          <w:color w:val="auto"/>
          <w:sz w:val="24"/>
          <w:highlight w:val="none"/>
        </w:rPr>
      </w:pPr>
      <w:r>
        <w:rPr>
          <w:rFonts w:ascii="宋体" w:hAnsi="宋体"/>
          <w:color w:val="auto"/>
          <w:sz w:val="24"/>
          <w:highlight w:val="none"/>
        </w:rPr>
        <w:t>4、因重大变故，采购任务取消的。</w:t>
      </w:r>
    </w:p>
    <w:p>
      <w:pPr>
        <w:pStyle w:val="20"/>
        <w:tabs>
          <w:tab w:val="left" w:pos="630"/>
        </w:tabs>
        <w:snapToGrid w:val="0"/>
        <w:spacing w:before="120" w:after="120" w:line="360" w:lineRule="exact"/>
        <w:ind w:firstLine="359" w:firstLineChars="149"/>
        <w:rPr>
          <w:rFonts w:hAnsi="宋体"/>
          <w:color w:val="auto"/>
          <w:highlight w:val="none"/>
        </w:rPr>
      </w:pPr>
      <w:r>
        <w:rPr>
          <w:rFonts w:hAnsi="宋体"/>
          <w:color w:val="auto"/>
          <w:highlight w:val="none"/>
        </w:rPr>
        <w:t>（七）评标原则和评标办法</w:t>
      </w:r>
    </w:p>
    <w:p>
      <w:pPr>
        <w:pStyle w:val="20"/>
        <w:snapToGrid w:val="0"/>
        <w:spacing w:before="120" w:after="120" w:line="360" w:lineRule="exact"/>
        <w:ind w:firstLine="482" w:firstLineChars="200"/>
        <w:rPr>
          <w:rFonts w:hAnsi="宋体"/>
          <w:color w:val="auto"/>
          <w:highlight w:val="none"/>
        </w:rPr>
      </w:pPr>
      <w:r>
        <w:rPr>
          <w:rFonts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120" w:after="120" w:line="360" w:lineRule="exact"/>
        <w:ind w:firstLine="482" w:firstLineChars="200"/>
        <w:rPr>
          <w:rFonts w:hAnsi="宋体"/>
          <w:color w:val="auto"/>
          <w:highlight w:val="none"/>
        </w:rPr>
      </w:pPr>
      <w:r>
        <w:rPr>
          <w:rFonts w:hAnsi="宋体"/>
          <w:color w:val="auto"/>
          <w:highlight w:val="none"/>
        </w:rPr>
        <w:t>2、评标办法。具体评标内容及评分标准等详见《第四章：评标办法及评分标准》。</w:t>
      </w:r>
    </w:p>
    <w:p>
      <w:pPr>
        <w:pStyle w:val="20"/>
        <w:snapToGrid w:val="0"/>
        <w:spacing w:before="120" w:after="120" w:line="360" w:lineRule="exact"/>
        <w:ind w:firstLine="359" w:firstLineChars="149"/>
        <w:rPr>
          <w:rFonts w:hAnsi="宋体"/>
          <w:color w:val="auto"/>
          <w:highlight w:val="none"/>
        </w:rPr>
      </w:pPr>
      <w:r>
        <w:rPr>
          <w:rFonts w:hAnsi="宋体"/>
          <w:color w:val="auto"/>
          <w:highlight w:val="none"/>
        </w:rPr>
        <w:t>（八）评标过程的监控</w:t>
      </w:r>
    </w:p>
    <w:p>
      <w:pPr>
        <w:pStyle w:val="20"/>
        <w:snapToGrid w:val="0"/>
        <w:spacing w:before="120" w:after="120" w:line="360" w:lineRule="exact"/>
        <w:ind w:firstLine="482" w:firstLineChars="200"/>
        <w:rPr>
          <w:rFonts w:hAnsi="宋体"/>
          <w:color w:val="auto"/>
          <w:highlight w:val="none"/>
        </w:rPr>
      </w:pPr>
      <w:r>
        <w:rPr>
          <w:rFonts w:hAnsi="宋体"/>
          <w:color w:val="auto"/>
          <w:highlight w:val="none"/>
        </w:rPr>
        <w:t>本项目评标过程实行全程录音、录像监控，投标人在评标过程中所进行的试图影响评标结果的不公正活动，可能导致其投标被拒绝。</w:t>
      </w:r>
    </w:p>
    <w:p>
      <w:pPr>
        <w:pStyle w:val="20"/>
        <w:snapToGrid w:val="0"/>
        <w:spacing w:before="120" w:after="120" w:line="360" w:lineRule="exact"/>
        <w:rPr>
          <w:rFonts w:hAnsi="宋体"/>
          <w:color w:val="auto"/>
          <w:sz w:val="30"/>
          <w:szCs w:val="30"/>
          <w:highlight w:val="none"/>
        </w:rPr>
      </w:pPr>
      <w:r>
        <w:rPr>
          <w:rFonts w:hAnsi="宋体"/>
          <w:color w:val="auto"/>
          <w:sz w:val="30"/>
          <w:szCs w:val="30"/>
          <w:highlight w:val="none"/>
        </w:rPr>
        <w:t>六、定标</w:t>
      </w:r>
    </w:p>
    <w:p>
      <w:pPr>
        <w:pStyle w:val="20"/>
        <w:snapToGrid w:val="0"/>
        <w:spacing w:before="120" w:after="120" w:line="360" w:lineRule="exact"/>
        <w:ind w:firstLine="472" w:firstLineChars="196"/>
        <w:rPr>
          <w:rFonts w:hAnsi="宋体"/>
          <w:bCs/>
          <w:color w:val="auto"/>
          <w:szCs w:val="20"/>
          <w:highlight w:val="none"/>
        </w:rPr>
      </w:pPr>
      <w:r>
        <w:rPr>
          <w:rFonts w:hAnsi="宋体"/>
          <w:bCs/>
          <w:color w:val="auto"/>
          <w:highlight w:val="none"/>
        </w:rPr>
        <w:t>（一）确定中标人。</w:t>
      </w:r>
    </w:p>
    <w:p>
      <w:pPr>
        <w:snapToGrid w:val="0"/>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如第二中标候选人因前款规定的同样原因不能签订合同的，本次招标失败，重新组织招标。</w:t>
      </w:r>
    </w:p>
    <w:p>
      <w:pPr>
        <w:pStyle w:val="20"/>
        <w:snapToGrid w:val="0"/>
        <w:spacing w:before="120" w:after="120" w:line="360" w:lineRule="exact"/>
        <w:rPr>
          <w:rFonts w:hAnsi="宋体"/>
          <w:color w:val="auto"/>
          <w:sz w:val="30"/>
          <w:szCs w:val="30"/>
          <w:highlight w:val="none"/>
        </w:rPr>
      </w:pPr>
      <w:r>
        <w:rPr>
          <w:rFonts w:hAnsi="宋体"/>
          <w:color w:val="auto"/>
          <w:sz w:val="30"/>
          <w:szCs w:val="30"/>
          <w:highlight w:val="none"/>
        </w:rPr>
        <w:t>七、合同授予</w:t>
      </w:r>
    </w:p>
    <w:p>
      <w:pPr>
        <w:snapToGrid w:val="0"/>
        <w:spacing w:line="360" w:lineRule="exact"/>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pPr>
        <w:snapToGrid w:val="0"/>
        <w:spacing w:line="360" w:lineRule="exact"/>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日内签订采购合同。同时，采购代理机构对合同内容进行审查，如发现与采购结果和投标承诺内容不一致的，应予以纠正。</w:t>
      </w:r>
    </w:p>
    <w:p>
      <w:pPr>
        <w:snapToGrid w:val="0"/>
        <w:spacing w:line="360" w:lineRule="exact"/>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中标人拖延、拒签合同的,将被扣罚投标保证金并取消中标资格。</w:t>
      </w:r>
    </w:p>
    <w:p>
      <w:pPr>
        <w:pStyle w:val="20"/>
        <w:snapToGrid w:val="0"/>
        <w:spacing w:before="120" w:after="120" w:line="360" w:lineRule="exact"/>
        <w:ind w:firstLine="472" w:firstLineChars="196"/>
        <w:rPr>
          <w:rFonts w:hAnsi="宋体"/>
          <w:color w:val="auto"/>
          <w:highlight w:val="none"/>
        </w:rPr>
      </w:pPr>
      <w:r>
        <w:rPr>
          <w:rFonts w:hAnsi="宋体"/>
          <w:color w:val="auto"/>
          <w:highlight w:val="none"/>
        </w:rPr>
        <w:t>（二）履约保证金</w:t>
      </w:r>
    </w:p>
    <w:p>
      <w:pPr>
        <w:pStyle w:val="20"/>
        <w:snapToGrid w:val="0"/>
        <w:spacing w:before="120" w:after="120" w:line="360" w:lineRule="exact"/>
        <w:ind w:firstLine="480" w:firstLineChars="200"/>
        <w:rPr>
          <w:rFonts w:hAnsi="宋体"/>
          <w:b w:val="0"/>
          <w:bCs/>
          <w:color w:val="auto"/>
          <w:highlight w:val="none"/>
        </w:rPr>
      </w:pPr>
      <w:r>
        <w:rPr>
          <w:rFonts w:hAnsi="宋体"/>
          <w:b w:val="0"/>
          <w:bCs/>
          <w:color w:val="auto"/>
          <w:highlight w:val="none"/>
        </w:rPr>
        <w:t>1.签订合同前，中标人应按招标文件确定的履约保证金的金额，向采购人交纳履约保证金，否则，采购人将没收中标人的全部投标保证金。</w:t>
      </w:r>
    </w:p>
    <w:p>
      <w:pPr>
        <w:pStyle w:val="20"/>
        <w:snapToGrid w:val="0"/>
        <w:spacing w:before="120" w:after="120" w:line="360" w:lineRule="exact"/>
        <w:ind w:firstLine="480" w:firstLineChars="200"/>
        <w:rPr>
          <w:rFonts w:hAnsi="宋体"/>
          <w:b w:val="0"/>
          <w:bCs/>
          <w:color w:val="auto"/>
          <w:highlight w:val="none"/>
        </w:rPr>
      </w:pPr>
      <w:r>
        <w:rPr>
          <w:rFonts w:hAnsi="宋体"/>
          <w:b w:val="0"/>
          <w:bCs/>
          <w:color w:val="auto"/>
          <w:highlight w:val="none"/>
        </w:rPr>
        <w:t>2.签订合同后，如中标人不按双方合同约定履约，则其全部履约保证金用于弥补损伯，不予退回；如履约保证金不足以赔偿损失的，按实际损失赔偿。</w:t>
      </w:r>
    </w:p>
    <w:p>
      <w:pPr>
        <w:pStyle w:val="34"/>
        <w:spacing w:before="0" w:beforeAutospacing="0" w:after="0" w:afterAutospacing="0" w:line="360" w:lineRule="auto"/>
        <w:ind w:firstLine="600" w:firstLineChars="250"/>
        <w:jc w:val="both"/>
        <w:rPr>
          <w:color w:val="auto"/>
          <w:highlight w:val="none"/>
        </w:rPr>
      </w:pPr>
    </w:p>
    <w:p>
      <w:pPr>
        <w:pStyle w:val="20"/>
        <w:numPr>
          <w:ilvl w:val="0"/>
          <w:numId w:val="8"/>
        </w:numPr>
        <w:snapToGrid w:val="0"/>
        <w:spacing w:before="120" w:beforeLines="0" w:after="120" w:afterLines="0" w:line="240" w:lineRule="auto"/>
        <w:jc w:val="center"/>
        <w:rPr>
          <w:rFonts w:hAnsi="宋体"/>
          <w:b w:val="0"/>
          <w:color w:val="auto"/>
          <w:sz w:val="30"/>
          <w:szCs w:val="30"/>
          <w:highlight w:val="none"/>
        </w:rPr>
      </w:pPr>
      <w:r>
        <w:rPr>
          <w:rFonts w:hAnsi="宋体"/>
          <w:b w:val="0"/>
          <w:color w:val="auto"/>
          <w:sz w:val="30"/>
          <w:szCs w:val="30"/>
          <w:highlight w:val="none"/>
        </w:rPr>
        <w:br w:type="page"/>
      </w:r>
      <w:bookmarkStart w:id="7" w:name="第四章"/>
      <w:r>
        <w:rPr>
          <w:rFonts w:hAnsi="宋体"/>
          <w:b w:val="0"/>
          <w:color w:val="auto"/>
          <w:sz w:val="30"/>
          <w:szCs w:val="30"/>
          <w:highlight w:val="none"/>
        </w:rPr>
        <w:t xml:space="preserve"> </w:t>
      </w:r>
      <w:bookmarkStart w:id="8" w:name="_Toc22477_WPSOffice_Level1"/>
      <w:r>
        <w:rPr>
          <w:rFonts w:hAnsi="宋体"/>
          <w:b w:val="0"/>
          <w:color w:val="auto"/>
          <w:sz w:val="30"/>
          <w:szCs w:val="30"/>
          <w:highlight w:val="none"/>
        </w:rPr>
        <w:t>评标办法及评分标准</w:t>
      </w:r>
      <w:bookmarkEnd w:id="7"/>
      <w:bookmarkEnd w:id="8"/>
    </w:p>
    <w:p>
      <w:pPr>
        <w:spacing w:before="120" w:beforeLines="50" w:after="120" w:afterLines="50"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bidi="ar"/>
        </w:rPr>
        <w:t>为公正、公平、科学地选择中标人，根据《中</w:t>
      </w:r>
      <w:r>
        <w:rPr>
          <w:rFonts w:hint="eastAsia" w:ascii="宋体" w:hAnsi="宋体"/>
          <w:color w:val="auto"/>
          <w:sz w:val="24"/>
          <w:highlight w:val="none"/>
        </w:rPr>
        <w:t>华人民共和国招标投标法</w:t>
      </w:r>
      <w:r>
        <w:rPr>
          <w:rFonts w:hint="eastAsia" w:ascii="宋体" w:hAnsi="宋体" w:cs="宋体"/>
          <w:color w:val="auto"/>
          <w:sz w:val="24"/>
          <w:highlight w:val="none"/>
          <w:lang w:bidi="ar"/>
        </w:rPr>
        <w:t>》等有关法律法规的规定，并结合本项目的实际，制定本办法。</w:t>
      </w:r>
    </w:p>
    <w:p>
      <w:pPr>
        <w:spacing w:before="120" w:beforeLines="50" w:after="120" w:afterLines="50" w:line="360" w:lineRule="auto"/>
        <w:ind w:firstLine="420"/>
        <w:rPr>
          <w:rFonts w:hint="eastAsia" w:ascii="宋体" w:hAnsi="宋体" w:cs="宋体"/>
          <w:bCs/>
          <w:color w:val="auto"/>
          <w:sz w:val="24"/>
          <w:szCs w:val="48"/>
          <w:highlight w:val="none"/>
        </w:rPr>
      </w:pPr>
      <w:r>
        <w:rPr>
          <w:rFonts w:hint="eastAsia" w:ascii="宋体" w:hAnsi="宋体" w:cs="宋体"/>
          <w:color w:val="auto"/>
          <w:sz w:val="24"/>
          <w:highlight w:val="none"/>
          <w:lang w:bidi="ar"/>
        </w:rPr>
        <w:t>本办法适用于</w:t>
      </w:r>
      <w:r>
        <w:rPr>
          <w:rFonts w:hint="eastAsia" w:cs="宋体"/>
          <w:b/>
          <w:color w:val="auto"/>
          <w:sz w:val="24"/>
          <w:highlight w:val="none"/>
          <w:lang w:bidi="ar"/>
        </w:rPr>
        <w:t>本项目</w:t>
      </w:r>
      <w:r>
        <w:rPr>
          <w:rFonts w:hint="eastAsia" w:ascii="宋体" w:hAnsi="宋体" w:cs="宋体"/>
          <w:bCs/>
          <w:color w:val="auto"/>
          <w:sz w:val="24"/>
          <w:szCs w:val="48"/>
          <w:highlight w:val="none"/>
          <w:lang w:bidi="ar"/>
        </w:rPr>
        <w:t>的评标。</w:t>
      </w:r>
    </w:p>
    <w:p>
      <w:pPr>
        <w:spacing w:before="120" w:beforeLines="50" w:after="120" w:afterLines="50" w:line="360" w:lineRule="auto"/>
        <w:ind w:firstLine="472" w:firstLineChars="196"/>
        <w:rPr>
          <w:rFonts w:ascii="宋体" w:hAnsi="宋体"/>
          <w:b/>
          <w:color w:val="auto"/>
          <w:sz w:val="24"/>
          <w:highlight w:val="none"/>
        </w:rPr>
      </w:pPr>
      <w:r>
        <w:rPr>
          <w:rFonts w:hint="eastAsia" w:ascii="宋体" w:hAnsi="宋体"/>
          <w:b/>
          <w:color w:val="auto"/>
          <w:sz w:val="24"/>
          <w:highlight w:val="none"/>
        </w:rPr>
        <w:t>一、总则</w:t>
      </w:r>
    </w:p>
    <w:p>
      <w:pPr>
        <w:spacing w:line="360" w:lineRule="auto"/>
        <w:ind w:firstLine="480" w:firstLineChars="200"/>
        <w:rPr>
          <w:rFonts w:hint="eastAsia" w:ascii="宋体" w:hAnsi="宋体" w:eastAsia="宋体" w:cs="Times New Roman"/>
          <w:color w:val="0C0C0C"/>
          <w:sz w:val="24"/>
          <w:highlight w:val="none"/>
        </w:rPr>
      </w:pPr>
      <w:r>
        <w:rPr>
          <w:rFonts w:hint="eastAsia" w:ascii="宋体" w:hAnsi="宋体" w:eastAsia="宋体" w:cs="Times New Roman"/>
          <w:color w:val="0C0C0C"/>
          <w:sz w:val="24"/>
          <w:highlight w:val="none"/>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pPr>
        <w:spacing w:before="120" w:beforeLines="50" w:after="120"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（1）资格审查</w:t>
      </w:r>
    </w:p>
    <w:p>
      <w:pPr>
        <w:spacing w:before="120" w:beforeLines="50" w:after="120" w:afterLines="50" w:line="360" w:lineRule="auto"/>
        <w:ind w:firstLine="480" w:firstLineChars="200"/>
        <w:rPr>
          <w:rFonts w:ascii="宋体" w:hAnsi="宋体"/>
          <w:b/>
          <w:color w:val="auto"/>
          <w:sz w:val="24"/>
          <w:highlight w:val="none"/>
        </w:rPr>
      </w:pPr>
      <w:r>
        <w:rPr>
          <w:rFonts w:hint="eastAsia"/>
          <w:color w:val="auto"/>
          <w:sz w:val="24"/>
          <w:highlight w:val="none"/>
        </w:rPr>
        <w:t>评标委员会按照招标文件载明的投标人资格条件对投标人进行审查，凡不符合资格审查中合格条件要求的，以无效标处理，不再进入后续阶段评标。</w:t>
      </w:r>
    </w:p>
    <w:p>
      <w:pPr>
        <w:spacing w:line="360" w:lineRule="auto"/>
        <w:ind w:firstLine="480" w:firstLineChars="200"/>
        <w:rPr>
          <w:rFonts w:hint="eastAsia"/>
          <w:color w:val="0C0C0C"/>
          <w:sz w:val="24"/>
          <w:highlight w:val="none"/>
        </w:rPr>
      </w:pPr>
      <w:r>
        <w:rPr>
          <w:rFonts w:hint="eastAsia"/>
          <w:color w:val="0C0C0C"/>
          <w:sz w:val="24"/>
          <w:highlight w:val="none"/>
        </w:rPr>
        <w:t>（一）评标标底价的确定。</w:t>
      </w:r>
    </w:p>
    <w:p>
      <w:pPr>
        <w:spacing w:line="360" w:lineRule="auto"/>
        <w:ind w:firstLine="480" w:firstLineChars="200"/>
        <w:rPr>
          <w:rFonts w:hint="eastAsia"/>
          <w:color w:val="0C0C0C"/>
          <w:sz w:val="24"/>
          <w:highlight w:val="none"/>
        </w:rPr>
      </w:pPr>
      <w:r>
        <w:rPr>
          <w:rFonts w:hint="eastAsia"/>
          <w:color w:val="0C0C0C"/>
          <w:sz w:val="24"/>
          <w:highlight w:val="none"/>
        </w:rPr>
        <w:t>a、若有效投标人≥</w:t>
      </w:r>
      <w:r>
        <w:rPr>
          <w:rFonts w:hint="eastAsia"/>
          <w:color w:val="0C0C0C"/>
          <w:sz w:val="24"/>
          <w:highlight w:val="none"/>
          <w:lang w:val="en-US" w:eastAsia="zh-CN"/>
        </w:rPr>
        <w:t>9</w:t>
      </w:r>
      <w:r>
        <w:rPr>
          <w:rFonts w:hint="eastAsia"/>
          <w:color w:val="0C0C0C"/>
          <w:sz w:val="24"/>
          <w:highlight w:val="none"/>
        </w:rPr>
        <w:t>家，则去掉</w:t>
      </w:r>
      <w:r>
        <w:rPr>
          <w:rFonts w:hint="eastAsia"/>
          <w:color w:val="0C0C0C"/>
          <w:sz w:val="24"/>
          <w:highlight w:val="none"/>
          <w:lang w:val="en-US" w:eastAsia="zh-CN"/>
        </w:rPr>
        <w:t>3</w:t>
      </w:r>
      <w:r>
        <w:rPr>
          <w:rFonts w:hint="eastAsia"/>
          <w:color w:val="0C0C0C"/>
          <w:sz w:val="24"/>
          <w:highlight w:val="none"/>
        </w:rPr>
        <w:t>0%家最高和20%家最低的有效报价，再取余下有效报价的算术平均值后作为评标标底价（计算时四舍五入取整数）。</w:t>
      </w:r>
    </w:p>
    <w:p>
      <w:pPr>
        <w:spacing w:line="360" w:lineRule="auto"/>
        <w:ind w:firstLine="480" w:firstLineChars="200"/>
        <w:rPr>
          <w:rFonts w:hint="eastAsia"/>
          <w:color w:val="0C0C0C"/>
          <w:sz w:val="24"/>
          <w:highlight w:val="none"/>
        </w:rPr>
      </w:pPr>
      <w:r>
        <w:rPr>
          <w:rFonts w:hint="eastAsia"/>
          <w:color w:val="0C0C0C"/>
          <w:sz w:val="24"/>
          <w:highlight w:val="none"/>
        </w:rPr>
        <w:t>b、若有效投标人5≤A≤</w:t>
      </w:r>
      <w:r>
        <w:rPr>
          <w:rFonts w:hint="eastAsia"/>
          <w:color w:val="0C0C0C"/>
          <w:sz w:val="24"/>
          <w:highlight w:val="none"/>
          <w:lang w:val="en-US" w:eastAsia="zh-CN"/>
        </w:rPr>
        <w:t>8</w:t>
      </w:r>
      <w:r>
        <w:rPr>
          <w:rFonts w:hint="eastAsia"/>
          <w:color w:val="0C0C0C"/>
          <w:sz w:val="24"/>
          <w:highlight w:val="none"/>
        </w:rPr>
        <w:t>家，则去掉</w:t>
      </w:r>
      <w:r>
        <w:rPr>
          <w:rFonts w:hint="eastAsia"/>
          <w:color w:val="0C0C0C"/>
          <w:sz w:val="24"/>
          <w:highlight w:val="none"/>
          <w:lang w:val="en-US" w:eastAsia="zh-CN"/>
        </w:rPr>
        <w:t>两</w:t>
      </w:r>
      <w:r>
        <w:rPr>
          <w:rFonts w:hint="eastAsia"/>
          <w:color w:val="0C0C0C"/>
          <w:sz w:val="24"/>
          <w:highlight w:val="none"/>
        </w:rPr>
        <w:t>家最高和一家最低的有效报价，再取余下有效报价的算术平均值后作为评标标底价。</w:t>
      </w:r>
    </w:p>
    <w:p>
      <w:pPr>
        <w:spacing w:line="360" w:lineRule="auto"/>
        <w:ind w:firstLine="480" w:firstLineChars="200"/>
        <w:rPr>
          <w:rFonts w:hint="eastAsia"/>
          <w:color w:val="0C0C0C"/>
          <w:sz w:val="24"/>
          <w:highlight w:val="none"/>
        </w:rPr>
      </w:pPr>
      <w:r>
        <w:rPr>
          <w:rFonts w:hint="eastAsia"/>
          <w:color w:val="0C0C0C"/>
          <w:sz w:val="24"/>
          <w:highlight w:val="none"/>
        </w:rPr>
        <w:t>c、若有效投标人&lt;5家，取所有有效投标报价的平均值作为评标标底价</w:t>
      </w:r>
      <w:r>
        <w:rPr>
          <w:rFonts w:hint="eastAsia"/>
          <w:color w:val="0C0C0C"/>
          <w:sz w:val="24"/>
          <w:highlight w:val="none"/>
          <w:lang w:eastAsia="zh-CN"/>
        </w:rPr>
        <w:t>。</w:t>
      </w:r>
      <w:r>
        <w:rPr>
          <w:rFonts w:hint="eastAsia"/>
          <w:color w:val="0C0C0C"/>
          <w:sz w:val="24"/>
          <w:highlight w:val="none"/>
          <w:lang w:val="en-US" w:eastAsia="zh-CN"/>
        </w:rPr>
        <w:t>且</w:t>
      </w:r>
      <w:r>
        <w:rPr>
          <w:rFonts w:hint="eastAsia"/>
          <w:color w:val="0C0C0C"/>
          <w:sz w:val="24"/>
          <w:highlight w:val="none"/>
        </w:rPr>
        <w:t>需对最低投标报价进行标底价修正。</w:t>
      </w:r>
    </w:p>
    <w:p>
      <w:pPr>
        <w:spacing w:line="360" w:lineRule="auto"/>
        <w:ind w:firstLine="480" w:firstLineChars="200"/>
        <w:rPr>
          <w:rFonts w:hint="eastAsia"/>
          <w:color w:val="0C0C0C"/>
          <w:sz w:val="24"/>
          <w:highlight w:val="none"/>
        </w:rPr>
      </w:pPr>
      <w:r>
        <w:rPr>
          <w:rFonts w:hint="eastAsia"/>
          <w:color w:val="0C0C0C"/>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0C0C0C"/>
          <w:sz w:val="24"/>
          <w:highlight w:val="none"/>
        </w:rPr>
      </w:pPr>
      <w:r>
        <w:rPr>
          <w:rFonts w:hint="eastAsia"/>
          <w:color w:val="0C0C0C"/>
          <w:sz w:val="24"/>
          <w:highlight w:val="none"/>
        </w:rPr>
        <w:t>（</w:t>
      </w:r>
      <w:r>
        <w:rPr>
          <w:rFonts w:hint="eastAsia"/>
          <w:color w:val="0C0C0C"/>
          <w:sz w:val="24"/>
          <w:highlight w:val="none"/>
          <w:lang w:val="en-US" w:eastAsia="zh-CN"/>
        </w:rPr>
        <w:t>二</w:t>
      </w:r>
      <w:r>
        <w:rPr>
          <w:rFonts w:hint="eastAsia"/>
          <w:color w:val="0C0C0C"/>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0C0C0C"/>
          <w:sz w:val="24"/>
          <w:highlight w:val="none"/>
          <w:lang w:eastAsia="zh-CN"/>
        </w:rPr>
      </w:pPr>
      <w:r>
        <w:rPr>
          <w:rFonts w:hint="eastAsia" w:ascii="Times New Roman" w:hAnsi="Times New Roman" w:eastAsia="宋体" w:cs="Times New Roman"/>
          <w:color w:val="0C0C0C"/>
          <w:sz w:val="24"/>
          <w:highlight w:val="none"/>
        </w:rPr>
        <w:t>低于评标标底价且最接近者为第一中标候选人；除第一中标候选人外，绝对值最接近者为第二中标候选人，</w:t>
      </w:r>
      <w:r>
        <w:rPr>
          <w:rFonts w:hint="eastAsia" w:ascii="Times New Roman" w:hAnsi="Times New Roman" w:eastAsia="宋体" w:cs="Times New Roman"/>
          <w:color w:val="0C0C0C"/>
          <w:sz w:val="24"/>
          <w:highlight w:val="none"/>
          <w:lang w:val="en-US" w:eastAsia="zh-CN"/>
        </w:rPr>
        <w:t>如若投标报价（</w:t>
      </w:r>
      <w:r>
        <w:rPr>
          <w:rFonts w:hint="eastAsia" w:ascii="宋体" w:hAnsi="宋体" w:cs="宋体"/>
          <w:color w:val="0C0C0C"/>
          <w:sz w:val="24"/>
          <w:szCs w:val="24"/>
          <w:highlight w:val="none"/>
          <w:lang w:val="en-US" w:eastAsia="zh-CN"/>
        </w:rPr>
        <w:t>电池综合单价-电池回收价</w:t>
      </w:r>
      <w:r>
        <w:rPr>
          <w:rFonts w:hint="eastAsia" w:ascii="Times New Roman" w:hAnsi="Times New Roman" w:eastAsia="宋体" w:cs="Times New Roman"/>
          <w:color w:val="0C0C0C"/>
          <w:sz w:val="24"/>
          <w:highlight w:val="none"/>
          <w:lang w:val="en-US" w:eastAsia="zh-CN"/>
        </w:rPr>
        <w:t>）相同的情况下</w:t>
      </w:r>
      <w:r>
        <w:rPr>
          <w:rFonts w:hint="eastAsia" w:ascii="Times New Roman" w:hAnsi="Times New Roman" w:eastAsia="宋体" w:cs="Times New Roman"/>
          <w:color w:val="0C0C0C"/>
          <w:sz w:val="24"/>
          <w:highlight w:val="none"/>
        </w:rPr>
        <w:t>，以</w:t>
      </w:r>
      <w:r>
        <w:rPr>
          <w:rFonts w:hint="eastAsia" w:ascii="宋体" w:hAnsi="宋体" w:cs="宋体"/>
          <w:color w:val="0C0C0C"/>
          <w:sz w:val="24"/>
          <w:szCs w:val="24"/>
          <w:highlight w:val="none"/>
          <w:lang w:val="en-US" w:eastAsia="zh-CN"/>
        </w:rPr>
        <w:t>电池综合单价低的</w:t>
      </w:r>
      <w:r>
        <w:rPr>
          <w:rFonts w:hint="eastAsia" w:ascii="Times New Roman" w:hAnsi="Times New Roman" w:eastAsia="宋体" w:cs="Times New Roman"/>
          <w:color w:val="0C0C0C"/>
          <w:sz w:val="24"/>
          <w:highlight w:val="none"/>
        </w:rPr>
        <w:t>为优先</w:t>
      </w:r>
      <w:r>
        <w:rPr>
          <w:rFonts w:hint="eastAsia" w:ascii="Times New Roman" w:hAnsi="Times New Roman" w:eastAsia="宋体" w:cs="Times New Roman"/>
          <w:color w:val="0C0C0C"/>
          <w:sz w:val="24"/>
          <w:highlight w:val="none"/>
          <w:lang w:eastAsia="zh-CN"/>
        </w:rPr>
        <w:t>。</w:t>
      </w:r>
      <w:r>
        <w:rPr>
          <w:rFonts w:hint="eastAsia" w:ascii="Times New Roman" w:hAnsi="Times New Roman" w:eastAsia="宋体" w:cs="Times New Roman"/>
          <w:color w:val="0C0C0C"/>
          <w:sz w:val="24"/>
          <w:highlight w:val="none"/>
        </w:rPr>
        <w:t>如</w:t>
      </w:r>
      <w:r>
        <w:rPr>
          <w:rFonts w:hint="eastAsia" w:ascii="Times New Roman" w:hAnsi="Times New Roman" w:eastAsia="宋体" w:cs="Times New Roman"/>
          <w:color w:val="0C0C0C"/>
          <w:sz w:val="24"/>
          <w:highlight w:val="none"/>
          <w:lang w:val="en-US" w:eastAsia="zh-CN"/>
        </w:rPr>
        <w:t>电池综合单价也</w:t>
      </w:r>
      <w:r>
        <w:rPr>
          <w:rFonts w:hint="eastAsia" w:ascii="Times New Roman" w:hAnsi="Times New Roman" w:eastAsia="宋体" w:cs="Times New Roman"/>
          <w:color w:val="0C0C0C"/>
          <w:sz w:val="24"/>
          <w:highlight w:val="none"/>
        </w:rPr>
        <w:t>相同，则抽签确定</w:t>
      </w:r>
      <w:r>
        <w:rPr>
          <w:rFonts w:hint="eastAsia" w:ascii="Times New Roman" w:hAnsi="Times New Roman" w:eastAsia="宋体" w:cs="Times New Roman"/>
          <w:color w:val="0C0C0C"/>
          <w:sz w:val="24"/>
          <w:highlight w:val="none"/>
          <w:lang w:eastAsia="zh-CN"/>
        </w:rPr>
        <w:t>。</w:t>
      </w:r>
    </w:p>
    <w:p>
      <w:pPr>
        <w:spacing w:line="360" w:lineRule="auto"/>
        <w:ind w:firstLine="480" w:firstLineChars="200"/>
        <w:jc w:val="left"/>
        <w:rPr>
          <w:b/>
          <w:color w:val="0C0C0C"/>
          <w:sz w:val="24"/>
          <w:highlight w:val="none"/>
        </w:rPr>
      </w:pPr>
      <w:r>
        <w:rPr>
          <w:rFonts w:hint="eastAsia"/>
          <w:color w:val="0C0C0C"/>
          <w:sz w:val="24"/>
          <w:highlight w:val="none"/>
        </w:rPr>
        <w:t>（</w:t>
      </w:r>
      <w:r>
        <w:rPr>
          <w:rFonts w:hint="eastAsia"/>
          <w:color w:val="0C0C0C"/>
          <w:sz w:val="24"/>
          <w:highlight w:val="none"/>
          <w:lang w:val="en-US" w:eastAsia="zh-CN"/>
        </w:rPr>
        <w:t>三</w:t>
      </w:r>
      <w:r>
        <w:rPr>
          <w:rFonts w:hint="eastAsia"/>
          <w:color w:val="0C0C0C"/>
          <w:sz w:val="24"/>
          <w:highlight w:val="none"/>
        </w:rPr>
        <w:t>）如投标供应商报价超过采购最高限价，且采购人不能支付的，则应予废标，重新组织招标。</w:t>
      </w:r>
      <w:r>
        <w:rPr>
          <w:rFonts w:hint="eastAsia"/>
          <w:b/>
          <w:color w:val="0C0C0C"/>
          <w:sz w:val="24"/>
          <w:highlight w:val="none"/>
        </w:rPr>
        <w:t>本次招标采购最高</w:t>
      </w:r>
      <w:r>
        <w:rPr>
          <w:rFonts w:hint="eastAsia"/>
          <w:b/>
          <w:color w:val="0C0C0C"/>
          <w:sz w:val="24"/>
          <w:highlight w:val="none"/>
          <w:lang w:eastAsia="zh-CN"/>
        </w:rPr>
        <w:t>上限价</w:t>
      </w:r>
      <w:r>
        <w:rPr>
          <w:rFonts w:hint="eastAsia"/>
          <w:b/>
          <w:color w:val="0C0C0C"/>
          <w:sz w:val="24"/>
          <w:highlight w:val="none"/>
        </w:rPr>
        <w:t>：</w:t>
      </w:r>
      <w:r>
        <w:rPr>
          <w:rFonts w:hint="eastAsia"/>
          <w:b/>
          <w:color w:val="0C0C0C"/>
          <w:sz w:val="24"/>
          <w:highlight w:val="none"/>
          <w:u w:val="single"/>
          <w:lang w:val="en-US" w:eastAsia="zh-CN"/>
        </w:rPr>
        <w:t>168200</w:t>
      </w:r>
      <w:r>
        <w:rPr>
          <w:rFonts w:hint="eastAsia"/>
          <w:b/>
          <w:color w:val="0C0C0C"/>
          <w:sz w:val="24"/>
          <w:highlight w:val="none"/>
          <w:lang w:val="en-US" w:eastAsia="zh-CN"/>
        </w:rPr>
        <w:t>元</w:t>
      </w:r>
      <w:r>
        <w:rPr>
          <w:rFonts w:hint="eastAsia"/>
          <w:b/>
          <w:color w:val="0C0C0C"/>
          <w:sz w:val="24"/>
          <w:highlight w:val="none"/>
        </w:rPr>
        <w:t>。</w:t>
      </w:r>
      <w:r>
        <w:rPr>
          <w:b/>
          <w:color w:val="0C0C0C"/>
          <w:sz w:val="24"/>
          <w:highlight w:val="none"/>
        </w:rPr>
        <w:t xml:space="preserve"> </w:t>
      </w:r>
    </w:p>
    <w:p>
      <w:pPr>
        <w:adjustRightInd w:val="0"/>
        <w:spacing w:line="360" w:lineRule="auto"/>
        <w:jc w:val="center"/>
        <w:rPr>
          <w:rFonts w:hint="eastAsia"/>
          <w:color w:val="auto"/>
          <w:sz w:val="32"/>
          <w:highlight w:val="none"/>
        </w:rPr>
      </w:pPr>
      <w:r>
        <w:rPr>
          <w:color w:val="auto"/>
          <w:sz w:val="32"/>
          <w:highlight w:val="none"/>
        </w:rPr>
        <w:br w:type="page"/>
      </w:r>
      <w:bookmarkStart w:id="9" w:name="_Toc251160747"/>
      <w:r>
        <w:rPr>
          <w:rFonts w:hint="eastAsia"/>
          <w:color w:val="auto"/>
          <w:sz w:val="32"/>
          <w:highlight w:val="none"/>
        </w:rPr>
        <w:t>第五章 合同主要条款</w:t>
      </w:r>
    </w:p>
    <w:p>
      <w:pPr>
        <w:snapToGrid w:val="0"/>
        <w:spacing w:before="197" w:beforeLines="50" w:after="197" w:afterLines="50"/>
        <w:jc w:val="center"/>
        <w:rPr>
          <w:rFonts w:ascii="宋体" w:hAnsi="宋体"/>
          <w:b/>
          <w:bCs/>
          <w:color w:val="auto"/>
          <w:sz w:val="30"/>
          <w:szCs w:val="32"/>
          <w:highlight w:val="none"/>
        </w:rPr>
      </w:pPr>
      <w:r>
        <w:rPr>
          <w:rFonts w:hint="eastAsia" w:ascii="宋体" w:hAnsi="宋体"/>
          <w:b/>
          <w:color w:val="auto"/>
          <w:sz w:val="30"/>
          <w:szCs w:val="32"/>
          <w:highlight w:val="none"/>
        </w:rPr>
        <w:t>合同指引（货物）</w:t>
      </w:r>
    </w:p>
    <w:bookmarkEnd w:id="9"/>
    <w:p>
      <w:pPr>
        <w:pStyle w:val="20"/>
        <w:snapToGrid w:val="0"/>
        <w:spacing w:before="120" w:beforeLines="0" w:after="120" w:afterLines="0" w:line="420" w:lineRule="exact"/>
        <w:rPr>
          <w:rFonts w:hAnsi="宋体"/>
          <w:b w:val="0"/>
          <w:bCs/>
          <w:highlight w:val="none"/>
        </w:rPr>
      </w:pPr>
      <w:bookmarkStart w:id="10" w:name="_Toc25861_WPSOffice_Level1"/>
      <w:bookmarkStart w:id="11" w:name="第六章"/>
      <w:r>
        <w:rPr>
          <w:rFonts w:hAnsi="宋体"/>
          <w:b w:val="0"/>
          <w:bCs/>
          <w:highlight w:val="none"/>
        </w:rPr>
        <w:t>项目名称：</w:t>
      </w:r>
      <w:r>
        <w:rPr>
          <w:rFonts w:hint="eastAsia" w:hAnsi="宋体"/>
          <w:b w:val="0"/>
          <w:bCs/>
          <w:highlight w:val="none"/>
          <w:u w:val="single"/>
          <w:lang w:eastAsia="zh-CN"/>
        </w:rPr>
        <w:t xml:space="preserve">台州东发建设投资有限公司2024年度电池采购（第一批） </w:t>
      </w:r>
      <w:r>
        <w:rPr>
          <w:rFonts w:hAnsi="宋体"/>
          <w:b w:val="0"/>
          <w:bCs/>
          <w:highlight w:val="none"/>
        </w:rPr>
        <w:t xml:space="preserve"> </w:t>
      </w:r>
    </w:p>
    <w:p>
      <w:pPr>
        <w:pStyle w:val="20"/>
        <w:snapToGrid w:val="0"/>
        <w:spacing w:before="120" w:beforeLines="0" w:after="120" w:afterLines="0" w:line="420" w:lineRule="exact"/>
        <w:rPr>
          <w:rFonts w:hAnsi="宋体"/>
          <w:b w:val="0"/>
          <w:bCs/>
          <w:highlight w:val="none"/>
        </w:rPr>
      </w:pPr>
      <w:r>
        <w:rPr>
          <w:rFonts w:hAnsi="宋体"/>
          <w:b w:val="0"/>
          <w:bCs/>
          <w:highlight w:val="none"/>
        </w:rPr>
        <w:t>甲方：</w:t>
      </w:r>
      <w:r>
        <w:rPr>
          <w:rFonts w:hint="eastAsia" w:hAnsi="宋体"/>
          <w:b w:val="0"/>
          <w:bCs/>
          <w:highlight w:val="none"/>
        </w:rPr>
        <w:t>台州东发建设投资有限公司</w:t>
      </w:r>
    </w:p>
    <w:p>
      <w:pPr>
        <w:pStyle w:val="20"/>
        <w:snapToGrid w:val="0"/>
        <w:spacing w:before="120" w:beforeLines="0" w:after="120" w:afterLines="0" w:line="420" w:lineRule="exact"/>
        <w:rPr>
          <w:rFonts w:hAnsi="宋体"/>
          <w:b w:val="0"/>
          <w:bCs/>
          <w:highlight w:val="none"/>
        </w:rPr>
      </w:pPr>
      <w:r>
        <w:rPr>
          <w:rFonts w:hAnsi="宋体"/>
          <w:b w:val="0"/>
          <w:bCs/>
          <w:highlight w:val="none"/>
        </w:rPr>
        <w:t>乙方：</w:t>
      </w:r>
    </w:p>
    <w:p>
      <w:pPr>
        <w:pStyle w:val="20"/>
        <w:snapToGrid w:val="0"/>
        <w:spacing w:before="120" w:beforeLines="0" w:after="120" w:afterLines="0" w:line="420" w:lineRule="exact"/>
        <w:rPr>
          <w:rFonts w:hAnsi="宋体"/>
          <w:b w:val="0"/>
          <w:bCs/>
          <w:highlight w:val="none"/>
        </w:rPr>
      </w:pPr>
      <w:r>
        <w:rPr>
          <w:rFonts w:hAnsi="宋体"/>
          <w:b w:val="0"/>
          <w:bCs/>
          <w:highlight w:val="none"/>
        </w:rPr>
        <w:t xml:space="preserve">   甲、乙双方根据</w:t>
      </w:r>
      <w:r>
        <w:rPr>
          <w:rFonts w:hint="eastAsia" w:hAnsi="宋体"/>
          <w:b w:val="0"/>
          <w:bCs/>
          <w:highlight w:val="none"/>
          <w:u w:val="single"/>
          <w:lang w:eastAsia="zh-CN"/>
        </w:rPr>
        <w:t>台州东发建设投资有限公司2024年度电池采购（第一批）</w:t>
      </w:r>
      <w:r>
        <w:rPr>
          <w:rFonts w:hint="eastAsia" w:hAnsi="宋体"/>
          <w:b w:val="0"/>
          <w:bCs/>
          <w:highlight w:val="none"/>
        </w:rPr>
        <w:t xml:space="preserve"> </w:t>
      </w:r>
      <w:r>
        <w:rPr>
          <w:rFonts w:hAnsi="宋体"/>
          <w:b w:val="0"/>
          <w:bCs/>
          <w:highlight w:val="none"/>
        </w:rPr>
        <w:t>公开招标的结果，签署本合同。</w:t>
      </w:r>
    </w:p>
    <w:p>
      <w:pPr>
        <w:pStyle w:val="20"/>
        <w:snapToGrid w:val="0"/>
        <w:spacing w:before="120" w:beforeLines="0" w:after="120" w:afterLines="0" w:line="420" w:lineRule="exact"/>
        <w:rPr>
          <w:rFonts w:hAnsi="宋体"/>
          <w:b w:val="0"/>
          <w:bCs/>
          <w:highlight w:val="none"/>
        </w:rPr>
      </w:pPr>
      <w:r>
        <w:rPr>
          <w:rFonts w:hAnsi="宋体"/>
          <w:b w:val="0"/>
          <w:bCs/>
          <w:highlight w:val="none"/>
        </w:rPr>
        <w:t>一、货物内容</w:t>
      </w:r>
    </w:p>
    <w:p>
      <w:pPr>
        <w:pStyle w:val="20"/>
        <w:snapToGrid w:val="0"/>
        <w:spacing w:before="120" w:beforeLines="0" w:after="120" w:afterLines="0" w:line="420" w:lineRule="exact"/>
        <w:rPr>
          <w:rFonts w:hint="eastAsia" w:hAnsi="宋体" w:eastAsia="宋体"/>
          <w:b w:val="0"/>
          <w:bCs/>
          <w:highlight w:val="none"/>
          <w:lang w:eastAsia="zh-CN"/>
        </w:rPr>
      </w:pPr>
      <w:r>
        <w:rPr>
          <w:rFonts w:hAnsi="宋体"/>
          <w:b w:val="0"/>
          <w:bCs/>
          <w:highlight w:val="none"/>
        </w:rPr>
        <w:t>1.1 货物名称：</w:t>
      </w:r>
      <w:r>
        <w:rPr>
          <w:rFonts w:hint="eastAsia" w:hAnsi="宋体"/>
          <w:b w:val="0"/>
          <w:bCs/>
          <w:highlight w:val="none"/>
          <w:lang w:eastAsia="zh-CN"/>
        </w:rPr>
        <w:t>台州东发建设投资有限公司2024年度电池采购（第一批）</w:t>
      </w:r>
      <w:r>
        <w:rPr>
          <w:rFonts w:hint="eastAsia" w:hAnsi="宋体"/>
          <w:b w:val="0"/>
          <w:bCs/>
          <w:highlight w:val="none"/>
        </w:rPr>
        <w:t xml:space="preserve"> </w:t>
      </w:r>
    </w:p>
    <w:p>
      <w:pPr>
        <w:pStyle w:val="20"/>
        <w:snapToGrid w:val="0"/>
        <w:spacing w:before="120" w:beforeLines="0" w:after="120" w:afterLines="0" w:line="420" w:lineRule="exact"/>
        <w:rPr>
          <w:rFonts w:hint="eastAsia" w:hAnsi="宋体"/>
          <w:b w:val="0"/>
          <w:bCs/>
          <w:highlight w:val="none"/>
        </w:rPr>
      </w:pPr>
      <w:r>
        <w:rPr>
          <w:rFonts w:hAnsi="宋体"/>
          <w:b w:val="0"/>
          <w:bCs/>
          <w:highlight w:val="none"/>
        </w:rPr>
        <w:t>1.2 型号规格</w:t>
      </w:r>
      <w:r>
        <w:rPr>
          <w:rFonts w:hint="eastAsia" w:hAnsi="宋体"/>
          <w:b w:val="0"/>
          <w:bCs/>
          <w:highlight w:val="none"/>
        </w:rPr>
        <w:t>、</w:t>
      </w:r>
      <w:r>
        <w:rPr>
          <w:rFonts w:hAnsi="宋体"/>
          <w:b w:val="0"/>
          <w:bCs/>
          <w:highlight w:val="none"/>
        </w:rPr>
        <w:t xml:space="preserve"> 技术参数</w:t>
      </w:r>
      <w:r>
        <w:rPr>
          <w:rFonts w:hint="eastAsia" w:hAnsi="宋体"/>
          <w:b w:val="0"/>
          <w:bCs/>
          <w:highlight w:val="none"/>
        </w:rPr>
        <w:t>、</w:t>
      </w:r>
      <w:r>
        <w:rPr>
          <w:rFonts w:hAnsi="宋体"/>
          <w:b w:val="0"/>
          <w:bCs/>
          <w:highlight w:val="none"/>
        </w:rPr>
        <w:t xml:space="preserve"> 数量（单位）</w:t>
      </w:r>
      <w:r>
        <w:rPr>
          <w:rFonts w:hint="eastAsia" w:hAnsi="宋体"/>
          <w:b w:val="0"/>
          <w:bCs/>
          <w:highlight w:val="none"/>
        </w:rPr>
        <w:t>、品牌</w:t>
      </w:r>
      <w:r>
        <w:rPr>
          <w:rFonts w:hAnsi="宋体"/>
          <w:b w:val="0"/>
          <w:bCs/>
          <w:highlight w:val="none"/>
        </w:rPr>
        <w:t>：</w:t>
      </w:r>
      <w:r>
        <w:rPr>
          <w:rFonts w:hint="eastAsia" w:hAnsi="宋体"/>
          <w:b w:val="0"/>
          <w:bCs/>
          <w:highlight w:val="none"/>
        </w:rPr>
        <w:t>详见技术规格书</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1.3 甲方有权对货物内容进行调整，乙方必须按调整后的货物内容进行供货，不得有任何疑义。</w:t>
      </w:r>
    </w:p>
    <w:p>
      <w:pPr>
        <w:pStyle w:val="20"/>
        <w:snapToGrid w:val="0"/>
        <w:spacing w:before="120" w:beforeLines="0" w:after="120" w:afterLines="0" w:line="420" w:lineRule="exact"/>
        <w:rPr>
          <w:rFonts w:hint="eastAsia" w:hAnsi="宋体"/>
          <w:b w:val="0"/>
          <w:bCs/>
          <w:highlight w:val="none"/>
          <w:lang w:val="en-US" w:eastAsia="zh-CN"/>
        </w:rPr>
      </w:pPr>
      <w:r>
        <w:rPr>
          <w:rFonts w:hint="eastAsia" w:hAnsi="宋体"/>
          <w:b w:val="0"/>
          <w:bCs/>
          <w:highlight w:val="none"/>
          <w:lang w:val="en-US" w:eastAsia="zh-CN"/>
        </w:rPr>
        <w:t>合同文件组成：</w:t>
      </w:r>
    </w:p>
    <w:p>
      <w:pPr>
        <w:pStyle w:val="20"/>
        <w:snapToGrid w:val="0"/>
        <w:spacing w:before="120" w:beforeLines="0" w:after="120" w:afterLines="0" w:line="420" w:lineRule="exact"/>
        <w:rPr>
          <w:rFonts w:hint="eastAsia" w:hAnsi="宋体"/>
          <w:b w:val="0"/>
          <w:bCs/>
          <w:highlight w:val="none"/>
          <w:lang w:val="en-US" w:eastAsia="zh-CN"/>
        </w:rPr>
      </w:pPr>
      <w:r>
        <w:rPr>
          <w:rFonts w:hint="eastAsia" w:hAnsi="宋体"/>
          <w:b w:val="0"/>
          <w:bCs/>
          <w:highlight w:val="none"/>
          <w:lang w:val="en-US" w:eastAsia="zh-CN"/>
        </w:rPr>
        <w:t xml:space="preserve"> 下列文件构成本合同的组成部分：</w:t>
      </w:r>
    </w:p>
    <w:p>
      <w:pPr>
        <w:pStyle w:val="20"/>
        <w:snapToGrid w:val="0"/>
        <w:spacing w:before="120" w:beforeLines="0" w:after="120" w:afterLines="0" w:line="420" w:lineRule="exact"/>
        <w:rPr>
          <w:rFonts w:hint="eastAsia" w:hAnsi="宋体"/>
          <w:b w:val="0"/>
          <w:bCs/>
          <w:highlight w:val="none"/>
          <w:lang w:val="en-US" w:eastAsia="zh-CN"/>
        </w:rPr>
      </w:pPr>
      <w:r>
        <w:rPr>
          <w:rFonts w:hint="eastAsia" w:hAnsi="宋体"/>
          <w:b w:val="0"/>
          <w:bCs/>
          <w:highlight w:val="none"/>
          <w:lang w:val="en-US" w:eastAsia="zh-CN"/>
        </w:rPr>
        <w:t xml:space="preserve">  (1) 中标通知书、 (2) 合同主要条款、(3) 廉政责任书、(4) 招标文件、(5) 投标文件（商务标）</w:t>
      </w:r>
    </w:p>
    <w:p>
      <w:pPr>
        <w:pStyle w:val="20"/>
        <w:snapToGrid w:val="0"/>
        <w:spacing w:before="120" w:beforeLines="0" w:after="120" w:afterLines="0" w:line="420" w:lineRule="exact"/>
        <w:rPr>
          <w:rFonts w:hAnsi="宋体"/>
          <w:b w:val="0"/>
          <w:bCs/>
          <w:highlight w:val="none"/>
        </w:rPr>
      </w:pPr>
      <w:r>
        <w:rPr>
          <w:rFonts w:hAnsi="宋体"/>
          <w:b w:val="0"/>
          <w:bCs/>
          <w:highlight w:val="none"/>
        </w:rPr>
        <w:t>二、合同金额</w:t>
      </w:r>
    </w:p>
    <w:p>
      <w:pPr>
        <w:spacing w:line="400" w:lineRule="exact"/>
        <w:ind w:firstLine="435"/>
        <w:rPr>
          <w:rFonts w:hint="eastAsia" w:ascii="宋体" w:hAnsi="宋体" w:cs="Arial"/>
          <w:b w:val="0"/>
          <w:bCs/>
          <w:color w:val="0C0C0C"/>
          <w:sz w:val="24"/>
          <w:highlight w:val="none"/>
        </w:rPr>
      </w:pPr>
      <w:r>
        <w:rPr>
          <w:rFonts w:hAnsi="宋体"/>
          <w:b w:val="0"/>
          <w:bCs/>
          <w:highlight w:val="none"/>
        </w:rPr>
        <w:t xml:space="preserve">2.1 </w:t>
      </w:r>
      <w:r>
        <w:rPr>
          <w:rFonts w:hint="eastAsia" w:ascii="宋体" w:hAnsi="宋体" w:cs="Arial"/>
          <w:b w:val="0"/>
          <w:bCs/>
          <w:color w:val="0C0C0C"/>
          <w:sz w:val="24"/>
          <w:highlight w:val="none"/>
        </w:rPr>
        <w:t>本合同综合总价为人民币(大写)：</w:t>
      </w:r>
      <w:r>
        <w:rPr>
          <w:rFonts w:hint="eastAsia" w:ascii="宋体" w:hAnsi="宋体" w:cs="Arial"/>
          <w:b w:val="0"/>
          <w:bCs/>
          <w:color w:val="0C0C0C"/>
          <w:sz w:val="24"/>
          <w:highlight w:val="none"/>
          <w:u w:val="single"/>
        </w:rPr>
        <w:t xml:space="preserve">               </w:t>
      </w:r>
      <w:r>
        <w:rPr>
          <w:rFonts w:hint="eastAsia" w:ascii="宋体" w:hAnsi="宋体" w:cs="Arial"/>
          <w:b w:val="0"/>
          <w:bCs/>
          <w:color w:val="0C0C0C"/>
          <w:sz w:val="24"/>
          <w:highlight w:val="none"/>
        </w:rPr>
        <w:t>元(￥</w:t>
      </w:r>
      <w:r>
        <w:rPr>
          <w:rFonts w:hint="eastAsia" w:ascii="宋体" w:hAnsi="宋体" w:cs="Arial"/>
          <w:b w:val="0"/>
          <w:bCs/>
          <w:color w:val="0C0C0C"/>
          <w:sz w:val="24"/>
          <w:highlight w:val="none"/>
          <w:u w:val="single"/>
        </w:rPr>
        <w:t xml:space="preserve">          </w:t>
      </w:r>
      <w:r>
        <w:rPr>
          <w:rFonts w:hint="eastAsia" w:ascii="宋体" w:hAnsi="宋体" w:cs="Arial"/>
          <w:b w:val="0"/>
          <w:bCs/>
          <w:color w:val="0C0C0C"/>
          <w:sz w:val="24"/>
          <w:highlight w:val="none"/>
        </w:rPr>
        <w:t>元)人民币；</w:t>
      </w:r>
    </w:p>
    <w:p>
      <w:pPr>
        <w:spacing w:line="400" w:lineRule="exact"/>
        <w:ind w:firstLine="435"/>
        <w:rPr>
          <w:rFonts w:hint="eastAsia" w:ascii="宋体" w:hAnsi="宋体" w:cs="Arial"/>
          <w:b w:val="0"/>
          <w:bCs/>
          <w:color w:val="0C0C0C"/>
          <w:sz w:val="24"/>
          <w:highlight w:val="none"/>
        </w:rPr>
      </w:pPr>
      <w:r>
        <w:rPr>
          <w:rFonts w:hint="eastAsia" w:ascii="宋体" w:hAnsi="宋体" w:cs="Arial"/>
          <w:b w:val="0"/>
          <w:bCs/>
          <w:color w:val="0C0C0C"/>
          <w:sz w:val="24"/>
          <w:highlight w:val="none"/>
        </w:rPr>
        <w:t>其中不含税价为人民币(大写)：</w:t>
      </w:r>
      <w:r>
        <w:rPr>
          <w:rFonts w:hint="eastAsia" w:ascii="宋体" w:hAnsi="宋体" w:cs="Arial"/>
          <w:b w:val="0"/>
          <w:bCs/>
          <w:color w:val="0C0C0C"/>
          <w:sz w:val="24"/>
          <w:highlight w:val="none"/>
          <w:u w:val="single"/>
        </w:rPr>
        <w:t xml:space="preserve">                  </w:t>
      </w:r>
      <w:r>
        <w:rPr>
          <w:rFonts w:hint="eastAsia" w:ascii="宋体" w:hAnsi="宋体" w:cs="Arial"/>
          <w:b w:val="0"/>
          <w:bCs/>
          <w:color w:val="0C0C0C"/>
          <w:sz w:val="24"/>
          <w:highlight w:val="none"/>
        </w:rPr>
        <w:t>元(￥</w:t>
      </w:r>
      <w:r>
        <w:rPr>
          <w:rFonts w:hint="eastAsia" w:ascii="宋体" w:hAnsi="宋体" w:cs="Arial"/>
          <w:b w:val="0"/>
          <w:bCs/>
          <w:color w:val="0C0C0C"/>
          <w:sz w:val="24"/>
          <w:highlight w:val="none"/>
          <w:u w:val="single"/>
        </w:rPr>
        <w:t xml:space="preserve">           </w:t>
      </w:r>
      <w:r>
        <w:rPr>
          <w:rFonts w:hint="eastAsia" w:ascii="宋体" w:hAnsi="宋体" w:cs="Arial"/>
          <w:b w:val="0"/>
          <w:bCs/>
          <w:color w:val="0C0C0C"/>
          <w:sz w:val="24"/>
          <w:highlight w:val="none"/>
        </w:rPr>
        <w:t xml:space="preserve"> 元)人民币；</w:t>
      </w:r>
    </w:p>
    <w:p>
      <w:pPr>
        <w:pStyle w:val="20"/>
        <w:snapToGrid w:val="0"/>
        <w:spacing w:before="197" w:after="197" w:line="360" w:lineRule="auto"/>
        <w:ind w:firstLine="480" w:firstLineChars="200"/>
        <w:rPr>
          <w:rFonts w:hint="eastAsia" w:ascii="宋体" w:hAnsi="宋体" w:cs="Arial"/>
          <w:b w:val="0"/>
          <w:bCs/>
          <w:color w:val="0C0C0C"/>
          <w:sz w:val="24"/>
          <w:highlight w:val="none"/>
        </w:rPr>
      </w:pPr>
      <w:r>
        <w:rPr>
          <w:rFonts w:hint="eastAsia" w:ascii="宋体" w:hAnsi="宋体" w:cs="Arial"/>
          <w:b w:val="0"/>
          <w:bCs/>
          <w:color w:val="0C0C0C"/>
          <w:sz w:val="24"/>
          <w:highlight w:val="none"/>
        </w:rPr>
        <w:t>其中税金为人民币(大写)：</w:t>
      </w:r>
      <w:r>
        <w:rPr>
          <w:rFonts w:hint="eastAsia" w:ascii="宋体" w:hAnsi="宋体" w:cs="Arial"/>
          <w:b w:val="0"/>
          <w:bCs/>
          <w:color w:val="0C0C0C"/>
          <w:sz w:val="24"/>
          <w:highlight w:val="none"/>
          <w:u w:val="single"/>
        </w:rPr>
        <w:t xml:space="preserve">                    </w:t>
      </w:r>
      <w:r>
        <w:rPr>
          <w:rFonts w:hint="eastAsia" w:ascii="宋体" w:hAnsi="宋体" w:cs="Arial"/>
          <w:b w:val="0"/>
          <w:bCs/>
          <w:color w:val="0C0C0C"/>
          <w:sz w:val="24"/>
          <w:highlight w:val="none"/>
        </w:rPr>
        <w:t xml:space="preserve">元(￥ </w:t>
      </w:r>
      <w:r>
        <w:rPr>
          <w:rFonts w:hint="eastAsia" w:ascii="宋体" w:hAnsi="宋体" w:cs="Arial"/>
          <w:b w:val="0"/>
          <w:bCs/>
          <w:color w:val="0C0C0C"/>
          <w:sz w:val="24"/>
          <w:highlight w:val="none"/>
          <w:u w:val="single"/>
        </w:rPr>
        <w:t xml:space="preserve">           </w:t>
      </w:r>
      <w:r>
        <w:rPr>
          <w:rFonts w:hint="eastAsia" w:ascii="宋体" w:hAnsi="宋体" w:cs="Arial"/>
          <w:b w:val="0"/>
          <w:bCs/>
          <w:color w:val="0C0C0C"/>
          <w:sz w:val="24"/>
          <w:highlight w:val="none"/>
        </w:rPr>
        <w:t xml:space="preserve"> 元)人民币。</w:t>
      </w:r>
    </w:p>
    <w:p>
      <w:pPr>
        <w:pStyle w:val="20"/>
        <w:snapToGrid w:val="0"/>
        <w:spacing w:before="197" w:after="197" w:line="360" w:lineRule="auto"/>
        <w:ind w:firstLine="480" w:firstLineChars="200"/>
        <w:rPr>
          <w:b w:val="0"/>
          <w:bCs/>
        </w:rPr>
      </w:pPr>
      <w:r>
        <w:rPr>
          <w:rFonts w:hint="eastAsia" w:ascii="宋体" w:hAnsi="Courier New" w:eastAsia="宋体" w:cs="宋体"/>
          <w:b w:val="0"/>
          <w:bCs/>
          <w:color w:val="auto"/>
          <w:kern w:val="2"/>
          <w:sz w:val="24"/>
          <w:szCs w:val="24"/>
          <w:highlight w:val="none"/>
          <w:lang w:val="en-US" w:eastAsia="zh-CN" w:bidi="ar-SA"/>
        </w:rPr>
        <w:t>如遇国家对行业增值税税率进行调整，则不含税金额按照本合同相应不含税价执行，增值税税率及增值税金额根据政策做相应调整。</w:t>
      </w:r>
    </w:p>
    <w:p>
      <w:pPr>
        <w:spacing w:line="400" w:lineRule="exact"/>
        <w:ind w:firstLine="435"/>
        <w:rPr>
          <w:rFonts w:hint="eastAsia" w:ascii="宋体" w:hAnsi="宋体" w:cs="Arial"/>
          <w:b w:val="0"/>
          <w:bCs/>
          <w:color w:val="0C0C0C"/>
          <w:sz w:val="24"/>
          <w:highlight w:val="none"/>
        </w:rPr>
      </w:pPr>
    </w:p>
    <w:tbl>
      <w:tblPr>
        <w:tblStyle w:val="38"/>
        <w:tblW w:w="5227" w:type="pct"/>
        <w:jc w:val="center"/>
        <w:tblLayout w:type="fixed"/>
        <w:tblCellMar>
          <w:top w:w="0" w:type="dxa"/>
          <w:left w:w="108" w:type="dxa"/>
          <w:bottom w:w="0" w:type="dxa"/>
          <w:right w:w="108" w:type="dxa"/>
        </w:tblCellMar>
      </w:tblPr>
      <w:tblGrid>
        <w:gridCol w:w="405"/>
        <w:gridCol w:w="720"/>
        <w:gridCol w:w="644"/>
        <w:gridCol w:w="559"/>
        <w:gridCol w:w="1327"/>
        <w:gridCol w:w="3186"/>
        <w:gridCol w:w="1340"/>
        <w:gridCol w:w="735"/>
      </w:tblGrid>
      <w:tr>
        <w:tblPrEx>
          <w:tblCellMar>
            <w:top w:w="0" w:type="dxa"/>
            <w:left w:w="108" w:type="dxa"/>
            <w:bottom w:w="0" w:type="dxa"/>
            <w:right w:w="108" w:type="dxa"/>
          </w:tblCellMar>
        </w:tblPrEx>
        <w:trPr>
          <w:trHeight w:val="1904" w:hRule="exac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序号</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设备名称</w:t>
            </w:r>
          </w:p>
        </w:tc>
        <w:tc>
          <w:tcPr>
            <w:tcW w:w="3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规格</w:t>
            </w:r>
          </w:p>
        </w:tc>
        <w:tc>
          <w:tcPr>
            <w:tcW w:w="3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单位</w:t>
            </w:r>
          </w:p>
        </w:tc>
        <w:tc>
          <w:tcPr>
            <w:tcW w:w="7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数量</w:t>
            </w: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
                <w:bCs w:val="0"/>
                <w:sz w:val="21"/>
                <w:szCs w:val="21"/>
                <w:highlight w:val="none"/>
                <w:lang w:val="en-US" w:eastAsia="zh-CN"/>
              </w:rPr>
            </w:pPr>
            <w:r>
              <w:rPr>
                <w:rFonts w:hint="eastAsia" w:ascii="宋体" w:hAnsi="宋体" w:cs="宋体"/>
                <w:bCs/>
                <w:sz w:val="21"/>
                <w:szCs w:val="21"/>
                <w:highlight w:val="none"/>
                <w:lang w:val="en-US" w:eastAsia="zh-CN"/>
              </w:rPr>
              <w:t>报价（元/个）</w:t>
            </w:r>
            <w:r>
              <w:rPr>
                <w:rFonts w:hint="eastAsia" w:ascii="宋体" w:hAnsi="宋体" w:cs="宋体"/>
                <w:b/>
                <w:bCs/>
                <w:color w:val="0C0C0C"/>
                <w:sz w:val="24"/>
                <w:szCs w:val="24"/>
                <w:highlight w:val="none"/>
                <w:lang w:val="en-US" w:eastAsia="zh-CN"/>
              </w:rPr>
              <w:t>（报价=电池综合单价-电池回收价）</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合</w:t>
            </w:r>
            <w:r>
              <w:rPr>
                <w:rFonts w:hint="eastAsia" w:ascii="宋体" w:hAnsi="宋体" w:cs="宋体"/>
                <w:bCs/>
                <w:sz w:val="21"/>
                <w:szCs w:val="21"/>
                <w:highlight w:val="none"/>
              </w:rPr>
              <w:t>价（元）</w:t>
            </w:r>
          </w:p>
        </w:tc>
        <w:tc>
          <w:tcPr>
            <w:tcW w:w="4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备注</w:t>
            </w:r>
          </w:p>
        </w:tc>
      </w:tr>
      <w:tr>
        <w:tblPrEx>
          <w:tblCellMar>
            <w:top w:w="0" w:type="dxa"/>
            <w:left w:w="108" w:type="dxa"/>
            <w:bottom w:w="0" w:type="dxa"/>
            <w:right w:w="108" w:type="dxa"/>
          </w:tblCellMar>
        </w:tblPrEx>
        <w:trPr>
          <w:trHeight w:val="740" w:hRule="atLeast"/>
          <w:jc w:val="center"/>
        </w:trPr>
        <w:tc>
          <w:tcPr>
            <w:tcW w:w="22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21"/>
                <w:szCs w:val="21"/>
                <w:highlight w:val="none"/>
              </w:rPr>
            </w:pPr>
            <w:r>
              <w:rPr>
                <w:rFonts w:hint="eastAsia" w:ascii="微软雅黑" w:hAnsi="微软雅黑" w:eastAsia="微软雅黑" w:cs="微软雅黑"/>
                <w:i w:val="0"/>
                <w:color w:val="000000"/>
                <w:kern w:val="0"/>
                <w:sz w:val="22"/>
                <w:szCs w:val="22"/>
                <w:u w:val="none"/>
                <w:lang w:val="en-US" w:eastAsia="zh-CN" w:bidi="ar"/>
              </w:rPr>
              <w:t>1</w:t>
            </w:r>
          </w:p>
        </w:tc>
        <w:tc>
          <w:tcPr>
            <w:tcW w:w="403"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21"/>
                <w:szCs w:val="21"/>
                <w:highlight w:val="none"/>
              </w:rPr>
            </w:pPr>
            <w:r>
              <w:rPr>
                <w:rFonts w:hint="eastAsia" w:ascii="微软雅黑" w:hAnsi="微软雅黑" w:eastAsia="微软雅黑" w:cs="微软雅黑"/>
                <w:i w:val="0"/>
                <w:color w:val="000000"/>
                <w:kern w:val="0"/>
                <w:sz w:val="22"/>
                <w:szCs w:val="22"/>
                <w:u w:val="none"/>
                <w:lang w:val="en-US" w:eastAsia="zh-CN" w:bidi="ar"/>
              </w:rPr>
              <w:t>免维护干电池组</w:t>
            </w:r>
          </w:p>
        </w:tc>
        <w:tc>
          <w:tcPr>
            <w:tcW w:w="36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highlight w:val="none"/>
                <w:lang w:val="en-US" w:eastAsia="zh-CN"/>
              </w:rPr>
            </w:pPr>
            <w:r>
              <w:rPr>
                <w:rFonts w:hint="eastAsia" w:ascii="微软雅黑" w:hAnsi="微软雅黑" w:eastAsia="微软雅黑" w:cs="微软雅黑"/>
                <w:i w:val="0"/>
                <w:color w:val="000000"/>
                <w:kern w:val="0"/>
                <w:sz w:val="22"/>
                <w:szCs w:val="22"/>
                <w:u w:val="none"/>
                <w:lang w:val="en-US" w:eastAsia="zh-CN" w:bidi="ar"/>
              </w:rPr>
              <w:t>≥60V45AH</w:t>
            </w:r>
          </w:p>
        </w:tc>
        <w:tc>
          <w:tcPr>
            <w:tcW w:w="313" w:type="pct"/>
            <w:vMerge w:val="restart"/>
            <w:tcBorders>
              <w:top w:val="single" w:color="auto" w:sz="4" w:space="0"/>
              <w:left w:val="single" w:color="auto" w:sz="4" w:space="0"/>
              <w:right w:val="single" w:color="auto" w:sz="4" w:space="0"/>
            </w:tcBorders>
            <w:noWrap w:val="0"/>
            <w:vAlign w:val="center"/>
          </w:tcPr>
          <w:p>
            <w:pPr>
              <w:pStyle w:val="118"/>
              <w:keepNext w:val="0"/>
              <w:keepLines w:val="0"/>
              <w:widowControl w:val="0"/>
              <w:suppressLineNumbers w:val="0"/>
              <w:spacing w:before="0" w:beforeAutospacing="0" w:afterLines="0" w:afterAutospacing="0" w:line="360" w:lineRule="auto"/>
              <w:ind w:left="0" w:right="0" w:firstLine="0" w:firstLineChars="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个</w:t>
            </w:r>
          </w:p>
        </w:tc>
        <w:tc>
          <w:tcPr>
            <w:tcW w:w="74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highlight w:val="none"/>
                <w:lang w:val="en-US" w:eastAsia="zh-CN"/>
              </w:rPr>
            </w:pPr>
            <w:r>
              <w:rPr>
                <w:rFonts w:hint="eastAsia" w:ascii="微软雅黑" w:hAnsi="微软雅黑" w:eastAsia="微软雅黑" w:cs="微软雅黑"/>
                <w:i w:val="0"/>
                <w:color w:val="000000"/>
                <w:kern w:val="0"/>
                <w:sz w:val="22"/>
                <w:szCs w:val="22"/>
                <w:u w:val="none"/>
                <w:lang w:val="en-US" w:eastAsia="zh-CN" w:bidi="ar"/>
              </w:rPr>
              <w:t>200</w:t>
            </w: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18"/>
                <w:szCs w:val="18"/>
                <w:highlight w:val="none"/>
              </w:rPr>
            </w:pPr>
            <w:r>
              <w:rPr>
                <w:rFonts w:hint="eastAsia" w:ascii="Calibri" w:hAnsi="Calibri" w:cs="Calibri"/>
                <w:sz w:val="24"/>
                <w:szCs w:val="24"/>
                <w:lang w:val="en-US" w:eastAsia="zh-CN"/>
              </w:rPr>
              <w:t>电池综合单价=</w:t>
            </w:r>
            <w:r>
              <w:rPr>
                <w:rFonts w:hint="eastAsia" w:ascii="Calibri" w:hAnsi="Calibri" w:cs="Calibri"/>
                <w:sz w:val="24"/>
                <w:szCs w:val="24"/>
                <w:u w:val="single"/>
                <w:lang w:val="en-US" w:eastAsia="zh-CN"/>
              </w:rPr>
              <w:t xml:space="preserve">       </w:t>
            </w:r>
            <w:r>
              <w:rPr>
                <w:rFonts w:hint="eastAsia" w:ascii="Calibri" w:hAnsi="Calibri" w:cs="Calibri"/>
                <w:sz w:val="24"/>
                <w:szCs w:val="24"/>
                <w:lang w:val="en-US" w:eastAsia="zh-CN"/>
              </w:rPr>
              <w:t>元/个；</w:t>
            </w:r>
          </w:p>
        </w:tc>
        <w:tc>
          <w:tcPr>
            <w:tcW w:w="751"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c>
          <w:tcPr>
            <w:tcW w:w="412"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cs="宋体"/>
                <w:sz w:val="18"/>
                <w:szCs w:val="18"/>
                <w:highlight w:val="none"/>
                <w:lang w:val="en-US"/>
              </w:rPr>
            </w:pPr>
            <w:r>
              <w:rPr>
                <w:rFonts w:hint="eastAsia" w:ascii="Calibri" w:hAnsi="Calibri" w:cs="Calibri"/>
                <w:sz w:val="24"/>
                <w:szCs w:val="24"/>
                <w:lang w:val="en-US" w:eastAsia="zh-CN"/>
              </w:rPr>
              <w:t>合价为电池综合单价*数量</w:t>
            </w:r>
          </w:p>
        </w:tc>
      </w:tr>
      <w:tr>
        <w:tblPrEx>
          <w:tblCellMar>
            <w:top w:w="0" w:type="dxa"/>
            <w:left w:w="108" w:type="dxa"/>
            <w:bottom w:w="0" w:type="dxa"/>
            <w:right w:w="108" w:type="dxa"/>
          </w:tblCellMar>
        </w:tblPrEx>
        <w:trPr>
          <w:trHeight w:val="735" w:hRule="atLeast"/>
          <w:jc w:val="center"/>
        </w:trPr>
        <w:tc>
          <w:tcPr>
            <w:tcW w:w="227"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40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361"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31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744"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lang w:val="en-US" w:eastAsia="zh-CN"/>
              </w:rPr>
            </w:pPr>
            <w:r>
              <w:rPr>
                <w:rFonts w:hint="eastAsia" w:ascii="Calibri" w:hAnsi="Calibri" w:cs="Calibri"/>
                <w:sz w:val="24"/>
                <w:szCs w:val="24"/>
                <w:lang w:val="en-US" w:eastAsia="zh-CN"/>
              </w:rPr>
              <w:t>电池回收价=</w:t>
            </w:r>
            <w:r>
              <w:rPr>
                <w:rFonts w:hint="eastAsia" w:ascii="Calibri" w:hAnsi="Calibri" w:cs="Calibri"/>
                <w:sz w:val="24"/>
                <w:szCs w:val="24"/>
                <w:u w:val="single"/>
                <w:lang w:val="en-US" w:eastAsia="zh-CN"/>
              </w:rPr>
              <w:t xml:space="preserve">         </w:t>
            </w:r>
            <w:r>
              <w:rPr>
                <w:rFonts w:hint="eastAsia" w:ascii="Calibri" w:hAnsi="Calibri" w:cs="Calibri"/>
                <w:sz w:val="24"/>
                <w:szCs w:val="24"/>
                <w:lang w:val="en-US" w:eastAsia="zh-CN"/>
              </w:rPr>
              <w:t>元/个。</w:t>
            </w:r>
          </w:p>
        </w:tc>
        <w:tc>
          <w:tcPr>
            <w:tcW w:w="751"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lang w:val="en-US" w:eastAsia="zh-CN"/>
              </w:rPr>
            </w:pPr>
          </w:p>
        </w:tc>
        <w:tc>
          <w:tcPr>
            <w:tcW w:w="412"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lang w:val="en-US" w:eastAsia="zh-CN"/>
              </w:rPr>
            </w:pPr>
          </w:p>
        </w:tc>
      </w:tr>
      <w:tr>
        <w:tblPrEx>
          <w:tblCellMar>
            <w:top w:w="0" w:type="dxa"/>
            <w:left w:w="108" w:type="dxa"/>
            <w:bottom w:w="0" w:type="dxa"/>
            <w:right w:w="108" w:type="dxa"/>
          </w:tblCellMar>
        </w:tblPrEx>
        <w:trPr>
          <w:trHeight w:val="711" w:hRule="exact"/>
          <w:jc w:val="center"/>
        </w:trPr>
        <w:tc>
          <w:tcPr>
            <w:tcW w:w="227" w:type="pct"/>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 w:val="21"/>
                <w:szCs w:val="21"/>
                <w:highlight w:val="none"/>
              </w:rPr>
            </w:pPr>
          </w:p>
        </w:tc>
        <w:tc>
          <w:tcPr>
            <w:tcW w:w="403" w:type="pct"/>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sz w:val="21"/>
                <w:szCs w:val="21"/>
                <w:highlight w:val="none"/>
                <w:lang w:val="en-US" w:eastAsia="zh-CN"/>
              </w:rPr>
            </w:pPr>
          </w:p>
        </w:tc>
        <w:tc>
          <w:tcPr>
            <w:tcW w:w="361" w:type="pct"/>
            <w:vMerge w:val="continue"/>
            <w:tcBorders>
              <w:left w:val="single" w:color="auto" w:sz="4" w:space="0"/>
              <w:right w:val="single" w:color="auto" w:sz="4" w:space="0"/>
            </w:tcBorders>
            <w:noWrap w:val="0"/>
            <w:vAlign w:val="center"/>
          </w:tcPr>
          <w:p>
            <w:pPr>
              <w:pStyle w:val="118"/>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lang w:val="en-US" w:eastAsia="zh-CN"/>
              </w:rPr>
            </w:pPr>
          </w:p>
        </w:tc>
        <w:tc>
          <w:tcPr>
            <w:tcW w:w="313" w:type="pct"/>
            <w:vMerge w:val="continue"/>
            <w:tcBorders>
              <w:left w:val="single" w:color="auto" w:sz="4" w:space="0"/>
              <w:right w:val="single" w:color="auto" w:sz="4" w:space="0"/>
            </w:tcBorders>
            <w:noWrap w:val="0"/>
            <w:vAlign w:val="center"/>
          </w:tcPr>
          <w:p>
            <w:pPr>
              <w:pStyle w:val="118"/>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eastAsia="宋体" w:cs="宋体"/>
                <w:sz w:val="18"/>
                <w:szCs w:val="18"/>
                <w:highlight w:val="none"/>
                <w:lang w:val="en-US" w:eastAsia="zh-CN"/>
              </w:rPr>
            </w:pPr>
          </w:p>
        </w:tc>
        <w:tc>
          <w:tcPr>
            <w:tcW w:w="744" w:type="pct"/>
            <w:vMerge w:val="continue"/>
            <w:tcBorders>
              <w:left w:val="single" w:color="auto" w:sz="4" w:space="0"/>
              <w:right w:val="single" w:color="auto" w:sz="4" w:space="0"/>
            </w:tcBorders>
            <w:noWrap w:val="0"/>
            <w:vAlign w:val="center"/>
          </w:tcPr>
          <w:p>
            <w:pPr>
              <w:pStyle w:val="118"/>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1786"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18"/>
                <w:szCs w:val="18"/>
                <w:highlight w:val="none"/>
              </w:rPr>
            </w:pPr>
            <w:r>
              <w:rPr>
                <w:rFonts w:hint="eastAsia" w:ascii="Calibri" w:hAnsi="Calibri" w:cs="Calibri"/>
                <w:sz w:val="24"/>
                <w:szCs w:val="24"/>
                <w:highlight w:val="none"/>
                <w:lang w:val="en-US" w:eastAsia="zh-CN"/>
              </w:rPr>
              <w:t>报价=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u w:val="none"/>
                <w:lang w:val="en-US" w:eastAsia="zh-CN"/>
              </w:rPr>
              <w:t>元/个。</w:t>
            </w:r>
          </w:p>
        </w:tc>
        <w:tc>
          <w:tcPr>
            <w:tcW w:w="751"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c>
          <w:tcPr>
            <w:tcW w:w="412"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r>
      <w:tr>
        <w:tblPrEx>
          <w:tblCellMar>
            <w:top w:w="0" w:type="dxa"/>
            <w:left w:w="108" w:type="dxa"/>
            <w:bottom w:w="0" w:type="dxa"/>
            <w:right w:w="108" w:type="dxa"/>
          </w:tblCellMar>
        </w:tblPrEx>
        <w:trPr>
          <w:trHeight w:val="531" w:hRule="atLeast"/>
          <w:jc w:val="center"/>
        </w:trPr>
        <w:tc>
          <w:tcPr>
            <w:tcW w:w="22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2</w:t>
            </w:r>
          </w:p>
        </w:tc>
        <w:tc>
          <w:tcPr>
            <w:tcW w:w="403"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水电池组</w:t>
            </w:r>
          </w:p>
        </w:tc>
        <w:tc>
          <w:tcPr>
            <w:tcW w:w="36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≥72V80斤</w:t>
            </w:r>
          </w:p>
        </w:tc>
        <w:tc>
          <w:tcPr>
            <w:tcW w:w="313"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74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60</w:t>
            </w: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24"/>
                <w:highlight w:val="none"/>
              </w:rPr>
            </w:pPr>
            <w:r>
              <w:rPr>
                <w:rFonts w:hint="eastAsia" w:ascii="Calibri" w:hAnsi="Calibri" w:cs="Calibri"/>
                <w:sz w:val="24"/>
                <w:szCs w:val="24"/>
                <w:lang w:val="en-US" w:eastAsia="zh-CN"/>
              </w:rPr>
              <w:t>电池综合单价=</w:t>
            </w:r>
            <w:r>
              <w:rPr>
                <w:rFonts w:hint="eastAsia" w:ascii="Calibri" w:hAnsi="Calibri" w:cs="Calibri"/>
                <w:sz w:val="24"/>
                <w:szCs w:val="24"/>
                <w:u w:val="single"/>
                <w:lang w:val="en-US" w:eastAsia="zh-CN"/>
              </w:rPr>
              <w:t xml:space="preserve">       </w:t>
            </w:r>
            <w:r>
              <w:rPr>
                <w:rFonts w:hint="eastAsia" w:ascii="Calibri" w:hAnsi="Calibri" w:cs="Calibri"/>
                <w:sz w:val="24"/>
                <w:szCs w:val="24"/>
                <w:lang w:val="en-US" w:eastAsia="zh-CN"/>
              </w:rPr>
              <w:t>元/个；</w:t>
            </w:r>
          </w:p>
        </w:tc>
        <w:tc>
          <w:tcPr>
            <w:tcW w:w="751"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12"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r>
      <w:tr>
        <w:tblPrEx>
          <w:tblCellMar>
            <w:top w:w="0" w:type="dxa"/>
            <w:left w:w="108" w:type="dxa"/>
            <w:bottom w:w="0" w:type="dxa"/>
            <w:right w:w="108" w:type="dxa"/>
          </w:tblCellMar>
        </w:tblPrEx>
        <w:trPr>
          <w:trHeight w:val="531" w:hRule="atLeast"/>
          <w:jc w:val="center"/>
        </w:trPr>
        <w:tc>
          <w:tcPr>
            <w:tcW w:w="227"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403"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361"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313"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744"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24"/>
                <w:highlight w:val="none"/>
              </w:rPr>
            </w:pPr>
            <w:r>
              <w:rPr>
                <w:rFonts w:hint="eastAsia" w:ascii="Calibri" w:hAnsi="Calibri" w:cs="Calibri"/>
                <w:sz w:val="24"/>
                <w:szCs w:val="24"/>
                <w:lang w:val="en-US" w:eastAsia="zh-CN"/>
              </w:rPr>
              <w:t>电池回收价=</w:t>
            </w:r>
            <w:r>
              <w:rPr>
                <w:rFonts w:hint="eastAsia" w:ascii="Calibri" w:hAnsi="Calibri" w:cs="Calibri"/>
                <w:sz w:val="24"/>
                <w:szCs w:val="24"/>
                <w:u w:val="single"/>
                <w:lang w:val="en-US" w:eastAsia="zh-CN"/>
              </w:rPr>
              <w:t xml:space="preserve">         </w:t>
            </w:r>
            <w:r>
              <w:rPr>
                <w:rFonts w:hint="eastAsia" w:ascii="Calibri" w:hAnsi="Calibri" w:cs="Calibri"/>
                <w:sz w:val="24"/>
                <w:szCs w:val="24"/>
                <w:lang w:val="en-US" w:eastAsia="zh-CN"/>
              </w:rPr>
              <w:t>元/个。</w:t>
            </w:r>
          </w:p>
        </w:tc>
        <w:tc>
          <w:tcPr>
            <w:tcW w:w="751"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12"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r>
      <w:tr>
        <w:tblPrEx>
          <w:tblCellMar>
            <w:top w:w="0" w:type="dxa"/>
            <w:left w:w="108" w:type="dxa"/>
            <w:bottom w:w="0" w:type="dxa"/>
            <w:right w:w="108" w:type="dxa"/>
          </w:tblCellMar>
        </w:tblPrEx>
        <w:trPr>
          <w:trHeight w:val="531" w:hRule="atLeast"/>
          <w:jc w:val="center"/>
        </w:trPr>
        <w:tc>
          <w:tcPr>
            <w:tcW w:w="22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0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361"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313"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74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24"/>
                <w:highlight w:val="none"/>
              </w:rPr>
            </w:pPr>
            <w:r>
              <w:rPr>
                <w:rFonts w:hint="eastAsia" w:ascii="Calibri" w:hAnsi="Calibri" w:cs="Calibri"/>
                <w:sz w:val="24"/>
                <w:szCs w:val="24"/>
                <w:highlight w:val="none"/>
                <w:lang w:val="en-US" w:eastAsia="zh-CN"/>
              </w:rPr>
              <w:t>报价=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u w:val="none"/>
                <w:lang w:val="en-US" w:eastAsia="zh-CN"/>
              </w:rPr>
              <w:t>元/个。</w:t>
            </w:r>
          </w:p>
        </w:tc>
        <w:tc>
          <w:tcPr>
            <w:tcW w:w="751"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12"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r>
      <w:tr>
        <w:tblPrEx>
          <w:tblCellMar>
            <w:top w:w="0" w:type="dxa"/>
            <w:left w:w="108" w:type="dxa"/>
            <w:bottom w:w="0" w:type="dxa"/>
            <w:right w:w="108" w:type="dxa"/>
          </w:tblCellMar>
        </w:tblPrEx>
        <w:trPr>
          <w:trHeight w:val="658" w:hRule="atLeast"/>
          <w:jc w:val="center"/>
        </w:trPr>
        <w:tc>
          <w:tcPr>
            <w:tcW w:w="22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3</w:t>
            </w:r>
          </w:p>
        </w:tc>
        <w:tc>
          <w:tcPr>
            <w:tcW w:w="403"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免维护干电池组</w:t>
            </w:r>
          </w:p>
        </w:tc>
        <w:tc>
          <w:tcPr>
            <w:tcW w:w="36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≥48V32AH</w:t>
            </w:r>
          </w:p>
        </w:tc>
        <w:tc>
          <w:tcPr>
            <w:tcW w:w="31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74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微软雅黑" w:hAnsi="微软雅黑" w:eastAsia="微软雅黑" w:cs="微软雅黑"/>
                <w:i w:val="0"/>
                <w:color w:val="000000"/>
                <w:kern w:val="0"/>
                <w:sz w:val="22"/>
                <w:szCs w:val="22"/>
                <w:u w:val="none"/>
                <w:lang w:val="en-US" w:eastAsia="zh-CN" w:bidi="ar"/>
              </w:rPr>
              <w:t>500</w:t>
            </w: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24"/>
                <w:highlight w:val="none"/>
              </w:rPr>
            </w:pPr>
            <w:r>
              <w:rPr>
                <w:rFonts w:hint="eastAsia" w:ascii="Calibri" w:hAnsi="Calibri" w:cs="Calibri"/>
                <w:sz w:val="24"/>
                <w:szCs w:val="24"/>
                <w:lang w:val="en-US" w:eastAsia="zh-CN"/>
              </w:rPr>
              <w:t>电池综合单价=</w:t>
            </w:r>
            <w:r>
              <w:rPr>
                <w:rFonts w:hint="eastAsia" w:ascii="Calibri" w:hAnsi="Calibri" w:cs="Calibri"/>
                <w:sz w:val="24"/>
                <w:szCs w:val="24"/>
                <w:u w:val="single"/>
                <w:lang w:val="en-US" w:eastAsia="zh-CN"/>
              </w:rPr>
              <w:t xml:space="preserve">       </w:t>
            </w:r>
            <w:r>
              <w:rPr>
                <w:rFonts w:hint="eastAsia" w:ascii="Calibri" w:hAnsi="Calibri" w:cs="Calibri"/>
                <w:sz w:val="24"/>
                <w:szCs w:val="24"/>
                <w:lang w:val="en-US" w:eastAsia="zh-CN"/>
              </w:rPr>
              <w:t>元/个；</w:t>
            </w:r>
          </w:p>
        </w:tc>
        <w:tc>
          <w:tcPr>
            <w:tcW w:w="75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12"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r>
      <w:tr>
        <w:tblPrEx>
          <w:tblCellMar>
            <w:top w:w="0" w:type="dxa"/>
            <w:left w:w="108" w:type="dxa"/>
            <w:bottom w:w="0" w:type="dxa"/>
            <w:right w:w="108" w:type="dxa"/>
          </w:tblCellMar>
        </w:tblPrEx>
        <w:trPr>
          <w:trHeight w:val="658" w:hRule="atLeast"/>
          <w:jc w:val="center"/>
        </w:trPr>
        <w:tc>
          <w:tcPr>
            <w:tcW w:w="227"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403"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361"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31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744"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default" w:ascii="Calibri" w:hAnsi="Calibri" w:cs="Calibri"/>
              </w:rPr>
            </w:pP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24"/>
                <w:highlight w:val="none"/>
              </w:rPr>
            </w:pPr>
            <w:r>
              <w:rPr>
                <w:rFonts w:hint="eastAsia" w:ascii="Calibri" w:hAnsi="Calibri" w:cs="Calibri"/>
                <w:sz w:val="24"/>
                <w:szCs w:val="24"/>
                <w:lang w:val="en-US" w:eastAsia="zh-CN"/>
              </w:rPr>
              <w:t>电池回收价=</w:t>
            </w:r>
            <w:r>
              <w:rPr>
                <w:rFonts w:hint="eastAsia" w:ascii="Calibri" w:hAnsi="Calibri" w:cs="Calibri"/>
                <w:sz w:val="24"/>
                <w:szCs w:val="24"/>
                <w:u w:val="single"/>
                <w:lang w:val="en-US" w:eastAsia="zh-CN"/>
              </w:rPr>
              <w:t xml:space="preserve">         </w:t>
            </w:r>
            <w:r>
              <w:rPr>
                <w:rFonts w:hint="eastAsia" w:ascii="Calibri" w:hAnsi="Calibri" w:cs="Calibri"/>
                <w:sz w:val="24"/>
                <w:szCs w:val="24"/>
                <w:lang w:val="en-US" w:eastAsia="zh-CN"/>
              </w:rPr>
              <w:t>元/个。</w:t>
            </w:r>
          </w:p>
        </w:tc>
        <w:tc>
          <w:tcPr>
            <w:tcW w:w="75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12" w:type="pct"/>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r>
      <w:tr>
        <w:tblPrEx>
          <w:tblCellMar>
            <w:top w:w="0" w:type="dxa"/>
            <w:left w:w="108" w:type="dxa"/>
            <w:bottom w:w="0" w:type="dxa"/>
            <w:right w:w="108" w:type="dxa"/>
          </w:tblCellMar>
        </w:tblPrEx>
        <w:trPr>
          <w:trHeight w:val="658" w:hRule="atLeast"/>
          <w:jc w:val="center"/>
        </w:trPr>
        <w:tc>
          <w:tcPr>
            <w:tcW w:w="22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0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361"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31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74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17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sz w:val="24"/>
                <w:highlight w:val="none"/>
              </w:rPr>
            </w:pPr>
            <w:r>
              <w:rPr>
                <w:rFonts w:hint="eastAsia" w:ascii="Calibri" w:hAnsi="Calibri" w:cs="Calibri"/>
                <w:sz w:val="24"/>
                <w:szCs w:val="24"/>
                <w:highlight w:val="none"/>
                <w:lang w:val="en-US" w:eastAsia="zh-CN"/>
              </w:rPr>
              <w:t>报价=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u w:val="none"/>
                <w:lang w:val="en-US" w:eastAsia="zh-CN"/>
              </w:rPr>
              <w:t>元/个。</w:t>
            </w:r>
          </w:p>
        </w:tc>
        <w:tc>
          <w:tcPr>
            <w:tcW w:w="75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c>
          <w:tcPr>
            <w:tcW w:w="412"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p>
        </w:tc>
      </w:tr>
      <w:tr>
        <w:trPr>
          <w:trHeight w:val="574"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r>
              <w:rPr>
                <w:rFonts w:hint="eastAsia" w:ascii="宋体" w:hAnsi="宋体" w:cs="宋体"/>
                <w:sz w:val="24"/>
                <w:highlight w:val="none"/>
              </w:rPr>
              <w:t>合</w:t>
            </w:r>
            <w:r>
              <w:rPr>
                <w:rFonts w:hint="eastAsia" w:ascii="宋体" w:hAnsi="宋体" w:cs="宋体"/>
                <w:sz w:val="24"/>
                <w:highlight w:val="none"/>
                <w:lang w:val="en-US" w:eastAsia="zh-CN"/>
              </w:rPr>
              <w:t>计</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tc>
      </w:tr>
    </w:tbl>
    <w:p>
      <w:pPr>
        <w:pStyle w:val="20"/>
        <w:snapToGrid w:val="0"/>
        <w:spacing w:before="120" w:beforeLines="0" w:after="120" w:afterLines="0" w:line="420" w:lineRule="exact"/>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2</w:t>
      </w:r>
      <w:r>
        <w:rPr>
          <w:rFonts w:hint="eastAsia" w:hAnsi="宋体"/>
          <w:color w:val="auto"/>
          <w:highlight w:val="none"/>
        </w:rPr>
        <w:t xml:space="preserve"> 交货货物数量由乙方计量，甲方及有关部门核准，按实结算</w:t>
      </w:r>
      <w:r>
        <w:rPr>
          <w:rFonts w:hint="eastAsia" w:hAnsi="宋体"/>
          <w:color w:val="auto"/>
          <w:highlight w:val="none"/>
          <w:lang w:eastAsia="zh-CN"/>
        </w:rPr>
        <w:t>，</w:t>
      </w:r>
      <w:r>
        <w:rPr>
          <w:rFonts w:hint="eastAsia" w:hAnsi="宋体" w:eastAsia="宋体" w:cs="Times New Roman"/>
          <w:color w:val="auto"/>
          <w:highlight w:val="none"/>
          <w:lang w:val="en-US" w:eastAsia="zh-CN"/>
        </w:rPr>
        <w:t>供货前中标单位需来现场先查看车辆的控制器和电机，确认电池是否匹配，需符合相关尺寸要求或需匹配对应型号车辆等相关要求，再进行供货</w:t>
      </w:r>
      <w:r>
        <w:rPr>
          <w:rFonts w:hint="eastAsia" w:hAnsi="宋体"/>
          <w:color w:val="auto"/>
          <w:highlight w:val="none"/>
        </w:rPr>
        <w:t>。</w:t>
      </w:r>
    </w:p>
    <w:p>
      <w:pPr>
        <w:pStyle w:val="20"/>
        <w:snapToGrid w:val="0"/>
        <w:spacing w:before="120" w:beforeLines="0" w:after="120" w:afterLines="0" w:line="420" w:lineRule="exact"/>
        <w:rPr>
          <w:rFonts w:hint="eastAsia" w:hAnsi="宋体" w:eastAsia="宋体" w:cs="Times New Roman"/>
          <w:color w:val="auto"/>
          <w:highlight w:val="none"/>
          <w:lang w:val="en-US" w:eastAsia="zh-CN"/>
        </w:rPr>
      </w:pPr>
      <w:r>
        <w:rPr>
          <w:rFonts w:hint="eastAsia" w:hAnsi="宋体"/>
          <w:color w:val="auto"/>
          <w:highlight w:val="none"/>
          <w:lang w:val="en-US" w:eastAsia="zh-CN"/>
        </w:rPr>
        <w:t>2.3</w:t>
      </w:r>
      <w:r>
        <w:rPr>
          <w:rFonts w:hint="eastAsia" w:hAnsi="宋体" w:eastAsia="宋体" w:cs="Times New Roman"/>
          <w:color w:val="auto"/>
          <w:highlight w:val="none"/>
          <w:lang w:val="en-US" w:eastAsia="zh-CN"/>
        </w:rPr>
        <w:t>质保期内需满足每次充满电后，车辆一次可满载行驶≥40km，若达不到要求按不合格处理，质保期内因质量问题及产品不合格等原因，由供应方采取以旧换新的方式免费提供新的电池及零配件以供更换，或扣除对应金额质量保证金。</w:t>
      </w:r>
    </w:p>
    <w:p>
      <w:pPr>
        <w:pStyle w:val="20"/>
        <w:snapToGrid w:val="0"/>
        <w:spacing w:before="120" w:beforeLines="0" w:after="120" w:afterLines="0" w:line="420" w:lineRule="exact"/>
        <w:rPr>
          <w:rFonts w:hint="eastAsia" w:hAnsi="宋体" w:eastAsia="宋体" w:cs="Times New Roman"/>
          <w:color w:val="auto"/>
          <w:highlight w:val="none"/>
          <w:lang w:val="en-US" w:eastAsia="zh-CN"/>
        </w:rPr>
      </w:pPr>
      <w:r>
        <w:rPr>
          <w:rFonts w:hint="eastAsia" w:hAnsi="宋体" w:eastAsia="宋体" w:cs="Times New Roman"/>
          <w:color w:val="auto"/>
          <w:highlight w:val="none"/>
          <w:lang w:val="en-US" w:eastAsia="zh-CN"/>
        </w:rPr>
        <w:t>2.4所供应的电池经使用满一年后，供应方需按回收价进行回收，具体使用开始时间以对应批次电池安装完成起开始计算。</w:t>
      </w:r>
    </w:p>
    <w:p>
      <w:pPr>
        <w:pStyle w:val="20"/>
        <w:snapToGrid w:val="0"/>
        <w:spacing w:before="120" w:beforeLines="0" w:after="120" w:afterLines="0" w:line="420" w:lineRule="exact"/>
        <w:rPr>
          <w:rFonts w:hint="eastAsia" w:hAnsi="宋体" w:eastAsia="宋体" w:cs="Times New Roman"/>
          <w:color w:val="auto"/>
          <w:highlight w:val="none"/>
          <w:lang w:val="en-US" w:eastAsia="zh-CN"/>
        </w:rPr>
      </w:pPr>
      <w:r>
        <w:rPr>
          <w:rFonts w:hint="eastAsia" w:hAnsi="宋体" w:eastAsia="宋体" w:cs="Times New Roman"/>
          <w:color w:val="auto"/>
          <w:highlight w:val="none"/>
          <w:lang w:val="en-US" w:eastAsia="zh-CN"/>
        </w:rPr>
        <w:t>2.5需提供对应型号原装充电器、连接线等相关配件。</w:t>
      </w:r>
    </w:p>
    <w:p>
      <w:pPr>
        <w:pStyle w:val="20"/>
        <w:snapToGrid w:val="0"/>
        <w:spacing w:before="120" w:beforeLines="0" w:after="120" w:afterLines="0" w:line="420" w:lineRule="exact"/>
        <w:rPr>
          <w:rFonts w:hint="eastAsia" w:hAnsi="宋体" w:eastAsia="宋体" w:cs="Times New Roman"/>
          <w:color w:val="auto"/>
          <w:highlight w:val="none"/>
          <w:lang w:val="en-US" w:eastAsia="zh-CN"/>
        </w:rPr>
      </w:pPr>
      <w:r>
        <w:rPr>
          <w:rFonts w:hint="eastAsia" w:hAnsi="宋体" w:eastAsia="宋体" w:cs="Times New Roman"/>
          <w:color w:val="auto"/>
          <w:highlight w:val="none"/>
          <w:lang w:val="en-US" w:eastAsia="zh-CN"/>
        </w:rPr>
        <w:t>2.6提供的电池，需符合相关尺寸要求或需匹配对应型号车辆等相关要求。</w:t>
      </w:r>
    </w:p>
    <w:p>
      <w:pPr>
        <w:pStyle w:val="20"/>
        <w:snapToGrid w:val="0"/>
        <w:spacing w:before="120" w:beforeLines="0" w:after="120" w:afterLines="0" w:line="420" w:lineRule="exact"/>
        <w:rPr>
          <w:rFonts w:hint="eastAsia" w:hAnsi="宋体" w:eastAsia="宋体" w:cs="Times New Roman"/>
          <w:color w:val="auto"/>
          <w:highlight w:val="none"/>
          <w:lang w:val="en-US" w:eastAsia="zh-CN"/>
        </w:rPr>
      </w:pPr>
      <w:r>
        <w:rPr>
          <w:rFonts w:hint="eastAsia" w:hAnsi="宋体" w:eastAsia="宋体" w:cs="Times New Roman"/>
          <w:color w:val="auto"/>
          <w:highlight w:val="none"/>
          <w:lang w:val="en-US" w:eastAsia="zh-CN"/>
        </w:rPr>
        <w:t>2.7包安装、原车辆上电池拆卸。</w:t>
      </w:r>
    </w:p>
    <w:p>
      <w:pPr>
        <w:pStyle w:val="20"/>
        <w:snapToGrid w:val="0"/>
        <w:spacing w:before="120" w:beforeLines="0" w:after="120" w:afterLines="0" w:line="420" w:lineRule="exact"/>
        <w:rPr>
          <w:rFonts w:hAnsi="宋体"/>
          <w:b w:val="0"/>
          <w:bCs/>
          <w:highlight w:val="none"/>
        </w:rPr>
      </w:pPr>
      <w:r>
        <w:rPr>
          <w:rFonts w:hAnsi="宋体"/>
          <w:b w:val="0"/>
          <w:bCs/>
          <w:highlight w:val="none"/>
        </w:rPr>
        <w:t>三、技术资料</w:t>
      </w:r>
    </w:p>
    <w:p>
      <w:pPr>
        <w:pStyle w:val="20"/>
        <w:snapToGrid w:val="0"/>
        <w:spacing w:before="120" w:beforeLines="0" w:after="120" w:afterLines="0" w:line="420" w:lineRule="exact"/>
        <w:rPr>
          <w:rFonts w:hAnsi="宋体"/>
          <w:b w:val="0"/>
          <w:bCs/>
          <w:highlight w:val="none"/>
        </w:rPr>
      </w:pPr>
      <w:r>
        <w:rPr>
          <w:rFonts w:hAnsi="宋体"/>
          <w:b w:val="0"/>
          <w:bCs/>
          <w:highlight w:val="none"/>
        </w:rPr>
        <w:t>3.1乙方应按招标文件规定的时间向甲方提供使用货物的有关技术资料。</w:t>
      </w:r>
    </w:p>
    <w:p>
      <w:pPr>
        <w:pStyle w:val="20"/>
        <w:snapToGrid w:val="0"/>
        <w:spacing w:before="120" w:beforeLines="0" w:after="120" w:afterLines="0" w:line="420" w:lineRule="exact"/>
        <w:rPr>
          <w:rFonts w:hAnsi="宋体"/>
          <w:b w:val="0"/>
          <w:bCs/>
          <w:highlight w:val="none"/>
        </w:rPr>
      </w:pPr>
      <w:r>
        <w:rPr>
          <w:rFonts w:hAnsi="宋体"/>
          <w:b w:val="0"/>
          <w:bCs/>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beforeLines="0" w:after="120" w:afterLines="0" w:line="420" w:lineRule="exact"/>
        <w:rPr>
          <w:rFonts w:hAnsi="宋体"/>
          <w:b w:val="0"/>
          <w:bCs/>
          <w:highlight w:val="none"/>
        </w:rPr>
      </w:pPr>
      <w:r>
        <w:rPr>
          <w:rFonts w:hAnsi="宋体"/>
          <w:b w:val="0"/>
          <w:bCs/>
          <w:highlight w:val="none"/>
        </w:rPr>
        <w:t>四、知识产权</w:t>
      </w:r>
    </w:p>
    <w:p>
      <w:pPr>
        <w:pStyle w:val="20"/>
        <w:snapToGrid w:val="0"/>
        <w:spacing w:before="120" w:beforeLines="0" w:after="120" w:afterLines="0" w:line="420" w:lineRule="exact"/>
        <w:rPr>
          <w:rFonts w:hAnsi="宋体"/>
          <w:b w:val="0"/>
          <w:bCs/>
          <w:highlight w:val="none"/>
        </w:rPr>
      </w:pPr>
      <w:r>
        <w:rPr>
          <w:rFonts w:hAnsi="宋体"/>
          <w:b w:val="0"/>
          <w:bCs/>
          <w:highlight w:val="none"/>
        </w:rPr>
        <w:t>4.1 乙方应保证所提供的货物或其任何一部分均不会侵犯任何第三方的知识产权。</w:t>
      </w:r>
    </w:p>
    <w:p>
      <w:pPr>
        <w:pStyle w:val="20"/>
        <w:snapToGrid w:val="0"/>
        <w:spacing w:before="120" w:beforeLines="0" w:after="120" w:afterLines="0" w:line="420" w:lineRule="exact"/>
        <w:rPr>
          <w:rFonts w:hAnsi="宋体"/>
          <w:b w:val="0"/>
          <w:bCs/>
          <w:highlight w:val="none"/>
        </w:rPr>
      </w:pPr>
      <w:r>
        <w:rPr>
          <w:rFonts w:hAnsi="宋体"/>
          <w:b w:val="0"/>
          <w:bCs/>
          <w:highlight w:val="none"/>
        </w:rPr>
        <w:t>五、产权担保</w:t>
      </w:r>
    </w:p>
    <w:p>
      <w:pPr>
        <w:pStyle w:val="20"/>
        <w:snapToGrid w:val="0"/>
        <w:spacing w:before="120" w:beforeLines="0" w:after="120" w:afterLines="0" w:line="420" w:lineRule="exact"/>
        <w:rPr>
          <w:rFonts w:hAnsi="宋体"/>
          <w:b w:val="0"/>
          <w:bCs/>
          <w:highlight w:val="none"/>
        </w:rPr>
      </w:pPr>
      <w:r>
        <w:rPr>
          <w:rFonts w:hAnsi="宋体"/>
          <w:b w:val="0"/>
          <w:bCs/>
          <w:highlight w:val="none"/>
        </w:rPr>
        <w:t>5.1 乙方保证所交付的货物的所有权完全属于乙方且无任何抵押、查封等产权瑕疵。</w:t>
      </w:r>
    </w:p>
    <w:p>
      <w:pPr>
        <w:pStyle w:val="20"/>
        <w:snapToGrid w:val="0"/>
        <w:spacing w:before="120" w:beforeLines="0" w:after="120" w:afterLines="0" w:line="420" w:lineRule="exact"/>
        <w:rPr>
          <w:rFonts w:hint="eastAsia" w:hAnsi="宋体"/>
          <w:b w:val="0"/>
          <w:bCs/>
          <w:highlight w:val="none"/>
        </w:rPr>
      </w:pPr>
      <w:r>
        <w:rPr>
          <w:rFonts w:hAnsi="宋体"/>
          <w:b w:val="0"/>
          <w:bCs/>
          <w:highlight w:val="none"/>
        </w:rPr>
        <w:t>六、履约保证金</w:t>
      </w:r>
    </w:p>
    <w:p>
      <w:pPr>
        <w:pStyle w:val="20"/>
        <w:snapToGrid w:val="0"/>
        <w:spacing w:before="197" w:after="197" w:line="360" w:lineRule="auto"/>
        <w:rPr>
          <w:rFonts w:hint="eastAsia" w:hAnsi="宋体"/>
          <w:b w:val="0"/>
          <w:bCs/>
          <w:highlight w:val="none"/>
        </w:rPr>
      </w:pPr>
      <w:r>
        <w:rPr>
          <w:rFonts w:hAnsi="宋体"/>
          <w:b w:val="0"/>
          <w:bCs/>
          <w:highlight w:val="none"/>
        </w:rPr>
        <w:t xml:space="preserve">6.1 </w:t>
      </w:r>
      <w:r>
        <w:rPr>
          <w:rFonts w:hAnsi="宋体"/>
          <w:b w:val="0"/>
          <w:bCs/>
          <w:color w:val="auto"/>
          <w:highlight w:val="none"/>
        </w:rPr>
        <w:t>乙方须在合同签订前缴纳本项目履约保证金，金额为合同金额的5%，在合同履行完毕（</w:t>
      </w:r>
      <w:r>
        <w:rPr>
          <w:rFonts w:hint="eastAsia" w:hAnsi="宋体"/>
          <w:b w:val="0"/>
          <w:bCs/>
          <w:color w:val="auto"/>
          <w:highlight w:val="none"/>
          <w:lang w:eastAsia="zh-CN"/>
        </w:rPr>
        <w:t>供货完成且</w:t>
      </w:r>
      <w:r>
        <w:rPr>
          <w:rFonts w:hint="eastAsia" w:hAnsi="宋体"/>
          <w:b w:val="0"/>
          <w:bCs/>
          <w:color w:val="auto"/>
          <w:highlight w:val="none"/>
          <w:lang w:val="en-US" w:eastAsia="zh-CN"/>
        </w:rPr>
        <w:t>付清全部货款</w:t>
      </w:r>
      <w:r>
        <w:rPr>
          <w:rFonts w:hAnsi="宋体"/>
          <w:b w:val="0"/>
          <w:bCs/>
          <w:color w:val="auto"/>
          <w:highlight w:val="none"/>
        </w:rPr>
        <w:t>）后无息退还。[履约保证金交至甲方处，如有扣除的，乙方必须在15日内补足]。</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七</w:t>
      </w:r>
      <w:r>
        <w:rPr>
          <w:rFonts w:hAnsi="宋体"/>
          <w:b w:val="0"/>
          <w:bCs/>
          <w:highlight w:val="none"/>
        </w:rPr>
        <w:t>、转包或分包</w:t>
      </w:r>
    </w:p>
    <w:p>
      <w:pPr>
        <w:pStyle w:val="20"/>
        <w:snapToGrid w:val="0"/>
        <w:spacing w:before="120" w:beforeLines="0" w:after="120" w:afterLines="0" w:line="420" w:lineRule="exact"/>
        <w:rPr>
          <w:rFonts w:hAnsi="宋体"/>
          <w:b w:val="0"/>
          <w:bCs/>
          <w:highlight w:val="none"/>
        </w:rPr>
      </w:pPr>
      <w:r>
        <w:rPr>
          <w:rFonts w:hAnsi="宋体"/>
          <w:b w:val="0"/>
          <w:bCs/>
          <w:highlight w:val="none"/>
        </w:rPr>
        <w:t>7.1本合同范围的货物，应由供方直接供应，不得转让他人供应；</w:t>
      </w:r>
    </w:p>
    <w:p>
      <w:pPr>
        <w:pStyle w:val="20"/>
        <w:snapToGrid w:val="0"/>
        <w:spacing w:before="120" w:beforeLines="0" w:after="120" w:afterLines="0" w:line="420" w:lineRule="exact"/>
        <w:rPr>
          <w:rFonts w:hAnsi="宋体"/>
          <w:b w:val="0"/>
          <w:bCs/>
          <w:highlight w:val="none"/>
        </w:rPr>
      </w:pPr>
      <w:r>
        <w:rPr>
          <w:rFonts w:hAnsi="宋体"/>
          <w:b w:val="0"/>
          <w:bCs/>
          <w:highlight w:val="none"/>
        </w:rPr>
        <w:t>7.2 除非得到需方的书面同意，供方不得部分分包给他人供应。</w:t>
      </w:r>
    </w:p>
    <w:p>
      <w:pPr>
        <w:pStyle w:val="20"/>
        <w:snapToGrid w:val="0"/>
        <w:spacing w:before="120" w:beforeLines="0" w:after="120" w:afterLines="0" w:line="420" w:lineRule="exact"/>
        <w:rPr>
          <w:rFonts w:hAnsi="宋体"/>
          <w:b w:val="0"/>
          <w:bCs/>
          <w:highlight w:val="none"/>
        </w:rPr>
      </w:pPr>
      <w:r>
        <w:rPr>
          <w:rFonts w:hAnsi="宋体"/>
          <w:b w:val="0"/>
          <w:bCs/>
          <w:highlight w:val="none"/>
        </w:rPr>
        <w:t>7.3如有转让和未经需方同意的分包行为，需方有权给予终止合同。</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八.履约保证金的罚没</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8.1乙方未能按合同约定履行义务的，则乙方应向甲方承担违约责任并赔偿损失，且甲方有权从履约保证金中直接扣除。</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8.2乙方延期交货或履行合同不符合约定的，甲方不返还履约保证金，并有权要求乙方承担违约赔偿责任。</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8.3乙方提供的材料设备须和投标文件中所承诺的相符合（合同中另有约定除外），否则甲方有权拒收。</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九、质保期和质保金</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9.1、质保期：整车质保</w:t>
      </w:r>
      <w:r>
        <w:rPr>
          <w:rFonts w:hint="eastAsia" w:hAnsi="宋体"/>
          <w:b w:val="0"/>
          <w:bCs/>
          <w:highlight w:val="none"/>
          <w:u w:val="single"/>
          <w:lang w:val="en-US" w:eastAsia="zh-CN"/>
        </w:rPr>
        <w:t>1</w:t>
      </w:r>
      <w:r>
        <w:rPr>
          <w:rFonts w:hint="eastAsia" w:hAnsi="宋体"/>
          <w:b w:val="0"/>
          <w:bCs/>
          <w:highlight w:val="none"/>
          <w:lang w:val="en-US" w:eastAsia="zh-CN"/>
        </w:rPr>
        <w:t>年</w:t>
      </w:r>
      <w:r>
        <w:rPr>
          <w:rFonts w:hint="eastAsia" w:hAnsi="宋体"/>
          <w:b w:val="0"/>
          <w:bCs/>
          <w:highlight w:val="none"/>
        </w:rPr>
        <w:t>，</w:t>
      </w:r>
      <w:r>
        <w:rPr>
          <w:rFonts w:hint="eastAsia" w:hAnsi="宋体"/>
          <w:b w:val="0"/>
          <w:bCs/>
          <w:kern w:val="0"/>
          <w:szCs w:val="20"/>
          <w:highlight w:val="none"/>
        </w:rPr>
        <w:t>自验收合格之日起</w:t>
      </w:r>
      <w:r>
        <w:rPr>
          <w:rFonts w:hint="eastAsia" w:hAnsi="宋体"/>
          <w:b w:val="0"/>
          <w:bCs/>
          <w:kern w:val="0"/>
          <w:szCs w:val="20"/>
          <w:highlight w:val="none"/>
          <w:lang w:eastAsia="zh-CN"/>
        </w:rPr>
        <w:t>计算，</w:t>
      </w:r>
      <w:r>
        <w:rPr>
          <w:rFonts w:hint="eastAsia" w:hAnsi="宋体"/>
          <w:b w:val="0"/>
          <w:bCs/>
          <w:highlight w:val="none"/>
        </w:rPr>
        <w:t>具体按投标承诺为准执行。</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9.2、质保金：合同价的5% 。</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十</w:t>
      </w:r>
      <w:r>
        <w:rPr>
          <w:rFonts w:hAnsi="宋体"/>
          <w:b w:val="0"/>
          <w:bCs/>
          <w:highlight w:val="none"/>
        </w:rPr>
        <w:t>、交货期、交货方式及交货地点</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10</w:t>
      </w:r>
      <w:r>
        <w:rPr>
          <w:rFonts w:hAnsi="宋体"/>
          <w:b w:val="0"/>
          <w:bCs/>
          <w:highlight w:val="none"/>
        </w:rPr>
        <w:t>.1 交货期：</w:t>
      </w:r>
      <w:r>
        <w:rPr>
          <w:rFonts w:hint="eastAsia" w:hAnsi="宋体"/>
          <w:b w:val="0"/>
          <w:bCs/>
          <w:highlight w:val="none"/>
        </w:rPr>
        <w:t>自收到中标通知书后15个工作日内完成供货；如因项目需要分批次供货的，则每批次货物自接到买方通知后</w:t>
      </w:r>
      <w:r>
        <w:rPr>
          <w:rFonts w:hint="eastAsia" w:hAnsi="宋体"/>
          <w:b w:val="0"/>
          <w:bCs/>
          <w:highlight w:val="none"/>
          <w:lang w:val="en-US" w:eastAsia="zh-CN"/>
        </w:rPr>
        <w:t>5</w:t>
      </w:r>
      <w:r>
        <w:rPr>
          <w:rFonts w:hint="eastAsia" w:hAnsi="宋体"/>
          <w:b w:val="0"/>
          <w:bCs/>
          <w:highlight w:val="none"/>
        </w:rPr>
        <w:t>个工作日内完成供货。</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10</w:t>
      </w:r>
      <w:r>
        <w:rPr>
          <w:rFonts w:hAnsi="宋体"/>
          <w:b w:val="0"/>
          <w:bCs/>
          <w:highlight w:val="none"/>
        </w:rPr>
        <w:t>.2 交货方式： 由乙方提供车辆至甲方指定交货地点。</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10</w:t>
      </w:r>
      <w:r>
        <w:rPr>
          <w:rFonts w:hAnsi="宋体"/>
          <w:b w:val="0"/>
          <w:bCs/>
          <w:highlight w:val="none"/>
        </w:rPr>
        <w:t>.3 交货地点：台州</w:t>
      </w:r>
      <w:r>
        <w:rPr>
          <w:rFonts w:hint="eastAsia" w:hAnsi="宋体"/>
          <w:b w:val="0"/>
          <w:bCs/>
          <w:highlight w:val="none"/>
          <w:lang w:val="en-US" w:eastAsia="zh-CN"/>
        </w:rPr>
        <w:t>市</w:t>
      </w:r>
      <w:r>
        <w:rPr>
          <w:rFonts w:hAnsi="宋体"/>
          <w:b w:val="0"/>
          <w:bCs/>
          <w:highlight w:val="none"/>
        </w:rPr>
        <w:t>甲南大道东延</w:t>
      </w:r>
      <w:r>
        <w:rPr>
          <w:rFonts w:hint="eastAsia" w:hAnsi="宋体"/>
          <w:b w:val="0"/>
          <w:bCs/>
          <w:highlight w:val="none"/>
        </w:rPr>
        <w:t>9号。</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一</w:t>
      </w:r>
      <w:r>
        <w:rPr>
          <w:rFonts w:hAnsi="宋体"/>
          <w:b w:val="0"/>
          <w:bCs/>
          <w:highlight w:val="none"/>
        </w:rPr>
        <w:t>、货款支付</w:t>
      </w:r>
    </w:p>
    <w:p>
      <w:pPr>
        <w:pStyle w:val="20"/>
        <w:snapToGrid w:val="0"/>
        <w:spacing w:line="420" w:lineRule="exact"/>
        <w:rPr>
          <w:rFonts w:hint="eastAsia" w:hAnsi="宋体"/>
          <w:b w:val="0"/>
          <w:bCs/>
          <w:kern w:val="0"/>
          <w:szCs w:val="20"/>
          <w:highlight w:val="none"/>
        </w:rPr>
      </w:pPr>
      <w:r>
        <w:rPr>
          <w:rFonts w:hint="eastAsia" w:hAnsi="宋体"/>
          <w:b w:val="0"/>
          <w:bCs/>
          <w:kern w:val="0"/>
          <w:szCs w:val="20"/>
          <w:highlight w:val="none"/>
        </w:rPr>
        <w:t>11.</w:t>
      </w:r>
      <w:r>
        <w:rPr>
          <w:rFonts w:hint="eastAsia" w:hAnsi="宋体"/>
          <w:b w:val="0"/>
          <w:bCs/>
          <w:kern w:val="0"/>
          <w:szCs w:val="20"/>
          <w:highlight w:val="none"/>
          <w:lang w:val="en-US" w:eastAsia="zh-CN"/>
        </w:rPr>
        <w:t>1</w:t>
      </w:r>
      <w:r>
        <w:rPr>
          <w:rFonts w:hint="eastAsia" w:hAnsi="宋体"/>
          <w:color w:val="auto"/>
          <w:kern w:val="0"/>
          <w:szCs w:val="20"/>
          <w:highlight w:val="none"/>
        </w:rPr>
        <w:t>在合同签订前卖方向买方提供中标价5%的履约保证金，如卖方在签约前未在规定的时间内提交履约保证金则买方有权拒签合同；卖方完成供货且经买方验收合格后，</w:t>
      </w:r>
      <w:r>
        <w:rPr>
          <w:rFonts w:hint="eastAsia" w:hAnsi="宋体"/>
          <w:color w:val="auto"/>
          <w:kern w:val="0"/>
          <w:szCs w:val="20"/>
          <w:highlight w:val="none"/>
          <w:u w:val="none"/>
        </w:rPr>
        <w:t>买方向卖方付至实际采购货款的95%，余款5%待质保期满后付清；如因项目需要分批次供货的，则每批次货物供货完成并经买方验收合格付至实际货款的95%，余款5%待质保期满后付清。</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11.</w:t>
      </w:r>
      <w:r>
        <w:rPr>
          <w:rFonts w:hint="eastAsia" w:hAnsi="宋体"/>
          <w:b w:val="0"/>
          <w:bCs/>
          <w:highlight w:val="none"/>
          <w:lang w:val="en-US" w:eastAsia="zh-CN"/>
        </w:rPr>
        <w:t>2</w:t>
      </w:r>
      <w:r>
        <w:rPr>
          <w:rFonts w:hint="eastAsia" w:hAnsi="宋体"/>
          <w:b w:val="0"/>
          <w:bCs/>
          <w:highlight w:val="none"/>
        </w:rPr>
        <w:t>乙方收取每笔设备款时需向甲方提供增值税正式专用发票。</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11.</w:t>
      </w:r>
      <w:r>
        <w:rPr>
          <w:rFonts w:hint="eastAsia" w:hAnsi="宋体"/>
          <w:b w:val="0"/>
          <w:bCs/>
          <w:highlight w:val="none"/>
          <w:lang w:val="en-US" w:eastAsia="zh-CN"/>
        </w:rPr>
        <w:t>3</w:t>
      </w:r>
      <w:r>
        <w:rPr>
          <w:rFonts w:hint="eastAsia" w:hAnsi="宋体"/>
          <w:b w:val="0"/>
          <w:bCs/>
          <w:highlight w:val="none"/>
        </w:rPr>
        <w:t>甲方向乙方支付的所有费用均须汇入协议书中指定的银行账户。</w:t>
      </w:r>
    </w:p>
    <w:p>
      <w:pPr>
        <w:pStyle w:val="20"/>
        <w:snapToGrid w:val="0"/>
        <w:spacing w:before="120" w:beforeLines="0" w:after="120" w:afterLines="0" w:line="420" w:lineRule="exact"/>
        <w:rPr>
          <w:rFonts w:hint="eastAsia" w:hAnsi="宋体"/>
          <w:b w:val="0"/>
          <w:bCs/>
          <w:highlight w:val="none"/>
        </w:rPr>
      </w:pPr>
      <w:r>
        <w:rPr>
          <w:rFonts w:hAnsi="宋体"/>
          <w:b w:val="0"/>
          <w:bCs/>
          <w:highlight w:val="none"/>
        </w:rPr>
        <w:t>十</w:t>
      </w:r>
      <w:r>
        <w:rPr>
          <w:rFonts w:hint="eastAsia" w:hAnsi="宋体"/>
          <w:b w:val="0"/>
          <w:bCs/>
          <w:highlight w:val="none"/>
        </w:rPr>
        <w:t>二</w:t>
      </w:r>
      <w:r>
        <w:rPr>
          <w:rFonts w:hAnsi="宋体"/>
          <w:b w:val="0"/>
          <w:bCs/>
          <w:highlight w:val="none"/>
        </w:rPr>
        <w:t>.税</w:t>
      </w:r>
      <w:r>
        <w:rPr>
          <w:rFonts w:hint="eastAsia" w:hAnsi="宋体"/>
          <w:b w:val="0"/>
          <w:bCs/>
          <w:highlight w:val="none"/>
        </w:rPr>
        <w:t>费</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2</w:t>
      </w:r>
      <w:r>
        <w:rPr>
          <w:rFonts w:hAnsi="宋体"/>
          <w:b w:val="0"/>
          <w:bCs/>
          <w:highlight w:val="none"/>
        </w:rPr>
        <w:t>.1本合同执行中相关的一切税费均由</w:t>
      </w:r>
      <w:r>
        <w:rPr>
          <w:rFonts w:hint="eastAsia" w:hAnsi="宋体"/>
          <w:b w:val="0"/>
          <w:bCs/>
          <w:highlight w:val="none"/>
        </w:rPr>
        <w:t>乙</w:t>
      </w:r>
      <w:r>
        <w:rPr>
          <w:rFonts w:hAnsi="宋体"/>
          <w:b w:val="0"/>
          <w:bCs/>
          <w:highlight w:val="none"/>
        </w:rPr>
        <w:t>方负担</w:t>
      </w:r>
      <w:r>
        <w:rPr>
          <w:rFonts w:hint="eastAsia" w:hAnsi="宋体"/>
          <w:b w:val="0"/>
          <w:bCs/>
          <w:highlight w:val="none"/>
          <w:lang w:eastAsia="zh-CN"/>
        </w:rPr>
        <w:t>【</w:t>
      </w:r>
      <w:r>
        <w:rPr>
          <w:rFonts w:hAnsi="宋体"/>
          <w:b w:val="0"/>
          <w:bCs/>
          <w:highlight w:val="none"/>
        </w:rPr>
        <w:t>不包含</w:t>
      </w:r>
      <w:r>
        <w:rPr>
          <w:rFonts w:hint="eastAsia" w:hAnsi="宋体"/>
          <w:b w:val="0"/>
          <w:bCs/>
          <w:highlight w:val="none"/>
          <w:lang w:val="en-US" w:eastAsia="zh-CN"/>
        </w:rPr>
        <w:t>商业保险</w:t>
      </w:r>
      <w:r>
        <w:rPr>
          <w:rFonts w:hint="eastAsia" w:hAnsi="宋体"/>
          <w:b w:val="0"/>
          <w:bCs/>
          <w:highlight w:val="none"/>
          <w:lang w:eastAsia="zh-CN"/>
        </w:rPr>
        <w:t>】</w:t>
      </w:r>
      <w:r>
        <w:rPr>
          <w:rFonts w:hAnsi="宋体"/>
          <w:b w:val="0"/>
          <w:bCs/>
          <w:highlight w:val="none"/>
        </w:rPr>
        <w:t>。</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三</w:t>
      </w:r>
      <w:r>
        <w:rPr>
          <w:rFonts w:hAnsi="宋体"/>
          <w:b w:val="0"/>
          <w:bCs/>
          <w:highlight w:val="none"/>
        </w:rPr>
        <w:t>、质量保证及售后服务</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3</w:t>
      </w:r>
      <w:r>
        <w:rPr>
          <w:rFonts w:hAnsi="宋体"/>
          <w:b w:val="0"/>
          <w:bCs/>
          <w:highlight w:val="none"/>
        </w:rPr>
        <w:t>.1 乙方应按招标文件规定的货物性能、技术要求、质量标准向甲方提供未经使用的全新产品。</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3</w:t>
      </w:r>
      <w:r>
        <w:rPr>
          <w:rFonts w:hAnsi="宋体"/>
          <w:b w:val="0"/>
          <w:bCs/>
          <w:highlight w:val="none"/>
        </w:rPr>
        <w:t>.2 乙方提供的货物</w:t>
      </w:r>
      <w:r>
        <w:rPr>
          <w:rFonts w:hint="eastAsia" w:hAnsi="宋体"/>
          <w:b w:val="0"/>
          <w:bCs/>
          <w:highlight w:val="none"/>
        </w:rPr>
        <w:t>有质量问题的</w:t>
      </w:r>
      <w:r>
        <w:rPr>
          <w:rFonts w:hAnsi="宋体"/>
          <w:b w:val="0"/>
          <w:bCs/>
          <w:highlight w:val="none"/>
        </w:rPr>
        <w:t>，乙方应负责免费更换。对达不到技术要求者，根据实际情况，经双方协商，可按以下办法处理：</w:t>
      </w:r>
    </w:p>
    <w:p>
      <w:pPr>
        <w:pStyle w:val="20"/>
        <w:snapToGrid w:val="0"/>
        <w:spacing w:before="120" w:beforeLines="0" w:after="120" w:afterLines="0" w:line="420" w:lineRule="exact"/>
        <w:rPr>
          <w:rFonts w:hAnsi="宋体"/>
          <w:b w:val="0"/>
          <w:bCs/>
          <w:highlight w:val="none"/>
        </w:rPr>
      </w:pPr>
      <w:r>
        <w:rPr>
          <w:rFonts w:hAnsi="宋体"/>
          <w:b w:val="0"/>
          <w:bCs/>
          <w:highlight w:val="none"/>
        </w:rPr>
        <w:t>⑴更换：由乙方承担所发生的全部费用。</w:t>
      </w:r>
    </w:p>
    <w:p>
      <w:pPr>
        <w:pStyle w:val="20"/>
        <w:snapToGrid w:val="0"/>
        <w:spacing w:before="120" w:beforeLines="0" w:after="120" w:afterLines="0" w:line="420" w:lineRule="exact"/>
        <w:rPr>
          <w:rFonts w:hAnsi="宋体"/>
          <w:b w:val="0"/>
          <w:bCs/>
          <w:highlight w:val="none"/>
        </w:rPr>
      </w:pPr>
      <w:r>
        <w:rPr>
          <w:rFonts w:hAnsi="宋体"/>
          <w:b w:val="0"/>
          <w:bCs/>
          <w:highlight w:val="none"/>
        </w:rPr>
        <w:t>⑵贬值处理：由甲乙双方合议定价。</w:t>
      </w:r>
    </w:p>
    <w:p>
      <w:pPr>
        <w:pStyle w:val="20"/>
        <w:snapToGrid w:val="0"/>
        <w:spacing w:before="120" w:beforeLines="0" w:after="120" w:afterLines="0" w:line="420" w:lineRule="exact"/>
        <w:rPr>
          <w:rFonts w:hAnsi="宋体"/>
          <w:b w:val="0"/>
          <w:bCs/>
          <w:highlight w:val="none"/>
        </w:rPr>
      </w:pPr>
      <w:r>
        <w:rPr>
          <w:rFonts w:hAnsi="宋体"/>
          <w:b w:val="0"/>
          <w:bCs/>
          <w:highlight w:val="none"/>
        </w:rPr>
        <w:t>⑶退货处理：乙方应退还甲方支付的合同款，同时应承担该货物的直接费用（运输、保险、检验、货款利息及银行手续费等）。</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3</w:t>
      </w:r>
      <w:r>
        <w:rPr>
          <w:rFonts w:hAnsi="宋体"/>
          <w:b w:val="0"/>
          <w:bCs/>
          <w:highlight w:val="none"/>
        </w:rPr>
        <w:t>.3 如在使用过程中发生质量问题，乙方在接到甲方通知后在</w:t>
      </w:r>
      <w:r>
        <w:rPr>
          <w:rFonts w:hint="eastAsia" w:hAnsi="宋体"/>
          <w:b w:val="0"/>
          <w:bCs/>
          <w:highlight w:val="none"/>
          <w:u w:val="single"/>
        </w:rPr>
        <w:t>12</w:t>
      </w:r>
      <w:r>
        <w:rPr>
          <w:rFonts w:hAnsi="宋体"/>
          <w:b w:val="0"/>
          <w:bCs/>
          <w:highlight w:val="none"/>
        </w:rPr>
        <w:t>小时内到达甲方现场。</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四</w:t>
      </w:r>
      <w:r>
        <w:rPr>
          <w:rFonts w:hAnsi="宋体"/>
          <w:b w:val="0"/>
          <w:bCs/>
          <w:highlight w:val="none"/>
        </w:rPr>
        <w:t>、</w:t>
      </w:r>
      <w:r>
        <w:rPr>
          <w:rFonts w:hint="eastAsia" w:hAnsi="宋体"/>
          <w:b w:val="0"/>
          <w:bCs/>
          <w:highlight w:val="none"/>
        </w:rPr>
        <w:t>货物</w:t>
      </w:r>
      <w:r>
        <w:rPr>
          <w:rFonts w:hAnsi="宋体"/>
          <w:b w:val="0"/>
          <w:bCs/>
          <w:highlight w:val="none"/>
        </w:rPr>
        <w:t>验收</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4</w:t>
      </w:r>
      <w:r>
        <w:rPr>
          <w:rFonts w:hAnsi="宋体"/>
          <w:b w:val="0"/>
          <w:bCs/>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4</w:t>
      </w:r>
      <w:r>
        <w:rPr>
          <w:rFonts w:hAnsi="宋体"/>
          <w:b w:val="0"/>
          <w:bCs/>
          <w:highlight w:val="none"/>
        </w:rPr>
        <w:t>.2 乙方交货前应对产品作出全面检查和对验收文件进行整理，并列出清单，作为甲方收货验收和使用的技术条件依据，检验的结果应随货物交甲方。</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14.3货物到达现场后，必须按照甲方要求运至指定地点，否则甲方有权不予接收，甲方必须派人及时接收货物，乙方派人到现场与甲方一起货物验收。</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14.4货物到达现场后，甲方严格按照质量要求进行验收，若不合格或不能满足甲方使用要求则无条件给予退还，发生一切损失由乙方承担，且承担因此给甲方造成的经济损失。</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4</w:t>
      </w:r>
      <w:r>
        <w:rPr>
          <w:rFonts w:hAnsi="宋体"/>
          <w:b w:val="0"/>
          <w:bCs/>
          <w:highlight w:val="none"/>
        </w:rPr>
        <w:t>.</w:t>
      </w:r>
      <w:r>
        <w:rPr>
          <w:rFonts w:hint="eastAsia" w:hAnsi="宋体"/>
          <w:b w:val="0"/>
          <w:bCs/>
          <w:highlight w:val="none"/>
        </w:rPr>
        <w:t>5</w:t>
      </w:r>
      <w:r>
        <w:rPr>
          <w:rFonts w:hAnsi="宋体"/>
          <w:b w:val="0"/>
          <w:bCs/>
          <w:highlight w:val="none"/>
        </w:rPr>
        <w:t xml:space="preserve"> 对技术复杂的货物，甲方应请国家认可的专业检测机构参与初步验收及最终验收，并由其出具质量检测报告。</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4</w:t>
      </w:r>
      <w:r>
        <w:rPr>
          <w:rFonts w:hAnsi="宋体"/>
          <w:b w:val="0"/>
          <w:bCs/>
          <w:highlight w:val="none"/>
        </w:rPr>
        <w:t>.</w:t>
      </w:r>
      <w:r>
        <w:rPr>
          <w:rFonts w:hint="eastAsia" w:hAnsi="宋体"/>
          <w:b w:val="0"/>
          <w:bCs/>
          <w:highlight w:val="none"/>
        </w:rPr>
        <w:t>6</w:t>
      </w:r>
      <w:r>
        <w:rPr>
          <w:rFonts w:hAnsi="宋体"/>
          <w:b w:val="0"/>
          <w:bCs/>
          <w:highlight w:val="none"/>
        </w:rPr>
        <w:t xml:space="preserve"> 验收时乙方必须在现场，验收完毕后作出验收结果报告；验收费用由乙方负责。</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五</w:t>
      </w:r>
      <w:r>
        <w:rPr>
          <w:rFonts w:hAnsi="宋体"/>
          <w:b w:val="0"/>
          <w:bCs/>
          <w:highlight w:val="none"/>
        </w:rPr>
        <w:t>、货物包装、发运及运输</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5</w:t>
      </w:r>
      <w:r>
        <w:rPr>
          <w:rFonts w:hAnsi="宋体"/>
          <w:b w:val="0"/>
          <w:bCs/>
          <w:highlight w:val="none"/>
        </w:rPr>
        <w:t>.1 乙方应在货物发运前对其进行满足运输距离、防潮、防震、防锈和防破损装卸等要求包装，以保证货物安全运达甲方指定地点。</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5</w:t>
      </w:r>
      <w:r>
        <w:rPr>
          <w:rFonts w:hAnsi="宋体"/>
          <w:b w:val="0"/>
          <w:bCs/>
          <w:highlight w:val="none"/>
        </w:rPr>
        <w:t>.2 使用说明书、质量检验证明书以及清单一并附于货物内。</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5</w:t>
      </w:r>
      <w:r>
        <w:rPr>
          <w:rFonts w:hAnsi="宋体"/>
          <w:b w:val="0"/>
          <w:bCs/>
          <w:highlight w:val="none"/>
        </w:rPr>
        <w:t>.3 乙方在货物发运手续办理完毕后24小时内或货到甲方48小时前通知甲方，以准备接货。</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5</w:t>
      </w:r>
      <w:r>
        <w:rPr>
          <w:rFonts w:hAnsi="宋体"/>
          <w:b w:val="0"/>
          <w:bCs/>
          <w:highlight w:val="none"/>
        </w:rPr>
        <w:t>.4 货物在交付甲方前发生的风险均由乙方负责，车辆</w:t>
      </w:r>
      <w:r>
        <w:rPr>
          <w:rFonts w:hint="eastAsia" w:hAnsi="宋体"/>
          <w:b w:val="0"/>
          <w:bCs/>
          <w:highlight w:val="none"/>
          <w:lang w:eastAsia="zh-CN"/>
        </w:rPr>
        <w:t>交</w:t>
      </w:r>
      <w:r>
        <w:rPr>
          <w:rFonts w:hAnsi="宋体"/>
          <w:b w:val="0"/>
          <w:bCs/>
          <w:highlight w:val="none"/>
        </w:rPr>
        <w:t>至甲方指定</w:t>
      </w:r>
      <w:r>
        <w:rPr>
          <w:rFonts w:hint="eastAsia" w:hAnsi="宋体"/>
          <w:b w:val="0"/>
          <w:bCs/>
          <w:highlight w:val="none"/>
        </w:rPr>
        <w:t>地点并经甲方验收合格后视为乙方完成交付</w:t>
      </w:r>
      <w:r>
        <w:rPr>
          <w:rFonts w:hAnsi="宋体"/>
          <w:b w:val="0"/>
          <w:bCs/>
          <w:highlight w:val="none"/>
        </w:rPr>
        <w:t>。</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5</w:t>
      </w:r>
      <w:r>
        <w:rPr>
          <w:rFonts w:hAnsi="宋体"/>
          <w:b w:val="0"/>
          <w:bCs/>
          <w:highlight w:val="none"/>
        </w:rPr>
        <w:t>.5 货物在规定的交付期限内由乙方送达甲方指定的地点视为交付，乙方同时需通知甲方货物已送达。</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15.6货物在装运前由乙方投保，一旦货物在装卸、运输过程中发生损坏或短缺，由乙方负责索赔。</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15.7乙方保证在确认货物因装卸、运输中发生损坏或短缺后，尽快给予调换、修复和补齐缺件，不管其造成的原因如何，也不能以办理索赔为由而拖延。</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六</w:t>
      </w:r>
      <w:r>
        <w:rPr>
          <w:rFonts w:hAnsi="宋体"/>
          <w:b w:val="0"/>
          <w:bCs/>
          <w:highlight w:val="none"/>
        </w:rPr>
        <w:t>、违约责任</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16.1产品质量责任</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(1)凡材料设备在装卸等过程中发现的材料设备质量问题，由乙方负责处理，实行包换、包退，直至产品符合质量要求。乙方承担调换、退货发生的一切费用和甲方的直接经济损失。</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w:t>
      </w:r>
      <w:r>
        <w:rPr>
          <w:rFonts w:hAnsi="宋体"/>
          <w:b w:val="0"/>
          <w:bCs/>
          <w:highlight w:val="none"/>
        </w:rPr>
        <w:t>2)</w:t>
      </w:r>
      <w:r>
        <w:rPr>
          <w:rFonts w:hint="eastAsia" w:hAnsi="宋体"/>
          <w:b w:val="0"/>
          <w:bCs/>
          <w:highlight w:val="none"/>
        </w:rPr>
        <w:t xml:space="preserve"> 乙方在接到甲方通知后，应立即派人赴现场处理材料设备质量问题。</w:t>
      </w:r>
      <w:r>
        <w:rPr>
          <w:rFonts w:hAnsi="宋体"/>
          <w:b w:val="0"/>
          <w:bCs/>
          <w:highlight w:val="none"/>
        </w:rPr>
        <w:t xml:space="preserve"> </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w:t>
      </w:r>
      <w:r>
        <w:rPr>
          <w:rFonts w:hAnsi="宋体"/>
          <w:b w:val="0"/>
          <w:bCs/>
          <w:highlight w:val="none"/>
        </w:rPr>
        <w:t>3)</w:t>
      </w:r>
      <w:r>
        <w:rPr>
          <w:rFonts w:hint="eastAsia" w:hAnsi="宋体"/>
          <w:b w:val="0"/>
          <w:bCs/>
          <w:highlight w:val="none"/>
        </w:rPr>
        <w:t xml:space="preserve"> 由于甲方保管不善或使用不当造成材料设备短缺或损坏，由甲方负责。但乙方保证及时给予补齐或修复。 </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16.2违约赔偿</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 xml:space="preserve">    除不可抗力外，如乙方发生不能按期交货或提供服务，甲方发生中途退货等情况，应及时以书面形式通知对方。买、卖双方应本着友好的态度进行协商，妥善解决。</w:t>
      </w:r>
      <w:r>
        <w:rPr>
          <w:rFonts w:hint="eastAsia" w:hAnsi="宋体"/>
          <w:b w:val="0"/>
          <w:bCs/>
          <w:highlight w:val="none"/>
        </w:rPr>
        <w:cr/>
      </w:r>
      <w:r>
        <w:rPr>
          <w:rFonts w:hint="eastAsia" w:hAnsi="宋体"/>
          <w:b w:val="0"/>
          <w:bCs/>
          <w:highlight w:val="none"/>
        </w:rPr>
        <w:t xml:space="preserve">    如协商无效，按下列规定处以罚金。</w:t>
      </w:r>
    </w:p>
    <w:p>
      <w:pPr>
        <w:pStyle w:val="20"/>
        <w:snapToGrid w:val="0"/>
        <w:spacing w:before="120" w:beforeLines="0" w:after="120" w:afterLines="0" w:line="420" w:lineRule="exact"/>
        <w:rPr>
          <w:rFonts w:hint="eastAsia" w:hAnsi="宋体"/>
          <w:b w:val="0"/>
          <w:bCs/>
          <w:highlight w:val="none"/>
        </w:rPr>
      </w:pPr>
      <w:r>
        <w:rPr>
          <w:rFonts w:hint="eastAsia" w:hAnsi="宋体"/>
          <w:b w:val="0"/>
          <w:bCs/>
          <w:highlight w:val="none"/>
        </w:rPr>
        <w:t>(1) 逾期交货</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 xml:space="preserve"> </w:t>
      </w:r>
      <w:r>
        <w:rPr>
          <w:rFonts w:hAnsi="宋体"/>
          <w:b w:val="0"/>
          <w:bCs/>
          <w:highlight w:val="none"/>
        </w:rPr>
        <w:t xml:space="preserve"> </w:t>
      </w:r>
      <w:r>
        <w:rPr>
          <w:rFonts w:hint="eastAsia" w:hAnsi="宋体"/>
          <w:b w:val="0"/>
          <w:bCs/>
          <w:highlight w:val="none"/>
        </w:rPr>
        <w:t>乙方逾期交货的，每延迟一天向甲方支付违约金（违约金30万以内的每天800元,违约金30万以上的每天1500元）。</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(2) 乙方不能交货或甲方中途退</w:t>
      </w:r>
      <w:r>
        <w:rPr>
          <w:rFonts w:hAnsi="宋体"/>
          <w:b w:val="0"/>
          <w:bCs/>
          <w:highlight w:val="none"/>
        </w:rPr>
        <w:t>货</w:t>
      </w:r>
    </w:p>
    <w:p>
      <w:pPr>
        <w:pStyle w:val="20"/>
        <w:snapToGrid w:val="0"/>
        <w:spacing w:before="120" w:beforeLines="0" w:after="120" w:afterLines="0" w:line="420" w:lineRule="exact"/>
        <w:rPr>
          <w:rFonts w:hAnsi="宋体"/>
          <w:b w:val="0"/>
          <w:bCs/>
          <w:highlight w:val="none"/>
        </w:rPr>
      </w:pPr>
      <w:r>
        <w:rPr>
          <w:rFonts w:hAnsi="宋体"/>
          <w:b w:val="0"/>
          <w:bCs/>
          <w:highlight w:val="none"/>
        </w:rPr>
        <w:t xml:space="preserve">    </w:t>
      </w:r>
      <w:r>
        <w:rPr>
          <w:rFonts w:hint="eastAsia" w:hAnsi="宋体"/>
          <w:b w:val="0"/>
          <w:bCs/>
          <w:highlight w:val="none"/>
        </w:rPr>
        <w:t>乙方</w:t>
      </w:r>
      <w:r>
        <w:rPr>
          <w:rFonts w:hAnsi="宋体"/>
          <w:b w:val="0"/>
          <w:bCs/>
          <w:highlight w:val="none"/>
        </w:rPr>
        <w:t>不能交货，应向</w:t>
      </w:r>
      <w:r>
        <w:rPr>
          <w:rFonts w:hint="eastAsia" w:hAnsi="宋体"/>
          <w:b w:val="0"/>
          <w:bCs/>
          <w:highlight w:val="none"/>
        </w:rPr>
        <w:t>甲方</w:t>
      </w:r>
      <w:r>
        <w:rPr>
          <w:rFonts w:hAnsi="宋体"/>
          <w:b w:val="0"/>
          <w:bCs/>
          <w:highlight w:val="none"/>
        </w:rPr>
        <w:t>偿付违约金。违约金按不能交货部分货款的10－30％计算。</w:t>
      </w:r>
      <w:r>
        <w:rPr>
          <w:rFonts w:hint="eastAsia" w:hAnsi="宋体"/>
          <w:b w:val="0"/>
          <w:bCs/>
          <w:highlight w:val="none"/>
        </w:rPr>
        <w:t>或甲方中途退</w:t>
      </w:r>
      <w:r>
        <w:rPr>
          <w:rFonts w:hAnsi="宋体"/>
          <w:b w:val="0"/>
          <w:bCs/>
          <w:highlight w:val="none"/>
        </w:rPr>
        <w:t>货</w:t>
      </w:r>
      <w:r>
        <w:rPr>
          <w:rFonts w:hint="eastAsia" w:hAnsi="宋体"/>
          <w:b w:val="0"/>
          <w:bCs/>
          <w:highlight w:val="none"/>
        </w:rPr>
        <w:t>的，</w:t>
      </w:r>
      <w:r>
        <w:rPr>
          <w:rFonts w:hAnsi="宋体"/>
          <w:b w:val="0"/>
          <w:bCs/>
          <w:highlight w:val="none"/>
        </w:rPr>
        <w:t>按不能交货</w:t>
      </w:r>
      <w:r>
        <w:rPr>
          <w:rFonts w:hint="eastAsia" w:hAnsi="宋体"/>
          <w:b w:val="0"/>
          <w:bCs/>
          <w:highlight w:val="none"/>
        </w:rPr>
        <w:t>或退</w:t>
      </w:r>
      <w:r>
        <w:rPr>
          <w:rFonts w:hAnsi="宋体"/>
          <w:b w:val="0"/>
          <w:bCs/>
          <w:highlight w:val="none"/>
        </w:rPr>
        <w:t>货部分货款的10－30％</w:t>
      </w:r>
      <w:r>
        <w:rPr>
          <w:rFonts w:hint="eastAsia" w:hAnsi="宋体"/>
          <w:b w:val="0"/>
          <w:bCs/>
          <w:highlight w:val="none"/>
        </w:rPr>
        <w:t>向乙方支付违约金</w:t>
      </w:r>
      <w:r>
        <w:rPr>
          <w:rFonts w:hAnsi="宋体"/>
          <w:b w:val="0"/>
          <w:bCs/>
          <w:highlight w:val="none"/>
        </w:rPr>
        <w:t>。违约金的计算方法与</w:t>
      </w:r>
      <w:r>
        <w:rPr>
          <w:rFonts w:hint="eastAsia" w:hAnsi="宋体"/>
          <w:b w:val="0"/>
          <w:bCs/>
          <w:highlight w:val="none"/>
        </w:rPr>
        <w:t>乙方</w:t>
      </w:r>
      <w:r>
        <w:rPr>
          <w:rFonts w:hAnsi="宋体"/>
          <w:b w:val="0"/>
          <w:bCs/>
          <w:highlight w:val="none"/>
        </w:rPr>
        <w:t>违约相同。如违约金达到最高限额时</w:t>
      </w:r>
      <w:r>
        <w:rPr>
          <w:rFonts w:hint="eastAsia" w:hAnsi="宋体"/>
          <w:b w:val="0"/>
          <w:bCs/>
          <w:highlight w:val="none"/>
        </w:rPr>
        <w:t>乙方</w:t>
      </w:r>
      <w:r>
        <w:rPr>
          <w:rFonts w:hAnsi="宋体"/>
          <w:b w:val="0"/>
          <w:bCs/>
          <w:highlight w:val="none"/>
        </w:rPr>
        <w:t>仍不能交货，</w:t>
      </w:r>
      <w:r>
        <w:rPr>
          <w:rFonts w:hint="eastAsia" w:hAnsi="宋体"/>
          <w:b w:val="0"/>
          <w:bCs/>
          <w:highlight w:val="none"/>
        </w:rPr>
        <w:t>甲方</w:t>
      </w:r>
      <w:r>
        <w:rPr>
          <w:rFonts w:hAnsi="宋体"/>
          <w:b w:val="0"/>
          <w:bCs/>
          <w:highlight w:val="none"/>
        </w:rPr>
        <w:t xml:space="preserve">可考虑终止合同。  </w:t>
      </w:r>
    </w:p>
    <w:p>
      <w:pPr>
        <w:pStyle w:val="20"/>
        <w:snapToGrid w:val="0"/>
        <w:spacing w:before="120" w:beforeLines="0" w:after="120" w:afterLines="0" w:line="420" w:lineRule="exact"/>
        <w:rPr>
          <w:rFonts w:hAnsi="宋体"/>
          <w:b w:val="0"/>
          <w:bCs/>
          <w:highlight w:val="none"/>
        </w:rPr>
      </w:pPr>
      <w:r>
        <w:rPr>
          <w:rFonts w:hint="eastAsia" w:hAnsi="宋体"/>
          <w:b w:val="0"/>
          <w:bCs/>
          <w:highlight w:val="none"/>
        </w:rPr>
        <w:t xml:space="preserve"> (3) 经买、卖双方协商同意延期交货和经双方友好协商同意退货且无需罚款者不在此例。</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七</w:t>
      </w:r>
      <w:r>
        <w:rPr>
          <w:rFonts w:hAnsi="宋体"/>
          <w:b w:val="0"/>
          <w:bCs/>
          <w:highlight w:val="none"/>
        </w:rPr>
        <w:t>、不可抗力事件处理</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7</w:t>
      </w:r>
      <w:r>
        <w:rPr>
          <w:rFonts w:hAnsi="宋体"/>
          <w:b w:val="0"/>
          <w:bCs/>
          <w:highlight w:val="none"/>
        </w:rPr>
        <w:t>.1 在合同有效期内，任何一方因不可抗力事件导致不能履行合同，则合同履行期可延长，其延长期与不可抗力影响期相同。</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7</w:t>
      </w:r>
      <w:r>
        <w:rPr>
          <w:rFonts w:hAnsi="宋体"/>
          <w:b w:val="0"/>
          <w:bCs/>
          <w:highlight w:val="none"/>
        </w:rPr>
        <w:t>.2 不可抗力事件发生后，应立即通知对方，并寄送有关权威机构出具的证明。</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7</w:t>
      </w:r>
      <w:r>
        <w:rPr>
          <w:rFonts w:hAnsi="宋体"/>
          <w:b w:val="0"/>
          <w:bCs/>
          <w:highlight w:val="none"/>
        </w:rPr>
        <w:t>.3 不可抗力事件延续120天以上，双方应通过友好协商，确定是否继续履行合同。</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八</w:t>
      </w:r>
      <w:r>
        <w:rPr>
          <w:rFonts w:hAnsi="宋体"/>
          <w:b w:val="0"/>
          <w:bCs/>
          <w:highlight w:val="none"/>
        </w:rPr>
        <w:t>、诉讼</w:t>
      </w:r>
    </w:p>
    <w:p>
      <w:pPr>
        <w:pStyle w:val="20"/>
        <w:snapToGrid w:val="0"/>
        <w:spacing w:before="120" w:beforeLines="0" w:after="120" w:afterLines="0" w:line="420" w:lineRule="exact"/>
        <w:rPr>
          <w:rFonts w:ascii="宋体" w:hAnsi="宋体" w:eastAsia="宋体" w:cs="Times New Roman"/>
          <w:b w:val="0"/>
          <w:bCs/>
          <w:highlight w:val="none"/>
        </w:rPr>
      </w:pPr>
      <w:r>
        <w:rPr>
          <w:rFonts w:ascii="宋体" w:hAnsi="宋体" w:eastAsia="宋体" w:cs="Times New Roman"/>
          <w:b w:val="0"/>
          <w:bCs/>
          <w:highlight w:val="none"/>
        </w:rPr>
        <w:t>1</w:t>
      </w:r>
      <w:r>
        <w:rPr>
          <w:rFonts w:hint="eastAsia" w:ascii="宋体" w:hAnsi="宋体" w:eastAsia="宋体" w:cs="Times New Roman"/>
          <w:b w:val="0"/>
          <w:bCs/>
          <w:highlight w:val="none"/>
        </w:rPr>
        <w:t>8</w:t>
      </w:r>
      <w:r>
        <w:rPr>
          <w:rFonts w:ascii="宋体" w:hAnsi="宋体" w:eastAsia="宋体" w:cs="Times New Roman"/>
          <w:b w:val="0"/>
          <w:bCs/>
          <w:highlight w:val="none"/>
        </w:rPr>
        <w:t xml:space="preserve">.1 </w:t>
      </w:r>
      <w:r>
        <w:rPr>
          <w:rFonts w:hint="eastAsia" w:ascii="宋体" w:hAnsi="宋体" w:eastAsia="宋体" w:cs="Times New Roman"/>
          <w:b w:val="0"/>
          <w:bCs/>
          <w:highlight w:val="none"/>
        </w:rPr>
        <w:t>当事人可以通过和解或者调解解决合同争议。当事人不愿和解、调解或者和解、调解不成的，按下述（2）种方式解决；（包括但不限于律师费、差旅费、诉讼费、保全费、鉴定费、评估费等，由违约方赔偿。合同签订地在此约定为台州市。</w:t>
      </w:r>
    </w:p>
    <w:p>
      <w:pPr>
        <w:pStyle w:val="20"/>
        <w:snapToGrid w:val="0"/>
        <w:spacing w:before="120" w:beforeLines="0" w:after="120" w:afterLines="0" w:line="420" w:lineRule="exact"/>
        <w:rPr>
          <w:rFonts w:ascii="宋体" w:hAnsi="宋体" w:eastAsia="宋体" w:cs="Times New Roman"/>
          <w:b w:val="0"/>
          <w:bCs/>
          <w:highlight w:val="none"/>
        </w:rPr>
      </w:pPr>
      <w:r>
        <w:rPr>
          <w:rFonts w:hint="eastAsia" w:ascii="宋体" w:hAnsi="宋体" w:eastAsia="宋体" w:cs="Times New Roman"/>
          <w:b w:val="0"/>
          <w:bCs/>
          <w:highlight w:val="none"/>
        </w:rPr>
        <w:t>提交_</w:t>
      </w:r>
      <w:r>
        <w:rPr>
          <w:rFonts w:hint="eastAsia" w:ascii="宋体" w:hAnsi="宋体" w:eastAsia="宋体" w:cs="Times New Roman"/>
          <w:b w:val="0"/>
          <w:bCs/>
          <w:highlight w:val="none"/>
          <w:u w:val="single"/>
        </w:rPr>
        <w:t>台州</w:t>
      </w:r>
      <w:r>
        <w:rPr>
          <w:rFonts w:hint="eastAsia" w:ascii="宋体" w:hAnsi="宋体" w:eastAsia="宋体" w:cs="Times New Roman"/>
          <w:b w:val="0"/>
          <w:bCs/>
          <w:highlight w:val="none"/>
        </w:rPr>
        <w:t>_仲裁委员会仲裁。</w:t>
      </w:r>
    </w:p>
    <w:p>
      <w:pPr>
        <w:pStyle w:val="20"/>
        <w:snapToGrid w:val="0"/>
        <w:spacing w:before="120" w:beforeLines="0" w:after="120" w:afterLines="0" w:line="420" w:lineRule="exact"/>
        <w:rPr>
          <w:rFonts w:hAnsi="宋体"/>
          <w:b w:val="0"/>
          <w:bCs/>
          <w:highlight w:val="none"/>
        </w:rPr>
      </w:pPr>
      <w:r>
        <w:rPr>
          <w:rFonts w:hint="eastAsia" w:ascii="宋体" w:hAnsi="宋体" w:eastAsia="宋体" w:cs="Times New Roman"/>
          <w:b w:val="0"/>
          <w:bCs/>
          <w:highlight w:val="none"/>
        </w:rPr>
        <w:t>依法向甲方所在地人民法院提起诉讼。</w:t>
      </w:r>
    </w:p>
    <w:p>
      <w:pPr>
        <w:pStyle w:val="20"/>
        <w:snapToGrid w:val="0"/>
        <w:spacing w:before="120" w:beforeLines="0" w:after="120" w:afterLines="0" w:line="420" w:lineRule="exact"/>
        <w:rPr>
          <w:rFonts w:hAnsi="宋体"/>
          <w:b w:val="0"/>
          <w:bCs/>
          <w:highlight w:val="none"/>
        </w:rPr>
      </w:pPr>
      <w:r>
        <w:rPr>
          <w:rFonts w:hAnsi="宋体"/>
          <w:b w:val="0"/>
          <w:bCs/>
          <w:highlight w:val="none"/>
        </w:rPr>
        <w:t>十</w:t>
      </w:r>
      <w:r>
        <w:rPr>
          <w:rFonts w:hint="eastAsia" w:hAnsi="宋体"/>
          <w:b w:val="0"/>
          <w:bCs/>
          <w:highlight w:val="none"/>
        </w:rPr>
        <w:t>九</w:t>
      </w:r>
      <w:r>
        <w:rPr>
          <w:rFonts w:hAnsi="宋体"/>
          <w:b w:val="0"/>
          <w:bCs/>
          <w:highlight w:val="none"/>
        </w:rPr>
        <w:t>、合同生效及其它</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9</w:t>
      </w:r>
      <w:r>
        <w:rPr>
          <w:rFonts w:hAnsi="宋体"/>
          <w:b w:val="0"/>
          <w:bCs/>
          <w:highlight w:val="none"/>
        </w:rPr>
        <w:t>.1 合同经双方法定代表人或授权委托代理人签字并加盖单位公章后生效。</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9</w:t>
      </w:r>
      <w:r>
        <w:rPr>
          <w:rFonts w:hAnsi="宋体"/>
          <w:b w:val="0"/>
          <w:bCs/>
          <w:highlight w:val="none"/>
        </w:rPr>
        <w:t>.2</w:t>
      </w:r>
      <w:r>
        <w:rPr>
          <w:rFonts w:hint="eastAsia" w:hAnsi="宋体"/>
          <w:b w:val="0"/>
          <w:bCs/>
          <w:highlight w:val="none"/>
        </w:rPr>
        <w:t>合同执行中涉及采购资金和采购内容修改或补充的，签订书面补充协议，并作为主合同不可分割的一部分。</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9</w:t>
      </w:r>
      <w:r>
        <w:rPr>
          <w:rFonts w:hAnsi="宋体"/>
          <w:b w:val="0"/>
          <w:bCs/>
          <w:highlight w:val="none"/>
        </w:rPr>
        <w:t>.3本合同未尽事宜，遵照《</w:t>
      </w:r>
      <w:r>
        <w:rPr>
          <w:rFonts w:hint="eastAsia" w:hAnsi="宋体"/>
          <w:b w:val="0"/>
          <w:bCs/>
          <w:highlight w:val="none"/>
          <w:lang w:eastAsia="zh-CN"/>
        </w:rPr>
        <w:t>民法典</w:t>
      </w:r>
      <w:r>
        <w:rPr>
          <w:rFonts w:hAnsi="宋体"/>
          <w:b w:val="0"/>
          <w:bCs/>
          <w:highlight w:val="none"/>
        </w:rPr>
        <w:t>》有关条文执行。</w:t>
      </w:r>
    </w:p>
    <w:p>
      <w:pPr>
        <w:pStyle w:val="20"/>
        <w:snapToGrid w:val="0"/>
        <w:spacing w:before="120" w:beforeLines="0" w:after="120" w:afterLines="0" w:line="420" w:lineRule="exact"/>
        <w:rPr>
          <w:rFonts w:hAnsi="宋体"/>
          <w:b w:val="0"/>
          <w:bCs/>
          <w:highlight w:val="none"/>
        </w:rPr>
      </w:pPr>
      <w:r>
        <w:rPr>
          <w:rFonts w:hAnsi="宋体"/>
          <w:b w:val="0"/>
          <w:bCs/>
          <w:highlight w:val="none"/>
        </w:rPr>
        <w:t>1</w:t>
      </w:r>
      <w:r>
        <w:rPr>
          <w:rFonts w:hint="eastAsia" w:hAnsi="宋体"/>
          <w:b w:val="0"/>
          <w:bCs/>
          <w:highlight w:val="none"/>
        </w:rPr>
        <w:t>9</w:t>
      </w:r>
      <w:r>
        <w:rPr>
          <w:rFonts w:hAnsi="宋体"/>
          <w:b w:val="0"/>
          <w:bCs/>
          <w:highlight w:val="none"/>
        </w:rPr>
        <w:t xml:space="preserve">.4 </w:t>
      </w:r>
      <w:r>
        <w:rPr>
          <w:rFonts w:hint="eastAsia" w:ascii="宋体" w:cs="宋体"/>
          <w:b w:val="0"/>
          <w:bCs/>
          <w:color w:val="auto"/>
          <w:sz w:val="24"/>
          <w:highlight w:val="none"/>
        </w:rPr>
        <w:t>本合同一式肆份。甲、乙双方各执贰份。本项目未尽事宜以采购文件、投标文件及澄清文件等为准。</w:t>
      </w:r>
    </w:p>
    <w:p>
      <w:pPr>
        <w:spacing w:line="360" w:lineRule="auto"/>
        <w:rPr>
          <w:highlight w:val="none"/>
        </w:rPr>
      </w:pPr>
      <w:r>
        <w:rPr>
          <w:rFonts w:hAnsi="宋体"/>
          <w:highlight w:val="none"/>
        </w:rPr>
        <w:t xml:space="preserve"> </w:t>
      </w:r>
    </w:p>
    <w:p>
      <w:pPr>
        <w:spacing w:line="480" w:lineRule="auto"/>
        <w:rPr>
          <w:rFonts w:hint="eastAsia" w:ascii="宋体" w:hAnsi="宋体" w:cs="宋体"/>
          <w:sz w:val="24"/>
          <w:highlight w:val="none"/>
        </w:rPr>
      </w:pPr>
      <w:r>
        <w:rPr>
          <w:rFonts w:hAnsi="宋体"/>
          <w:highlight w:val="none"/>
        </w:rPr>
        <w:t xml:space="preserve"> </w:t>
      </w:r>
      <w:r>
        <w:rPr>
          <w:rFonts w:hint="eastAsia" w:ascii="宋体" w:hAnsi="宋体" w:cs="宋体"/>
          <w:sz w:val="24"/>
          <w:highlight w:val="none"/>
        </w:rPr>
        <w:t xml:space="preserve">甲方：                                        乙方：  </w:t>
      </w:r>
    </w:p>
    <w:p>
      <w:pPr>
        <w:spacing w:line="480" w:lineRule="auto"/>
        <w:rPr>
          <w:rFonts w:hint="eastAsia" w:ascii="宋体" w:hAnsi="宋体" w:cs="宋体"/>
          <w:sz w:val="24"/>
          <w:highlight w:val="none"/>
        </w:rPr>
      </w:pPr>
      <w:r>
        <w:rPr>
          <w:rFonts w:hint="eastAsia" w:ascii="宋体" w:hAnsi="宋体" w:cs="宋体"/>
          <w:sz w:val="24"/>
          <w:highlight w:val="none"/>
        </w:rPr>
        <w:t>法定代表人：                                  法定代表人：</w:t>
      </w:r>
    </w:p>
    <w:p>
      <w:pPr>
        <w:spacing w:line="480" w:lineRule="auto"/>
        <w:rPr>
          <w:rFonts w:hint="eastAsia" w:ascii="宋体" w:hAnsi="宋体" w:cs="宋体"/>
          <w:sz w:val="24"/>
          <w:highlight w:val="none"/>
        </w:rPr>
      </w:pPr>
      <w:r>
        <w:rPr>
          <w:rFonts w:hint="eastAsia" w:ascii="宋体" w:hAnsi="宋体" w:cs="宋体"/>
          <w:sz w:val="24"/>
          <w:highlight w:val="none"/>
        </w:rPr>
        <w:t>委托代理人：                                  委托代理人：</w:t>
      </w:r>
    </w:p>
    <w:p>
      <w:pPr>
        <w:spacing w:line="480" w:lineRule="auto"/>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Arial"/>
          <w:color w:val="0C0C0C"/>
          <w:sz w:val="24"/>
          <w:highlight w:val="none"/>
        </w:rPr>
        <w:t>台州市甲南大道东段9号</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地 址：</w:t>
      </w:r>
    </w:p>
    <w:p>
      <w:pPr>
        <w:spacing w:line="480" w:lineRule="auto"/>
        <w:rPr>
          <w:rFonts w:hint="eastAsia" w:ascii="宋体" w:hAnsi="宋体" w:cs="宋体"/>
          <w:sz w:val="24"/>
          <w:highlight w:val="none"/>
        </w:rPr>
      </w:pPr>
      <w:r>
        <w:rPr>
          <w:rFonts w:hint="eastAsia" w:ascii="宋体" w:hAnsi="宋体" w:cs="宋体"/>
          <w:sz w:val="24"/>
          <w:highlight w:val="none"/>
        </w:rPr>
        <w:t>电 话：</w:t>
      </w:r>
      <w:r>
        <w:rPr>
          <w:rFonts w:ascii="宋体" w:hAnsi="宋体" w:cs="Arial"/>
          <w:sz w:val="24"/>
          <w:highlight w:val="none"/>
        </w:rPr>
        <w:t>0576-88909650</w:t>
      </w:r>
      <w:r>
        <w:rPr>
          <w:rFonts w:hint="eastAsia" w:ascii="宋体" w:hAnsi="宋体" w:cs="宋体"/>
          <w:sz w:val="24"/>
          <w:highlight w:val="none"/>
        </w:rPr>
        <w:t xml:space="preserve">                          电 话：</w:t>
      </w:r>
    </w:p>
    <w:p>
      <w:pPr>
        <w:spacing w:line="480" w:lineRule="auto"/>
        <w:rPr>
          <w:rFonts w:hint="eastAsia" w:ascii="宋体" w:hAnsi="宋体" w:cs="宋体"/>
          <w:sz w:val="24"/>
          <w:highlight w:val="none"/>
        </w:rPr>
      </w:pPr>
      <w:r>
        <w:rPr>
          <w:rFonts w:hint="eastAsia" w:ascii="宋体" w:hAnsi="宋体" w:cs="宋体"/>
          <w:sz w:val="24"/>
          <w:highlight w:val="none"/>
        </w:rPr>
        <w:t>开 户 行：</w:t>
      </w:r>
      <w:r>
        <w:rPr>
          <w:rFonts w:hint="eastAsia" w:ascii="宋体" w:hAnsi="宋体" w:cs="Arial"/>
          <w:color w:val="0C0C0C"/>
          <w:sz w:val="24"/>
          <w:highlight w:val="none"/>
          <w:lang w:val="en-US" w:eastAsia="zh-CN"/>
        </w:rPr>
        <w:t>建设银行</w:t>
      </w:r>
      <w:r>
        <w:rPr>
          <w:rFonts w:hint="eastAsia" w:ascii="宋体" w:hAnsi="宋体" w:cs="Arial"/>
          <w:color w:val="0C0C0C"/>
          <w:sz w:val="24"/>
          <w:highlight w:val="none"/>
        </w:rPr>
        <w:t>台州湾</w:t>
      </w:r>
      <w:r>
        <w:rPr>
          <w:rFonts w:hint="eastAsia" w:ascii="宋体" w:hAnsi="宋体" w:cs="Arial"/>
          <w:color w:val="0C0C0C"/>
          <w:sz w:val="24"/>
          <w:highlight w:val="none"/>
          <w:lang w:val="en-US" w:eastAsia="zh-CN"/>
        </w:rPr>
        <w:t>新</w:t>
      </w:r>
      <w:r>
        <w:rPr>
          <w:rFonts w:hint="eastAsia" w:ascii="宋体" w:hAnsi="宋体" w:cs="Arial"/>
          <w:color w:val="0C0C0C"/>
          <w:sz w:val="24"/>
          <w:highlight w:val="none"/>
        </w:rPr>
        <w:t>区支行</w:t>
      </w:r>
      <w:r>
        <w:rPr>
          <w:rFonts w:hint="eastAsia" w:ascii="宋体" w:hAnsi="宋体" w:cs="宋体"/>
          <w:sz w:val="24"/>
          <w:highlight w:val="none"/>
        </w:rPr>
        <w:t xml:space="preserve">              开 户 行：</w:t>
      </w:r>
    </w:p>
    <w:p>
      <w:pPr>
        <w:spacing w:line="480" w:lineRule="auto"/>
        <w:rPr>
          <w:rFonts w:hint="eastAsia" w:ascii="宋体" w:hAnsi="宋体" w:cs="宋体"/>
          <w:sz w:val="24"/>
          <w:highlight w:val="none"/>
        </w:rPr>
      </w:pPr>
      <w:r>
        <w:rPr>
          <w:rFonts w:hint="eastAsia" w:ascii="宋体" w:hAnsi="宋体" w:cs="宋体"/>
          <w:sz w:val="24"/>
          <w:highlight w:val="none"/>
        </w:rPr>
        <w:t>帐 号：</w:t>
      </w:r>
      <w:r>
        <w:rPr>
          <w:rFonts w:ascii="宋体" w:hAnsi="宋体" w:cs="Arial"/>
          <w:sz w:val="24"/>
          <w:highlight w:val="none"/>
        </w:rPr>
        <w:t>33050110284009125999</w:t>
      </w:r>
      <w:r>
        <w:rPr>
          <w:rFonts w:hint="eastAsia" w:ascii="宋体" w:hAnsi="宋体" w:cs="宋体"/>
          <w:sz w:val="24"/>
          <w:highlight w:val="none"/>
        </w:rPr>
        <w:t xml:space="preserve">                   帐 号：</w:t>
      </w:r>
    </w:p>
    <w:p>
      <w:pPr>
        <w:autoSpaceDE w:val="0"/>
        <w:autoSpaceDN w:val="0"/>
        <w:spacing w:line="480" w:lineRule="auto"/>
        <w:jc w:val="left"/>
        <w:rPr>
          <w:rFonts w:hint="eastAsia" w:ascii="宋体" w:hAnsi="宋体" w:cs="宋体"/>
          <w:sz w:val="21"/>
          <w:szCs w:val="21"/>
          <w:highlight w:val="none"/>
        </w:rPr>
      </w:pPr>
      <w:r>
        <w:rPr>
          <w:rFonts w:hint="eastAsia" w:ascii="宋体" w:hAnsi="宋体" w:cs="宋体"/>
          <w:sz w:val="24"/>
          <w:highlight w:val="none"/>
        </w:rPr>
        <w:t>税 号：                                       税 号：</w:t>
      </w:r>
    </w:p>
    <w:p>
      <w:pPr>
        <w:spacing w:line="480" w:lineRule="auto"/>
        <w:rPr>
          <w:rFonts w:hint="eastAsia" w:ascii="宋体" w:hAnsi="宋体" w:cs="宋体"/>
          <w:sz w:val="24"/>
          <w:highlight w:val="none"/>
        </w:rPr>
      </w:pPr>
    </w:p>
    <w:p>
      <w:pPr>
        <w:widowControl/>
        <w:ind w:left="-426" w:leftChars="-152" w:firstLine="240" w:firstLineChars="100"/>
        <w:jc w:val="left"/>
        <w:rPr>
          <w:highlight w:val="none"/>
        </w:rPr>
      </w:pPr>
      <w:r>
        <w:rPr>
          <w:rFonts w:hint="eastAsia" w:ascii="宋体" w:hAnsi="宋体" w:cs="宋体"/>
          <w:sz w:val="24"/>
          <w:highlight w:val="none"/>
        </w:rPr>
        <w:t>签订地点：                     签订日期：      年  月  日</w:t>
      </w:r>
    </w:p>
    <w:p>
      <w:pPr>
        <w:pStyle w:val="20"/>
        <w:tabs>
          <w:tab w:val="left" w:pos="2472"/>
        </w:tabs>
        <w:snapToGrid w:val="0"/>
        <w:spacing w:before="120" w:beforeLines="0" w:after="120" w:afterLines="0" w:line="240" w:lineRule="auto"/>
        <w:jc w:val="right"/>
        <w:rPr>
          <w:rFonts w:hAnsi="宋体"/>
          <w:color w:val="auto"/>
          <w:highlight w:val="none"/>
        </w:rPr>
      </w:pPr>
    </w:p>
    <w:p>
      <w:pPr>
        <w:pStyle w:val="21"/>
        <w:ind w:left="7000"/>
        <w:rPr>
          <w:rFonts w:hAnsi="宋体"/>
          <w:color w:val="auto"/>
          <w:highlight w:val="none"/>
        </w:rPr>
      </w:pPr>
    </w:p>
    <w:p>
      <w:pPr>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pStyle w:val="113"/>
        <w:ind w:firstLine="480"/>
        <w:rPr>
          <w:rFonts w:hAnsi="宋体"/>
          <w:color w:val="auto"/>
          <w:highlight w:val="none"/>
        </w:rPr>
      </w:pPr>
    </w:p>
    <w:p>
      <w:pPr>
        <w:adjustRightInd w:val="0"/>
        <w:spacing w:line="360" w:lineRule="exact"/>
        <w:jc w:val="both"/>
        <w:rPr>
          <w:rFonts w:ascii="黑体" w:hAnsi="黑体" w:eastAsia="黑体"/>
          <w:color w:val="auto"/>
          <w:sz w:val="30"/>
          <w:szCs w:val="30"/>
          <w:highlight w:val="none"/>
        </w:rPr>
      </w:pPr>
    </w:p>
    <w:p>
      <w:pPr>
        <w:adjustRightInd w:val="0"/>
        <w:spacing w:line="360" w:lineRule="exact"/>
        <w:ind w:firstLine="600" w:firstLineChars="200"/>
        <w:jc w:val="center"/>
        <w:rPr>
          <w:rFonts w:hint="eastAsia" w:ascii="黑体" w:hAnsi="黑体" w:eastAsia="黑体"/>
          <w:color w:val="auto"/>
          <w:sz w:val="30"/>
          <w:szCs w:val="30"/>
          <w:highlight w:val="none"/>
        </w:rPr>
      </w:pPr>
    </w:p>
    <w:p>
      <w:pPr>
        <w:adjustRightInd w:val="0"/>
        <w:spacing w:line="360" w:lineRule="exact"/>
        <w:ind w:firstLine="600" w:firstLineChars="200"/>
        <w:jc w:val="center"/>
        <w:rPr>
          <w:rFonts w:hint="eastAsia" w:ascii="黑体" w:hAnsi="黑体" w:eastAsia="黑体"/>
          <w:color w:val="auto"/>
          <w:sz w:val="30"/>
          <w:szCs w:val="30"/>
          <w:highlight w:val="none"/>
        </w:rPr>
      </w:pPr>
    </w:p>
    <w:p>
      <w:pPr>
        <w:adjustRightInd w:val="0"/>
        <w:spacing w:line="360" w:lineRule="exact"/>
        <w:ind w:firstLine="600" w:firstLineChars="200"/>
        <w:jc w:val="center"/>
        <w:rPr>
          <w:rFonts w:hint="eastAsia" w:ascii="黑体" w:hAnsi="黑体" w:eastAsia="黑体"/>
          <w:color w:val="auto"/>
          <w:sz w:val="30"/>
          <w:szCs w:val="30"/>
          <w:highlight w:val="none"/>
        </w:rPr>
      </w:pPr>
    </w:p>
    <w:p>
      <w:pPr>
        <w:adjustRightInd w:val="0"/>
        <w:spacing w:line="360" w:lineRule="exact"/>
        <w:ind w:firstLine="600" w:firstLineChars="200"/>
        <w:jc w:val="center"/>
        <w:rPr>
          <w:rFonts w:hint="eastAsia" w:ascii="黑体" w:hAnsi="黑体" w:eastAsia="黑体"/>
          <w:color w:val="auto"/>
          <w:sz w:val="30"/>
          <w:szCs w:val="30"/>
          <w:highlight w:val="none"/>
        </w:rPr>
      </w:pPr>
    </w:p>
    <w:p>
      <w:pPr>
        <w:adjustRightInd w:val="0"/>
        <w:spacing w:line="360" w:lineRule="exact"/>
        <w:ind w:firstLine="600" w:firstLineChars="200"/>
        <w:jc w:val="center"/>
        <w:rPr>
          <w:rFonts w:ascii="黑体" w:hAnsi="黑体" w:eastAsia="黑体"/>
          <w:color w:val="auto"/>
          <w:szCs w:val="28"/>
          <w:highlight w:val="none"/>
        </w:rPr>
      </w:pPr>
      <w:r>
        <w:rPr>
          <w:rFonts w:hint="eastAsia" w:ascii="黑体" w:hAnsi="黑体" w:eastAsia="黑体"/>
          <w:color w:val="auto"/>
          <w:sz w:val="30"/>
          <w:szCs w:val="30"/>
          <w:highlight w:val="none"/>
        </w:rPr>
        <w:t>项目廉政责任书</w:t>
      </w:r>
    </w:p>
    <w:p>
      <w:pPr>
        <w:autoSpaceDE w:val="0"/>
        <w:autoSpaceDN w:val="0"/>
        <w:spacing w:line="360" w:lineRule="exact"/>
        <w:ind w:firstLine="482"/>
        <w:rPr>
          <w:color w:val="auto"/>
          <w:sz w:val="21"/>
          <w:szCs w:val="21"/>
          <w:highlight w:val="none"/>
        </w:rPr>
      </w:pPr>
    </w:p>
    <w:p>
      <w:pPr>
        <w:autoSpaceDE w:val="0"/>
        <w:autoSpaceDN w:val="0"/>
        <w:spacing w:line="360" w:lineRule="auto"/>
        <w:ind w:firstLine="482"/>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u w:val="single"/>
          <w:lang w:eastAsia="zh-CN"/>
        </w:rPr>
        <w:t>台州东发建设投资有限公司2024年度电池采购（第一批）</w:t>
      </w:r>
      <w:r>
        <w:rPr>
          <w:rFonts w:hint="eastAsia"/>
          <w:color w:val="auto"/>
          <w:sz w:val="21"/>
          <w:szCs w:val="21"/>
          <w:highlight w:val="none"/>
          <w:u w:val="single"/>
        </w:rPr>
        <w:t xml:space="preserve">  </w:t>
      </w:r>
    </w:p>
    <w:p>
      <w:pPr>
        <w:autoSpaceDE w:val="0"/>
        <w:autoSpaceDN w:val="0"/>
        <w:spacing w:line="360" w:lineRule="auto"/>
        <w:ind w:firstLine="482"/>
        <w:rPr>
          <w:color w:val="auto"/>
          <w:sz w:val="21"/>
          <w:szCs w:val="21"/>
          <w:highlight w:val="none"/>
        </w:rPr>
      </w:pPr>
      <w:r>
        <w:rPr>
          <w:rFonts w:hint="eastAsia"/>
          <w:color w:val="auto"/>
          <w:sz w:val="21"/>
          <w:szCs w:val="21"/>
          <w:highlight w:val="none"/>
        </w:rPr>
        <w:t>采购人（甲方）：</w:t>
      </w:r>
      <w:r>
        <w:rPr>
          <w:rFonts w:hint="eastAsia"/>
          <w:color w:val="auto"/>
          <w:sz w:val="21"/>
          <w:szCs w:val="21"/>
          <w:highlight w:val="none"/>
          <w:u w:val="single"/>
        </w:rPr>
        <w:t xml:space="preserve">台州东发建设投资有限公司      </w:t>
      </w:r>
    </w:p>
    <w:p>
      <w:pPr>
        <w:autoSpaceDE w:val="0"/>
        <w:autoSpaceDN w:val="0"/>
        <w:spacing w:line="360" w:lineRule="auto"/>
        <w:ind w:firstLine="482"/>
        <w:rPr>
          <w:color w:val="auto"/>
          <w:sz w:val="21"/>
          <w:szCs w:val="21"/>
          <w:highlight w:val="none"/>
        </w:rPr>
      </w:pPr>
      <w:r>
        <w:rPr>
          <w:rFonts w:hint="eastAsia"/>
          <w:color w:val="auto"/>
          <w:sz w:val="21"/>
          <w:szCs w:val="21"/>
          <w:highlight w:val="none"/>
        </w:rPr>
        <w:t>中标单位（乙方）：</w:t>
      </w:r>
      <w:r>
        <w:rPr>
          <w:rFonts w:hint="eastAsia"/>
          <w:color w:val="auto"/>
          <w:sz w:val="21"/>
          <w:szCs w:val="21"/>
          <w:highlight w:val="none"/>
          <w:u w:val="single"/>
        </w:rPr>
        <w:t xml:space="preserve">                                                         </w:t>
      </w:r>
      <w:r>
        <w:rPr>
          <w:rFonts w:hint="eastAsia"/>
          <w:color w:val="auto"/>
          <w:sz w:val="21"/>
          <w:szCs w:val="21"/>
          <w:highlight w:val="none"/>
        </w:rPr>
        <w:t>。</w:t>
      </w:r>
    </w:p>
    <w:p>
      <w:pPr>
        <w:autoSpaceDE w:val="0"/>
        <w:autoSpaceDN w:val="0"/>
        <w:spacing w:line="360" w:lineRule="auto"/>
        <w:ind w:firstLine="482"/>
        <w:rPr>
          <w:color w:val="auto"/>
          <w:sz w:val="21"/>
          <w:szCs w:val="21"/>
          <w:highlight w:val="none"/>
        </w:rPr>
      </w:pPr>
      <w:r>
        <w:rPr>
          <w:rFonts w:hint="eastAsia"/>
          <w:color w:val="auto"/>
          <w:sz w:val="21"/>
          <w:szCs w:val="21"/>
          <w:highlight w:val="none"/>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color w:val="auto"/>
          <w:sz w:val="21"/>
          <w:szCs w:val="21"/>
          <w:highlight w:val="none"/>
        </w:rPr>
      </w:pPr>
      <w:r>
        <w:rPr>
          <w:rFonts w:hint="eastAsia"/>
          <w:color w:val="auto"/>
          <w:sz w:val="21"/>
          <w:szCs w:val="21"/>
          <w:highlight w:val="none"/>
        </w:rPr>
        <w:t>　　第一条 甲乙双方的责任</w:t>
      </w:r>
    </w:p>
    <w:p>
      <w:pPr>
        <w:spacing w:line="360" w:lineRule="auto"/>
        <w:jc w:val="left"/>
        <w:rPr>
          <w:color w:val="auto"/>
          <w:sz w:val="21"/>
          <w:szCs w:val="21"/>
          <w:highlight w:val="none"/>
        </w:rPr>
      </w:pPr>
      <w:r>
        <w:rPr>
          <w:rFonts w:hint="eastAsia"/>
          <w:color w:val="auto"/>
          <w:sz w:val="21"/>
          <w:szCs w:val="21"/>
          <w:highlight w:val="none"/>
        </w:rPr>
        <w:t>　　（一）应严格遵守国家关于市场准入、项目招标投标和市场活动等有关法律、法规，相关政策，以及廉政建设的各项规定。</w:t>
      </w:r>
    </w:p>
    <w:p>
      <w:pPr>
        <w:autoSpaceDE w:val="0"/>
        <w:autoSpaceDN w:val="0"/>
        <w:spacing w:line="360" w:lineRule="auto"/>
        <w:rPr>
          <w:color w:val="auto"/>
          <w:sz w:val="21"/>
          <w:szCs w:val="21"/>
          <w:highlight w:val="none"/>
        </w:rPr>
      </w:pPr>
      <w:r>
        <w:rPr>
          <w:rFonts w:hint="eastAsia"/>
          <w:color w:val="auto"/>
          <w:sz w:val="21"/>
          <w:szCs w:val="21"/>
          <w:highlight w:val="none"/>
        </w:rPr>
        <w:t>　　（二）严格执行项目双方合同文件，自觉按合同办事。</w:t>
      </w:r>
    </w:p>
    <w:p>
      <w:pPr>
        <w:spacing w:line="360" w:lineRule="auto"/>
        <w:rPr>
          <w:color w:val="auto"/>
          <w:sz w:val="21"/>
          <w:szCs w:val="21"/>
          <w:highlight w:val="none"/>
        </w:rPr>
      </w:pPr>
      <w:r>
        <w:rPr>
          <w:rFonts w:hint="eastAsia"/>
          <w:color w:val="auto"/>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color w:val="auto"/>
          <w:sz w:val="21"/>
          <w:szCs w:val="21"/>
          <w:highlight w:val="none"/>
        </w:rPr>
      </w:pPr>
      <w:r>
        <w:rPr>
          <w:rFonts w:hint="eastAsia"/>
          <w:color w:val="auto"/>
          <w:sz w:val="21"/>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auto"/>
        <w:rPr>
          <w:color w:val="auto"/>
          <w:sz w:val="21"/>
          <w:szCs w:val="21"/>
          <w:highlight w:val="none"/>
        </w:rPr>
      </w:pPr>
      <w:r>
        <w:rPr>
          <w:rFonts w:hint="eastAsia"/>
          <w:color w:val="auto"/>
          <w:sz w:val="21"/>
          <w:szCs w:val="21"/>
          <w:highlight w:val="none"/>
        </w:rPr>
        <w:t>　　第二条 甲方的责任</w:t>
      </w:r>
    </w:p>
    <w:p>
      <w:pPr>
        <w:autoSpaceDE w:val="0"/>
        <w:autoSpaceDN w:val="0"/>
        <w:spacing w:line="360" w:lineRule="auto"/>
        <w:rPr>
          <w:color w:val="auto"/>
          <w:sz w:val="21"/>
          <w:szCs w:val="21"/>
          <w:highlight w:val="none"/>
        </w:rPr>
      </w:pPr>
      <w:r>
        <w:rPr>
          <w:rFonts w:hint="eastAsia"/>
          <w:color w:val="auto"/>
          <w:sz w:val="21"/>
          <w:szCs w:val="21"/>
          <w:highlight w:val="none"/>
        </w:rPr>
        <w:t>　　甲方的领导和从事该项目的工作人员，在项目的事前、事中、事后应遵守以下规定：</w:t>
      </w:r>
    </w:p>
    <w:p>
      <w:pPr>
        <w:autoSpaceDE w:val="0"/>
        <w:autoSpaceDN w:val="0"/>
        <w:spacing w:line="360" w:lineRule="auto"/>
        <w:rPr>
          <w:color w:val="auto"/>
          <w:sz w:val="21"/>
          <w:szCs w:val="21"/>
          <w:highlight w:val="none"/>
        </w:rPr>
      </w:pPr>
      <w:r>
        <w:rPr>
          <w:rFonts w:hint="eastAsia"/>
          <w:color w:val="auto"/>
          <w:sz w:val="21"/>
          <w:szCs w:val="21"/>
          <w:highlight w:val="none"/>
        </w:rPr>
        <w:t>　　（一）不准向乙方和相关单位索要或接受回扣、礼金、有价证券、贵重物品和好处费、感谢费等。</w:t>
      </w:r>
    </w:p>
    <w:p>
      <w:pPr>
        <w:autoSpaceDE w:val="0"/>
        <w:autoSpaceDN w:val="0"/>
        <w:spacing w:line="360" w:lineRule="auto"/>
        <w:rPr>
          <w:color w:val="auto"/>
          <w:sz w:val="21"/>
          <w:szCs w:val="21"/>
          <w:highlight w:val="none"/>
        </w:rPr>
      </w:pPr>
      <w:r>
        <w:rPr>
          <w:rFonts w:hint="eastAsia"/>
          <w:color w:val="auto"/>
          <w:sz w:val="21"/>
          <w:szCs w:val="21"/>
          <w:highlight w:val="none"/>
        </w:rPr>
        <w:t>　　（二）不准在乙方和相关单位报销任何应由甲方或个人支付的费用。</w:t>
      </w:r>
    </w:p>
    <w:p>
      <w:pPr>
        <w:spacing w:line="360" w:lineRule="auto"/>
        <w:jc w:val="left"/>
        <w:rPr>
          <w:color w:val="auto"/>
          <w:sz w:val="21"/>
          <w:szCs w:val="21"/>
          <w:highlight w:val="none"/>
        </w:rPr>
      </w:pPr>
      <w:r>
        <w:rPr>
          <w:rFonts w:hint="eastAsia"/>
          <w:color w:val="auto"/>
          <w:sz w:val="21"/>
          <w:szCs w:val="21"/>
          <w:highlight w:val="none"/>
        </w:rPr>
        <w:t>　　（三）不准要求、暗示和接受乙方和相关单位为个人装修住房、婚丧嫁娶、配偶子女的工作安排以及出国（境）、旅游等提供方便。</w:t>
      </w:r>
    </w:p>
    <w:p>
      <w:pPr>
        <w:autoSpaceDE w:val="0"/>
        <w:autoSpaceDN w:val="0"/>
        <w:spacing w:line="360" w:lineRule="auto"/>
        <w:rPr>
          <w:color w:val="auto"/>
          <w:sz w:val="21"/>
          <w:szCs w:val="21"/>
          <w:highlight w:val="none"/>
        </w:rPr>
      </w:pPr>
      <w:r>
        <w:rPr>
          <w:rFonts w:hint="eastAsia"/>
          <w:color w:val="auto"/>
          <w:sz w:val="21"/>
          <w:szCs w:val="21"/>
          <w:highlight w:val="none"/>
        </w:rPr>
        <w:t>　　（四）不准参加有可能影响公正执行公务的乙方和相关单位的宴请和健身、娱乐等活动。</w:t>
      </w:r>
    </w:p>
    <w:p>
      <w:pPr>
        <w:spacing w:line="360" w:lineRule="auto"/>
        <w:jc w:val="left"/>
        <w:rPr>
          <w:color w:val="auto"/>
          <w:sz w:val="21"/>
          <w:szCs w:val="21"/>
          <w:highlight w:val="none"/>
        </w:rPr>
      </w:pPr>
      <w:r>
        <w:rPr>
          <w:rFonts w:hint="eastAsia"/>
          <w:color w:val="auto"/>
          <w:sz w:val="21"/>
          <w:szCs w:val="21"/>
          <w:highlight w:val="none"/>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color w:val="auto"/>
          <w:sz w:val="21"/>
          <w:szCs w:val="21"/>
          <w:highlight w:val="none"/>
        </w:rPr>
      </w:pPr>
      <w:r>
        <w:rPr>
          <w:rFonts w:hint="eastAsia"/>
          <w:color w:val="auto"/>
          <w:sz w:val="21"/>
          <w:szCs w:val="21"/>
          <w:highlight w:val="none"/>
        </w:rPr>
        <w:t>　　第三条 乙方的责任</w:t>
      </w:r>
    </w:p>
    <w:p>
      <w:pPr>
        <w:spacing w:line="360" w:lineRule="auto"/>
        <w:jc w:val="left"/>
        <w:rPr>
          <w:color w:val="auto"/>
          <w:sz w:val="21"/>
          <w:szCs w:val="21"/>
          <w:highlight w:val="none"/>
        </w:rPr>
      </w:pPr>
      <w:r>
        <w:rPr>
          <w:rFonts w:hint="eastAsia"/>
          <w:color w:val="auto"/>
          <w:sz w:val="21"/>
          <w:szCs w:val="21"/>
          <w:highlight w:val="none"/>
        </w:rPr>
        <w:t>　　应与甲方保持正常的业务交往，按照有关法律法规和程序开展业务工作，严格执行项目的有关方针、政策，并遵守以下规定：</w:t>
      </w:r>
    </w:p>
    <w:p>
      <w:pPr>
        <w:spacing w:line="360" w:lineRule="auto"/>
        <w:jc w:val="left"/>
        <w:rPr>
          <w:color w:val="auto"/>
          <w:sz w:val="21"/>
          <w:szCs w:val="21"/>
          <w:highlight w:val="none"/>
        </w:rPr>
      </w:pPr>
      <w:r>
        <w:rPr>
          <w:rFonts w:hint="eastAsia"/>
          <w:color w:val="auto"/>
          <w:sz w:val="21"/>
          <w:szCs w:val="21"/>
          <w:highlight w:val="none"/>
        </w:rPr>
        <w:t>　　（一）不准以任何理由向甲方、相关单位及其工作人员索要、接受或赠送礼金、有价证券、贵重物品和回扣、好处费、感谢费等。</w:t>
      </w:r>
    </w:p>
    <w:p>
      <w:pPr>
        <w:autoSpaceDE w:val="0"/>
        <w:autoSpaceDN w:val="0"/>
        <w:spacing w:line="360" w:lineRule="auto"/>
        <w:rPr>
          <w:color w:val="auto"/>
          <w:sz w:val="21"/>
          <w:szCs w:val="21"/>
          <w:highlight w:val="none"/>
        </w:rPr>
      </w:pPr>
      <w:r>
        <w:rPr>
          <w:rFonts w:hint="eastAsia"/>
          <w:color w:val="auto"/>
          <w:sz w:val="21"/>
          <w:szCs w:val="21"/>
          <w:highlight w:val="none"/>
        </w:rPr>
        <w:t>　　（二）不准以任何理由为甲方和相关单位报销应由对方或个人支付的费用。</w:t>
      </w:r>
    </w:p>
    <w:p>
      <w:pPr>
        <w:spacing w:line="360" w:lineRule="auto"/>
        <w:jc w:val="left"/>
        <w:rPr>
          <w:color w:val="auto"/>
          <w:sz w:val="21"/>
          <w:szCs w:val="21"/>
          <w:highlight w:val="none"/>
        </w:rPr>
      </w:pPr>
      <w:r>
        <w:rPr>
          <w:rFonts w:hint="eastAsia"/>
          <w:color w:val="auto"/>
          <w:sz w:val="21"/>
          <w:szCs w:val="21"/>
          <w:highlight w:val="none"/>
        </w:rPr>
        <w:t>　　（三）不准接受或暗示为甲方、相关单位或个人装修住房、婚丧嫁娶、配偶子女的工作安排以及出国（境）、旅游等提供方便。</w:t>
      </w:r>
    </w:p>
    <w:p>
      <w:pPr>
        <w:spacing w:line="360" w:lineRule="auto"/>
        <w:jc w:val="left"/>
        <w:rPr>
          <w:color w:val="auto"/>
          <w:sz w:val="21"/>
          <w:szCs w:val="21"/>
          <w:highlight w:val="none"/>
        </w:rPr>
      </w:pPr>
      <w:r>
        <w:rPr>
          <w:rFonts w:hint="eastAsia"/>
          <w:color w:val="auto"/>
          <w:sz w:val="21"/>
          <w:szCs w:val="21"/>
          <w:highlight w:val="none"/>
        </w:rPr>
        <w:t>　　（四）不准以任何理由为甲方、相关单位或个人组织有可能影响公正执行公务的宴请、健身、娱乐等活动。</w:t>
      </w:r>
    </w:p>
    <w:p>
      <w:pPr>
        <w:autoSpaceDE w:val="0"/>
        <w:autoSpaceDN w:val="0"/>
        <w:spacing w:line="360" w:lineRule="auto"/>
        <w:rPr>
          <w:color w:val="auto"/>
          <w:sz w:val="21"/>
          <w:szCs w:val="21"/>
          <w:highlight w:val="none"/>
        </w:rPr>
      </w:pPr>
      <w:r>
        <w:rPr>
          <w:rFonts w:hint="eastAsia"/>
          <w:color w:val="auto"/>
          <w:sz w:val="21"/>
          <w:szCs w:val="21"/>
          <w:highlight w:val="none"/>
        </w:rPr>
        <w:t>　　第四条 违约责任</w:t>
      </w:r>
    </w:p>
    <w:p>
      <w:pPr>
        <w:spacing w:line="360" w:lineRule="auto"/>
        <w:jc w:val="left"/>
        <w:rPr>
          <w:color w:val="auto"/>
          <w:sz w:val="21"/>
          <w:szCs w:val="21"/>
          <w:highlight w:val="none"/>
        </w:rPr>
      </w:pPr>
      <w:r>
        <w:rPr>
          <w:rFonts w:hint="eastAsia"/>
          <w:color w:val="auto"/>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color w:val="auto"/>
          <w:sz w:val="21"/>
          <w:szCs w:val="21"/>
          <w:highlight w:val="none"/>
        </w:rPr>
      </w:pPr>
      <w:r>
        <w:rPr>
          <w:rFonts w:hint="eastAsia"/>
          <w:color w:val="auto"/>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color w:val="auto"/>
          <w:sz w:val="21"/>
          <w:szCs w:val="21"/>
          <w:highlight w:val="none"/>
        </w:rPr>
      </w:pPr>
      <w:r>
        <w:rPr>
          <w:rFonts w:hint="eastAsia"/>
          <w:color w:val="auto"/>
          <w:sz w:val="21"/>
          <w:szCs w:val="21"/>
          <w:highlight w:val="none"/>
        </w:rPr>
        <w:t>　　第五条 本责任书作为项目合同的附件，与项目合同具有同等法律效力。经双方签署后立即生效。</w:t>
      </w:r>
    </w:p>
    <w:p>
      <w:pPr>
        <w:autoSpaceDE w:val="0"/>
        <w:autoSpaceDN w:val="0"/>
        <w:spacing w:line="360" w:lineRule="auto"/>
        <w:rPr>
          <w:color w:val="auto"/>
          <w:sz w:val="21"/>
          <w:szCs w:val="21"/>
          <w:highlight w:val="none"/>
        </w:rPr>
      </w:pPr>
      <w:r>
        <w:rPr>
          <w:rFonts w:hint="eastAsia"/>
          <w:color w:val="auto"/>
          <w:sz w:val="21"/>
          <w:szCs w:val="21"/>
          <w:highlight w:val="none"/>
        </w:rPr>
        <w:t>　　第六条 本责任书的有效期为双方签署之日起至该项目完工验收合格时止。</w:t>
      </w:r>
    </w:p>
    <w:p>
      <w:pPr>
        <w:autoSpaceDE w:val="0"/>
        <w:autoSpaceDN w:val="0"/>
        <w:spacing w:line="360" w:lineRule="auto"/>
        <w:rPr>
          <w:color w:val="auto"/>
          <w:sz w:val="21"/>
          <w:szCs w:val="21"/>
          <w:highlight w:val="none"/>
        </w:rPr>
      </w:pPr>
      <w:r>
        <w:rPr>
          <w:rFonts w:hint="eastAsia"/>
          <w:color w:val="auto"/>
          <w:sz w:val="21"/>
          <w:szCs w:val="21"/>
          <w:highlight w:val="none"/>
        </w:rPr>
        <w:t>　　第七条 本责任书一式四份，由甲乙双方各执二份。</w:t>
      </w:r>
    </w:p>
    <w:p>
      <w:pPr>
        <w:autoSpaceDE w:val="0"/>
        <w:autoSpaceDN w:val="0"/>
        <w:spacing w:line="360" w:lineRule="auto"/>
        <w:ind w:firstLine="482"/>
        <w:rPr>
          <w:color w:val="auto"/>
          <w:sz w:val="21"/>
          <w:szCs w:val="21"/>
          <w:highlight w:val="none"/>
        </w:rPr>
      </w:pPr>
    </w:p>
    <w:p>
      <w:pPr>
        <w:autoSpaceDE w:val="0"/>
        <w:autoSpaceDN w:val="0"/>
        <w:spacing w:line="360" w:lineRule="auto"/>
        <w:ind w:firstLine="482"/>
        <w:rPr>
          <w:color w:val="auto"/>
          <w:sz w:val="21"/>
          <w:szCs w:val="21"/>
          <w:highlight w:val="none"/>
        </w:rPr>
      </w:pPr>
    </w:p>
    <w:p>
      <w:pPr>
        <w:autoSpaceDE w:val="0"/>
        <w:autoSpaceDN w:val="0"/>
        <w:spacing w:line="360" w:lineRule="auto"/>
        <w:ind w:firstLine="482"/>
        <w:rPr>
          <w:color w:val="auto"/>
          <w:sz w:val="21"/>
          <w:szCs w:val="21"/>
          <w:highlight w:val="none"/>
        </w:rPr>
      </w:pPr>
      <w:r>
        <w:rPr>
          <w:rFonts w:hint="eastAsia"/>
          <w:color w:val="auto"/>
          <w:sz w:val="21"/>
          <w:szCs w:val="21"/>
          <w:highlight w:val="none"/>
        </w:rPr>
        <w:t>甲方单位：（盖章）　　　　　　　　                　　　乙方单位：（盖章）</w:t>
      </w:r>
    </w:p>
    <w:p>
      <w:pPr>
        <w:autoSpaceDE w:val="0"/>
        <w:autoSpaceDN w:val="0"/>
        <w:spacing w:line="360" w:lineRule="auto"/>
        <w:ind w:firstLine="482"/>
        <w:rPr>
          <w:color w:val="auto"/>
          <w:sz w:val="21"/>
          <w:szCs w:val="21"/>
          <w:highlight w:val="none"/>
        </w:rPr>
      </w:pPr>
      <w:r>
        <w:rPr>
          <w:rFonts w:hint="eastAsia"/>
          <w:color w:val="auto"/>
          <w:sz w:val="21"/>
          <w:szCs w:val="21"/>
          <w:highlight w:val="none"/>
        </w:rPr>
        <w:t>法定代表人：　　　　　　　　　               　　　　　法定代表人：</w:t>
      </w:r>
    </w:p>
    <w:p>
      <w:pPr>
        <w:autoSpaceDE w:val="0"/>
        <w:autoSpaceDN w:val="0"/>
        <w:spacing w:line="360" w:lineRule="auto"/>
        <w:ind w:firstLine="482"/>
        <w:rPr>
          <w:color w:val="auto"/>
          <w:sz w:val="21"/>
          <w:szCs w:val="21"/>
          <w:highlight w:val="none"/>
        </w:rPr>
      </w:pPr>
      <w:r>
        <w:rPr>
          <w:rFonts w:hint="eastAsia"/>
          <w:color w:val="auto"/>
          <w:sz w:val="21"/>
          <w:szCs w:val="21"/>
          <w:highlight w:val="none"/>
        </w:rPr>
        <w:t>地址：　　　　　　　　　　　　　               　　　　地址：</w:t>
      </w:r>
    </w:p>
    <w:p>
      <w:pPr>
        <w:autoSpaceDE w:val="0"/>
        <w:autoSpaceDN w:val="0"/>
        <w:spacing w:line="360" w:lineRule="auto"/>
        <w:ind w:firstLine="482"/>
        <w:rPr>
          <w:color w:val="auto"/>
          <w:sz w:val="21"/>
          <w:szCs w:val="21"/>
          <w:highlight w:val="none"/>
        </w:rPr>
      </w:pPr>
      <w:r>
        <w:rPr>
          <w:rFonts w:hint="eastAsia"/>
          <w:color w:val="auto"/>
          <w:sz w:val="21"/>
          <w:szCs w:val="21"/>
          <w:highlight w:val="none"/>
        </w:rPr>
        <w:t>电话：　　　　　　　　　　　　　　　               　　电话：</w:t>
      </w:r>
    </w:p>
    <w:p>
      <w:pPr>
        <w:autoSpaceDE w:val="0"/>
        <w:autoSpaceDN w:val="0"/>
        <w:spacing w:line="360" w:lineRule="auto"/>
        <w:ind w:firstLine="482"/>
        <w:rPr>
          <w:color w:val="auto"/>
          <w:sz w:val="21"/>
          <w:szCs w:val="21"/>
          <w:highlight w:val="none"/>
        </w:rPr>
      </w:pPr>
      <w:r>
        <w:rPr>
          <w:rFonts w:hint="eastAsia"/>
          <w:color w:val="auto"/>
          <w:sz w:val="21"/>
          <w:szCs w:val="21"/>
          <w:highlight w:val="none"/>
        </w:rPr>
        <w:t>年　月　日　　　　　　　　　　　　　               　　年　月　日</w:t>
      </w:r>
    </w:p>
    <w:p>
      <w:pPr>
        <w:pStyle w:val="20"/>
        <w:tabs>
          <w:tab w:val="left" w:pos="2472"/>
        </w:tabs>
        <w:snapToGrid w:val="0"/>
        <w:spacing w:before="120" w:beforeLines="0" w:after="120" w:afterLines="0" w:line="240" w:lineRule="auto"/>
        <w:jc w:val="center"/>
        <w:rPr>
          <w:rFonts w:hAnsi="宋体"/>
          <w:b w:val="0"/>
          <w:color w:val="auto"/>
          <w:sz w:val="32"/>
          <w:szCs w:val="32"/>
          <w:highlight w:val="none"/>
        </w:rPr>
      </w:pPr>
      <w:r>
        <w:rPr>
          <w:rFonts w:hAnsi="宋体"/>
          <w:b w:val="0"/>
          <w:color w:val="auto"/>
          <w:sz w:val="32"/>
          <w:szCs w:val="32"/>
          <w:highlight w:val="none"/>
        </w:rPr>
        <w:br w:type="page"/>
      </w:r>
      <w:r>
        <w:rPr>
          <w:rFonts w:hAnsi="宋体"/>
          <w:b w:val="0"/>
          <w:color w:val="auto"/>
          <w:sz w:val="32"/>
          <w:szCs w:val="32"/>
          <w:highlight w:val="none"/>
        </w:rPr>
        <w:t>第六章　投标文件格式</w:t>
      </w:r>
      <w:bookmarkEnd w:id="10"/>
    </w:p>
    <w:bookmarkEnd w:id="11"/>
    <w:p>
      <w:pPr>
        <w:snapToGrid w:val="0"/>
        <w:spacing w:before="50" w:after="197" w:afterLines="50"/>
        <w:jc w:val="left"/>
        <w:rPr>
          <w:rFonts w:ascii="宋体" w:hAnsi="宋体"/>
          <w:b/>
          <w:bCs/>
          <w:color w:val="auto"/>
          <w:sz w:val="24"/>
          <w:szCs w:val="20"/>
          <w:highlight w:val="none"/>
        </w:rPr>
      </w:pPr>
      <w:r>
        <w:rPr>
          <w:rFonts w:hint="eastAsia" w:ascii="宋体" w:hAnsi="宋体"/>
          <w:b/>
          <w:bCs/>
          <w:color w:val="auto"/>
          <w:sz w:val="24"/>
          <w:highlight w:val="none"/>
        </w:rPr>
        <w:t>1.法定代表人授权委托书格式：</w:t>
      </w:r>
    </w:p>
    <w:p>
      <w:pPr>
        <w:snapToGrid w:val="0"/>
        <w:spacing w:before="197" w:beforeLines="50" w:after="50" w:line="460" w:lineRule="exact"/>
        <w:rPr>
          <w:rFonts w:hint="eastAsia" w:ascii="宋体" w:hAnsi="宋体" w:cs="宋体"/>
          <w:b/>
          <w:color w:val="auto"/>
          <w:sz w:val="24"/>
          <w:szCs w:val="20"/>
          <w:highlight w:val="none"/>
        </w:rPr>
      </w:pPr>
      <w:r>
        <w:rPr>
          <w:rFonts w:hint="eastAsia" w:ascii="宋体" w:hAnsi="宋体" w:cs="宋体"/>
          <w:bCs/>
          <w:color w:val="auto"/>
          <w:sz w:val="24"/>
          <w:highlight w:val="none"/>
          <w:lang w:bidi="ar"/>
        </w:rPr>
        <w:t>致：</w:t>
      </w:r>
      <w:r>
        <w:rPr>
          <w:rFonts w:hint="eastAsia" w:ascii="宋体" w:hAnsi="宋体" w:cs="宋体"/>
          <w:color w:val="auto"/>
          <w:sz w:val="24"/>
          <w:highlight w:val="none"/>
          <w:lang w:bidi="ar"/>
        </w:rPr>
        <w:t>_____________（招标采购单位名称）：</w:t>
      </w:r>
    </w:p>
    <w:p>
      <w:pPr>
        <w:snapToGrid w:val="0"/>
        <w:spacing w:before="197" w:beforeLines="50" w:after="50" w:line="46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lang w:bidi="ar"/>
        </w:rPr>
        <w:t>我</w:t>
      </w:r>
      <w:bookmarkStart w:id="12" w:name="_Hlk12177807"/>
      <w:r>
        <w:rPr>
          <w:rFonts w:hint="eastAsia" w:ascii="宋体" w:hAnsi="宋体" w:cs="宋体"/>
          <w:color w:val="auto"/>
          <w:sz w:val="24"/>
          <w:highlight w:val="none"/>
          <w:lang w:bidi="ar"/>
        </w:rPr>
        <w:t>___________</w:t>
      </w:r>
      <w:bookmarkEnd w:id="12"/>
      <w:r>
        <w:rPr>
          <w:rFonts w:hint="eastAsia" w:ascii="宋体" w:hAnsi="宋体" w:cs="宋体"/>
          <w:color w:val="auto"/>
          <w:sz w:val="24"/>
          <w:highlight w:val="none"/>
          <w:lang w:bidi="ar"/>
        </w:rPr>
        <w:t xml:space="preserve">（姓名）系____________（投标单位名称）的法定代表人，现授权委托 </w:t>
      </w:r>
      <w:bookmarkStart w:id="13" w:name="_Hlk12177819"/>
      <w:r>
        <w:rPr>
          <w:rFonts w:hint="eastAsia" w:ascii="宋体" w:hAnsi="宋体" w:cs="宋体"/>
          <w:color w:val="auto"/>
          <w:sz w:val="24"/>
          <w:highlight w:val="none"/>
          <w:lang w:bidi="ar"/>
        </w:rPr>
        <w:t>______</w:t>
      </w:r>
      <w:bookmarkEnd w:id="13"/>
      <w:r>
        <w:rPr>
          <w:rFonts w:hint="eastAsia" w:ascii="宋体" w:hAnsi="宋体" w:cs="宋体"/>
          <w:color w:val="auto"/>
          <w:sz w:val="24"/>
          <w:highlight w:val="none"/>
          <w:lang w:bidi="ar"/>
        </w:rPr>
        <w:t xml:space="preserve">（姓名）以我方的名义参加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项目的投标活动，并代表我方全权办理针对上述项目的投标、开标、评标、签约等具体事务和签署相关文件。</w:t>
      </w:r>
    </w:p>
    <w:p>
      <w:pPr>
        <w:snapToGrid w:val="0"/>
        <w:spacing w:before="197" w:beforeLines="50" w:after="50" w:line="460" w:lineRule="exac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我方对被授权人的签名事项负全部责任。</w:t>
      </w:r>
    </w:p>
    <w:p>
      <w:pPr>
        <w:snapToGrid w:val="0"/>
        <w:spacing w:before="197" w:beforeLines="50" w:after="50" w:line="4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lang w:bidi="ar"/>
        </w:rPr>
        <w:t>在撤销授权的书面通知以前，本授权书一直有效。</w:t>
      </w:r>
      <w:r>
        <w:rPr>
          <w:rFonts w:hint="eastAsia" w:ascii="宋体" w:hAnsi="宋体" w:cs="宋体"/>
          <w:color w:val="auto"/>
          <w:sz w:val="24"/>
          <w:highlight w:val="none"/>
          <w:lang w:bidi="ar"/>
        </w:rPr>
        <w:t>被授权人在授权书有效期内签署的所有文件不因授权的撤销而失效。</w:t>
      </w:r>
    </w:p>
    <w:p>
      <w:pPr>
        <w:snapToGrid w:val="0"/>
        <w:spacing w:before="197" w:beforeLines="50" w:after="50" w:line="4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lang w:bidi="ar"/>
        </w:rPr>
        <w:t>被授权人无转委托权，特此委托。</w:t>
      </w:r>
    </w:p>
    <w:p>
      <w:pPr>
        <w:snapToGrid w:val="0"/>
        <w:spacing w:before="197" w:beforeLines="50" w:after="50" w:line="460" w:lineRule="exact"/>
        <w:rPr>
          <w:rFonts w:hint="eastAsia" w:ascii="宋体" w:hAnsi="宋体" w:cs="宋体"/>
          <w:color w:val="auto"/>
          <w:sz w:val="24"/>
          <w:szCs w:val="20"/>
          <w:highlight w:val="none"/>
          <w:u w:val="single"/>
        </w:rPr>
      </w:pPr>
      <w:r>
        <w:rPr>
          <w:rFonts w:hint="eastAsia" w:ascii="宋体" w:hAnsi="宋体" w:cs="宋体"/>
          <w:b/>
          <w:color w:val="auto"/>
          <w:szCs w:val="28"/>
          <w:highlight w:val="none"/>
          <w:u w:val="single"/>
          <w:lang w:bidi="ar"/>
        </w:rPr>
        <w:t>法定代表人签名或盖章：</w:t>
      </w:r>
      <w:r>
        <w:rPr>
          <w:rFonts w:hint="eastAsia" w:ascii="宋体" w:hAnsi="宋体" w:cs="宋体"/>
          <w:b/>
          <w:color w:val="auto"/>
          <w:szCs w:val="28"/>
          <w:highlight w:val="none"/>
          <w:lang w:bidi="ar"/>
        </w:rPr>
        <w:t xml:space="preserve">             </w:t>
      </w:r>
      <w:r>
        <w:rPr>
          <w:rFonts w:hint="eastAsia" w:ascii="宋体" w:hAnsi="宋体" w:cs="宋体"/>
          <w:b/>
          <w:color w:val="auto"/>
          <w:szCs w:val="28"/>
          <w:highlight w:val="none"/>
          <w:u w:val="single"/>
          <w:lang w:bidi="ar"/>
        </w:rPr>
        <w:t xml:space="preserve">被授权人签名： </w:t>
      </w:r>
      <w:r>
        <w:rPr>
          <w:rFonts w:hint="eastAsia" w:ascii="宋体" w:hAnsi="宋体" w:cs="宋体"/>
          <w:color w:val="auto"/>
          <w:szCs w:val="28"/>
          <w:highlight w:val="none"/>
          <w:lang w:bidi="ar"/>
        </w:rPr>
        <w:t xml:space="preserve">               </w:t>
      </w:r>
    </w:p>
    <w:p>
      <w:pPr>
        <w:snapToGrid w:val="0"/>
        <w:spacing w:before="197" w:beforeLines="50" w:after="50" w:line="460" w:lineRule="exact"/>
        <w:rPr>
          <w:rFonts w:hint="eastAsia" w:ascii="宋体" w:hAnsi="宋体" w:cs="宋体"/>
          <w:b/>
          <w:color w:val="auto"/>
          <w:szCs w:val="28"/>
          <w:highlight w:val="none"/>
        </w:rPr>
      </w:pPr>
      <w:r>
        <w:rPr>
          <w:rFonts w:hint="eastAsia" w:ascii="宋体" w:hAnsi="宋体" w:cs="宋体"/>
          <w:b/>
          <w:color w:val="auto"/>
          <w:szCs w:val="28"/>
          <w:highlight w:val="none"/>
          <w:lang w:bidi="ar"/>
        </w:rPr>
        <w:t>法定代表人身份证复印件            被授权人身份证复印件</w:t>
      </w:r>
    </w:p>
    <w:tbl>
      <w:tblPr>
        <w:tblStyle w:val="38"/>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352" w:hRule="atLeast"/>
        </w:trPr>
        <w:tc>
          <w:tcPr>
            <w:tcW w:w="4962"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auto"/>
                <w:sz w:val="30"/>
                <w:szCs w:val="30"/>
                <w:highlight w:val="none"/>
              </w:rPr>
            </w:pPr>
            <w:r>
              <w:rPr>
                <w:rFonts w:hint="eastAsia" w:ascii="Times New Roman" w:hAnsi="Times New Roman" w:cs="宋体"/>
                <w:color w:val="auto"/>
                <w:sz w:val="30"/>
                <w:szCs w:val="30"/>
                <w:highlight w:val="none"/>
                <w:lang w:bidi="ar"/>
              </w:rPr>
              <w:t>身份证复印件粘贴处，正反两面均复印，复印件清晰可认。</w:t>
            </w:r>
          </w:p>
        </w:tc>
        <w:tc>
          <w:tcPr>
            <w:tcW w:w="4961"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auto"/>
                <w:sz w:val="30"/>
                <w:szCs w:val="30"/>
                <w:highlight w:val="none"/>
              </w:rPr>
            </w:pPr>
            <w:r>
              <w:rPr>
                <w:rFonts w:hint="eastAsia" w:ascii="Times New Roman" w:hAnsi="Times New Roman" w:cs="宋体"/>
                <w:color w:val="auto"/>
                <w:sz w:val="30"/>
                <w:szCs w:val="30"/>
                <w:highlight w:val="none"/>
                <w:lang w:bidi="ar"/>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242" w:hRule="atLeast"/>
        </w:trPr>
        <w:tc>
          <w:tcPr>
            <w:tcW w:w="4962"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auto"/>
                <w:sz w:val="30"/>
                <w:szCs w:val="30"/>
                <w:highlight w:val="none"/>
              </w:rPr>
            </w:pPr>
          </w:p>
        </w:tc>
        <w:tc>
          <w:tcPr>
            <w:tcW w:w="4961" w:type="dxa"/>
            <w:tcBorders>
              <w:top w:val="dotDash" w:color="auto" w:sz="8" w:space="0"/>
              <w:left w:val="dotDash" w:color="auto" w:sz="8" w:space="0"/>
              <w:bottom w:val="dotDash" w:color="auto" w:sz="8" w:space="0"/>
              <w:right w:val="dotDash" w:color="auto" w:sz="8" w:space="0"/>
            </w:tcBorders>
            <w:noWrap w:val="0"/>
            <w:vAlign w:val="top"/>
          </w:tcPr>
          <w:p>
            <w:pPr>
              <w:keepNext w:val="0"/>
              <w:keepLines w:val="0"/>
              <w:suppressLineNumbers w:val="0"/>
              <w:spacing w:before="0" w:beforeAutospacing="0" w:after="0" w:afterAutospacing="0" w:line="360" w:lineRule="auto"/>
              <w:ind w:left="0" w:right="0"/>
              <w:rPr>
                <w:rFonts w:hint="default" w:ascii="Calibri" w:hAnsi="Calibri" w:cs="Calibri"/>
                <w:color w:val="auto"/>
                <w:sz w:val="30"/>
                <w:szCs w:val="30"/>
                <w:highlight w:val="none"/>
              </w:rPr>
            </w:pPr>
          </w:p>
        </w:tc>
      </w:tr>
    </w:tbl>
    <w:p>
      <w:pPr>
        <w:snapToGrid w:val="0"/>
        <w:spacing w:before="197" w:beforeLines="50" w:after="50"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投标人公章：</w:t>
      </w:r>
    </w:p>
    <w:p>
      <w:pPr>
        <w:snapToGrid w:val="0"/>
        <w:spacing w:line="360" w:lineRule="auto"/>
        <w:ind w:firstLine="4080" w:firstLineChars="1700"/>
        <w:jc w:val="left"/>
        <w:rPr>
          <w:rFonts w:ascii="宋体" w:hAnsi="宋体"/>
          <w:color w:val="auto"/>
          <w:sz w:val="24"/>
          <w:highlight w:val="none"/>
        </w:rPr>
      </w:pPr>
      <w:r>
        <w:rPr>
          <w:rFonts w:hint="eastAsia" w:ascii="宋体" w:hAnsi="宋体" w:cs="宋体"/>
          <w:color w:val="auto"/>
          <w:sz w:val="24"/>
          <w:highlight w:val="none"/>
          <w:lang w:bidi="ar"/>
        </w:rPr>
        <w:t xml:space="preserve">                                                年    月    日</w:t>
      </w:r>
      <w:r>
        <w:rPr>
          <w:rFonts w:hint="eastAsia" w:ascii="宋体" w:hAnsi="宋体"/>
          <w:color w:val="auto"/>
          <w:sz w:val="24"/>
          <w:highlight w:val="none"/>
        </w:rPr>
        <w:br w:type="page"/>
      </w:r>
    </w:p>
    <w:p>
      <w:pPr>
        <w:snapToGrid w:val="0"/>
        <w:spacing w:before="50" w:after="50"/>
        <w:rPr>
          <w:rFonts w:ascii="宋体" w:hAnsi="宋体"/>
          <w:b/>
          <w:color w:val="auto"/>
          <w:sz w:val="24"/>
          <w:szCs w:val="20"/>
          <w:highlight w:val="none"/>
        </w:rPr>
      </w:pPr>
      <w:r>
        <w:rPr>
          <w:rFonts w:hint="eastAsia" w:ascii="宋体" w:hAnsi="宋体"/>
          <w:color w:val="auto"/>
          <w:sz w:val="24"/>
          <w:highlight w:val="none"/>
        </w:rPr>
        <w:t>2.</w:t>
      </w:r>
      <w:r>
        <w:rPr>
          <w:rFonts w:hint="eastAsia" w:ascii="宋体" w:hAnsi="宋体"/>
          <w:b/>
          <w:color w:val="auto"/>
          <w:sz w:val="24"/>
          <w:highlight w:val="none"/>
        </w:rPr>
        <w:t>开标一览表</w:t>
      </w:r>
    </w:p>
    <w:p>
      <w:pPr>
        <w:spacing w:line="360" w:lineRule="atLeast"/>
        <w:ind w:leftChars="-100" w:hanging="280" w:hangingChars="93"/>
        <w:jc w:val="center"/>
        <w:rPr>
          <w:rFonts w:hint="eastAsia" w:ascii="宋体" w:hAnsi="宋体" w:eastAsia="宋体"/>
          <w:b/>
          <w:color w:val="auto"/>
          <w:sz w:val="30"/>
          <w:highlight w:val="none"/>
          <w:lang w:eastAsia="zh-CN"/>
        </w:rPr>
      </w:pPr>
      <w:r>
        <w:rPr>
          <w:rFonts w:hint="eastAsia" w:ascii="宋体" w:hAnsi="宋体"/>
          <w:b/>
          <w:color w:val="auto"/>
          <w:sz w:val="30"/>
          <w:highlight w:val="none"/>
          <w:u w:val="single"/>
          <w:lang w:eastAsia="zh-CN"/>
        </w:rPr>
        <w:t>台州东发建设投资有限公司2024年度电池采购（第一批）</w:t>
      </w:r>
    </w:p>
    <w:p>
      <w:pPr>
        <w:spacing w:line="360" w:lineRule="atLeast"/>
        <w:ind w:left="641" w:leftChars="229" w:firstLine="2870" w:firstLineChars="953"/>
        <w:rPr>
          <w:rFonts w:ascii="宋体" w:hAnsi="宋体"/>
          <w:b/>
          <w:color w:val="auto"/>
          <w:sz w:val="24"/>
          <w:highlight w:val="none"/>
        </w:rPr>
      </w:pPr>
      <w:r>
        <w:rPr>
          <w:rFonts w:hint="eastAsia" w:ascii="宋体" w:hAnsi="宋体"/>
          <w:b/>
          <w:color w:val="auto"/>
          <w:sz w:val="30"/>
          <w:highlight w:val="none"/>
        </w:rPr>
        <w:t>开标一览表</w:t>
      </w:r>
      <w:r>
        <w:rPr>
          <w:rFonts w:hint="eastAsia" w:ascii="宋体" w:hAnsi="宋体"/>
          <w:color w:val="auto"/>
          <w:sz w:val="24"/>
          <w:highlight w:val="none"/>
        </w:rPr>
        <w:t xml:space="preserve">                                                                                </w:t>
      </w:r>
    </w:p>
    <w:p>
      <w:pPr>
        <w:snapToGrid w:val="0"/>
        <w:spacing w:before="50" w:after="50"/>
        <w:jc w:val="left"/>
        <w:rPr>
          <w:rFonts w:hint="eastAsia" w:ascii="Arial" w:hAnsi="Arial" w:cs="Arial"/>
          <w:color w:val="auto"/>
          <w:sz w:val="24"/>
          <w:highlight w:val="none"/>
        </w:rPr>
      </w:pPr>
      <w:r>
        <w:rPr>
          <w:rFonts w:hint="eastAsia" w:ascii="Arial" w:hAnsi="Arial" w:cs="Arial"/>
          <w:color w:val="auto"/>
          <w:sz w:val="24"/>
          <w:highlight w:val="none"/>
        </w:rPr>
        <w:t>致：</w:t>
      </w:r>
      <w:r>
        <w:rPr>
          <w:rFonts w:hint="eastAsia" w:ascii="Arial" w:hAnsi="Arial" w:cs="Arial"/>
          <w:bCs/>
          <w:color w:val="auto"/>
          <w:sz w:val="24"/>
          <w:highlight w:val="none"/>
        </w:rPr>
        <w:t>台州东发建设投资有限公司</w:t>
      </w:r>
    </w:p>
    <w:p>
      <w:pPr>
        <w:snapToGrid w:val="0"/>
        <w:ind w:firstLine="480" w:firstLineChars="200"/>
        <w:jc w:val="left"/>
        <w:rPr>
          <w:rFonts w:ascii="新宋体" w:hAnsi="新宋体" w:eastAsia="新宋体"/>
          <w:color w:val="auto"/>
          <w:sz w:val="22"/>
          <w:szCs w:val="22"/>
          <w:highlight w:val="none"/>
        </w:rPr>
      </w:pPr>
      <w:r>
        <w:rPr>
          <w:rFonts w:ascii="Arial" w:hAnsi="Arial" w:cs="Arial"/>
          <w:color w:val="auto"/>
          <w:sz w:val="24"/>
          <w:highlight w:val="none"/>
        </w:rPr>
        <w:t>经研究，我们决定参加</w:t>
      </w:r>
      <w:r>
        <w:rPr>
          <w:rFonts w:hint="eastAsia" w:ascii="Arial" w:hAnsi="Arial" w:cs="Arial"/>
          <w:color w:val="auto"/>
          <w:sz w:val="24"/>
          <w:highlight w:val="none"/>
        </w:rPr>
        <w:t>你单位的</w:t>
      </w:r>
      <w:r>
        <w:rPr>
          <w:rFonts w:hint="eastAsia" w:ascii="Arial" w:hAnsi="Arial" w:cs="Arial"/>
          <w:color w:val="auto"/>
          <w:sz w:val="24"/>
          <w:highlight w:val="none"/>
          <w:u w:val="single"/>
          <w:lang w:eastAsia="zh-CN"/>
        </w:rPr>
        <w:t>台州东发建设投资有限公司2024年度电池采购（第一批）</w:t>
      </w:r>
      <w:r>
        <w:rPr>
          <w:rFonts w:ascii="Arial" w:hAnsi="Arial" w:cs="Arial"/>
          <w:color w:val="auto"/>
          <w:sz w:val="24"/>
          <w:highlight w:val="none"/>
        </w:rPr>
        <w:t>的</w:t>
      </w:r>
      <w:r>
        <w:rPr>
          <w:rFonts w:hint="eastAsia" w:ascii="Arial" w:hAnsi="Arial" w:cs="Arial"/>
          <w:color w:val="auto"/>
          <w:sz w:val="24"/>
          <w:szCs w:val="28"/>
          <w:highlight w:val="none"/>
        </w:rPr>
        <w:t>招标</w:t>
      </w:r>
      <w:r>
        <w:rPr>
          <w:rFonts w:ascii="Arial" w:hAnsi="Arial" w:cs="Arial"/>
          <w:color w:val="auto"/>
          <w:sz w:val="24"/>
          <w:szCs w:val="28"/>
          <w:highlight w:val="none"/>
        </w:rPr>
        <w:t>采购活动并提交</w:t>
      </w:r>
      <w:r>
        <w:rPr>
          <w:rFonts w:hint="eastAsia" w:ascii="Arial" w:hAnsi="Arial" w:cs="Arial"/>
          <w:color w:val="auto"/>
          <w:sz w:val="24"/>
          <w:szCs w:val="28"/>
          <w:highlight w:val="none"/>
        </w:rPr>
        <w:t>投标</w:t>
      </w:r>
      <w:r>
        <w:rPr>
          <w:rFonts w:ascii="Arial" w:hAnsi="Arial" w:cs="Arial"/>
          <w:color w:val="auto"/>
          <w:sz w:val="24"/>
          <w:szCs w:val="28"/>
          <w:highlight w:val="none"/>
        </w:rPr>
        <w:t>文件。为此，我方郑重声明以下诸点，并负法律责任。</w:t>
      </w:r>
    </w:p>
    <w:p>
      <w:pPr>
        <w:pStyle w:val="14"/>
        <w:adjustRightInd w:val="0"/>
        <w:snapToGrid w:val="0"/>
        <w:spacing w:line="240" w:lineRule="auto"/>
        <w:rPr>
          <w:rFonts w:ascii="Arial" w:hAnsi="Arial" w:cs="Arial"/>
          <w:color w:val="auto"/>
          <w:sz w:val="24"/>
          <w:highlight w:val="none"/>
        </w:rPr>
      </w:pPr>
      <w:r>
        <w:rPr>
          <w:rFonts w:ascii="Arial" w:hAnsi="Arial" w:cs="Arial"/>
          <w:color w:val="auto"/>
          <w:sz w:val="24"/>
          <w:highlight w:val="none"/>
        </w:rPr>
        <w:t>1、如果我们的</w:t>
      </w:r>
      <w:r>
        <w:rPr>
          <w:rFonts w:hint="eastAsia" w:ascii="Arial" w:hAnsi="Arial" w:cs="Arial"/>
          <w:color w:val="auto"/>
          <w:sz w:val="24"/>
          <w:highlight w:val="none"/>
        </w:rPr>
        <w:t>投</w:t>
      </w:r>
      <w:r>
        <w:rPr>
          <w:rFonts w:ascii="Arial" w:hAnsi="Arial" w:cs="Arial"/>
          <w:color w:val="auto"/>
          <w:sz w:val="24"/>
          <w:highlight w:val="none"/>
        </w:rPr>
        <w:t>标文件被接受，我们将履行招标文件中规定的每一项要求，并按我们投标文件中的承诺按期、按质、按量提供服务。</w:t>
      </w:r>
    </w:p>
    <w:p>
      <w:pPr>
        <w:pStyle w:val="14"/>
        <w:adjustRightInd w:val="0"/>
        <w:snapToGrid w:val="0"/>
        <w:spacing w:line="240" w:lineRule="auto"/>
        <w:ind w:firstLine="309" w:firstLineChars="129"/>
        <w:rPr>
          <w:rFonts w:ascii="Arial" w:hAnsi="Arial" w:cs="Arial"/>
          <w:color w:val="auto"/>
          <w:sz w:val="24"/>
          <w:highlight w:val="none"/>
        </w:rPr>
      </w:pPr>
      <w:r>
        <w:rPr>
          <w:rFonts w:ascii="Arial" w:hAnsi="Arial" w:cs="Arial"/>
          <w:color w:val="auto"/>
          <w:sz w:val="24"/>
          <w:highlight w:val="none"/>
        </w:rPr>
        <w:t>2、我们同意按采购文件规定遵守采购人有关采购的各项规定。</w:t>
      </w:r>
    </w:p>
    <w:p>
      <w:pPr>
        <w:pStyle w:val="14"/>
        <w:adjustRightInd w:val="0"/>
        <w:snapToGrid w:val="0"/>
        <w:spacing w:line="240" w:lineRule="auto"/>
        <w:ind w:firstLine="300" w:firstLineChars="125"/>
        <w:rPr>
          <w:rFonts w:ascii="Arial" w:hAnsi="Arial" w:cs="Arial"/>
          <w:color w:val="auto"/>
          <w:sz w:val="24"/>
          <w:highlight w:val="none"/>
        </w:rPr>
      </w:pPr>
      <w:r>
        <w:rPr>
          <w:rFonts w:ascii="Arial" w:hAnsi="Arial" w:cs="Arial"/>
          <w:color w:val="auto"/>
          <w:sz w:val="24"/>
          <w:highlight w:val="none"/>
        </w:rPr>
        <w:t>3、我方同意提供按照贵方可能要求的与投标有关的一切数据或资料，我方若未成为成交投标人，采购人有权不做任何解释。</w:t>
      </w:r>
    </w:p>
    <w:p>
      <w:pPr>
        <w:ind w:firstLine="360" w:firstLineChars="150"/>
        <w:rPr>
          <w:rFonts w:hint="eastAsia" w:ascii="楷体_GB2312" w:eastAsia="楷体_GB2312"/>
          <w:b/>
          <w:color w:val="auto"/>
          <w:szCs w:val="28"/>
          <w:highlight w:val="none"/>
        </w:rPr>
      </w:pPr>
      <w:r>
        <w:rPr>
          <w:rFonts w:hint="eastAsia" w:ascii="Arial" w:hAnsi="Arial" w:cs="Arial"/>
          <w:color w:val="auto"/>
          <w:sz w:val="24"/>
          <w:highlight w:val="none"/>
        </w:rPr>
        <w:t>4、我方如果中标，将保证履行招标文件以及招标文件修改书（如有）中的全部责任和义务，按质、按量、按期完成《招标文件及合同书》中的全部任务。</w:t>
      </w:r>
      <w:r>
        <w:rPr>
          <w:rFonts w:hint="eastAsia" w:ascii="楷体_GB2312" w:eastAsia="楷体_GB2312"/>
          <w:b/>
          <w:color w:val="auto"/>
          <w:szCs w:val="28"/>
          <w:highlight w:val="non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5" w:type="dxa"/>
            <w:noWrap w:val="0"/>
            <w:vAlign w:val="center"/>
          </w:tcPr>
          <w:p>
            <w:pPr>
              <w:keepNext w:val="0"/>
              <w:keepLines w:val="0"/>
              <w:suppressLineNumbers w:val="0"/>
              <w:spacing w:before="0" w:beforeAutospacing="0" w:after="0" w:afterAutospacing="0" w:line="360" w:lineRule="auto"/>
              <w:ind w:left="0" w:right="0"/>
              <w:outlineLvl w:val="0"/>
              <w:rPr>
                <w:rFonts w:hint="eastAsia" w:ascii="宋体" w:hAnsi="宋体" w:cs="Calibri"/>
                <w:color w:val="auto"/>
                <w:sz w:val="24"/>
                <w:szCs w:val="21"/>
                <w:highlight w:val="none"/>
              </w:rPr>
            </w:pPr>
            <w:r>
              <w:rPr>
                <w:rFonts w:hint="eastAsia" w:ascii="宋体" w:hAnsi="宋体" w:cs="Calibri"/>
                <w:color w:val="auto"/>
                <w:sz w:val="24"/>
                <w:szCs w:val="21"/>
                <w:highlight w:val="none"/>
              </w:rPr>
              <w:t>1、投标总报价</w:t>
            </w:r>
          </w:p>
        </w:tc>
        <w:tc>
          <w:tcPr>
            <w:tcW w:w="6550" w:type="dxa"/>
            <w:noWrap w:val="0"/>
            <w:vAlign w:val="center"/>
          </w:tcPr>
          <w:p>
            <w:pPr>
              <w:keepNext w:val="0"/>
              <w:keepLines w:val="0"/>
              <w:suppressLineNumbers w:val="0"/>
              <w:wordWrap w:val="0"/>
              <w:spacing w:before="0" w:beforeAutospacing="0" w:after="0" w:afterAutospacing="0" w:line="360" w:lineRule="auto"/>
              <w:ind w:left="0" w:right="420" w:firstLine="420" w:firstLineChars="200"/>
              <w:outlineLvl w:val="0"/>
              <w:rPr>
                <w:rFonts w:hint="eastAsia" w:ascii="宋体" w:hAnsi="宋体" w:cs="Calibri"/>
                <w:bCs/>
                <w:color w:val="auto"/>
                <w:sz w:val="21"/>
                <w:szCs w:val="21"/>
                <w:highlight w:val="none"/>
              </w:rPr>
            </w:pPr>
            <w:r>
              <w:rPr>
                <w:rFonts w:hint="eastAsia" w:ascii="宋体" w:hAnsi="宋体" w:cs="Calibri"/>
                <w:bCs/>
                <w:color w:val="auto"/>
                <w:sz w:val="21"/>
                <w:szCs w:val="21"/>
                <w:highlight w:val="none"/>
              </w:rPr>
              <w:t>大写：</w:t>
            </w:r>
            <w:r>
              <w:rPr>
                <w:rFonts w:hint="eastAsia" w:ascii="宋体" w:hAnsi="宋体" w:cs="Calibri"/>
                <w:bCs/>
                <w:color w:val="auto"/>
                <w:sz w:val="21"/>
                <w:szCs w:val="21"/>
                <w:highlight w:val="none"/>
                <w:u w:val="single"/>
              </w:rPr>
              <w:t xml:space="preserve">                      </w:t>
            </w:r>
            <w:r>
              <w:rPr>
                <w:rFonts w:hint="eastAsia" w:ascii="宋体" w:hAnsi="宋体" w:cs="Calibri"/>
                <w:bCs/>
                <w:color w:val="auto"/>
                <w:sz w:val="21"/>
                <w:szCs w:val="21"/>
                <w:highlight w:val="none"/>
              </w:rPr>
              <w:t xml:space="preserve"> 元；</w:t>
            </w:r>
          </w:p>
          <w:p>
            <w:pPr>
              <w:keepNext w:val="0"/>
              <w:keepLines w:val="0"/>
              <w:suppressLineNumbers w:val="0"/>
              <w:wordWrap w:val="0"/>
              <w:spacing w:before="0" w:beforeAutospacing="0" w:after="0" w:afterAutospacing="0" w:line="360" w:lineRule="auto"/>
              <w:ind w:left="0" w:right="420" w:firstLine="420" w:firstLineChars="200"/>
              <w:outlineLvl w:val="0"/>
              <w:rPr>
                <w:rFonts w:hint="eastAsia" w:ascii="宋体" w:hAnsi="宋体" w:cs="Calibri"/>
                <w:bCs/>
                <w:color w:val="auto"/>
                <w:sz w:val="21"/>
                <w:szCs w:val="21"/>
                <w:highlight w:val="none"/>
              </w:rPr>
            </w:pPr>
            <w:r>
              <w:rPr>
                <w:rFonts w:hint="eastAsia" w:ascii="宋体" w:hAnsi="宋体" w:cs="Calibri"/>
                <w:bCs/>
                <w:color w:val="auto"/>
                <w:sz w:val="21"/>
                <w:szCs w:val="21"/>
                <w:highlight w:val="none"/>
              </w:rPr>
              <w:t>小写：</w:t>
            </w:r>
            <w:r>
              <w:rPr>
                <w:rFonts w:hint="eastAsia" w:ascii="宋体" w:hAnsi="宋体" w:cs="Calibri"/>
                <w:bCs/>
                <w:color w:val="auto"/>
                <w:sz w:val="21"/>
                <w:szCs w:val="21"/>
                <w:highlight w:val="none"/>
                <w:u w:val="single"/>
              </w:rPr>
              <w:t xml:space="preserve">           </w:t>
            </w:r>
            <w:r>
              <w:rPr>
                <w:rFonts w:hint="eastAsia" w:ascii="宋体" w:hAnsi="宋体" w:cs="Calibri"/>
                <w:bCs/>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5" w:type="dxa"/>
            <w:noWrap w:val="0"/>
            <w:vAlign w:val="center"/>
          </w:tcPr>
          <w:p>
            <w:pPr>
              <w:keepNext w:val="0"/>
              <w:keepLines w:val="0"/>
              <w:suppressLineNumbers w:val="0"/>
              <w:snapToGrid w:val="0"/>
              <w:spacing w:before="50" w:beforeAutospacing="0" w:after="50" w:afterAutospacing="0"/>
              <w:ind w:left="0" w:right="0"/>
              <w:rPr>
                <w:rFonts w:hint="eastAsia" w:ascii="宋体" w:hAnsi="宋体" w:cs="Calibri"/>
                <w:color w:val="auto"/>
                <w:sz w:val="24"/>
                <w:szCs w:val="21"/>
                <w:highlight w:val="none"/>
              </w:rPr>
            </w:pPr>
            <w:r>
              <w:rPr>
                <w:rFonts w:hint="eastAsia" w:ascii="宋体" w:hAnsi="宋体" w:cs="Calibri"/>
                <w:color w:val="auto"/>
                <w:sz w:val="24"/>
                <w:szCs w:val="21"/>
                <w:highlight w:val="none"/>
              </w:rPr>
              <w:t>2、质量等级</w:t>
            </w:r>
          </w:p>
        </w:tc>
        <w:tc>
          <w:tcPr>
            <w:tcW w:w="6550" w:type="dxa"/>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Calibri"/>
                <w:color w:val="auto"/>
                <w:sz w:val="24"/>
                <w:szCs w:val="21"/>
                <w:highlight w:val="none"/>
              </w:rPr>
            </w:pPr>
            <w:r>
              <w:rPr>
                <w:rFonts w:hint="eastAsia" w:ascii="宋体" w:hAnsi="宋体" w:cs="Calibri"/>
                <w:color w:val="auto"/>
                <w:sz w:val="24"/>
                <w:szCs w:val="21"/>
                <w:highlight w:val="none"/>
              </w:rPr>
              <w:t>符合要求</w:t>
            </w:r>
          </w:p>
        </w:tc>
      </w:tr>
    </w:tbl>
    <w:p>
      <w:pPr>
        <w:snapToGrid w:val="0"/>
        <w:spacing w:before="50" w:after="50"/>
        <w:jc w:val="left"/>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1</w:t>
      </w:r>
      <w:r>
        <w:rPr>
          <w:rFonts w:hint="eastAsia" w:ascii="宋体" w:hAnsi="宋体"/>
          <w:color w:val="auto"/>
          <w:sz w:val="24"/>
          <w:highlight w:val="none"/>
        </w:rPr>
        <w:t>、报价一经涂改，应在涂改处加盖单位公章或者由法定代表人或授权委托人签字或盖章，否则其投标作无效标处理。</w:t>
      </w:r>
    </w:p>
    <w:p>
      <w:pPr>
        <w:pStyle w:val="20"/>
        <w:snapToGrid w:val="0"/>
        <w:spacing w:before="120" w:after="120" w:line="240" w:lineRule="auto"/>
        <w:ind w:firstLine="480" w:firstLineChars="200"/>
        <w:jc w:val="left"/>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2、投标报价其应包括产品设计、加工制作、运输费、装卸费、人工费、回收费、拆卸费、材料费、安装费、保险费、售后服务、利润、税金及合同包含的所有风险、责任等除安装外可能发生的一切费用 。投标人应根据上述因素自行综合考虑，招标人可根据实际情况调整工程量，中标人不得以此为要求调整综合单价。结算时，中标人在综合单价不变的前提下，根据实际工程量按实调整，综合单价一次性包死，日后不作调整。</w:t>
      </w:r>
    </w:p>
    <w:p>
      <w:pPr>
        <w:spacing w:line="320" w:lineRule="exact"/>
        <w:rPr>
          <w:rFonts w:hint="eastAsia" w:ascii="宋体" w:hAnsi="宋体"/>
          <w:color w:val="auto"/>
          <w:sz w:val="24"/>
          <w:highlight w:val="none"/>
        </w:rPr>
      </w:pPr>
    </w:p>
    <w:p>
      <w:pPr>
        <w:spacing w:line="320" w:lineRule="exact"/>
        <w:ind w:left="420"/>
        <w:rPr>
          <w:rFonts w:hint="eastAsia" w:ascii="宋体" w:hAnsi="宋体"/>
          <w:color w:val="auto"/>
          <w:sz w:val="24"/>
          <w:highlight w:val="none"/>
        </w:rPr>
      </w:pPr>
    </w:p>
    <w:p>
      <w:pPr>
        <w:spacing w:line="320" w:lineRule="exact"/>
        <w:ind w:left="420"/>
        <w:rPr>
          <w:rFonts w:ascii="宋体" w:hAnsi="宋体"/>
          <w:color w:val="auto"/>
          <w:sz w:val="24"/>
          <w:highlight w:val="none"/>
        </w:rPr>
      </w:pPr>
      <w:r>
        <w:rPr>
          <w:rFonts w:hint="eastAsia" w:ascii="宋体" w:hAnsi="宋体"/>
          <w:color w:val="auto"/>
          <w:sz w:val="24"/>
          <w:highlight w:val="none"/>
        </w:rPr>
        <w:t xml:space="preserve">投标人（盖章）：     </w:t>
      </w:r>
    </w:p>
    <w:p>
      <w:pPr>
        <w:spacing w:line="320" w:lineRule="exact"/>
        <w:ind w:left="420"/>
        <w:rPr>
          <w:rFonts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zh-CN"/>
        </w:rPr>
        <w:t>或授权委托人</w:t>
      </w:r>
      <w:r>
        <w:rPr>
          <w:rFonts w:hint="eastAsia" w:ascii="宋体" w:hAnsi="宋体"/>
          <w:color w:val="auto"/>
          <w:sz w:val="24"/>
          <w:highlight w:val="none"/>
        </w:rPr>
        <w:t>（签字或盖章）：             日期：</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jc w:val="left"/>
        <w:outlineLvl w:val="0"/>
        <w:rPr>
          <w:rFonts w:hint="eastAsia" w:ascii="宋体" w:hAnsi="宋体" w:cs="Calibri"/>
          <w:b/>
          <w:bCs/>
          <w:color w:val="auto"/>
          <w:sz w:val="24"/>
          <w:highlight w:val="none"/>
        </w:rPr>
        <w:sectPr>
          <w:headerReference r:id="rId5" w:type="default"/>
          <w:footerReference r:id="rId6" w:type="default"/>
          <w:pgSz w:w="11906" w:h="16838"/>
          <w:pgMar w:top="1440" w:right="1797" w:bottom="1440" w:left="1797" w:header="851" w:footer="992" w:gutter="0"/>
          <w:cols w:space="720" w:num="1"/>
          <w:rtlGutter w:val="1"/>
          <w:docGrid w:type="lines" w:linePitch="395" w:charSpace="0"/>
        </w:sectPr>
      </w:pPr>
    </w:p>
    <w:p>
      <w:pPr>
        <w:jc w:val="left"/>
        <w:outlineLvl w:val="0"/>
        <w:rPr>
          <w:rFonts w:hint="eastAsia" w:ascii="宋体" w:hAnsi="宋体" w:cs="Calibri"/>
          <w:b/>
          <w:bCs/>
          <w:color w:val="auto"/>
          <w:sz w:val="24"/>
          <w:highlight w:val="none"/>
        </w:rPr>
      </w:pPr>
      <w:r>
        <w:rPr>
          <w:rFonts w:hint="eastAsia" w:ascii="宋体" w:hAnsi="宋体" w:cs="Calibri"/>
          <w:b/>
          <w:bCs/>
          <w:color w:val="auto"/>
          <w:sz w:val="24"/>
          <w:highlight w:val="none"/>
        </w:rPr>
        <w:t>3、投标报价明细清单</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投标报价明细清单  </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[货币单位：人民币元]</w:t>
      </w:r>
    </w:p>
    <w:tbl>
      <w:tblPr>
        <w:tblStyle w:val="38"/>
        <w:tblpPr w:leftFromText="180" w:rightFromText="180" w:vertAnchor="text" w:horzAnchor="page" w:tblpX="790" w:tblpY="476"/>
        <w:tblOverlap w:val="never"/>
        <w:tblW w:w="51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36"/>
        <w:gridCol w:w="898"/>
        <w:gridCol w:w="1059"/>
        <w:gridCol w:w="738"/>
        <w:gridCol w:w="758"/>
        <w:gridCol w:w="1462"/>
        <w:gridCol w:w="1924"/>
        <w:gridCol w:w="436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63"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C0C0C"/>
                <w:sz w:val="24"/>
                <w:szCs w:val="24"/>
                <w:highlight w:val="none"/>
              </w:rPr>
            </w:pPr>
            <w:r>
              <w:rPr>
                <w:rFonts w:hint="eastAsia" w:ascii="宋体" w:hAnsi="宋体" w:cs="宋体"/>
                <w:b/>
                <w:color w:val="0C0C0C"/>
                <w:sz w:val="24"/>
                <w:szCs w:val="24"/>
                <w:highlight w:val="none"/>
              </w:rPr>
              <w:t>序号</w:t>
            </w:r>
          </w:p>
        </w:tc>
        <w:tc>
          <w:tcPr>
            <w:tcW w:w="420" w:type="pct"/>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
                <w:color w:val="0C0C0C"/>
                <w:sz w:val="24"/>
                <w:szCs w:val="24"/>
                <w:highlight w:val="none"/>
                <w:lang w:eastAsia="zh-CN"/>
              </w:rPr>
            </w:pPr>
            <w:r>
              <w:rPr>
                <w:rFonts w:hint="eastAsia" w:ascii="宋体" w:hAnsi="宋体" w:cs="宋体"/>
                <w:b/>
                <w:color w:val="0C0C0C"/>
                <w:sz w:val="24"/>
                <w:szCs w:val="24"/>
                <w:highlight w:val="none"/>
                <w:lang w:val="en-US" w:eastAsia="zh-CN"/>
              </w:rPr>
              <w:t>名称</w:t>
            </w:r>
          </w:p>
        </w:tc>
        <w:tc>
          <w:tcPr>
            <w:tcW w:w="305" w:type="pct"/>
            <w:noWrap w:val="0"/>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cs="宋体"/>
                <w:b/>
                <w:color w:val="0C0C0C"/>
                <w:sz w:val="24"/>
                <w:szCs w:val="24"/>
                <w:highlight w:val="none"/>
              </w:rPr>
            </w:pPr>
            <w:r>
              <w:rPr>
                <w:rFonts w:hint="eastAsia" w:ascii="宋体" w:hAnsi="宋体" w:cs="宋体"/>
                <w:b/>
                <w:color w:val="0C0C0C"/>
                <w:sz w:val="24"/>
                <w:szCs w:val="24"/>
                <w:highlight w:val="none"/>
                <w:lang w:val="en-US" w:eastAsia="zh-CN"/>
              </w:rPr>
              <w:t>规格</w:t>
            </w:r>
          </w:p>
        </w:tc>
        <w:tc>
          <w:tcPr>
            <w:tcW w:w="360" w:type="pct"/>
            <w:noWrap w:val="0"/>
            <w:vAlign w:val="center"/>
          </w:tcPr>
          <w:p>
            <w:pPr>
              <w:keepNext w:val="0"/>
              <w:keepLines w:val="0"/>
              <w:suppressLineNumbers w:val="0"/>
              <w:snapToGrid w:val="0"/>
              <w:spacing w:before="0" w:beforeAutospacing="0" w:after="0" w:afterAutospacing="0" w:line="480" w:lineRule="exact"/>
              <w:ind w:left="0" w:right="0"/>
              <w:jc w:val="center"/>
              <w:rPr>
                <w:rFonts w:hint="eastAsia" w:ascii="宋体" w:hAnsi="宋体" w:cs="宋体"/>
                <w:b/>
                <w:color w:val="0C0C0C"/>
                <w:sz w:val="24"/>
                <w:szCs w:val="24"/>
                <w:highlight w:val="none"/>
                <w:lang w:val="en-US" w:eastAsia="zh-CN"/>
              </w:rPr>
            </w:pPr>
            <w:r>
              <w:rPr>
                <w:rFonts w:hint="eastAsia" w:ascii="宋体" w:hAnsi="宋体" w:eastAsia="宋体" w:cs="宋体"/>
                <w:b/>
                <w:color w:val="0C0C0C"/>
                <w:sz w:val="24"/>
                <w:szCs w:val="24"/>
                <w:highlight w:val="none"/>
                <w:lang w:val="en-US" w:eastAsia="zh-CN"/>
              </w:rPr>
              <w:t>备注</w:t>
            </w:r>
          </w:p>
        </w:tc>
        <w:tc>
          <w:tcPr>
            <w:tcW w:w="251" w:type="pct"/>
            <w:noWrap w:val="0"/>
            <w:vAlign w:val="center"/>
          </w:tcPr>
          <w:p>
            <w:pPr>
              <w:keepNext w:val="0"/>
              <w:keepLines w:val="0"/>
              <w:suppressLineNumbers w:val="0"/>
              <w:spacing w:before="0" w:beforeAutospacing="0" w:after="0" w:afterAutospacing="0" w:line="360" w:lineRule="auto"/>
              <w:ind w:left="52" w:right="0"/>
              <w:jc w:val="center"/>
              <w:rPr>
                <w:rFonts w:hint="default" w:ascii="宋体" w:hAnsi="宋体" w:cs="宋体"/>
                <w:b/>
                <w:color w:val="0C0C0C"/>
                <w:sz w:val="24"/>
                <w:szCs w:val="24"/>
                <w:highlight w:val="none"/>
              </w:rPr>
            </w:pPr>
            <w:r>
              <w:rPr>
                <w:rFonts w:hint="eastAsia" w:ascii="宋体" w:hAnsi="宋体" w:cs="宋体"/>
                <w:b/>
                <w:color w:val="0C0C0C"/>
                <w:sz w:val="24"/>
                <w:szCs w:val="24"/>
                <w:highlight w:val="none"/>
              </w:rPr>
              <w:t>单位</w:t>
            </w:r>
          </w:p>
        </w:tc>
        <w:tc>
          <w:tcPr>
            <w:tcW w:w="25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C0C0C"/>
                <w:sz w:val="24"/>
                <w:szCs w:val="24"/>
                <w:highlight w:val="none"/>
              </w:rPr>
            </w:pPr>
            <w:r>
              <w:rPr>
                <w:rFonts w:hint="eastAsia" w:ascii="宋体" w:hAnsi="宋体" w:cs="宋体"/>
                <w:b/>
                <w:color w:val="0C0C0C"/>
                <w:sz w:val="24"/>
                <w:szCs w:val="24"/>
                <w:highlight w:val="none"/>
              </w:rPr>
              <w:t>数量</w:t>
            </w:r>
          </w:p>
        </w:tc>
        <w:tc>
          <w:tcPr>
            <w:tcW w:w="49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C0C0C"/>
                <w:sz w:val="24"/>
                <w:szCs w:val="24"/>
                <w:highlight w:val="none"/>
              </w:rPr>
            </w:pPr>
            <w:r>
              <w:rPr>
                <w:rFonts w:hint="eastAsia" w:ascii="宋体" w:hAnsi="宋体" w:eastAsia="宋体" w:cs="宋体"/>
                <w:b/>
                <w:color w:val="0C0C0C"/>
                <w:sz w:val="24"/>
                <w:szCs w:val="24"/>
                <w:highlight w:val="none"/>
                <w:lang w:val="en-US" w:eastAsia="zh-CN"/>
              </w:rPr>
              <w:t>电池综合单价（元/个）</w:t>
            </w:r>
          </w:p>
        </w:tc>
        <w:tc>
          <w:tcPr>
            <w:tcW w:w="65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0C0C0C"/>
                <w:kern w:val="2"/>
                <w:sz w:val="24"/>
                <w:szCs w:val="24"/>
                <w:highlight w:val="none"/>
                <w:lang w:val="en-US" w:eastAsia="zh-CN" w:bidi="ar-SA"/>
              </w:rPr>
            </w:pPr>
            <w:r>
              <w:rPr>
                <w:rFonts w:hint="eastAsia" w:ascii="宋体" w:hAnsi="宋体" w:eastAsia="宋体" w:cs="宋体"/>
                <w:b/>
                <w:color w:val="0C0C0C"/>
                <w:sz w:val="24"/>
                <w:szCs w:val="24"/>
                <w:highlight w:val="none"/>
                <w:lang w:val="en-US" w:eastAsia="zh-CN"/>
              </w:rPr>
              <w:t>电池回收价（元/个）</w:t>
            </w:r>
          </w:p>
        </w:tc>
        <w:tc>
          <w:tcPr>
            <w:tcW w:w="14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color w:val="0C0C0C"/>
                <w:sz w:val="24"/>
                <w:szCs w:val="24"/>
                <w:highlight w:val="none"/>
                <w:lang w:val="en-US" w:eastAsia="zh-CN"/>
              </w:rPr>
            </w:pPr>
            <w:r>
              <w:rPr>
                <w:rFonts w:hint="eastAsia" w:ascii="宋体" w:hAnsi="宋体" w:cs="宋体"/>
                <w:b/>
                <w:color w:val="0C0C0C"/>
                <w:sz w:val="24"/>
                <w:szCs w:val="24"/>
                <w:highlight w:val="none"/>
                <w:lang w:val="en-US" w:eastAsia="zh-CN"/>
              </w:rPr>
              <w:t>报价（元/个）</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C0C0C"/>
                <w:sz w:val="24"/>
                <w:szCs w:val="24"/>
                <w:highlight w:val="none"/>
                <w:lang w:eastAsia="zh-CN"/>
              </w:rPr>
            </w:pPr>
            <w:r>
              <w:rPr>
                <w:rFonts w:hint="eastAsia" w:ascii="宋体" w:hAnsi="宋体" w:cs="宋体"/>
                <w:b/>
                <w:bCs/>
                <w:color w:val="0C0C0C"/>
                <w:sz w:val="24"/>
                <w:szCs w:val="24"/>
                <w:highlight w:val="none"/>
                <w:lang w:val="en-US" w:eastAsia="zh-CN"/>
              </w:rPr>
              <w:t>（报价=电池综合单价-电池回收价）</w:t>
            </w:r>
          </w:p>
        </w:tc>
        <w:tc>
          <w:tcPr>
            <w:tcW w:w="60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C0C0C"/>
                <w:sz w:val="24"/>
                <w:szCs w:val="24"/>
                <w:highlight w:val="none"/>
                <w:lang w:eastAsia="zh-CN"/>
              </w:rPr>
            </w:pPr>
            <w:r>
              <w:rPr>
                <w:rFonts w:hint="eastAsia" w:ascii="宋体" w:hAnsi="宋体" w:cs="宋体"/>
                <w:b/>
                <w:color w:val="0C0C0C"/>
                <w:sz w:val="24"/>
                <w:szCs w:val="24"/>
                <w:highlight w:val="none"/>
                <w:lang w:val="en-US" w:eastAsia="zh-CN"/>
              </w:rPr>
              <w:t>合计</w:t>
            </w:r>
            <w:r>
              <w:rPr>
                <w:rFonts w:hint="eastAsia" w:ascii="宋体" w:hAnsi="宋体" w:cs="宋体"/>
                <w:b/>
                <w:color w:val="0C0C0C"/>
                <w:sz w:val="24"/>
                <w:szCs w:val="24"/>
                <w:highlight w:val="none"/>
                <w:lang w:eastAsia="zh-CN"/>
              </w:rPr>
              <w:t>（</w:t>
            </w:r>
            <w:r>
              <w:rPr>
                <w:rFonts w:hint="eastAsia" w:ascii="宋体" w:hAnsi="宋体" w:cs="宋体"/>
                <w:b/>
                <w:color w:val="0C0C0C"/>
                <w:sz w:val="24"/>
                <w:szCs w:val="24"/>
                <w:highlight w:val="none"/>
                <w:lang w:val="en-US" w:eastAsia="zh-CN"/>
              </w:rPr>
              <w:t>元</w:t>
            </w:r>
            <w:r>
              <w:rPr>
                <w:rFonts w:hint="eastAsia" w:ascii="宋体" w:hAnsi="宋体" w:cs="宋体"/>
                <w:b/>
                <w:color w:val="0C0C0C"/>
                <w:sz w:val="24"/>
                <w:szCs w:val="24"/>
                <w:highlight w:val="none"/>
                <w:lang w:eastAsia="zh-CN"/>
              </w:rPr>
              <w:t>）（报价</w:t>
            </w:r>
            <w:r>
              <w:rPr>
                <w:rFonts w:hint="eastAsia" w:ascii="宋体" w:hAnsi="宋体" w:cs="宋体"/>
                <w:b/>
                <w:color w:val="0C0C0C"/>
                <w:sz w:val="24"/>
                <w:szCs w:val="24"/>
                <w:highlight w:val="none"/>
                <w:lang w:val="en-US" w:eastAsia="zh-CN"/>
              </w:rPr>
              <w:t>*数量</w:t>
            </w:r>
            <w:r>
              <w:rPr>
                <w:rFonts w:hint="eastAsia" w:ascii="宋体" w:hAnsi="宋体" w:cs="宋体"/>
                <w:b/>
                <w:color w:val="0C0C0C"/>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163"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p>
        </w:tc>
        <w:tc>
          <w:tcPr>
            <w:tcW w:w="420"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免维护干电池组</w:t>
            </w:r>
          </w:p>
        </w:tc>
        <w:tc>
          <w:tcPr>
            <w:tcW w:w="305"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≥60V45AH</w:t>
            </w:r>
          </w:p>
        </w:tc>
        <w:tc>
          <w:tcPr>
            <w:tcW w:w="360"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≥6-EVF-45；满足四桶车使用，225*120*170（±10cm）</w:t>
            </w:r>
          </w:p>
        </w:tc>
        <w:tc>
          <w:tcPr>
            <w:tcW w:w="251"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个</w:t>
            </w:r>
          </w:p>
        </w:tc>
        <w:tc>
          <w:tcPr>
            <w:tcW w:w="25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200</w:t>
            </w:r>
          </w:p>
        </w:tc>
        <w:tc>
          <w:tcPr>
            <w:tcW w:w="49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300</w:t>
            </w:r>
          </w:p>
        </w:tc>
        <w:tc>
          <w:tcPr>
            <w:tcW w:w="654"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100</w:t>
            </w: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highlight w:val="none"/>
                <w:lang w:val="en-US"/>
              </w:rPr>
            </w:pPr>
            <w:r>
              <w:rPr>
                <w:rFonts w:hint="eastAsia" w:ascii="Calibri" w:hAnsi="Calibri" w:cs="Calibri"/>
                <w:sz w:val="24"/>
                <w:szCs w:val="24"/>
                <w:highlight w:val="none"/>
                <w:lang w:val="en-US" w:eastAsia="zh-CN"/>
              </w:rPr>
              <w:t>（1）电池综合单价=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lang w:val="en-US" w:eastAsia="zh-CN"/>
              </w:rPr>
              <w:t>元/个；</w:t>
            </w:r>
          </w:p>
        </w:tc>
        <w:tc>
          <w:tcPr>
            <w:tcW w:w="603" w:type="pct"/>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C0C0C"/>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163"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2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05"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6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9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654"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（2）电池回收价=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lang w:val="en-US" w:eastAsia="zh-CN"/>
              </w:rPr>
              <w:t>元/个；</w:t>
            </w:r>
          </w:p>
        </w:tc>
        <w:tc>
          <w:tcPr>
            <w:tcW w:w="603" w:type="pct"/>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C0C0C"/>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163"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2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05"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6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9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654"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sz w:val="24"/>
                <w:szCs w:val="24"/>
                <w:highlight w:val="none"/>
                <w:lang w:val="en-US" w:eastAsia="zh-CN"/>
              </w:rPr>
            </w:pPr>
            <w:r>
              <w:rPr>
                <w:rFonts w:hint="eastAsia" w:ascii="Calibri" w:hAnsi="Calibri" w:cs="Calibri"/>
                <w:sz w:val="24"/>
                <w:szCs w:val="24"/>
                <w:highlight w:val="none"/>
                <w:lang w:val="en-US" w:eastAsia="zh-CN"/>
              </w:rPr>
              <w:t>（3）报价=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u w:val="none"/>
                <w:lang w:val="en-US" w:eastAsia="zh-CN"/>
              </w:rPr>
              <w:t>元/个。</w:t>
            </w:r>
          </w:p>
        </w:tc>
        <w:tc>
          <w:tcPr>
            <w:tcW w:w="60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63"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p>
        </w:tc>
        <w:tc>
          <w:tcPr>
            <w:tcW w:w="420"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水电池组</w:t>
            </w:r>
          </w:p>
        </w:tc>
        <w:tc>
          <w:tcPr>
            <w:tcW w:w="305"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≥72V80斤</w:t>
            </w:r>
          </w:p>
        </w:tc>
        <w:tc>
          <w:tcPr>
            <w:tcW w:w="360"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≥6-EV-80；满足侧翻车使用，355*160*305（±10cm）</w:t>
            </w:r>
          </w:p>
        </w:tc>
        <w:tc>
          <w:tcPr>
            <w:tcW w:w="25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60</w:t>
            </w:r>
          </w:p>
        </w:tc>
        <w:tc>
          <w:tcPr>
            <w:tcW w:w="49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670</w:t>
            </w:r>
          </w:p>
        </w:tc>
        <w:tc>
          <w:tcPr>
            <w:tcW w:w="654"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200</w:t>
            </w: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（1）电池综合单价=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lang w:val="en-US" w:eastAsia="zh-CN"/>
              </w:rPr>
              <w:t>元/个；</w:t>
            </w:r>
          </w:p>
        </w:tc>
        <w:tc>
          <w:tcPr>
            <w:tcW w:w="603" w:type="pct"/>
            <w:vMerge w:val="restar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63"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2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05"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6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9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654"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（2）电池回收价=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lang w:val="en-US" w:eastAsia="zh-CN"/>
              </w:rPr>
              <w:t>元/个；</w:t>
            </w:r>
          </w:p>
        </w:tc>
        <w:tc>
          <w:tcPr>
            <w:tcW w:w="60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63"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2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05"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360"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49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654"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（3）报价=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u w:val="none"/>
                <w:lang w:val="en-US" w:eastAsia="zh-CN"/>
              </w:rPr>
              <w:t>元/个。</w:t>
            </w:r>
          </w:p>
        </w:tc>
        <w:tc>
          <w:tcPr>
            <w:tcW w:w="60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63"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w:t>
            </w:r>
          </w:p>
        </w:tc>
        <w:tc>
          <w:tcPr>
            <w:tcW w:w="420"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免维护干电池组</w:t>
            </w:r>
          </w:p>
        </w:tc>
        <w:tc>
          <w:tcPr>
            <w:tcW w:w="305"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≥48V32AH</w:t>
            </w:r>
          </w:p>
        </w:tc>
        <w:tc>
          <w:tcPr>
            <w:tcW w:w="360"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≥6-EVF-32.2；满足扫地车使用，255*75*165（±10cm）</w:t>
            </w:r>
          </w:p>
        </w:tc>
        <w:tc>
          <w:tcPr>
            <w:tcW w:w="25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p>
        </w:tc>
        <w:tc>
          <w:tcPr>
            <w:tcW w:w="25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c>
          <w:tcPr>
            <w:tcW w:w="49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275</w:t>
            </w:r>
          </w:p>
        </w:tc>
        <w:tc>
          <w:tcPr>
            <w:tcW w:w="654"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75</w:t>
            </w: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（1）电池综合单价=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lang w:val="en-US" w:eastAsia="zh-CN"/>
              </w:rPr>
              <w:t>元/个；</w:t>
            </w:r>
          </w:p>
        </w:tc>
        <w:tc>
          <w:tcPr>
            <w:tcW w:w="603" w:type="pct"/>
            <w:vMerge w:val="restar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6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420"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305"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360"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251"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257"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497"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654"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cs="Calibri"/>
              </w:rPr>
            </w:pP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（2）电池回收价=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lang w:val="en-US" w:eastAsia="zh-CN"/>
              </w:rPr>
              <w:t>元/个；</w:t>
            </w:r>
          </w:p>
        </w:tc>
        <w:tc>
          <w:tcPr>
            <w:tcW w:w="60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6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420"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305"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360"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251"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257"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497"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654"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c>
          <w:tcPr>
            <w:tcW w:w="1484" w:type="pc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r>
              <w:rPr>
                <w:rFonts w:hint="eastAsia" w:ascii="Calibri" w:hAnsi="Calibri" w:cs="Calibri"/>
                <w:sz w:val="24"/>
                <w:szCs w:val="24"/>
                <w:highlight w:val="none"/>
                <w:lang w:val="en-US" w:eastAsia="zh-CN"/>
              </w:rPr>
              <w:t>（3）报价=</w:t>
            </w:r>
            <w:r>
              <w:rPr>
                <w:rFonts w:hint="eastAsia" w:ascii="Calibri" w:hAnsi="Calibri" w:cs="Calibri"/>
                <w:sz w:val="24"/>
                <w:szCs w:val="24"/>
                <w:highlight w:val="none"/>
                <w:u w:val="single"/>
                <w:lang w:val="en-US" w:eastAsia="zh-CN"/>
              </w:rPr>
              <w:t xml:space="preserve">               </w:t>
            </w:r>
            <w:r>
              <w:rPr>
                <w:rFonts w:hint="eastAsia" w:ascii="Calibri" w:hAnsi="Calibri" w:cs="Calibri"/>
                <w:sz w:val="24"/>
                <w:szCs w:val="24"/>
                <w:highlight w:val="none"/>
                <w:u w:val="none"/>
                <w:lang w:val="en-US" w:eastAsia="zh-CN"/>
              </w:rPr>
              <w:t>元/个。</w:t>
            </w:r>
          </w:p>
        </w:tc>
        <w:tc>
          <w:tcPr>
            <w:tcW w:w="603" w:type="pct"/>
            <w:vMerge w:val="continue"/>
            <w:noWrap w:val="0"/>
            <w:vAlign w:val="center"/>
          </w:tcPr>
          <w:p>
            <w:pPr>
              <w:keepNext w:val="0"/>
              <w:keepLines w:val="0"/>
              <w:widowControl/>
              <w:suppressLineNumbers w:val="0"/>
              <w:spacing w:before="0" w:beforeAutospacing="0" w:after="0" w:afterAutospacing="0"/>
              <w:ind w:left="0" w:right="0"/>
              <w:jc w:val="both"/>
              <w:textAlignment w:val="center"/>
              <w:rPr>
                <w:rFonts w:hint="eastAsia" w:ascii="Calibri" w:hAnsi="Calibri" w:cs="Calibri"/>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5000" w:type="pct"/>
            <w:gridSpan w:val="10"/>
            <w:noWrap w:val="0"/>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Calibri"/>
                <w:sz w:val="24"/>
                <w:szCs w:val="24"/>
                <w:highlight w:val="none"/>
                <w:lang w:val="en-US" w:eastAsia="zh-CN"/>
              </w:rPr>
            </w:pPr>
            <w:r>
              <w:rPr>
                <w:rFonts w:hint="eastAsia" w:ascii="宋体" w:hAnsi="宋体" w:cs="Calibri"/>
                <w:color w:val="auto"/>
                <w:sz w:val="24"/>
                <w:szCs w:val="21"/>
                <w:highlight w:val="none"/>
              </w:rPr>
              <w:t>投标总报价</w:t>
            </w:r>
            <w:r>
              <w:rPr>
                <w:rFonts w:hint="eastAsia" w:ascii="宋体" w:hAnsi="宋体" w:cs="Calibri"/>
                <w:color w:val="auto"/>
                <w:sz w:val="24"/>
                <w:szCs w:val="21"/>
                <w:highlight w:val="none"/>
                <w:lang w:val="en-US" w:eastAsia="zh-CN"/>
              </w:rPr>
              <w:t>=1+2+3=</w:t>
            </w:r>
            <w:r>
              <w:rPr>
                <w:rFonts w:hint="eastAsia" w:ascii="宋体" w:hAnsi="宋体" w:cs="Calibri"/>
                <w:color w:val="auto"/>
                <w:sz w:val="24"/>
                <w:szCs w:val="21"/>
                <w:highlight w:val="none"/>
                <w:u w:val="single"/>
                <w:lang w:val="en-US" w:eastAsia="zh-CN"/>
              </w:rPr>
              <w:t xml:space="preserve">            </w:t>
            </w:r>
            <w:r>
              <w:rPr>
                <w:rFonts w:hint="eastAsia" w:ascii="宋体" w:hAnsi="宋体" w:cs="Calibri"/>
                <w:color w:val="auto"/>
                <w:sz w:val="24"/>
                <w:szCs w:val="21"/>
                <w:highlight w:val="none"/>
                <w:lang w:val="en-US" w:eastAsia="zh-CN"/>
              </w:rPr>
              <w:t>元（转结至附件2开标一览表）</w:t>
            </w:r>
          </w:p>
        </w:tc>
      </w:tr>
    </w:tbl>
    <w:p>
      <w:pPr>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要求</w:t>
      </w:r>
    </w:p>
    <w:p>
      <w:pPr>
        <w:spacing w:line="360" w:lineRule="auto"/>
        <w:ind w:left="42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本表为《开标一览表》的报价明细表，如有缺项、漏项，视为投标报价中已包含相关费用，采购人无需另外支付任何费用。</w:t>
      </w:r>
    </w:p>
    <w:p>
      <w:pPr>
        <w:spacing w:line="360" w:lineRule="auto"/>
        <w:ind w:left="420"/>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“报价明细表”中的报价合计应与“开标一览表”中的投标总报价相一致，不一致时，以开标一览表为准。</w:t>
      </w:r>
    </w:p>
    <w:p>
      <w:pPr>
        <w:spacing w:line="360" w:lineRule="auto"/>
        <w:ind w:left="420"/>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投标报价明细表所填内容按采购文件采购设备清单要求为准。如有漏报的，视同已包含在投标总价内或已作优惠处理。有重大缺项的将作无效标处理。</w:t>
      </w:r>
    </w:p>
    <w:p>
      <w:pPr>
        <w:spacing w:line="360" w:lineRule="auto"/>
        <w:ind w:left="420"/>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 本表中的型号规格</w:t>
      </w:r>
      <w:r>
        <w:rPr>
          <w:rFonts w:hint="eastAsia" w:ascii="宋体" w:hAnsi="宋体" w:eastAsia="宋体" w:cs="宋体"/>
          <w:color w:val="auto"/>
          <w:sz w:val="21"/>
          <w:szCs w:val="21"/>
          <w:highlight w:val="none"/>
          <w:lang w:val="en-US" w:eastAsia="zh-CN"/>
        </w:rPr>
        <w:t>最终需符合业主要求</w:t>
      </w:r>
      <w:r>
        <w:rPr>
          <w:rFonts w:hint="eastAsia" w:ascii="宋体" w:hAnsi="宋体" w:eastAsia="宋体" w:cs="宋体"/>
          <w:color w:val="auto"/>
          <w:sz w:val="21"/>
          <w:szCs w:val="21"/>
          <w:highlight w:val="none"/>
          <w:lang w:val="zh-CN"/>
        </w:rPr>
        <w:t>，采购文件中明确要求定制的除外。</w:t>
      </w:r>
    </w:p>
    <w:p>
      <w:pPr>
        <w:spacing w:line="360" w:lineRule="auto"/>
        <w:ind w:left="42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投标报价不得超过单价最高限价</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总价最高限价，超过单价最高限价</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总价最高限价的报价为无效标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其中回收价不得低于回收价底价，低于回收价底价的报价为无效标</w:t>
      </w:r>
      <w:r>
        <w:rPr>
          <w:rFonts w:hint="eastAsia" w:ascii="宋体" w:hAnsi="宋体" w:eastAsia="宋体" w:cs="宋体"/>
          <w:color w:val="auto"/>
          <w:sz w:val="21"/>
          <w:szCs w:val="21"/>
          <w:highlight w:val="none"/>
          <w:lang w:eastAsia="zh-CN"/>
        </w:rPr>
        <w:t>）。</w:t>
      </w:r>
    </w:p>
    <w:p>
      <w:pPr>
        <w:spacing w:line="360" w:lineRule="auto"/>
        <w:ind w:left="420"/>
        <w:outlineLvl w:val="2"/>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质保期内需满足每次充满电后，车辆一次可满载</w:t>
      </w:r>
      <w:r>
        <w:rPr>
          <w:rFonts w:hint="eastAsia" w:ascii="宋体" w:hAnsi="宋体" w:cs="宋体"/>
          <w:color w:val="auto"/>
          <w:sz w:val="21"/>
          <w:szCs w:val="21"/>
          <w:highlight w:val="none"/>
        </w:rPr>
        <w:t>行驶≥40km，若达不到要求按不合格处理，质保期内因质量问题及产品不合格等原因，由供应方采取以旧换新的方式免费提供新的电池及零配件以供更换，或扣除对应金额质量保证金。</w:t>
      </w:r>
    </w:p>
    <w:p>
      <w:pPr>
        <w:spacing w:line="360" w:lineRule="auto"/>
        <w:ind w:left="42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所供应的电池经使用满一年后，供应方需按回收价进行回收，具体使用开始时间以对应批次电池安装完成起开始计算。</w:t>
      </w:r>
    </w:p>
    <w:p>
      <w:pPr>
        <w:spacing w:line="360" w:lineRule="auto"/>
        <w:ind w:left="42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需提供对应型号原装充电器、连接线等相关配件。</w:t>
      </w:r>
    </w:p>
    <w:p>
      <w:pPr>
        <w:spacing w:line="360" w:lineRule="auto"/>
        <w:ind w:left="42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提供的电池，需符合相关尺寸要求或需匹配对应型号车辆等相关要求。</w:t>
      </w:r>
    </w:p>
    <w:p>
      <w:pPr>
        <w:spacing w:line="360" w:lineRule="auto"/>
        <w:ind w:left="42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包安装、原车辆上电池拆卸。</w:t>
      </w:r>
    </w:p>
    <w:p>
      <w:pPr>
        <w:spacing w:line="360" w:lineRule="auto"/>
        <w:ind w:left="420"/>
        <w:outlineLvl w:val="2"/>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pacing w:val="6"/>
          <w:sz w:val="21"/>
          <w:szCs w:val="21"/>
          <w:highlight w:val="none"/>
        </w:rPr>
        <w:t>（盖单位公章）</w:t>
      </w:r>
      <w:r>
        <w:rPr>
          <w:rFonts w:hint="eastAsia" w:ascii="宋体" w:hAnsi="宋体" w:cs="宋体"/>
          <w:color w:val="auto"/>
          <w:sz w:val="21"/>
          <w:szCs w:val="21"/>
          <w:highlight w:val="none"/>
        </w:rPr>
        <w:t>：</w:t>
      </w:r>
    </w:p>
    <w:p>
      <w:pPr>
        <w:spacing w:line="360" w:lineRule="auto"/>
        <w:ind w:firstLine="435"/>
        <w:outlineLvl w:val="2"/>
        <w:rPr>
          <w:rFonts w:ascii="宋体" w:hAnsi="宋体" w:cs="宋体"/>
          <w:color w:val="auto"/>
          <w:sz w:val="21"/>
          <w:szCs w:val="21"/>
          <w:highlight w:val="none"/>
        </w:rPr>
      </w:pPr>
      <w:r>
        <w:rPr>
          <w:rFonts w:hint="eastAsia" w:ascii="宋体" w:hAnsi="宋体" w:cs="宋体"/>
          <w:color w:val="auto"/>
          <w:sz w:val="21"/>
          <w:szCs w:val="21"/>
          <w:highlight w:val="none"/>
        </w:rPr>
        <w:t>法定代表人或授权委托人(签字或盖章)：</w:t>
      </w:r>
    </w:p>
    <w:p>
      <w:pPr>
        <w:spacing w:line="360" w:lineRule="auto"/>
        <w:outlineLvl w:val="2"/>
        <w:rPr>
          <w:rFonts w:hint="eastAsia" w:ascii="宋体" w:hAnsi="宋体"/>
          <w:color w:val="auto"/>
          <w:sz w:val="24"/>
          <w:highlight w:val="none"/>
        </w:rPr>
        <w:sectPr>
          <w:pgSz w:w="16838" w:h="11906" w:orient="landscape"/>
          <w:pgMar w:top="1797" w:right="1440" w:bottom="1797" w:left="1440" w:header="851" w:footer="992" w:gutter="0"/>
          <w:cols w:space="720" w:num="1"/>
          <w:rtlGutter w:val="1"/>
          <w:docGrid w:type="lines" w:linePitch="395" w:charSpace="0"/>
        </w:sectPr>
      </w:pPr>
      <w:r>
        <w:rPr>
          <w:rFonts w:hint="eastAsia" w:ascii="宋体" w:hAnsi="宋体" w:cs="宋体"/>
          <w:color w:val="auto"/>
          <w:sz w:val="21"/>
          <w:szCs w:val="21"/>
          <w:highlight w:val="none"/>
        </w:rPr>
        <w:t xml:space="preserve">    日        期</w:t>
      </w: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、供应商诚信投标承诺书</w:t>
      </w:r>
    </w:p>
    <w:p>
      <w:pPr>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rPr>
        <w:t>供应商诚信投标承诺书</w:t>
      </w:r>
    </w:p>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本人以企业法定代表人的身份郑重承诺：</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不与其他投标人相互串通投标报价，不排挤其他投标人的公平竞争、损害招标人的合法权益；</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不向招标人或者评标委员会成员行贿以牟取中标；</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p>
    <w:p>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本公司若有违反承诺内容的行为，自愿接受取消投标资格、记入信用档案、没收投标保证金等有关处理，愿意承担法律责任。如已中标的，自动放弃中标资格；给招标人造成损失的，依法承担赔偿责任。</w:t>
      </w:r>
    </w:p>
    <w:p>
      <w:pPr>
        <w:spacing w:line="300" w:lineRule="auto"/>
        <w:rPr>
          <w:rFonts w:hint="eastAsia" w:ascii="宋体" w:hAnsi="宋体" w:cs="宋体"/>
          <w:color w:val="auto"/>
          <w:sz w:val="24"/>
          <w:highlight w:val="none"/>
        </w:rPr>
      </w:pPr>
    </w:p>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投标单位（公章）：                法定代表人或授权代表（签字或盖章）：</w:t>
      </w:r>
    </w:p>
    <w:p>
      <w:pPr>
        <w:spacing w:line="300" w:lineRule="auto"/>
        <w:ind w:firstLine="5280" w:firstLineChars="2200"/>
        <w:rPr>
          <w:rFonts w:hint="eastAsia" w:ascii="宋体" w:hAnsi="宋体" w:cs="宋体"/>
          <w:color w:val="auto"/>
          <w:sz w:val="24"/>
          <w:highlight w:val="none"/>
        </w:rPr>
      </w:pPr>
    </w:p>
    <w:p>
      <w:pPr>
        <w:pStyle w:val="31"/>
        <w:spacing w:line="360" w:lineRule="auto"/>
        <w:ind w:left="0" w:leftChars="0" w:right="240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pStyle w:val="31"/>
        <w:spacing w:line="360" w:lineRule="auto"/>
        <w:ind w:left="0" w:leftChars="0" w:right="2400"/>
        <w:rPr>
          <w:rFonts w:ascii="宋体" w:hAnsi="宋体"/>
          <w:b/>
          <w:bCs w:val="0"/>
          <w:color w:val="auto"/>
          <w:sz w:val="24"/>
          <w:szCs w:val="24"/>
          <w:highlight w:val="none"/>
        </w:rPr>
      </w:pPr>
      <w:r>
        <w:rPr>
          <w:rFonts w:hint="eastAsia" w:ascii="宋体" w:hAnsi="宋体" w:cs="宋体"/>
          <w:b/>
          <w:bCs w:val="0"/>
          <w:color w:val="auto"/>
          <w:sz w:val="28"/>
          <w:highlight w:val="none"/>
          <w:lang w:val="en-US" w:eastAsia="zh-CN"/>
        </w:rPr>
        <w:t>5、</w:t>
      </w:r>
      <w:r>
        <w:rPr>
          <w:rFonts w:hint="eastAsia" w:ascii="宋体" w:hAnsi="宋体" w:cs="宋体"/>
          <w:b/>
          <w:bCs w:val="0"/>
          <w:color w:val="auto"/>
          <w:sz w:val="24"/>
          <w:highlight w:val="none"/>
        </w:rPr>
        <w:t>投标</w:t>
      </w:r>
      <w:r>
        <w:rPr>
          <w:rFonts w:hint="eastAsia" w:ascii="宋体" w:hAnsi="宋体"/>
          <w:b/>
          <w:bCs w:val="0"/>
          <w:color w:val="auto"/>
          <w:sz w:val="24"/>
          <w:szCs w:val="24"/>
          <w:highlight w:val="none"/>
        </w:rPr>
        <w:t>人、法定代表人近三年无行贿犯罪记录承诺</w:t>
      </w:r>
    </w:p>
    <w:p>
      <w:pPr>
        <w:pStyle w:val="31"/>
        <w:spacing w:line="360" w:lineRule="auto"/>
        <w:ind w:left="3165" w:leftChars="700" w:right="2400" w:hanging="1205" w:hangingChars="400"/>
        <w:rPr>
          <w:rFonts w:hint="eastAsia" w:ascii="宋体" w:hAnsi="宋体"/>
          <w:b/>
          <w:bCs/>
          <w:color w:val="auto"/>
          <w:sz w:val="30"/>
          <w:szCs w:val="30"/>
          <w:highlight w:val="none"/>
        </w:rPr>
      </w:pPr>
      <w:r>
        <w:rPr>
          <w:rFonts w:hint="eastAsia" w:ascii="宋体" w:hAnsi="宋体" w:cs="宋体"/>
          <w:b/>
          <w:bCs/>
          <w:color w:val="auto"/>
          <w:sz w:val="30"/>
          <w:szCs w:val="30"/>
          <w:highlight w:val="none"/>
        </w:rPr>
        <w:t>投标</w:t>
      </w:r>
      <w:r>
        <w:rPr>
          <w:rFonts w:hint="eastAsia" w:ascii="宋体" w:hAnsi="宋体"/>
          <w:b/>
          <w:bCs/>
          <w:color w:val="auto"/>
          <w:sz w:val="30"/>
          <w:szCs w:val="30"/>
          <w:highlight w:val="none"/>
        </w:rPr>
        <w:t>人、法定代表人近三年无行 贿犯罪记录承诺</w:t>
      </w: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台州东发建设投资有限公司 ：（采购单位）</w:t>
      </w: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我方在此声明，                             （        编号）项目（括号内填写项目名称、采购编号）招投标过程中所涉及的包括法人、法定代表人、授权委托人、项目经理近三年内均无行贿犯罪记录。我方保证上述信息的真实和准确，并愿意承担因我方就此弄虚作假所引起的一切法律后果。</w:t>
      </w: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投标人（盖章）：</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lang w:val="zh-CN"/>
        </w:rPr>
        <w:t>法定代表人或授权委托人</w:t>
      </w:r>
      <w:r>
        <w:rPr>
          <w:rFonts w:hint="eastAsia" w:ascii="宋体" w:hAnsi="宋体"/>
          <w:color w:val="auto"/>
          <w:sz w:val="24"/>
          <w:highlight w:val="none"/>
        </w:rPr>
        <w:t>（签字或盖章）：</w:t>
      </w: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日期：  年   月   日</w:t>
      </w:r>
    </w:p>
    <w:p>
      <w:pPr>
        <w:pStyle w:val="31"/>
        <w:spacing w:line="360" w:lineRule="auto"/>
        <w:ind w:left="0" w:leftChars="0" w:right="2400"/>
        <w:rPr>
          <w:rFonts w:hint="eastAsia" w:ascii="宋体" w:hAnsi="宋体" w:cs="宋体"/>
          <w:color w:val="auto"/>
          <w:sz w:val="24"/>
          <w:highlight w:val="none"/>
        </w:rPr>
      </w:pPr>
    </w:p>
    <w:p>
      <w:pPr>
        <w:spacing w:line="360" w:lineRule="auto"/>
        <w:jc w:val="left"/>
        <w:rPr>
          <w:rFonts w:hint="eastAsia"/>
          <w:color w:val="auto"/>
          <w:highlight w:val="none"/>
        </w:rPr>
      </w:pPr>
    </w:p>
    <w:sectPr>
      <w:headerReference r:id="rId7" w:type="default"/>
      <w:footerReference r:id="rId8" w:type="default"/>
      <w:pgSz w:w="11905" w:h="16838"/>
      <w:pgMar w:top="1134" w:right="1587" w:bottom="1134" w:left="158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2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Av0obzVAQAAoQMAAA4AAAAAAAAAAQAg&#10;AAAAIwEAAGRycy9lMm9Eb2MueG1sUEsFBgAAAAAGAAYAWQEAAGoFAAAAAA==&#10;">
              <v:fill on="f" focussize="0,0"/>
              <v:stroke on="f" weight="1.25pt"/>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1HH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qySPr2HGtPuPSbG4b0bcGvme8DLRHuQwaQvEiIYR3XPV3XFEAlPj6pVVZUY4hibHcQvHp/7&#10;APGDcIYko6EBx5dVZadPEMfUOSVVs+5OaZ1HqC3pEXVdvVvnF9cQomuLRRKLsdtkxWE/TNT2rj0j&#10;sx53oKEWV54S/dGixGldZiPMxn42jj6oQ5f3KbUC/vYYsZ3cZaowwk6FcXiZ57RoaTv+9XPW48+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7UcdIBAACkAwAADgAAAAAAAAABACAAAAAi&#10;AQAAZHJzL2Uyb0RvYy54bWxQSwUGAAAAAAYABgBZAQAAZgU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jc w:val="right"/>
      <w:rPr>
        <w:rFonts w:hint="eastAsia"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w w:val="66"/>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DD5E6"/>
    <w:multiLevelType w:val="singleLevel"/>
    <w:tmpl w:val="902DD5E6"/>
    <w:lvl w:ilvl="0" w:tentative="0">
      <w:start w:val="1"/>
      <w:numFmt w:val="bullet"/>
      <w:pStyle w:val="7"/>
      <w:lvlText w:val=""/>
      <w:lvlJc w:val="left"/>
      <w:pPr>
        <w:tabs>
          <w:tab w:val="left" w:pos="360"/>
        </w:tabs>
        <w:ind w:left="360" w:hanging="360"/>
      </w:pPr>
      <w:rPr>
        <w:rFonts w:hint="default" w:ascii="Wingdings" w:hAnsi="Wingdings"/>
      </w:rPr>
    </w:lvl>
  </w:abstractNum>
  <w:abstractNum w:abstractNumId="1">
    <w:nsid w:val="C1AB87FD"/>
    <w:multiLevelType w:val="singleLevel"/>
    <w:tmpl w:val="C1AB87FD"/>
    <w:lvl w:ilvl="0" w:tentative="0">
      <w:start w:val="7"/>
      <w:numFmt w:val="chineseCounting"/>
      <w:suff w:val="nothing"/>
      <w:lvlText w:val="%1、"/>
      <w:lvlJc w:val="left"/>
      <w:rPr>
        <w:rFonts w:hint="eastAsia"/>
      </w:rPr>
    </w:lvl>
  </w:abstractNum>
  <w:abstractNum w:abstractNumId="2">
    <w:nsid w:val="0000000D"/>
    <w:multiLevelType w:val="multilevel"/>
    <w:tmpl w:val="0000000D"/>
    <w:lvl w:ilvl="0" w:tentative="0">
      <w:start w:val="1"/>
      <w:numFmt w:val="decimal"/>
      <w:pStyle w:val="15"/>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singleLevel"/>
    <w:tmpl w:val="0000000E"/>
    <w:lvl w:ilvl="0" w:tentative="0">
      <w:start w:val="4"/>
      <w:numFmt w:val="chineseCounting"/>
      <w:suff w:val="space"/>
      <w:lvlText w:val="第%1章"/>
      <w:lvlJc w:val="left"/>
      <w:rPr>
        <w:rFonts w:hint="eastAsia"/>
      </w:rPr>
    </w:lvl>
  </w:abstractNum>
  <w:abstractNum w:abstractNumId="4">
    <w:nsid w:val="25FA2C87"/>
    <w:multiLevelType w:val="singleLevel"/>
    <w:tmpl w:val="25FA2C87"/>
    <w:lvl w:ilvl="0" w:tentative="0">
      <w:start w:val="2"/>
      <w:numFmt w:val="decimal"/>
      <w:lvlText w:val="%1)"/>
      <w:lvlJc w:val="left"/>
      <w:pPr>
        <w:tabs>
          <w:tab w:val="left" w:pos="312"/>
        </w:tabs>
      </w:pPr>
    </w:lvl>
  </w:abstractNum>
  <w:abstractNum w:abstractNumId="5">
    <w:nsid w:val="26368315"/>
    <w:multiLevelType w:val="singleLevel"/>
    <w:tmpl w:val="26368315"/>
    <w:lvl w:ilvl="0" w:tentative="0">
      <w:start w:val="2"/>
      <w:numFmt w:val="chineseCounting"/>
      <w:suff w:val="space"/>
      <w:lvlText w:val="第%1章"/>
      <w:lvlJc w:val="left"/>
      <w:rPr>
        <w:rFonts w:hint="eastAsia"/>
      </w:rPr>
    </w:lvl>
  </w:abstractNum>
  <w:abstractNum w:abstractNumId="6">
    <w:nsid w:val="47A7A77E"/>
    <w:multiLevelType w:val="singleLevel"/>
    <w:tmpl w:val="47A7A77E"/>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7">
    <w:nsid w:val="59FF5B0E"/>
    <w:multiLevelType w:val="singleLevel"/>
    <w:tmpl w:val="59FF5B0E"/>
    <w:lvl w:ilvl="0" w:tentative="0">
      <w:start w:val="1"/>
      <w:numFmt w:val="decimal"/>
      <w:suff w:val="nothing"/>
      <w:lvlText w:val="%1）"/>
      <w:lvlJc w:val="left"/>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9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a2b27383-cd03-4005-aa50-c5defde89151"/>
  </w:docVars>
  <w:rsids>
    <w:rsidRoot w:val="00172A27"/>
    <w:rsid w:val="00026F8B"/>
    <w:rsid w:val="00033F4E"/>
    <w:rsid w:val="00042144"/>
    <w:rsid w:val="000550F5"/>
    <w:rsid w:val="0006620D"/>
    <w:rsid w:val="00066544"/>
    <w:rsid w:val="000766B3"/>
    <w:rsid w:val="00082601"/>
    <w:rsid w:val="00087430"/>
    <w:rsid w:val="00096B04"/>
    <w:rsid w:val="000B3FF9"/>
    <w:rsid w:val="000B69A0"/>
    <w:rsid w:val="000C1F0C"/>
    <w:rsid w:val="000C5B78"/>
    <w:rsid w:val="000F21D7"/>
    <w:rsid w:val="0011376E"/>
    <w:rsid w:val="001402CC"/>
    <w:rsid w:val="00150F15"/>
    <w:rsid w:val="0016032B"/>
    <w:rsid w:val="00167A04"/>
    <w:rsid w:val="0020205E"/>
    <w:rsid w:val="00221B46"/>
    <w:rsid w:val="0025594D"/>
    <w:rsid w:val="00256C84"/>
    <w:rsid w:val="00272931"/>
    <w:rsid w:val="00272D55"/>
    <w:rsid w:val="002C27E7"/>
    <w:rsid w:val="002D4C35"/>
    <w:rsid w:val="002E24DE"/>
    <w:rsid w:val="002E4834"/>
    <w:rsid w:val="002F4922"/>
    <w:rsid w:val="00302939"/>
    <w:rsid w:val="00325A01"/>
    <w:rsid w:val="00380FB9"/>
    <w:rsid w:val="00390FE6"/>
    <w:rsid w:val="0039143B"/>
    <w:rsid w:val="003C1A48"/>
    <w:rsid w:val="003C7BD8"/>
    <w:rsid w:val="003D396D"/>
    <w:rsid w:val="003D58FD"/>
    <w:rsid w:val="004020B7"/>
    <w:rsid w:val="0040335B"/>
    <w:rsid w:val="0041580A"/>
    <w:rsid w:val="0042178D"/>
    <w:rsid w:val="004322FF"/>
    <w:rsid w:val="004373E5"/>
    <w:rsid w:val="00480E67"/>
    <w:rsid w:val="004A0076"/>
    <w:rsid w:val="004C3A05"/>
    <w:rsid w:val="004E7187"/>
    <w:rsid w:val="004F219E"/>
    <w:rsid w:val="004F278E"/>
    <w:rsid w:val="00512300"/>
    <w:rsid w:val="00515927"/>
    <w:rsid w:val="00535D78"/>
    <w:rsid w:val="005728B2"/>
    <w:rsid w:val="00582FF7"/>
    <w:rsid w:val="00592882"/>
    <w:rsid w:val="005A5F5B"/>
    <w:rsid w:val="005C5D17"/>
    <w:rsid w:val="005E2CA7"/>
    <w:rsid w:val="005F348C"/>
    <w:rsid w:val="00611BD0"/>
    <w:rsid w:val="006325B8"/>
    <w:rsid w:val="006527C0"/>
    <w:rsid w:val="00682808"/>
    <w:rsid w:val="006A2145"/>
    <w:rsid w:val="006C6D2C"/>
    <w:rsid w:val="006D34C6"/>
    <w:rsid w:val="006E5864"/>
    <w:rsid w:val="007432E2"/>
    <w:rsid w:val="007600F2"/>
    <w:rsid w:val="00790899"/>
    <w:rsid w:val="00794230"/>
    <w:rsid w:val="007A1223"/>
    <w:rsid w:val="007E30F2"/>
    <w:rsid w:val="007F5D46"/>
    <w:rsid w:val="0082390A"/>
    <w:rsid w:val="00824A0E"/>
    <w:rsid w:val="00835D3B"/>
    <w:rsid w:val="00856546"/>
    <w:rsid w:val="008577E0"/>
    <w:rsid w:val="008640D3"/>
    <w:rsid w:val="00871C14"/>
    <w:rsid w:val="00874F58"/>
    <w:rsid w:val="008A0789"/>
    <w:rsid w:val="008A1D00"/>
    <w:rsid w:val="008A3A52"/>
    <w:rsid w:val="008B0041"/>
    <w:rsid w:val="008B452D"/>
    <w:rsid w:val="008C2449"/>
    <w:rsid w:val="008E75E0"/>
    <w:rsid w:val="00904310"/>
    <w:rsid w:val="009100B1"/>
    <w:rsid w:val="00912467"/>
    <w:rsid w:val="00937FD1"/>
    <w:rsid w:val="00941CEF"/>
    <w:rsid w:val="00952B82"/>
    <w:rsid w:val="00962583"/>
    <w:rsid w:val="00966550"/>
    <w:rsid w:val="00974E89"/>
    <w:rsid w:val="0098363B"/>
    <w:rsid w:val="00997848"/>
    <w:rsid w:val="009B60A2"/>
    <w:rsid w:val="009E007B"/>
    <w:rsid w:val="00A0229B"/>
    <w:rsid w:val="00A73CA8"/>
    <w:rsid w:val="00A747F2"/>
    <w:rsid w:val="00A75607"/>
    <w:rsid w:val="00A969DA"/>
    <w:rsid w:val="00AA18B8"/>
    <w:rsid w:val="00AA28BD"/>
    <w:rsid w:val="00AA4CC5"/>
    <w:rsid w:val="00B04A72"/>
    <w:rsid w:val="00B15929"/>
    <w:rsid w:val="00B42EAF"/>
    <w:rsid w:val="00B5337E"/>
    <w:rsid w:val="00B64266"/>
    <w:rsid w:val="00BB70CC"/>
    <w:rsid w:val="00BD1413"/>
    <w:rsid w:val="00BE23FE"/>
    <w:rsid w:val="00C13A44"/>
    <w:rsid w:val="00C16E3D"/>
    <w:rsid w:val="00C33AD1"/>
    <w:rsid w:val="00C44574"/>
    <w:rsid w:val="00C553FE"/>
    <w:rsid w:val="00C5603A"/>
    <w:rsid w:val="00C75EE2"/>
    <w:rsid w:val="00C83C92"/>
    <w:rsid w:val="00CA23F0"/>
    <w:rsid w:val="00CA52D2"/>
    <w:rsid w:val="00D002D6"/>
    <w:rsid w:val="00D04F67"/>
    <w:rsid w:val="00D05226"/>
    <w:rsid w:val="00D0564E"/>
    <w:rsid w:val="00D1050C"/>
    <w:rsid w:val="00D10711"/>
    <w:rsid w:val="00D24718"/>
    <w:rsid w:val="00D3516F"/>
    <w:rsid w:val="00D41D68"/>
    <w:rsid w:val="00D512D8"/>
    <w:rsid w:val="00D5562B"/>
    <w:rsid w:val="00D6029C"/>
    <w:rsid w:val="00D64AE1"/>
    <w:rsid w:val="00D93984"/>
    <w:rsid w:val="00DA7BA7"/>
    <w:rsid w:val="00DB5685"/>
    <w:rsid w:val="00DC15E4"/>
    <w:rsid w:val="00DE241C"/>
    <w:rsid w:val="00E04C31"/>
    <w:rsid w:val="00E13287"/>
    <w:rsid w:val="00E328E5"/>
    <w:rsid w:val="00E677C4"/>
    <w:rsid w:val="00EA256C"/>
    <w:rsid w:val="00EC7F27"/>
    <w:rsid w:val="00EE19B1"/>
    <w:rsid w:val="00EF3C16"/>
    <w:rsid w:val="00F06607"/>
    <w:rsid w:val="00F516AD"/>
    <w:rsid w:val="00F63855"/>
    <w:rsid w:val="00F667D3"/>
    <w:rsid w:val="00F7116A"/>
    <w:rsid w:val="00F7332B"/>
    <w:rsid w:val="00F8617B"/>
    <w:rsid w:val="00FC04E3"/>
    <w:rsid w:val="00FD2564"/>
    <w:rsid w:val="00FD2674"/>
    <w:rsid w:val="00FE5726"/>
    <w:rsid w:val="0179684D"/>
    <w:rsid w:val="027345B1"/>
    <w:rsid w:val="030D5B68"/>
    <w:rsid w:val="032B2C61"/>
    <w:rsid w:val="03A74AAC"/>
    <w:rsid w:val="03D101EC"/>
    <w:rsid w:val="04066CBC"/>
    <w:rsid w:val="050564FC"/>
    <w:rsid w:val="05207200"/>
    <w:rsid w:val="06BC13FF"/>
    <w:rsid w:val="06C13ABA"/>
    <w:rsid w:val="06FC4638"/>
    <w:rsid w:val="07A406B7"/>
    <w:rsid w:val="088A3C0C"/>
    <w:rsid w:val="08DB055E"/>
    <w:rsid w:val="08F513DA"/>
    <w:rsid w:val="093F6086"/>
    <w:rsid w:val="09A73232"/>
    <w:rsid w:val="09D803DC"/>
    <w:rsid w:val="0A0855DF"/>
    <w:rsid w:val="0A8665B7"/>
    <w:rsid w:val="0AE0724A"/>
    <w:rsid w:val="0AFA42C5"/>
    <w:rsid w:val="0B3D5FCB"/>
    <w:rsid w:val="0C0A1165"/>
    <w:rsid w:val="0D35493D"/>
    <w:rsid w:val="0D39441E"/>
    <w:rsid w:val="0D4E1EA3"/>
    <w:rsid w:val="0D4F2B8B"/>
    <w:rsid w:val="0DFC6E71"/>
    <w:rsid w:val="0DFE0D64"/>
    <w:rsid w:val="0EC067C3"/>
    <w:rsid w:val="0F853A69"/>
    <w:rsid w:val="0FE43324"/>
    <w:rsid w:val="10CA5387"/>
    <w:rsid w:val="11252105"/>
    <w:rsid w:val="114570F3"/>
    <w:rsid w:val="11CF4443"/>
    <w:rsid w:val="128505D7"/>
    <w:rsid w:val="129C766D"/>
    <w:rsid w:val="12A366F5"/>
    <w:rsid w:val="12CA21B0"/>
    <w:rsid w:val="12CC2680"/>
    <w:rsid w:val="12D405A0"/>
    <w:rsid w:val="130167D3"/>
    <w:rsid w:val="131B55E3"/>
    <w:rsid w:val="13254054"/>
    <w:rsid w:val="133F2B89"/>
    <w:rsid w:val="136B6D03"/>
    <w:rsid w:val="13746B1F"/>
    <w:rsid w:val="13905BC1"/>
    <w:rsid w:val="14107D1A"/>
    <w:rsid w:val="143C6801"/>
    <w:rsid w:val="14891876"/>
    <w:rsid w:val="14E87377"/>
    <w:rsid w:val="15B45EF5"/>
    <w:rsid w:val="160C28FB"/>
    <w:rsid w:val="161F6358"/>
    <w:rsid w:val="16344267"/>
    <w:rsid w:val="166958B5"/>
    <w:rsid w:val="173E7BAD"/>
    <w:rsid w:val="1754074B"/>
    <w:rsid w:val="1798232A"/>
    <w:rsid w:val="17AA0CA4"/>
    <w:rsid w:val="17FA2967"/>
    <w:rsid w:val="18502FFE"/>
    <w:rsid w:val="185C7304"/>
    <w:rsid w:val="18910192"/>
    <w:rsid w:val="18F27506"/>
    <w:rsid w:val="1907573A"/>
    <w:rsid w:val="1A5C63C4"/>
    <w:rsid w:val="1ADE7ECC"/>
    <w:rsid w:val="1B7C407F"/>
    <w:rsid w:val="1BC50FDB"/>
    <w:rsid w:val="1BDC2FB5"/>
    <w:rsid w:val="1BF10299"/>
    <w:rsid w:val="1D11090B"/>
    <w:rsid w:val="1E2819A6"/>
    <w:rsid w:val="1FE84E43"/>
    <w:rsid w:val="201B0BB3"/>
    <w:rsid w:val="20DE6B6A"/>
    <w:rsid w:val="219F6BD1"/>
    <w:rsid w:val="21B92876"/>
    <w:rsid w:val="21DC1180"/>
    <w:rsid w:val="22165FC1"/>
    <w:rsid w:val="222E6F7B"/>
    <w:rsid w:val="22757192"/>
    <w:rsid w:val="22B6531B"/>
    <w:rsid w:val="23060BBD"/>
    <w:rsid w:val="234F4941"/>
    <w:rsid w:val="23864A5D"/>
    <w:rsid w:val="241636EE"/>
    <w:rsid w:val="244D4992"/>
    <w:rsid w:val="24612BFE"/>
    <w:rsid w:val="24757D5C"/>
    <w:rsid w:val="24920434"/>
    <w:rsid w:val="24A8700F"/>
    <w:rsid w:val="24BB6DB1"/>
    <w:rsid w:val="25535B48"/>
    <w:rsid w:val="25606D56"/>
    <w:rsid w:val="25B31650"/>
    <w:rsid w:val="25B653E9"/>
    <w:rsid w:val="25CC08CE"/>
    <w:rsid w:val="26142AF5"/>
    <w:rsid w:val="26852402"/>
    <w:rsid w:val="268758DE"/>
    <w:rsid w:val="27606603"/>
    <w:rsid w:val="280E1ADD"/>
    <w:rsid w:val="28133675"/>
    <w:rsid w:val="290167D3"/>
    <w:rsid w:val="2967011C"/>
    <w:rsid w:val="2AC82FD4"/>
    <w:rsid w:val="2AD02EB1"/>
    <w:rsid w:val="2BDD5797"/>
    <w:rsid w:val="2C194708"/>
    <w:rsid w:val="2CC331FD"/>
    <w:rsid w:val="2CCD46A7"/>
    <w:rsid w:val="2CCF75A0"/>
    <w:rsid w:val="2CD83A18"/>
    <w:rsid w:val="2D391885"/>
    <w:rsid w:val="2D520982"/>
    <w:rsid w:val="2D6C2CA7"/>
    <w:rsid w:val="2D6D1A79"/>
    <w:rsid w:val="2DED0D1F"/>
    <w:rsid w:val="2E15390D"/>
    <w:rsid w:val="2EC03AEE"/>
    <w:rsid w:val="2EC43793"/>
    <w:rsid w:val="2F9F393C"/>
    <w:rsid w:val="2FC725E3"/>
    <w:rsid w:val="2FD81D74"/>
    <w:rsid w:val="307B625B"/>
    <w:rsid w:val="30BB7FBB"/>
    <w:rsid w:val="30C37D65"/>
    <w:rsid w:val="30ED6442"/>
    <w:rsid w:val="317174A6"/>
    <w:rsid w:val="3178561C"/>
    <w:rsid w:val="317A40E6"/>
    <w:rsid w:val="31F005E4"/>
    <w:rsid w:val="32FF5E98"/>
    <w:rsid w:val="33003623"/>
    <w:rsid w:val="3364747B"/>
    <w:rsid w:val="336A38E6"/>
    <w:rsid w:val="33C640D8"/>
    <w:rsid w:val="35301D0A"/>
    <w:rsid w:val="35A4162F"/>
    <w:rsid w:val="367D2A73"/>
    <w:rsid w:val="371B0D28"/>
    <w:rsid w:val="371D6245"/>
    <w:rsid w:val="37294BDE"/>
    <w:rsid w:val="37A50775"/>
    <w:rsid w:val="37F92931"/>
    <w:rsid w:val="38074EA0"/>
    <w:rsid w:val="38352256"/>
    <w:rsid w:val="38E724B8"/>
    <w:rsid w:val="38FE1FBD"/>
    <w:rsid w:val="399A0081"/>
    <w:rsid w:val="39AB2A52"/>
    <w:rsid w:val="3A0E3003"/>
    <w:rsid w:val="3A86400A"/>
    <w:rsid w:val="3A885DF8"/>
    <w:rsid w:val="3B0569CE"/>
    <w:rsid w:val="3B12471E"/>
    <w:rsid w:val="3D197528"/>
    <w:rsid w:val="3D7F0546"/>
    <w:rsid w:val="3D944DFA"/>
    <w:rsid w:val="3DFA09BA"/>
    <w:rsid w:val="3FDF0D9C"/>
    <w:rsid w:val="403F0099"/>
    <w:rsid w:val="4109708A"/>
    <w:rsid w:val="414F673F"/>
    <w:rsid w:val="42845230"/>
    <w:rsid w:val="42A06A3C"/>
    <w:rsid w:val="435B72BB"/>
    <w:rsid w:val="435D160E"/>
    <w:rsid w:val="438849F0"/>
    <w:rsid w:val="43E47813"/>
    <w:rsid w:val="43FE3C12"/>
    <w:rsid w:val="444D4EF7"/>
    <w:rsid w:val="447079F7"/>
    <w:rsid w:val="44FE41E7"/>
    <w:rsid w:val="451F3698"/>
    <w:rsid w:val="45614EB8"/>
    <w:rsid w:val="45B6577B"/>
    <w:rsid w:val="468278E6"/>
    <w:rsid w:val="48384640"/>
    <w:rsid w:val="490177EE"/>
    <w:rsid w:val="493041AC"/>
    <w:rsid w:val="49764061"/>
    <w:rsid w:val="4A5A3B51"/>
    <w:rsid w:val="4B3F510C"/>
    <w:rsid w:val="4BB65798"/>
    <w:rsid w:val="4BF10A2C"/>
    <w:rsid w:val="4C4208EE"/>
    <w:rsid w:val="4D800D3B"/>
    <w:rsid w:val="4DB14BCF"/>
    <w:rsid w:val="4DCC2E9C"/>
    <w:rsid w:val="4DEE642A"/>
    <w:rsid w:val="4DF97B48"/>
    <w:rsid w:val="4E40254C"/>
    <w:rsid w:val="4EB213AB"/>
    <w:rsid w:val="4F933D0F"/>
    <w:rsid w:val="50494057"/>
    <w:rsid w:val="50500452"/>
    <w:rsid w:val="506D4592"/>
    <w:rsid w:val="50B25872"/>
    <w:rsid w:val="50F90771"/>
    <w:rsid w:val="5172738F"/>
    <w:rsid w:val="51D53635"/>
    <w:rsid w:val="52042243"/>
    <w:rsid w:val="52317750"/>
    <w:rsid w:val="52385729"/>
    <w:rsid w:val="52CD72B4"/>
    <w:rsid w:val="52DA52F6"/>
    <w:rsid w:val="530A32ED"/>
    <w:rsid w:val="53307101"/>
    <w:rsid w:val="53B77140"/>
    <w:rsid w:val="53B80121"/>
    <w:rsid w:val="53C3093A"/>
    <w:rsid w:val="53FA3647"/>
    <w:rsid w:val="540029D4"/>
    <w:rsid w:val="546E1F14"/>
    <w:rsid w:val="55204CA1"/>
    <w:rsid w:val="557F77F3"/>
    <w:rsid w:val="55A416BE"/>
    <w:rsid w:val="55DA42E6"/>
    <w:rsid w:val="564B6219"/>
    <w:rsid w:val="56AE1CD9"/>
    <w:rsid w:val="571701DC"/>
    <w:rsid w:val="574036C7"/>
    <w:rsid w:val="57B503D9"/>
    <w:rsid w:val="57FB1F26"/>
    <w:rsid w:val="58053921"/>
    <w:rsid w:val="58D50AA5"/>
    <w:rsid w:val="58D91320"/>
    <w:rsid w:val="590803BD"/>
    <w:rsid w:val="591E2269"/>
    <w:rsid w:val="591F662B"/>
    <w:rsid w:val="595D173E"/>
    <w:rsid w:val="598B3DDC"/>
    <w:rsid w:val="59946920"/>
    <w:rsid w:val="5A596738"/>
    <w:rsid w:val="5A64590F"/>
    <w:rsid w:val="5B016795"/>
    <w:rsid w:val="5BB565F3"/>
    <w:rsid w:val="5BC0693B"/>
    <w:rsid w:val="5C841E70"/>
    <w:rsid w:val="5CB34F40"/>
    <w:rsid w:val="5CED41B0"/>
    <w:rsid w:val="5D1C6C66"/>
    <w:rsid w:val="5D5552CD"/>
    <w:rsid w:val="5D975373"/>
    <w:rsid w:val="5DBD392A"/>
    <w:rsid w:val="5E6131AA"/>
    <w:rsid w:val="5ECD5376"/>
    <w:rsid w:val="5FB827D3"/>
    <w:rsid w:val="5FDC1FBF"/>
    <w:rsid w:val="5FE64E23"/>
    <w:rsid w:val="60395667"/>
    <w:rsid w:val="6090010F"/>
    <w:rsid w:val="61634383"/>
    <w:rsid w:val="616F3344"/>
    <w:rsid w:val="61931AD5"/>
    <w:rsid w:val="61965A39"/>
    <w:rsid w:val="621A13AB"/>
    <w:rsid w:val="62403F00"/>
    <w:rsid w:val="624B5B3C"/>
    <w:rsid w:val="62B40D3D"/>
    <w:rsid w:val="62BC5024"/>
    <w:rsid w:val="635D5892"/>
    <w:rsid w:val="63BD68CB"/>
    <w:rsid w:val="63D87E03"/>
    <w:rsid w:val="647A73BB"/>
    <w:rsid w:val="647C1FC7"/>
    <w:rsid w:val="659B10A9"/>
    <w:rsid w:val="65C72CDF"/>
    <w:rsid w:val="66533FE7"/>
    <w:rsid w:val="666106F4"/>
    <w:rsid w:val="67EE0225"/>
    <w:rsid w:val="68103613"/>
    <w:rsid w:val="687243C2"/>
    <w:rsid w:val="68D6271A"/>
    <w:rsid w:val="69384FEB"/>
    <w:rsid w:val="693B5B76"/>
    <w:rsid w:val="69565452"/>
    <w:rsid w:val="6A356EA0"/>
    <w:rsid w:val="6B7C4F42"/>
    <w:rsid w:val="6BE83DFD"/>
    <w:rsid w:val="6BF57A1F"/>
    <w:rsid w:val="6CFB48B3"/>
    <w:rsid w:val="6CFE5C6F"/>
    <w:rsid w:val="6D4A2BEE"/>
    <w:rsid w:val="6D582400"/>
    <w:rsid w:val="6D7A1AA2"/>
    <w:rsid w:val="6DA700C4"/>
    <w:rsid w:val="6DCE2518"/>
    <w:rsid w:val="6DD21EDE"/>
    <w:rsid w:val="6E7C0E27"/>
    <w:rsid w:val="6EE601AB"/>
    <w:rsid w:val="6F4F2504"/>
    <w:rsid w:val="6F5140F5"/>
    <w:rsid w:val="6F9D45BD"/>
    <w:rsid w:val="6FB066BD"/>
    <w:rsid w:val="6FBF2B9C"/>
    <w:rsid w:val="6FE21452"/>
    <w:rsid w:val="70103B63"/>
    <w:rsid w:val="70374426"/>
    <w:rsid w:val="70687A06"/>
    <w:rsid w:val="70CE0F4F"/>
    <w:rsid w:val="716F0B64"/>
    <w:rsid w:val="71AB1432"/>
    <w:rsid w:val="72175710"/>
    <w:rsid w:val="727017A2"/>
    <w:rsid w:val="72EB2B55"/>
    <w:rsid w:val="72FD6FCD"/>
    <w:rsid w:val="73485A12"/>
    <w:rsid w:val="736F3BF1"/>
    <w:rsid w:val="738B5D82"/>
    <w:rsid w:val="738D3A52"/>
    <w:rsid w:val="73A22A9A"/>
    <w:rsid w:val="73CE1FBF"/>
    <w:rsid w:val="742054A2"/>
    <w:rsid w:val="748F7F7D"/>
    <w:rsid w:val="74B81834"/>
    <w:rsid w:val="74D908CB"/>
    <w:rsid w:val="751C396C"/>
    <w:rsid w:val="75E81314"/>
    <w:rsid w:val="764E3D4E"/>
    <w:rsid w:val="76D46F31"/>
    <w:rsid w:val="771630A2"/>
    <w:rsid w:val="77A73A92"/>
    <w:rsid w:val="77BD4646"/>
    <w:rsid w:val="785C6E37"/>
    <w:rsid w:val="78695823"/>
    <w:rsid w:val="78E85550"/>
    <w:rsid w:val="79786860"/>
    <w:rsid w:val="79DB3304"/>
    <w:rsid w:val="7A803E13"/>
    <w:rsid w:val="7ADA6E5C"/>
    <w:rsid w:val="7C2A25DC"/>
    <w:rsid w:val="7C813895"/>
    <w:rsid w:val="7CB027BF"/>
    <w:rsid w:val="7CDE2ED7"/>
    <w:rsid w:val="7DFD3859"/>
    <w:rsid w:val="7E4360FD"/>
    <w:rsid w:val="7E6065D4"/>
    <w:rsid w:val="7ECE13D7"/>
    <w:rsid w:val="7F352976"/>
    <w:rsid w:val="7F5C4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nhideWhenUsed="0" w:uiPriority="0" w:semiHidden="0"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iPriority="99"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40">
    <w:name w:val="Default Paragraph Font"/>
    <w:uiPriority w:val="0"/>
  </w:style>
  <w:style w:type="table" w:default="1" w:styleId="38">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List Number"/>
    <w:basedOn w:val="1"/>
    <w:uiPriority w:val="0"/>
    <w:pPr>
      <w:widowControl/>
      <w:tabs>
        <w:tab w:val="left" w:pos="454"/>
        <w:tab w:val="left" w:pos="720"/>
        <w:tab w:val="left" w:pos="900"/>
      </w:tabs>
      <w:spacing w:after="156" w:afterLines="50"/>
      <w:ind w:left="454" w:hanging="284"/>
      <w:jc w:val="left"/>
    </w:pPr>
    <w:rPr>
      <w:kern w:val="0"/>
      <w:sz w:val="24"/>
      <w:szCs w:val="20"/>
    </w:rPr>
  </w:style>
  <w:style w:type="paragraph" w:styleId="5">
    <w:name w:val="Normal Indent"/>
    <w:basedOn w:val="1"/>
    <w:qFormat/>
    <w:uiPriority w:val="0"/>
    <w:pPr>
      <w:ind w:firstLine="420"/>
    </w:pPr>
    <w:rPr>
      <w:sz w:val="21"/>
      <w:szCs w:val="20"/>
    </w:rPr>
  </w:style>
  <w:style w:type="paragraph" w:styleId="6">
    <w:name w:val="caption"/>
    <w:basedOn w:val="1"/>
    <w:next w:val="1"/>
    <w:qFormat/>
    <w:uiPriority w:val="0"/>
    <w:pPr>
      <w:spacing w:before="152" w:beforeLines="0" w:after="160" w:afterLines="0"/>
    </w:pPr>
    <w:rPr>
      <w:rFonts w:ascii="Arial" w:hAnsi="Arial" w:eastAsia="黑体" w:cs="Arial"/>
      <w:sz w:val="20"/>
      <w:szCs w:val="20"/>
    </w:rPr>
  </w:style>
  <w:style w:type="paragraph" w:styleId="7">
    <w:name w:val="List Bullet"/>
    <w:basedOn w:val="1"/>
    <w:next w:val="1"/>
    <w:unhideWhenUsed/>
    <w:uiPriority w:val="99"/>
    <w:pPr>
      <w:numPr>
        <w:ilvl w:val="0"/>
        <w:numId w:val="1"/>
      </w:numPr>
    </w:pPr>
  </w:style>
  <w:style w:type="paragraph" w:styleId="8">
    <w:name w:val="toa heading"/>
    <w:basedOn w:val="1"/>
    <w:next w:val="1"/>
    <w:qFormat/>
    <w:uiPriority w:val="0"/>
    <w:pPr>
      <w:spacing w:before="120"/>
    </w:pPr>
    <w:rPr>
      <w:rFonts w:ascii="Cambria" w:hAnsi="Cambria" w:cs="Times New Roman"/>
      <w:sz w:val="24"/>
    </w:rPr>
  </w:style>
  <w:style w:type="paragraph" w:styleId="9">
    <w:name w:val="annotation text"/>
    <w:basedOn w:val="1"/>
    <w:link w:val="80"/>
    <w:unhideWhenUsed/>
    <w:uiPriority w:val="99"/>
    <w:pPr>
      <w:jc w:val="left"/>
    </w:pPr>
  </w:style>
  <w:style w:type="paragraph" w:styleId="10">
    <w:name w:val="Body Text 3"/>
    <w:basedOn w:val="1"/>
    <w:uiPriority w:val="0"/>
    <w:pPr>
      <w:snapToGrid w:val="0"/>
      <w:spacing w:before="50" w:beforeLines="0" w:after="50" w:afterLines="0"/>
    </w:pPr>
    <w:rPr>
      <w:rFonts w:hAnsi="宋体" w:eastAsia="仿宋_GB2312"/>
      <w:b/>
      <w:bCs/>
      <w:sz w:val="24"/>
      <w:szCs w:val="20"/>
    </w:rPr>
  </w:style>
  <w:style w:type="paragraph" w:styleId="11">
    <w:name w:val="Body Text"/>
    <w:basedOn w:val="1"/>
    <w:next w:val="12"/>
    <w:link w:val="47"/>
    <w:uiPriority w:val="0"/>
    <w:pPr>
      <w:spacing w:after="120" w:afterLines="0"/>
    </w:pPr>
    <w:rPr>
      <w:sz w:val="21"/>
    </w:rPr>
  </w:style>
  <w:style w:type="paragraph" w:styleId="12">
    <w:name w:val="Body Text First Indent"/>
    <w:basedOn w:val="11"/>
    <w:next w:val="13"/>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13">
    <w:name w:val="toc 6"/>
    <w:basedOn w:val="1"/>
    <w:next w:val="1"/>
    <w:qFormat/>
    <w:uiPriority w:val="0"/>
    <w:pPr>
      <w:ind w:left="1600"/>
      <w:jc w:val="left"/>
    </w:pPr>
    <w:rPr>
      <w:szCs w:val="21"/>
    </w:rPr>
  </w:style>
  <w:style w:type="paragraph" w:styleId="14">
    <w:name w:val="Body Text Indent"/>
    <w:basedOn w:val="1"/>
    <w:next w:val="1"/>
    <w:link w:val="54"/>
    <w:uiPriority w:val="0"/>
    <w:pPr>
      <w:spacing w:line="200" w:lineRule="atLeast"/>
      <w:ind w:firstLine="301"/>
    </w:pPr>
    <w:rPr>
      <w:sz w:val="21"/>
    </w:rPr>
  </w:style>
  <w:style w:type="paragraph" w:styleId="15">
    <w:name w:val="List Number 3"/>
    <w:basedOn w:val="1"/>
    <w:uiPriority w:val="0"/>
    <w:pPr>
      <w:numPr>
        <w:ilvl w:val="0"/>
        <w:numId w:val="2"/>
      </w:numPr>
      <w:tabs>
        <w:tab w:val="left" w:pos="1200"/>
      </w:tabs>
      <w:ind w:left="720"/>
    </w:pPr>
    <w:rPr>
      <w:sz w:val="21"/>
    </w:rPr>
  </w:style>
  <w:style w:type="paragraph" w:styleId="16">
    <w:name w:val="List 2"/>
    <w:basedOn w:val="1"/>
    <w:uiPriority w:val="0"/>
    <w:pPr>
      <w:ind w:leftChars="200" w:hanging="200" w:hangingChars="200"/>
    </w:pPr>
  </w:style>
  <w:style w:type="paragraph" w:styleId="17">
    <w:name w:val="Block Text"/>
    <w:basedOn w:val="1"/>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8">
    <w:name w:val="List Bullet 2"/>
    <w:basedOn w:val="1"/>
    <w:next w:val="7"/>
    <w:unhideWhenUsed/>
    <w:uiPriority w:val="99"/>
    <w:pPr>
      <w:numPr>
        <w:ilvl w:val="0"/>
        <w:numId w:val="3"/>
      </w:numPr>
    </w:pPr>
  </w:style>
  <w:style w:type="paragraph" w:styleId="19">
    <w:name w:val="toc 5"/>
    <w:basedOn w:val="1"/>
    <w:next w:val="1"/>
    <w:uiPriority w:val="0"/>
    <w:pPr>
      <w:ind w:left="1680" w:leftChars="800"/>
    </w:pPr>
    <w:rPr>
      <w:rFonts w:ascii="Calibri" w:hAnsi="Calibri" w:cs="黑体"/>
      <w:sz w:val="21"/>
      <w:szCs w:val="22"/>
    </w:rPr>
  </w:style>
  <w:style w:type="paragraph" w:styleId="20">
    <w:name w:val="Plain Text"/>
    <w:basedOn w:val="1"/>
    <w:next w:val="21"/>
    <w:link w:val="69"/>
    <w:uiPriority w:val="0"/>
    <w:pPr>
      <w:spacing w:before="156" w:beforeLines="50" w:after="156" w:afterLines="50" w:line="400" w:lineRule="atLeast"/>
    </w:pPr>
    <w:rPr>
      <w:rFonts w:hint="eastAsia" w:ascii="宋体" w:hAnsi="Courier New"/>
      <w:b/>
      <w:sz w:val="24"/>
    </w:rPr>
  </w:style>
  <w:style w:type="paragraph" w:styleId="21">
    <w:name w:val="Date"/>
    <w:basedOn w:val="1"/>
    <w:next w:val="1"/>
    <w:uiPriority w:val="0"/>
    <w:pPr>
      <w:ind w:leftChars="2500"/>
    </w:pPr>
    <w:rPr>
      <w:rFonts w:eastAsia="楷体_GB2312"/>
      <w:sz w:val="32"/>
      <w:szCs w:val="20"/>
    </w:rPr>
  </w:style>
  <w:style w:type="paragraph" w:styleId="22">
    <w:name w:val="Body Text Indent 2"/>
    <w:basedOn w:val="1"/>
    <w:uiPriority w:val="0"/>
    <w:pPr>
      <w:snapToGrid w:val="0"/>
      <w:ind w:firstLine="542" w:firstLineChars="225"/>
    </w:pPr>
    <w:rPr>
      <w:rFonts w:ascii="仿宋_GB2312" w:hAnsi="宋体" w:cs="Arial"/>
      <w:b/>
      <w:bCs/>
      <w:color w:val="000000"/>
      <w:sz w:val="24"/>
    </w:rPr>
  </w:style>
  <w:style w:type="paragraph" w:styleId="23">
    <w:name w:val="Balloon Text"/>
    <w:basedOn w:val="1"/>
    <w:link w:val="48"/>
    <w:uiPriority w:val="0"/>
    <w:rPr>
      <w:sz w:val="18"/>
      <w:szCs w:val="18"/>
    </w:rPr>
  </w:style>
  <w:style w:type="paragraph" w:styleId="24">
    <w:name w:val="footer"/>
    <w:basedOn w:val="1"/>
    <w:link w:val="71"/>
    <w:uiPriority w:val="0"/>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cs="Arial"/>
      <w:szCs w:val="24"/>
    </w:rPr>
  </w:style>
  <w:style w:type="paragraph" w:styleId="26">
    <w:name w:val="header"/>
    <w:basedOn w:val="1"/>
    <w:link w:val="55"/>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iPriority w:val="0"/>
    <w:rPr>
      <w:sz w:val="21"/>
    </w:rPr>
  </w:style>
  <w:style w:type="paragraph" w:styleId="28">
    <w:name w:val="Subtitle"/>
    <w:basedOn w:val="1"/>
    <w:next w:val="1"/>
    <w:qFormat/>
    <w:uiPriority w:val="11"/>
    <w:pPr>
      <w:spacing w:after="60"/>
      <w:jc w:val="center"/>
      <w:outlineLvl w:val="1"/>
    </w:pPr>
    <w:rPr>
      <w:rFonts w:ascii="Cambria" w:hAnsi="Cambria"/>
    </w:rPr>
  </w:style>
  <w:style w:type="paragraph" w:styleId="29">
    <w:name w:val="List"/>
    <w:basedOn w:val="1"/>
    <w:uiPriority w:val="0"/>
    <w:pPr>
      <w:ind w:left="200" w:hanging="200" w:hangingChars="200"/>
    </w:pPr>
  </w:style>
  <w:style w:type="paragraph" w:styleId="30">
    <w:name w:val="footnote text"/>
    <w:basedOn w:val="1"/>
    <w:uiPriority w:val="0"/>
    <w:pPr>
      <w:snapToGrid w:val="0"/>
      <w:jc w:val="left"/>
    </w:pPr>
    <w:rPr>
      <w:rFonts w:eastAsia="仿宋_GB2312"/>
      <w:sz w:val="18"/>
      <w:szCs w:val="20"/>
    </w:rPr>
  </w:style>
  <w:style w:type="paragraph" w:styleId="31">
    <w:name w:val="Body Text Indent 3"/>
    <w:basedOn w:val="1"/>
    <w:uiPriority w:val="0"/>
    <w:pPr>
      <w:spacing w:after="120" w:afterLines="0"/>
      <w:ind w:left="420" w:leftChars="200"/>
    </w:pPr>
    <w:rPr>
      <w:sz w:val="16"/>
      <w:szCs w:val="16"/>
    </w:rPr>
  </w:style>
  <w:style w:type="paragraph" w:styleId="32">
    <w:name w:val="Body Text 2"/>
    <w:basedOn w:val="1"/>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81"/>
    <w:uiPriority w:val="0"/>
    <w:pPr>
      <w:widowControl/>
      <w:spacing w:before="100" w:beforeLines="0" w:beforeAutospacing="1" w:after="100" w:afterLines="0" w:afterAutospacing="1"/>
      <w:jc w:val="left"/>
    </w:pPr>
    <w:rPr>
      <w:rFonts w:hint="eastAsia" w:ascii="宋体" w:hAnsi="宋体"/>
      <w:kern w:val="0"/>
      <w:sz w:val="24"/>
    </w:rPr>
  </w:style>
  <w:style w:type="paragraph" w:styleId="35">
    <w:name w:val="Title"/>
    <w:basedOn w:val="1"/>
    <w:next w:val="1"/>
    <w:link w:val="75"/>
    <w:qFormat/>
    <w:uiPriority w:val="0"/>
    <w:pPr>
      <w:spacing w:before="240" w:beforeLines="0" w:after="60" w:afterLines="0"/>
      <w:jc w:val="center"/>
      <w:outlineLvl w:val="0"/>
    </w:pPr>
    <w:rPr>
      <w:rFonts w:ascii="Cambria" w:hAnsi="Cambria" w:eastAsia="Cambria"/>
      <w:b/>
      <w:sz w:val="32"/>
      <w:szCs w:val="32"/>
    </w:rPr>
  </w:style>
  <w:style w:type="paragraph" w:styleId="36">
    <w:name w:val="annotation subject"/>
    <w:basedOn w:val="9"/>
    <w:next w:val="9"/>
    <w:link w:val="49"/>
    <w:unhideWhenUsed/>
    <w:uiPriority w:val="99"/>
    <w:rPr>
      <w:b/>
      <w:bCs/>
    </w:rPr>
  </w:style>
  <w:style w:type="paragraph" w:styleId="37">
    <w:name w:val="Body Text First Indent 2"/>
    <w:basedOn w:val="14"/>
    <w:next w:val="1"/>
    <w:uiPriority w:val="0"/>
    <w:pPr>
      <w:spacing w:after="120" w:afterLines="0" w:afterAutospacing="0" w:line="240" w:lineRule="auto"/>
      <w:ind w:left="420" w:leftChars="200" w:firstLine="420" w:firstLineChars="200"/>
    </w:pPr>
    <w:rPr>
      <w:rFonts w:ascii="等线" w:hAnsi="等线" w:eastAsia="等线"/>
      <w:sz w:val="21"/>
    </w:rPr>
  </w:style>
  <w:style w:type="table" w:styleId="39">
    <w:name w:val="Table Grid"/>
    <w:basedOn w:val="3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autoRedefine/>
    <w:qFormat/>
    <w:uiPriority w:val="22"/>
    <w:rPr>
      <w:b/>
      <w:color w:val="000000"/>
    </w:rPr>
  </w:style>
  <w:style w:type="character" w:styleId="42">
    <w:name w:val="page number"/>
    <w:uiPriority w:val="0"/>
  </w:style>
  <w:style w:type="character" w:styleId="43">
    <w:name w:val="FollowedHyperlink"/>
    <w:unhideWhenUsed/>
    <w:uiPriority w:val="99"/>
    <w:rPr>
      <w:color w:val="800080"/>
      <w:u w:val="single"/>
    </w:rPr>
  </w:style>
  <w:style w:type="character" w:styleId="44">
    <w:name w:val="Hyperlink"/>
    <w:qFormat/>
    <w:uiPriority w:val="99"/>
    <w:rPr>
      <w:color w:val="0000FF"/>
      <w:u w:val="single"/>
    </w:rPr>
  </w:style>
  <w:style w:type="character" w:styleId="45">
    <w:name w:val="annotation reference"/>
    <w:unhideWhenUsed/>
    <w:uiPriority w:val="99"/>
    <w:rPr>
      <w:sz w:val="21"/>
      <w:szCs w:val="21"/>
    </w:rPr>
  </w:style>
  <w:style w:type="character" w:styleId="46">
    <w:name w:val="footnote reference"/>
    <w:uiPriority w:val="0"/>
    <w:rPr>
      <w:vertAlign w:val="superscript"/>
    </w:rPr>
  </w:style>
  <w:style w:type="character" w:customStyle="1" w:styleId="47">
    <w:name w:val="正文文本 字符1"/>
    <w:link w:val="11"/>
    <w:autoRedefine/>
    <w:uiPriority w:val="0"/>
    <w:rPr>
      <w:kern w:val="2"/>
      <w:sz w:val="21"/>
      <w:szCs w:val="24"/>
    </w:rPr>
  </w:style>
  <w:style w:type="character" w:customStyle="1" w:styleId="48">
    <w:name w:val="批注框文本 字符"/>
    <w:link w:val="23"/>
    <w:uiPriority w:val="0"/>
    <w:rPr>
      <w:kern w:val="2"/>
      <w:sz w:val="18"/>
      <w:szCs w:val="18"/>
    </w:rPr>
  </w:style>
  <w:style w:type="character" w:customStyle="1" w:styleId="49">
    <w:name w:val="批注主题 字符"/>
    <w:link w:val="36"/>
    <w:semiHidden/>
    <w:uiPriority w:val="99"/>
    <w:rPr>
      <w:b/>
      <w:bCs/>
      <w:kern w:val="2"/>
      <w:sz w:val="28"/>
      <w:szCs w:val="24"/>
    </w:rPr>
  </w:style>
  <w:style w:type="character" w:customStyle="1" w:styleId="50">
    <w:name w:val="纯文本 Char"/>
    <w:uiPriority w:val="0"/>
    <w:rPr>
      <w:rFonts w:hint="eastAsia" w:ascii="宋体" w:hAnsi="Courier New" w:eastAsia="宋体" w:cs="宋体"/>
      <w:sz w:val="24"/>
      <w:szCs w:val="24"/>
    </w:rPr>
  </w:style>
  <w:style w:type="character" w:customStyle="1" w:styleId="51">
    <w:name w:val="font91"/>
    <w:uiPriority w:val="0"/>
    <w:rPr>
      <w:rFonts w:hint="default" w:ascii="Arial" w:hAnsi="Arial" w:cs="Arial"/>
      <w:color w:val="000000"/>
      <w:sz w:val="20"/>
      <w:szCs w:val="20"/>
      <w:u w:val="none"/>
    </w:rPr>
  </w:style>
  <w:style w:type="character" w:customStyle="1" w:styleId="52">
    <w:name w:val="font141"/>
    <w:uiPriority w:val="0"/>
    <w:rPr>
      <w:rFonts w:hint="default" w:ascii="Arial" w:hAnsi="Arial" w:cs="Arial"/>
      <w:b/>
      <w:color w:val="000000"/>
      <w:sz w:val="20"/>
      <w:szCs w:val="20"/>
      <w:u w:val="none"/>
    </w:rPr>
  </w:style>
  <w:style w:type="character" w:customStyle="1" w:styleId="53">
    <w:name w:val="正文文本 字符"/>
    <w:uiPriority w:val="0"/>
    <w:rPr>
      <w:kern w:val="2"/>
      <w:sz w:val="21"/>
      <w:szCs w:val="24"/>
    </w:rPr>
  </w:style>
  <w:style w:type="character" w:customStyle="1" w:styleId="54">
    <w:name w:val="正文文本缩进 字符"/>
    <w:link w:val="14"/>
    <w:uiPriority w:val="0"/>
    <w:rPr>
      <w:kern w:val="2"/>
      <w:sz w:val="21"/>
      <w:szCs w:val="24"/>
    </w:rPr>
  </w:style>
  <w:style w:type="character" w:customStyle="1" w:styleId="55">
    <w:name w:val="页眉 字符"/>
    <w:link w:val="26"/>
    <w:uiPriority w:val="0"/>
    <w:rPr>
      <w:kern w:val="2"/>
      <w:sz w:val="18"/>
      <w:szCs w:val="18"/>
    </w:rPr>
  </w:style>
  <w:style w:type="character" w:customStyle="1" w:styleId="56">
    <w:name w:val="标题 1 Char Char"/>
    <w:uiPriority w:val="0"/>
    <w:rPr>
      <w:rFonts w:eastAsia="宋体"/>
      <w:b/>
      <w:spacing w:val="-2"/>
      <w:sz w:val="24"/>
      <w:lang w:val="en-US" w:eastAsia="zh-CN" w:bidi="ar-SA"/>
    </w:rPr>
  </w:style>
  <w:style w:type="character" w:customStyle="1" w:styleId="57">
    <w:name w:val="font122"/>
    <w:uiPriority w:val="0"/>
    <w:rPr>
      <w:rFonts w:hint="eastAsia" w:ascii="宋体" w:hAnsi="宋体" w:eastAsia="宋体" w:cs="宋体"/>
      <w:color w:val="000000"/>
      <w:sz w:val="20"/>
      <w:szCs w:val="20"/>
      <w:u w:val="none"/>
    </w:rPr>
  </w:style>
  <w:style w:type="character" w:customStyle="1" w:styleId="58">
    <w:name w:val="font51"/>
    <w:qFormat/>
    <w:uiPriority w:val="0"/>
    <w:rPr>
      <w:rFonts w:hint="eastAsia" w:ascii="宋体" w:hAnsi="宋体" w:eastAsia="宋体" w:cs="宋体"/>
      <w:color w:val="000000"/>
      <w:sz w:val="20"/>
      <w:szCs w:val="20"/>
      <w:u w:val="none"/>
    </w:rPr>
  </w:style>
  <w:style w:type="character" w:customStyle="1" w:styleId="59">
    <w:name w:val="font111"/>
    <w:uiPriority w:val="0"/>
    <w:rPr>
      <w:rFonts w:hint="eastAsia" w:ascii="宋体" w:hAnsi="宋体" w:eastAsia="宋体" w:cs="宋体"/>
      <w:color w:val="000000"/>
      <w:sz w:val="20"/>
      <w:szCs w:val="20"/>
      <w:u w:val="none"/>
    </w:rPr>
  </w:style>
  <w:style w:type="character" w:customStyle="1" w:styleId="60">
    <w:name w:val="正文文本缩进 Char1"/>
    <w:uiPriority w:val="0"/>
    <w:rPr>
      <w:kern w:val="2"/>
      <w:sz w:val="21"/>
      <w:szCs w:val="24"/>
    </w:rPr>
  </w:style>
  <w:style w:type="character" w:customStyle="1" w:styleId="61">
    <w:name w:val="font71"/>
    <w:uiPriority w:val="0"/>
    <w:rPr>
      <w:rFonts w:hint="default" w:ascii="Arial" w:hAnsi="Arial" w:cs="Arial"/>
      <w:color w:val="000000"/>
      <w:sz w:val="20"/>
      <w:szCs w:val="20"/>
      <w:u w:val="none"/>
    </w:rPr>
  </w:style>
  <w:style w:type="character" w:customStyle="1" w:styleId="62">
    <w:name w:val="font41"/>
    <w:uiPriority w:val="0"/>
    <w:rPr>
      <w:rFonts w:hint="eastAsia" w:ascii="宋体" w:hAnsi="宋体" w:eastAsia="宋体" w:cs="宋体"/>
      <w:color w:val="000000"/>
      <w:sz w:val="18"/>
      <w:szCs w:val="18"/>
      <w:u w:val="none"/>
    </w:rPr>
  </w:style>
  <w:style w:type="character" w:customStyle="1" w:styleId="63">
    <w:name w:val="font112"/>
    <w:uiPriority w:val="0"/>
    <w:rPr>
      <w:rFonts w:hint="eastAsia" w:ascii="宋体" w:hAnsi="宋体" w:eastAsia="宋体" w:cs="宋体"/>
      <w:color w:val="000000"/>
      <w:sz w:val="20"/>
      <w:szCs w:val="20"/>
      <w:u w:val="none"/>
    </w:rPr>
  </w:style>
  <w:style w:type="character" w:customStyle="1" w:styleId="64">
    <w:name w:val="font101"/>
    <w:uiPriority w:val="0"/>
    <w:rPr>
      <w:rFonts w:hint="default" w:ascii="Arial" w:hAnsi="Arial" w:cs="Arial"/>
      <w:color w:val="000000"/>
      <w:sz w:val="20"/>
      <w:szCs w:val="20"/>
      <w:u w:val="none"/>
    </w:rPr>
  </w:style>
  <w:style w:type="character" w:customStyle="1" w:styleId="65">
    <w:name w:val="纯文本 Char11"/>
    <w:uiPriority w:val="0"/>
    <w:rPr>
      <w:rFonts w:ascii="宋体" w:hAnsi="Courier New" w:eastAsia="宋体"/>
      <w:kern w:val="2"/>
      <w:sz w:val="24"/>
      <w:szCs w:val="24"/>
      <w:lang w:val="en-US" w:eastAsia="zh-CN" w:bidi="ar-SA"/>
    </w:rPr>
  </w:style>
  <w:style w:type="character" w:customStyle="1" w:styleId="66">
    <w:name w:val="font151"/>
    <w:uiPriority w:val="0"/>
    <w:rPr>
      <w:rFonts w:hint="eastAsia" w:ascii="宋体" w:hAnsi="宋体" w:eastAsia="宋体" w:cs="宋体"/>
      <w:color w:val="000000"/>
      <w:sz w:val="20"/>
      <w:szCs w:val="20"/>
      <w:u w:val="none"/>
    </w:rPr>
  </w:style>
  <w:style w:type="character" w:customStyle="1" w:styleId="67">
    <w:name w:val="font121"/>
    <w:uiPriority w:val="0"/>
    <w:rPr>
      <w:rFonts w:hint="eastAsia" w:ascii="宋体" w:hAnsi="宋体" w:eastAsia="宋体" w:cs="宋体"/>
      <w:color w:val="000000"/>
      <w:sz w:val="20"/>
      <w:szCs w:val="20"/>
      <w:u w:val="none"/>
    </w:rPr>
  </w:style>
  <w:style w:type="character" w:customStyle="1" w:styleId="68">
    <w:name w:val="font21"/>
    <w:qFormat/>
    <w:uiPriority w:val="0"/>
    <w:rPr>
      <w:rFonts w:hint="eastAsia" w:ascii="宋体" w:hAnsi="宋体" w:eastAsia="宋体" w:cs="宋体"/>
      <w:color w:val="000000"/>
      <w:sz w:val="20"/>
      <w:szCs w:val="20"/>
      <w:u w:val="none"/>
    </w:rPr>
  </w:style>
  <w:style w:type="character" w:customStyle="1" w:styleId="69">
    <w:name w:val="纯文本 字符"/>
    <w:link w:val="20"/>
    <w:uiPriority w:val="0"/>
    <w:rPr>
      <w:rFonts w:hint="eastAsia" w:ascii="宋体" w:hAnsi="Courier New" w:eastAsia="宋体" w:cs="宋体"/>
      <w:b/>
      <w:kern w:val="2"/>
      <w:sz w:val="24"/>
      <w:szCs w:val="24"/>
    </w:rPr>
  </w:style>
  <w:style w:type="character" w:customStyle="1" w:styleId="70">
    <w:name w:val="纯文本 Char1"/>
    <w:uiPriority w:val="0"/>
    <w:rPr>
      <w:rFonts w:ascii="宋体" w:hAnsi="Courier New" w:eastAsia="宋体"/>
      <w:kern w:val="2"/>
      <w:sz w:val="24"/>
      <w:szCs w:val="24"/>
      <w:lang w:val="en-US" w:eastAsia="zh-CN" w:bidi="ar-SA"/>
    </w:rPr>
  </w:style>
  <w:style w:type="character" w:customStyle="1" w:styleId="71">
    <w:name w:val="页脚 字符"/>
    <w:link w:val="24"/>
    <w:uiPriority w:val="0"/>
    <w:rPr>
      <w:kern w:val="2"/>
      <w:sz w:val="18"/>
      <w:szCs w:val="18"/>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纯文本 Char12"/>
    <w:uiPriority w:val="0"/>
    <w:rPr>
      <w:rFonts w:hint="eastAsia" w:ascii="宋体" w:hAnsi="Courier New" w:eastAsia="宋体" w:cs="Courier New"/>
      <w:kern w:val="2"/>
      <w:sz w:val="21"/>
      <w:szCs w:val="21"/>
    </w:rPr>
  </w:style>
  <w:style w:type="character" w:customStyle="1" w:styleId="74">
    <w:name w:val="font11"/>
    <w:qFormat/>
    <w:uiPriority w:val="0"/>
    <w:rPr>
      <w:rFonts w:hint="eastAsia" w:ascii="宋体" w:hAnsi="宋体" w:eastAsia="宋体" w:cs="宋体"/>
      <w:color w:val="000000"/>
      <w:sz w:val="20"/>
      <w:szCs w:val="20"/>
      <w:u w:val="none"/>
    </w:rPr>
  </w:style>
  <w:style w:type="character" w:customStyle="1" w:styleId="75">
    <w:name w:val="标题 字符1"/>
    <w:link w:val="35"/>
    <w:uiPriority w:val="0"/>
    <w:rPr>
      <w:rFonts w:ascii="Cambria" w:hAnsi="Cambria" w:eastAsia="Cambria" w:cs="Times New Roman"/>
      <w:b/>
      <w:kern w:val="2"/>
      <w:sz w:val="32"/>
      <w:szCs w:val="32"/>
    </w:rPr>
  </w:style>
  <w:style w:type="character" w:customStyle="1" w:styleId="76">
    <w:name w:val="font131"/>
    <w:uiPriority w:val="0"/>
    <w:rPr>
      <w:rFonts w:hint="eastAsia" w:ascii="宋体" w:hAnsi="宋体" w:eastAsia="宋体" w:cs="宋体"/>
      <w:b/>
      <w:color w:val="000000"/>
      <w:sz w:val="20"/>
      <w:szCs w:val="20"/>
      <w:u w:val="none"/>
    </w:rPr>
  </w:style>
  <w:style w:type="character" w:customStyle="1" w:styleId="77">
    <w:name w:val="标题 字符"/>
    <w:uiPriority w:val="0"/>
    <w:rPr>
      <w:rFonts w:ascii="Arial" w:hAnsi="Arial" w:eastAsia="宋体" w:cs="Arial"/>
      <w:b/>
      <w:bCs/>
      <w:kern w:val="2"/>
      <w:sz w:val="32"/>
      <w:szCs w:val="32"/>
      <w:lang w:val="en-US" w:eastAsia="zh-CN" w:bidi="ar-SA"/>
    </w:rPr>
  </w:style>
  <w:style w:type="character" w:customStyle="1" w:styleId="78">
    <w:name w:val="font81"/>
    <w:uiPriority w:val="0"/>
    <w:rPr>
      <w:rFonts w:hint="default" w:ascii="Arial" w:hAnsi="Arial" w:cs="Arial"/>
      <w:color w:val="000000"/>
      <w:sz w:val="20"/>
      <w:szCs w:val="20"/>
      <w:u w:val="none"/>
    </w:rPr>
  </w:style>
  <w:style w:type="character" w:customStyle="1" w:styleId="79">
    <w:name w:val="font31"/>
    <w:uiPriority w:val="0"/>
    <w:rPr>
      <w:rFonts w:hint="eastAsia" w:ascii="宋体" w:hAnsi="宋体" w:eastAsia="宋体" w:cs="宋体"/>
      <w:color w:val="FF0000"/>
      <w:sz w:val="18"/>
      <w:szCs w:val="18"/>
      <w:u w:val="none"/>
    </w:rPr>
  </w:style>
  <w:style w:type="character" w:customStyle="1" w:styleId="80">
    <w:name w:val="批注文字 字符"/>
    <w:link w:val="9"/>
    <w:semiHidden/>
    <w:uiPriority w:val="99"/>
    <w:rPr>
      <w:kern w:val="2"/>
      <w:sz w:val="28"/>
      <w:szCs w:val="24"/>
    </w:rPr>
  </w:style>
  <w:style w:type="character" w:customStyle="1" w:styleId="81">
    <w:name w:val="普通(网站) 字符"/>
    <w:link w:val="34"/>
    <w:autoRedefine/>
    <w:uiPriority w:val="0"/>
    <w:rPr>
      <w:rFonts w:hint="eastAsia" w:ascii="宋体" w:hAnsi="宋体" w:eastAsia="宋体" w:cs="宋体"/>
      <w:sz w:val="24"/>
      <w:szCs w:val="24"/>
    </w:rPr>
  </w:style>
  <w:style w:type="character" w:customStyle="1" w:styleId="82">
    <w:name w:val="_Style 81"/>
    <w:unhideWhenUsed/>
    <w:uiPriority w:val="99"/>
    <w:rPr>
      <w:color w:val="605E5C"/>
      <w:shd w:val="clear" w:color="auto" w:fill="E1DFDD"/>
    </w:rPr>
  </w:style>
  <w:style w:type="character" w:customStyle="1" w:styleId="83">
    <w:name w:val="无"/>
    <w:qFormat/>
    <w:uiPriority w:val="0"/>
  </w:style>
  <w:style w:type="character" w:customStyle="1" w:styleId="84">
    <w:name w:val="font61"/>
    <w:qFormat/>
    <w:uiPriority w:val="0"/>
    <w:rPr>
      <w:rFonts w:hint="eastAsia" w:ascii="宋体" w:hAnsi="宋体" w:eastAsia="宋体" w:cs="宋体"/>
      <w:b/>
      <w:color w:val="FF0000"/>
      <w:sz w:val="20"/>
      <w:szCs w:val="20"/>
      <w:u w:val="none"/>
    </w:rPr>
  </w:style>
  <w:style w:type="character" w:customStyle="1" w:styleId="85">
    <w:name w:val="正文缩进 Char"/>
    <w:qFormat/>
    <w:uiPriority w:val="0"/>
  </w:style>
  <w:style w:type="paragraph" w:customStyle="1" w:styleId="86">
    <w:name w:val="WPSOffice手动目录 1"/>
    <w:uiPriority w:val="0"/>
    <w:rPr>
      <w:rFonts w:ascii="Times New Roman" w:hAnsi="Times New Roman" w:eastAsia="宋体" w:cs="Times New Roman"/>
      <w:lang w:val="en-US" w:eastAsia="zh-CN" w:bidi="ar-SA"/>
    </w:rPr>
  </w:style>
  <w:style w:type="paragraph" w:customStyle="1" w:styleId="8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正文（首行缩进2字符）"/>
    <w:basedOn w:val="1"/>
    <w:qFormat/>
    <w:uiPriority w:val="0"/>
    <w:pPr>
      <w:spacing w:line="360" w:lineRule="auto"/>
      <w:ind w:firstLine="420" w:firstLineChars="200"/>
    </w:pPr>
    <w:rPr>
      <w:szCs w:val="21"/>
    </w:rPr>
  </w:style>
  <w:style w:type="paragraph" w:customStyle="1" w:styleId="89">
    <w:name w:val=" Char2"/>
    <w:basedOn w:val="1"/>
    <w:next w:val="1"/>
    <w:uiPriority w:val="0"/>
    <w:pPr>
      <w:spacing w:before="120" w:beforeLines="0" w:line="360" w:lineRule="auto"/>
      <w:ind w:firstLine="425"/>
    </w:pPr>
    <w:rPr>
      <w:sz w:val="24"/>
    </w:rPr>
  </w:style>
  <w:style w:type="paragraph" w:customStyle="1" w:styleId="9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默认段落字体 Para Char Char Char Char Char Char Char Char Char1 Char Char Char Char"/>
    <w:basedOn w:val="1"/>
    <w:uiPriority w:val="0"/>
    <w:rPr>
      <w:rFonts w:ascii="Tahoma" w:hAnsi="Tahoma"/>
      <w:sz w:val="24"/>
      <w:szCs w:val="20"/>
    </w:rPr>
  </w:style>
  <w:style w:type="paragraph" w:customStyle="1" w:styleId="92">
    <w:name w:val="Char1"/>
    <w:basedOn w:val="1"/>
    <w:uiPriority w:val="0"/>
    <w:rPr>
      <w:rFonts w:ascii="Tahoma" w:hAnsi="Tahoma"/>
      <w:sz w:val="24"/>
      <w:szCs w:val="20"/>
    </w:rPr>
  </w:style>
  <w:style w:type="paragraph" w:styleId="93">
    <w:name w:val="List Paragraph"/>
    <w:basedOn w:val="1"/>
    <w:qFormat/>
    <w:uiPriority w:val="0"/>
    <w:pPr>
      <w:ind w:firstLine="420" w:firstLineChars="200"/>
    </w:pPr>
    <w:rPr>
      <w:rFonts w:ascii="Calibri" w:hAnsi="Calibri"/>
      <w:szCs w:val="22"/>
    </w:rPr>
  </w:style>
  <w:style w:type="paragraph" w:customStyle="1" w:styleId="94">
    <w:name w:val="标准中文版式_正文"/>
    <w:basedOn w:val="1"/>
    <w:qFormat/>
    <w:uiPriority w:val="0"/>
    <w:pPr>
      <w:spacing w:before="30" w:beforeLines="0" w:line="360" w:lineRule="auto"/>
      <w:ind w:firstLineChars="200"/>
    </w:pPr>
    <w:rPr>
      <w:rFonts w:ascii="Arial" w:hAnsi="Arial"/>
      <w:sz w:val="24"/>
    </w:rPr>
  </w:style>
  <w:style w:type="paragraph" w:customStyle="1" w:styleId="95">
    <w:name w:val="Char"/>
    <w:basedOn w:val="1"/>
    <w:uiPriority w:val="0"/>
    <w:rPr>
      <w:sz w:val="21"/>
    </w:rPr>
  </w:style>
  <w:style w:type="paragraph" w:customStyle="1" w:styleId="9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首行缩进"/>
    <w:basedOn w:val="1"/>
    <w:qFormat/>
    <w:uiPriority w:val="0"/>
    <w:rPr>
      <w:lang w:val="zh-CN"/>
    </w:rPr>
  </w:style>
  <w:style w:type="paragraph" w:customStyle="1" w:styleId="98">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9">
    <w:name w:val="正文文字2"/>
    <w:basedOn w:val="11"/>
    <w:autoRedefine/>
    <w:qFormat/>
    <w:uiPriority w:val="0"/>
    <w:pPr>
      <w:widowControl/>
      <w:adjustRightInd w:val="0"/>
      <w:spacing w:after="60" w:line="360" w:lineRule="atLeast"/>
      <w:ind w:left="72" w:leftChars="30" w:right="72" w:rightChars="30" w:firstLine="200" w:firstLineChars="200"/>
      <w:jc w:val="center"/>
      <w:textAlignment w:val="baseline"/>
    </w:pPr>
    <w:rPr>
      <w:rFonts w:ascii="Arial" w:eastAsia="黑体"/>
      <w:kern w:val="0"/>
      <w:szCs w:val="20"/>
    </w:rPr>
  </w:style>
  <w:style w:type="paragraph" w:customStyle="1" w:styleId="10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
    <w:name w:val="纯文本1"/>
    <w:basedOn w:val="100"/>
    <w:qFormat/>
    <w:uiPriority w:val="0"/>
    <w:pPr>
      <w:widowControl/>
      <w:jc w:val="left"/>
    </w:pPr>
    <w:rPr>
      <w:rFonts w:ascii="宋体" w:hAnsi="Courier New"/>
    </w:rPr>
  </w:style>
  <w:style w:type="paragraph" w:customStyle="1" w:styleId="102">
    <w:name w:val="_Style 1"/>
    <w:qFormat/>
    <w:uiPriority w:val="99"/>
    <w:rPr>
      <w:rFonts w:ascii="Calibri" w:hAnsi="Calibri" w:eastAsia="宋体" w:cs="Times New Roman"/>
      <w:kern w:val="2"/>
      <w:sz w:val="28"/>
      <w:szCs w:val="22"/>
      <w:lang w:val="en-US" w:eastAsia="zh-CN" w:bidi="ar-SA"/>
    </w:rPr>
  </w:style>
  <w:style w:type="paragraph" w:customStyle="1" w:styleId="103">
    <w:name w:val="List Paragraph1"/>
    <w:basedOn w:val="1"/>
    <w:qFormat/>
    <w:uiPriority w:val="0"/>
    <w:pPr>
      <w:spacing w:line="360" w:lineRule="auto"/>
      <w:ind w:firstLine="420" w:firstLineChars="200"/>
    </w:pPr>
    <w:rPr>
      <w:sz w:val="24"/>
    </w:rPr>
  </w:style>
  <w:style w:type="paragraph" w:customStyle="1" w:styleId="10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5">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6">
    <w:name w:val="无间隔1"/>
    <w:basedOn w:val="1"/>
    <w:uiPriority w:val="0"/>
    <w:pPr>
      <w:widowControl/>
      <w:adjustRightInd w:val="0"/>
      <w:snapToGrid w:val="0"/>
      <w:jc w:val="left"/>
    </w:pPr>
    <w:rPr>
      <w:rFonts w:ascii="Tahoma" w:hAnsi="Tahoma" w:eastAsia="微软雅黑"/>
      <w:kern w:val="0"/>
      <w:sz w:val="22"/>
      <w:szCs w:val="22"/>
    </w:rPr>
  </w:style>
  <w:style w:type="paragraph" w:customStyle="1" w:styleId="107">
    <w:name w:val="_Style 10"/>
    <w:basedOn w:val="1"/>
    <w:uiPriority w:val="0"/>
    <w:rPr>
      <w:rFonts w:ascii="Tahoma" w:hAnsi="Tahoma"/>
      <w:sz w:val="24"/>
      <w:szCs w:val="20"/>
    </w:rPr>
  </w:style>
  <w:style w:type="paragraph" w:customStyle="1" w:styleId="108">
    <w:name w:val="Blockquote"/>
    <w:basedOn w:val="1"/>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09">
    <w:name w:val="表格文字"/>
    <w:basedOn w:val="1"/>
    <w:next w:val="11"/>
    <w:qFormat/>
    <w:uiPriority w:val="0"/>
    <w:pPr>
      <w:adjustRightInd w:val="0"/>
      <w:spacing w:line="420" w:lineRule="atLeast"/>
      <w:jc w:val="left"/>
      <w:textAlignment w:val="baseline"/>
    </w:pPr>
    <w:rPr>
      <w:kern w:val="0"/>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 Char Char Char1"/>
    <w:basedOn w:val="1"/>
    <w:uiPriority w:val="0"/>
    <w:rPr>
      <w:sz w:val="21"/>
    </w:rPr>
  </w:style>
  <w:style w:type="paragraph" w:customStyle="1" w:styleId="112">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 Char"/>
    <w:basedOn w:val="1"/>
    <w:uiPriority w:val="0"/>
    <w:rPr>
      <w:sz w:val="24"/>
    </w:rPr>
  </w:style>
  <w:style w:type="paragraph" w:customStyle="1" w:styleId="116">
    <w:name w:val="默认"/>
    <w:uiPriority w:val="0"/>
    <w:rPr>
      <w:rFonts w:hint="eastAsia" w:ascii="Arial Unicode MS" w:hAnsi="Arial Unicode MS" w:eastAsia="Helvetica" w:cs="Arial Unicode MS"/>
      <w:color w:val="000000"/>
      <w:sz w:val="22"/>
      <w:szCs w:val="22"/>
      <w:lang w:val="zh-CN" w:eastAsia="zh-CN" w:bidi="ar-SA"/>
    </w:rPr>
  </w:style>
  <w:style w:type="paragraph" w:customStyle="1" w:styleId="117">
    <w:name w:val=" Char1"/>
    <w:basedOn w:val="1"/>
    <w:uiPriority w:val="0"/>
    <w:pPr>
      <w:jc w:val="center"/>
    </w:pPr>
    <w:rPr>
      <w:rFonts w:ascii="仿宋_GB2312" w:eastAsia="仿宋_GB2312"/>
      <w:b/>
      <w:kern w:val="0"/>
      <w:sz w:val="32"/>
      <w:szCs w:val="32"/>
      <w:lang w:val="en-GB"/>
    </w:rPr>
  </w:style>
  <w:style w:type="paragraph" w:customStyle="1" w:styleId="118">
    <w:name w:val="正文段"/>
    <w:basedOn w:val="1"/>
    <w:uiPriority w:val="0"/>
    <w:pPr>
      <w:widowControl/>
      <w:snapToGrid w:val="0"/>
      <w:spacing w:after="156" w:afterLines="50"/>
      <w:ind w:firstLine="200" w:firstLineChars="200"/>
    </w:pPr>
    <w:rPr>
      <w:kern w:val="0"/>
      <w:sz w:val="24"/>
      <w:szCs w:val="20"/>
    </w:rPr>
  </w:style>
  <w:style w:type="paragraph" w:customStyle="1" w:styleId="119">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44</Pages>
  <Words>23250</Words>
  <Characters>24546</Characters>
  <Lines>206</Lines>
  <Paragraphs>58</Paragraphs>
  <TotalTime>50</TotalTime>
  <ScaleCrop>false</ScaleCrop>
  <LinksUpToDate>false</LinksUpToDate>
  <CharactersWithSpaces>26025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2023-10-24T02:28:00Z</dcterms:created>
  <dc:creator>费国炎</dc:creator>
  <cp:lastModifiedBy>葛俊</cp:lastModifiedBy>
  <cp:lastPrinted>2023-11-23T06:34:00Z</cp:lastPrinted>
  <dcterms:modified xsi:type="dcterms:W3CDTF">2024-01-09T11:09:45Z</dcterms:modified>
  <dc:title>浙江省政府采购招标文件（范本）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432A44A7674F48AEB2CA7900E3260779_13</vt:lpwstr>
  </property>
</Properties>
</file>