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pPr>
        <w:pStyle w:val="77"/>
        <w:jc w:val="center"/>
        <w:rPr>
          <w:b/>
          <w:bCs/>
          <w:sz w:val="36"/>
          <w:szCs w:val="40"/>
          <w:highlight w:val="none"/>
        </w:rPr>
      </w:pPr>
      <w:r>
        <w:rPr>
          <w:rFonts w:hint="eastAsia"/>
          <w:b/>
          <w:bCs/>
          <w:sz w:val="36"/>
          <w:szCs w:val="40"/>
          <w:highlight w:val="none"/>
        </w:rPr>
        <w:t>台州湾新区朝阳未来社区创建实施方案编制及验收全过程咨询服务采购项目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r>
        <w:rPr>
          <w:rFonts w:hint="eastAsia" w:ascii="宋体"/>
          <w:b/>
          <w:kern w:val="0"/>
          <w:sz w:val="52"/>
          <w:szCs w:val="52"/>
          <w:highlight w:val="none"/>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highlight w:val="none"/>
        </w:rPr>
      </w:pPr>
      <w:r>
        <w:rPr>
          <w:rFonts w:hint="eastAsia" w:ascii="宋体" w:hAnsi="宋体" w:cs="Calibri Light"/>
          <w:kern w:val="0"/>
          <w:sz w:val="24"/>
          <w:highlight w:val="none"/>
        </w:rPr>
        <w:t>采购编号：QBJ2024027</w:t>
      </w:r>
      <w:r>
        <w:rPr>
          <w:rFonts w:ascii="宋体"/>
          <w:b/>
          <w:kern w:val="0"/>
          <w:sz w:val="24"/>
          <w:highlight w:val="none"/>
        </w:rPr>
        <w:t xml:space="preserve"> </w:t>
      </w:r>
    </w:p>
    <w:p>
      <w:pPr>
        <w:tabs>
          <w:tab w:val="left" w:pos="1260"/>
        </w:tabs>
        <w:spacing w:line="640" w:lineRule="exact"/>
        <w:outlineLvl w:val="9"/>
        <w:rPr>
          <w:rFonts w:ascii="宋体" w:hAnsi="宋体"/>
          <w:spacing w:val="20"/>
          <w:kern w:val="21"/>
          <w:sz w:val="30"/>
          <w:szCs w:val="30"/>
          <w:highlight w:val="none"/>
        </w:rPr>
      </w:pPr>
    </w:p>
    <w:p>
      <w:pPr>
        <w:tabs>
          <w:tab w:val="left" w:pos="1260"/>
        </w:tabs>
        <w:spacing w:line="640" w:lineRule="exact"/>
        <w:ind w:firstLine="1020" w:firstLineChars="300"/>
        <w:outlineLvl w:val="0"/>
        <w:rPr>
          <w:rFonts w:ascii="宋体" w:hAnsi="宋体"/>
          <w:spacing w:val="20"/>
          <w:kern w:val="21"/>
          <w:sz w:val="30"/>
          <w:szCs w:val="30"/>
          <w:highlight w:val="none"/>
        </w:rPr>
      </w:pPr>
      <w:bookmarkStart w:id="0" w:name="_Toc5231"/>
      <w:r>
        <w:rPr>
          <w:rFonts w:hint="eastAsia" w:ascii="宋体" w:hAnsi="宋体"/>
          <w:spacing w:val="20"/>
          <w:kern w:val="21"/>
          <w:sz w:val="30"/>
          <w:szCs w:val="30"/>
          <w:highlight w:val="none"/>
        </w:rPr>
        <w:t>采购人：</w:t>
      </w:r>
      <w:r>
        <w:rPr>
          <w:rFonts w:hint="eastAsia"/>
          <w:sz w:val="28"/>
          <w:highlight w:val="none"/>
          <w:u w:val="single"/>
        </w:rPr>
        <w:t>台州市开发投资集团有限公司</w:t>
      </w:r>
      <w:r>
        <w:rPr>
          <w:rFonts w:hint="eastAsia" w:ascii="宋体" w:hAnsi="宋体"/>
          <w:spacing w:val="20"/>
          <w:kern w:val="21"/>
          <w:sz w:val="30"/>
          <w:szCs w:val="30"/>
          <w:highlight w:val="none"/>
        </w:rPr>
        <w:t>（盖章）</w:t>
      </w:r>
      <w:bookmarkEnd w:id="0"/>
    </w:p>
    <w:p>
      <w:pPr>
        <w:spacing w:line="640" w:lineRule="exact"/>
        <w:ind w:firstLine="1020" w:firstLineChars="300"/>
        <w:outlineLvl w:val="0"/>
        <w:rPr>
          <w:rFonts w:hint="default" w:ascii="宋体" w:hAnsi="宋体" w:eastAsia="宋体"/>
          <w:spacing w:val="20"/>
          <w:kern w:val="21"/>
          <w:sz w:val="30"/>
          <w:szCs w:val="30"/>
          <w:highlight w:val="none"/>
          <w:lang w:val="en-US" w:eastAsia="zh-CN"/>
        </w:rPr>
      </w:pPr>
      <w:bookmarkStart w:id="1" w:name="_Toc20122"/>
      <w:r>
        <w:rPr>
          <w:rFonts w:hint="eastAsia" w:ascii="宋体" w:hAnsi="宋体"/>
          <w:spacing w:val="20"/>
          <w:kern w:val="21"/>
          <w:sz w:val="30"/>
          <w:szCs w:val="30"/>
          <w:highlight w:val="none"/>
        </w:rPr>
        <w:t>联 系 人：</w:t>
      </w:r>
      <w:r>
        <w:rPr>
          <w:rFonts w:hint="eastAsia" w:hAnsi="宋体"/>
          <w:sz w:val="28"/>
          <w:highlight w:val="none"/>
          <w:u w:val="single"/>
          <w:lang w:val="en-US" w:eastAsia="zh-CN"/>
        </w:rPr>
        <w:t>黄先生</w:t>
      </w:r>
      <w:bookmarkEnd w:id="1"/>
    </w:p>
    <w:p>
      <w:pPr>
        <w:spacing w:line="640" w:lineRule="exact"/>
        <w:ind w:firstLine="1020" w:firstLineChars="300"/>
        <w:outlineLvl w:val="0"/>
        <w:rPr>
          <w:rFonts w:ascii="宋体" w:hAnsi="宋体"/>
          <w:spacing w:val="20"/>
          <w:kern w:val="21"/>
          <w:sz w:val="30"/>
          <w:szCs w:val="30"/>
          <w:highlight w:val="none"/>
        </w:rPr>
      </w:pPr>
      <w:bookmarkStart w:id="2" w:name="_Toc14739"/>
      <w:r>
        <w:rPr>
          <w:rFonts w:hint="eastAsia" w:ascii="宋体" w:hAnsi="宋体"/>
          <w:spacing w:val="20"/>
          <w:kern w:val="21"/>
          <w:sz w:val="30"/>
          <w:szCs w:val="30"/>
          <w:highlight w:val="none"/>
        </w:rPr>
        <w:t>联系电话：</w:t>
      </w:r>
      <w:r>
        <w:rPr>
          <w:rFonts w:hint="eastAsia" w:hAnsi="宋体"/>
          <w:sz w:val="28"/>
          <w:highlight w:val="none"/>
          <w:u w:val="single"/>
        </w:rPr>
        <w:t>0576-88529239</w:t>
      </w:r>
      <w:bookmarkEnd w:id="2"/>
    </w:p>
    <w:p>
      <w:pPr>
        <w:pStyle w:val="12"/>
        <w:numPr>
          <w:ilvl w:val="0"/>
          <w:numId w:val="0"/>
        </w:numPr>
        <w:rPr>
          <w:highlight w:val="none"/>
        </w:rPr>
      </w:pPr>
    </w:p>
    <w:p>
      <w:pPr>
        <w:spacing w:line="640" w:lineRule="exact"/>
        <w:ind w:firstLine="1020" w:firstLineChars="300"/>
        <w:outlineLvl w:val="0"/>
        <w:rPr>
          <w:rFonts w:ascii="宋体" w:hAnsi="宋体"/>
          <w:spacing w:val="20"/>
          <w:kern w:val="21"/>
          <w:sz w:val="30"/>
          <w:szCs w:val="30"/>
          <w:highlight w:val="none"/>
        </w:rPr>
      </w:pPr>
      <w:bookmarkStart w:id="3" w:name="_Toc11824"/>
      <w:r>
        <w:rPr>
          <w:rFonts w:hint="eastAsia" w:ascii="宋体" w:hAnsi="宋体"/>
          <w:spacing w:val="20"/>
          <w:kern w:val="21"/>
          <w:sz w:val="30"/>
          <w:szCs w:val="30"/>
          <w:highlight w:val="none"/>
        </w:rPr>
        <w:t>招标代理：</w:t>
      </w:r>
      <w:r>
        <w:rPr>
          <w:rFonts w:hint="eastAsia" w:ascii="宋体" w:hAnsi="宋体"/>
          <w:sz w:val="28"/>
          <w:highlight w:val="none"/>
          <w:u w:val="single"/>
        </w:rPr>
        <w:t>台州市建设咨询有限公司</w:t>
      </w:r>
      <w:r>
        <w:rPr>
          <w:rFonts w:hint="eastAsia" w:ascii="宋体" w:hAnsi="宋体"/>
          <w:spacing w:val="20"/>
          <w:kern w:val="21"/>
          <w:sz w:val="30"/>
          <w:szCs w:val="30"/>
          <w:highlight w:val="none"/>
        </w:rPr>
        <w:t>（盖章）</w:t>
      </w:r>
      <w:bookmarkEnd w:id="3"/>
    </w:p>
    <w:p>
      <w:pPr>
        <w:spacing w:line="640" w:lineRule="exact"/>
        <w:ind w:firstLine="1020" w:firstLineChars="300"/>
        <w:outlineLvl w:val="0"/>
        <w:rPr>
          <w:rFonts w:hint="eastAsia" w:ascii="宋体" w:hAnsi="宋体" w:eastAsia="宋体"/>
          <w:spacing w:val="20"/>
          <w:kern w:val="21"/>
          <w:sz w:val="30"/>
          <w:szCs w:val="30"/>
          <w:highlight w:val="none"/>
          <w:lang w:eastAsia="zh-CN"/>
        </w:rPr>
      </w:pPr>
      <w:bookmarkStart w:id="4" w:name="_Toc27119"/>
      <w:r>
        <w:rPr>
          <w:rFonts w:hint="eastAsia" w:ascii="宋体" w:hAnsi="宋体"/>
          <w:spacing w:val="20"/>
          <w:kern w:val="21"/>
          <w:sz w:val="30"/>
          <w:szCs w:val="30"/>
          <w:highlight w:val="none"/>
        </w:rPr>
        <w:t>联 系 人：</w:t>
      </w:r>
      <w:r>
        <w:rPr>
          <w:rFonts w:hint="eastAsia" w:ascii="宋体" w:hAnsi="宋体"/>
          <w:sz w:val="28"/>
          <w:highlight w:val="none"/>
          <w:u w:val="single"/>
          <w:lang w:val="en-US" w:eastAsia="zh-CN"/>
        </w:rPr>
        <w:t>胡先生</w:t>
      </w:r>
      <w:bookmarkEnd w:id="4"/>
    </w:p>
    <w:p>
      <w:pPr>
        <w:spacing w:line="480" w:lineRule="auto"/>
        <w:ind w:firstLine="1020" w:firstLineChars="300"/>
        <w:rPr>
          <w:rFonts w:hint="default" w:ascii="宋体" w:hAnsi="宋体" w:eastAsia="宋体"/>
          <w:spacing w:val="20"/>
          <w:kern w:val="21"/>
          <w:sz w:val="30"/>
          <w:szCs w:val="30"/>
          <w:highlight w:val="none"/>
          <w:lang w:val="en-US" w:eastAsia="zh-CN"/>
        </w:rPr>
      </w:pPr>
      <w:r>
        <w:rPr>
          <w:rFonts w:hint="eastAsia" w:ascii="宋体" w:hAnsi="宋体"/>
          <w:spacing w:val="20"/>
          <w:kern w:val="21"/>
          <w:sz w:val="30"/>
          <w:szCs w:val="30"/>
          <w:highlight w:val="none"/>
        </w:rPr>
        <w:t>联系电话：</w:t>
      </w:r>
      <w:r>
        <w:rPr>
          <w:rFonts w:hint="eastAsia" w:ascii="宋体" w:hAnsi="宋体"/>
          <w:sz w:val="28"/>
          <w:highlight w:val="none"/>
          <w:u w:val="single"/>
        </w:rPr>
        <w:t>0576-</w:t>
      </w:r>
      <w:r>
        <w:rPr>
          <w:rFonts w:hint="eastAsia" w:ascii="宋体" w:hAnsi="宋体"/>
          <w:sz w:val="28"/>
          <w:highlight w:val="none"/>
          <w:u w:val="single"/>
          <w:lang w:val="en-US" w:eastAsia="zh-CN"/>
        </w:rPr>
        <w:t>88519890</w:t>
      </w:r>
    </w:p>
    <w:p>
      <w:pPr>
        <w:spacing w:line="640" w:lineRule="exact"/>
        <w:ind w:firstLine="1020" w:firstLineChars="300"/>
        <w:outlineLvl w:val="0"/>
        <w:rPr>
          <w:rFonts w:ascii="宋体" w:hAnsi="宋体"/>
          <w:b/>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bookmarkStart w:id="5" w:name="_Toc31585"/>
      <w:r>
        <w:rPr>
          <w:rFonts w:hint="eastAsia" w:ascii="宋体" w:hAnsi="宋体"/>
          <w:spacing w:val="20"/>
          <w:kern w:val="21"/>
          <w:sz w:val="30"/>
          <w:szCs w:val="30"/>
          <w:highlight w:val="none"/>
        </w:rPr>
        <w:t>日    期：202</w:t>
      </w:r>
      <w:r>
        <w:rPr>
          <w:rFonts w:hint="eastAsia" w:ascii="宋体" w:hAnsi="宋体"/>
          <w:spacing w:val="20"/>
          <w:kern w:val="21"/>
          <w:sz w:val="30"/>
          <w:szCs w:val="30"/>
          <w:highlight w:val="none"/>
          <w:lang w:val="en-US" w:eastAsia="zh-CN"/>
        </w:rPr>
        <w:t>4</w:t>
      </w:r>
      <w:r>
        <w:rPr>
          <w:rFonts w:hint="eastAsia" w:ascii="宋体" w:hAnsi="宋体"/>
          <w:spacing w:val="20"/>
          <w:kern w:val="21"/>
          <w:sz w:val="30"/>
          <w:szCs w:val="30"/>
          <w:highlight w:val="none"/>
        </w:rPr>
        <w:t>年</w:t>
      </w:r>
      <w:r>
        <w:rPr>
          <w:rFonts w:hint="eastAsia" w:ascii="宋体" w:hAnsi="宋体"/>
          <w:spacing w:val="20"/>
          <w:kern w:val="21"/>
          <w:sz w:val="30"/>
          <w:szCs w:val="30"/>
          <w:highlight w:val="none"/>
          <w:lang w:val="en-US" w:eastAsia="zh-CN"/>
        </w:rPr>
        <w:t>2</w:t>
      </w:r>
      <w:r>
        <w:rPr>
          <w:rFonts w:hint="eastAsia" w:ascii="宋体" w:hAnsi="宋体"/>
          <w:spacing w:val="20"/>
          <w:kern w:val="21"/>
          <w:sz w:val="30"/>
          <w:szCs w:val="30"/>
          <w:highlight w:val="none"/>
        </w:rPr>
        <w:t>月</w:t>
      </w:r>
      <w:bookmarkEnd w:id="5"/>
    </w:p>
    <w:p>
      <w:pPr>
        <w:pStyle w:val="33"/>
        <w:rPr>
          <w:highlight w:val="none"/>
        </w:rPr>
      </w:pPr>
    </w:p>
    <w:sdt>
      <w:sdtPr>
        <w:rPr>
          <w:rFonts w:ascii="宋体" w:hAnsi="宋体" w:eastAsia="宋体" w:cs="Times New Roman"/>
          <w:kern w:val="2"/>
          <w:sz w:val="21"/>
          <w:szCs w:val="24"/>
          <w:highlight w:val="none"/>
          <w:lang w:val="en-US" w:eastAsia="zh-CN" w:bidi="ar-SA"/>
        </w:rPr>
        <w:id w:val="147451304"/>
        <w15:color w:val="DBDBDB"/>
        <w:docPartObj>
          <w:docPartGallery w:val="Table of Contents"/>
          <w:docPartUnique/>
        </w:docPartObj>
      </w:sdtPr>
      <w:sdtEndPr>
        <w:rPr>
          <w:rFonts w:hint="eastAsia" w:ascii="宋体" w:hAnsi="宋体" w:eastAsia="宋体" w:cs="宋体"/>
          <w:kern w:val="2"/>
          <w:sz w:val="40"/>
          <w:szCs w:val="52"/>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44"/>
              <w:szCs w:val="52"/>
              <w:highlight w:val="none"/>
            </w:rPr>
            <w:t>目录</w:t>
          </w:r>
        </w:p>
        <w:p>
          <w:pPr>
            <w:pStyle w:val="54"/>
            <w:tabs>
              <w:tab w:val="right" w:leader="dot" w:pos="8731"/>
            </w:tabs>
            <w:rPr>
              <w:rFonts w:hint="eastAsia" w:ascii="宋体" w:hAnsi="宋体" w:eastAsia="宋体" w:cs="宋体"/>
              <w:sz w:val="36"/>
              <w:szCs w:val="36"/>
              <w:highlight w:val="none"/>
            </w:rPr>
          </w:pPr>
          <w:r>
            <w:rPr>
              <w:rFonts w:hint="eastAsia" w:ascii="宋体" w:hAnsi="宋体" w:eastAsia="宋体" w:cs="宋体"/>
              <w:sz w:val="52"/>
              <w:szCs w:val="52"/>
              <w:highlight w:val="none"/>
            </w:rPr>
            <w:fldChar w:fldCharType="begin"/>
          </w:r>
          <w:r>
            <w:rPr>
              <w:rFonts w:hint="eastAsia" w:ascii="宋体" w:hAnsi="宋体" w:eastAsia="宋体" w:cs="宋体"/>
              <w:sz w:val="52"/>
              <w:szCs w:val="52"/>
              <w:highlight w:val="none"/>
            </w:rPr>
            <w:instrText xml:space="preserve">TOC \o "1-1" \h \u </w:instrText>
          </w:r>
          <w:r>
            <w:rPr>
              <w:rFonts w:hint="eastAsia" w:ascii="宋体" w:hAnsi="宋体" w:eastAsia="宋体" w:cs="宋体"/>
              <w:sz w:val="52"/>
              <w:szCs w:val="52"/>
              <w:highlight w:val="none"/>
            </w:rPr>
            <w:fldChar w:fldCharType="separate"/>
          </w:r>
        </w:p>
        <w:p>
          <w:pPr>
            <w:pStyle w:val="54"/>
            <w:tabs>
              <w:tab w:val="right" w:leader="dot" w:pos="8731"/>
            </w:tabs>
            <w:rPr>
              <w:rFonts w:hint="eastAsia" w:ascii="宋体" w:hAnsi="宋体" w:eastAsia="宋体" w:cs="宋体"/>
              <w:sz w:val="36"/>
              <w:szCs w:val="36"/>
              <w:highlight w:val="none"/>
            </w:rPr>
          </w:pPr>
          <w:r>
            <w:rPr>
              <w:rFonts w:hint="eastAsia" w:ascii="宋体" w:hAnsi="宋体" w:eastAsia="宋体" w:cs="宋体"/>
              <w:sz w:val="36"/>
              <w:szCs w:val="52"/>
              <w:highlight w:val="none"/>
            </w:rPr>
            <w:fldChar w:fldCharType="begin"/>
          </w:r>
          <w:r>
            <w:rPr>
              <w:rFonts w:hint="eastAsia" w:ascii="宋体" w:hAnsi="宋体" w:eastAsia="宋体" w:cs="宋体"/>
              <w:sz w:val="36"/>
              <w:szCs w:val="52"/>
              <w:highlight w:val="none"/>
            </w:rPr>
            <w:instrText xml:space="preserve"> HYPERLINK \l _Toc1198 </w:instrText>
          </w:r>
          <w:r>
            <w:rPr>
              <w:rFonts w:hint="eastAsia" w:ascii="宋体" w:hAnsi="宋体" w:eastAsia="宋体" w:cs="宋体"/>
              <w:sz w:val="36"/>
              <w:szCs w:val="52"/>
              <w:highlight w:val="none"/>
            </w:rPr>
            <w:fldChar w:fldCharType="separate"/>
          </w:r>
          <w:r>
            <w:rPr>
              <w:rFonts w:hint="eastAsia" w:ascii="宋体" w:hAnsi="宋体" w:eastAsia="宋体" w:cs="宋体"/>
              <w:sz w:val="36"/>
              <w:szCs w:val="72"/>
              <w:highlight w:val="none"/>
            </w:rPr>
            <w:t xml:space="preserve">第一章 </w:t>
          </w:r>
          <w:r>
            <w:rPr>
              <w:rFonts w:hint="eastAsia" w:ascii="宋体" w:hAnsi="宋体" w:eastAsia="宋体" w:cs="宋体"/>
              <w:kern w:val="0"/>
              <w:sz w:val="36"/>
              <w:szCs w:val="72"/>
              <w:highlight w:val="none"/>
            </w:rPr>
            <w:t>投标邀请</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_Toc1198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3</w:t>
          </w:r>
          <w:r>
            <w:rPr>
              <w:rFonts w:hint="eastAsia" w:ascii="宋体" w:hAnsi="宋体" w:eastAsia="宋体" w:cs="宋体"/>
              <w:sz w:val="36"/>
              <w:szCs w:val="36"/>
              <w:highlight w:val="none"/>
            </w:rPr>
            <w:fldChar w:fldCharType="end"/>
          </w:r>
          <w:r>
            <w:rPr>
              <w:rFonts w:hint="eastAsia" w:ascii="宋体" w:hAnsi="宋体" w:eastAsia="宋体" w:cs="宋体"/>
              <w:sz w:val="36"/>
              <w:szCs w:val="52"/>
              <w:highlight w:val="none"/>
            </w:rPr>
            <w:fldChar w:fldCharType="end"/>
          </w:r>
        </w:p>
        <w:p>
          <w:pPr>
            <w:pStyle w:val="54"/>
            <w:tabs>
              <w:tab w:val="right" w:leader="dot" w:pos="8731"/>
            </w:tabs>
            <w:rPr>
              <w:rFonts w:hint="eastAsia" w:ascii="宋体" w:hAnsi="宋体" w:eastAsia="宋体" w:cs="宋体"/>
              <w:sz w:val="36"/>
              <w:szCs w:val="36"/>
              <w:highlight w:val="none"/>
            </w:rPr>
          </w:pPr>
          <w:r>
            <w:rPr>
              <w:rFonts w:hint="eastAsia" w:ascii="宋体" w:hAnsi="宋体" w:eastAsia="宋体" w:cs="宋体"/>
              <w:sz w:val="36"/>
              <w:szCs w:val="52"/>
              <w:highlight w:val="none"/>
            </w:rPr>
            <w:fldChar w:fldCharType="begin"/>
          </w:r>
          <w:r>
            <w:rPr>
              <w:rFonts w:hint="eastAsia" w:ascii="宋体" w:hAnsi="宋体" w:eastAsia="宋体" w:cs="宋体"/>
              <w:sz w:val="36"/>
              <w:szCs w:val="52"/>
              <w:highlight w:val="none"/>
            </w:rPr>
            <w:instrText xml:space="preserve"> HYPERLINK \l _Toc19662 </w:instrText>
          </w:r>
          <w:r>
            <w:rPr>
              <w:rFonts w:hint="eastAsia" w:ascii="宋体" w:hAnsi="宋体" w:eastAsia="宋体" w:cs="宋体"/>
              <w:sz w:val="36"/>
              <w:szCs w:val="52"/>
              <w:highlight w:val="none"/>
            </w:rPr>
            <w:fldChar w:fldCharType="separate"/>
          </w:r>
          <w:r>
            <w:rPr>
              <w:rFonts w:hint="eastAsia" w:ascii="宋体" w:hAnsi="宋体" w:eastAsia="宋体" w:cs="宋体"/>
              <w:sz w:val="36"/>
              <w:szCs w:val="72"/>
              <w:highlight w:val="none"/>
            </w:rPr>
            <w:t>第二章 投标人须知</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_Toc19662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7</w:t>
          </w:r>
          <w:r>
            <w:rPr>
              <w:rFonts w:hint="eastAsia" w:ascii="宋体" w:hAnsi="宋体" w:eastAsia="宋体" w:cs="宋体"/>
              <w:sz w:val="36"/>
              <w:szCs w:val="36"/>
              <w:highlight w:val="none"/>
            </w:rPr>
            <w:fldChar w:fldCharType="end"/>
          </w:r>
          <w:r>
            <w:rPr>
              <w:rFonts w:hint="eastAsia" w:ascii="宋体" w:hAnsi="宋体" w:eastAsia="宋体" w:cs="宋体"/>
              <w:sz w:val="36"/>
              <w:szCs w:val="52"/>
              <w:highlight w:val="none"/>
            </w:rPr>
            <w:fldChar w:fldCharType="end"/>
          </w:r>
        </w:p>
        <w:p>
          <w:pPr>
            <w:pStyle w:val="54"/>
            <w:tabs>
              <w:tab w:val="right" w:leader="dot" w:pos="8731"/>
            </w:tabs>
            <w:rPr>
              <w:rFonts w:hint="eastAsia" w:ascii="宋体" w:hAnsi="宋体" w:eastAsia="宋体" w:cs="宋体"/>
              <w:sz w:val="36"/>
              <w:szCs w:val="36"/>
              <w:highlight w:val="none"/>
            </w:rPr>
          </w:pPr>
          <w:r>
            <w:rPr>
              <w:rFonts w:hint="eastAsia" w:ascii="宋体" w:hAnsi="宋体" w:eastAsia="宋体" w:cs="宋体"/>
              <w:sz w:val="36"/>
              <w:szCs w:val="52"/>
              <w:highlight w:val="none"/>
            </w:rPr>
            <w:fldChar w:fldCharType="begin"/>
          </w:r>
          <w:r>
            <w:rPr>
              <w:rFonts w:hint="eastAsia" w:ascii="宋体" w:hAnsi="宋体" w:eastAsia="宋体" w:cs="宋体"/>
              <w:sz w:val="36"/>
              <w:szCs w:val="52"/>
              <w:highlight w:val="none"/>
            </w:rPr>
            <w:instrText xml:space="preserve"> HYPERLINK \l _Toc12676 </w:instrText>
          </w:r>
          <w:r>
            <w:rPr>
              <w:rFonts w:hint="eastAsia" w:ascii="宋体" w:hAnsi="宋体" w:eastAsia="宋体" w:cs="宋体"/>
              <w:sz w:val="36"/>
              <w:szCs w:val="52"/>
              <w:highlight w:val="none"/>
            </w:rPr>
            <w:fldChar w:fldCharType="separate"/>
          </w:r>
          <w:r>
            <w:rPr>
              <w:rFonts w:hint="eastAsia" w:ascii="宋体" w:hAnsi="宋体" w:eastAsia="宋体" w:cs="宋体"/>
              <w:sz w:val="36"/>
              <w:szCs w:val="72"/>
              <w:highlight w:val="none"/>
            </w:rPr>
            <w:t>第三章 招标需求</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_Toc12676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16</w:t>
          </w:r>
          <w:r>
            <w:rPr>
              <w:rFonts w:hint="eastAsia" w:ascii="宋体" w:hAnsi="宋体" w:eastAsia="宋体" w:cs="宋体"/>
              <w:sz w:val="36"/>
              <w:szCs w:val="36"/>
              <w:highlight w:val="none"/>
            </w:rPr>
            <w:fldChar w:fldCharType="end"/>
          </w:r>
          <w:r>
            <w:rPr>
              <w:rFonts w:hint="eastAsia" w:ascii="宋体" w:hAnsi="宋体" w:eastAsia="宋体" w:cs="宋体"/>
              <w:sz w:val="36"/>
              <w:szCs w:val="52"/>
              <w:highlight w:val="none"/>
            </w:rPr>
            <w:fldChar w:fldCharType="end"/>
          </w:r>
        </w:p>
        <w:p>
          <w:pPr>
            <w:pStyle w:val="54"/>
            <w:tabs>
              <w:tab w:val="right" w:leader="dot" w:pos="8731"/>
            </w:tabs>
            <w:rPr>
              <w:rFonts w:hint="eastAsia" w:ascii="宋体" w:hAnsi="宋体" w:eastAsia="宋体" w:cs="宋体"/>
              <w:sz w:val="36"/>
              <w:szCs w:val="36"/>
              <w:highlight w:val="none"/>
            </w:rPr>
          </w:pPr>
          <w:r>
            <w:rPr>
              <w:rFonts w:hint="eastAsia" w:ascii="宋体" w:hAnsi="宋体" w:eastAsia="宋体" w:cs="宋体"/>
              <w:sz w:val="36"/>
              <w:szCs w:val="52"/>
              <w:highlight w:val="none"/>
            </w:rPr>
            <w:fldChar w:fldCharType="begin"/>
          </w:r>
          <w:r>
            <w:rPr>
              <w:rFonts w:hint="eastAsia" w:ascii="宋体" w:hAnsi="宋体" w:eastAsia="宋体" w:cs="宋体"/>
              <w:sz w:val="36"/>
              <w:szCs w:val="52"/>
              <w:highlight w:val="none"/>
            </w:rPr>
            <w:instrText xml:space="preserve"> HYPERLINK \l _Toc16021 </w:instrText>
          </w:r>
          <w:r>
            <w:rPr>
              <w:rFonts w:hint="eastAsia" w:ascii="宋体" w:hAnsi="宋体" w:eastAsia="宋体" w:cs="宋体"/>
              <w:sz w:val="36"/>
              <w:szCs w:val="52"/>
              <w:highlight w:val="none"/>
            </w:rPr>
            <w:fldChar w:fldCharType="separate"/>
          </w:r>
          <w:r>
            <w:rPr>
              <w:rFonts w:hint="eastAsia" w:ascii="宋体" w:hAnsi="宋体" w:eastAsia="宋体" w:cs="宋体"/>
              <w:sz w:val="36"/>
              <w:szCs w:val="72"/>
              <w:highlight w:val="none"/>
            </w:rPr>
            <w:t>第四章 评标</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_Toc16021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24</w:t>
          </w:r>
          <w:r>
            <w:rPr>
              <w:rFonts w:hint="eastAsia" w:ascii="宋体" w:hAnsi="宋体" w:eastAsia="宋体" w:cs="宋体"/>
              <w:sz w:val="36"/>
              <w:szCs w:val="36"/>
              <w:highlight w:val="none"/>
            </w:rPr>
            <w:fldChar w:fldCharType="end"/>
          </w:r>
          <w:r>
            <w:rPr>
              <w:rFonts w:hint="eastAsia" w:ascii="宋体" w:hAnsi="宋体" w:eastAsia="宋体" w:cs="宋体"/>
              <w:sz w:val="36"/>
              <w:szCs w:val="52"/>
              <w:highlight w:val="none"/>
            </w:rPr>
            <w:fldChar w:fldCharType="end"/>
          </w:r>
        </w:p>
        <w:p>
          <w:pPr>
            <w:pStyle w:val="54"/>
            <w:tabs>
              <w:tab w:val="right" w:leader="dot" w:pos="8731"/>
            </w:tabs>
            <w:rPr>
              <w:rFonts w:hint="eastAsia" w:ascii="宋体" w:hAnsi="宋体" w:eastAsia="宋体" w:cs="宋体"/>
              <w:sz w:val="36"/>
              <w:szCs w:val="36"/>
              <w:highlight w:val="none"/>
            </w:rPr>
          </w:pPr>
          <w:r>
            <w:rPr>
              <w:rFonts w:hint="eastAsia" w:ascii="宋体" w:hAnsi="宋体" w:eastAsia="宋体" w:cs="宋体"/>
              <w:sz w:val="36"/>
              <w:szCs w:val="52"/>
              <w:highlight w:val="none"/>
            </w:rPr>
            <w:fldChar w:fldCharType="begin"/>
          </w:r>
          <w:r>
            <w:rPr>
              <w:rFonts w:hint="eastAsia" w:ascii="宋体" w:hAnsi="宋体" w:eastAsia="宋体" w:cs="宋体"/>
              <w:sz w:val="36"/>
              <w:szCs w:val="52"/>
              <w:highlight w:val="none"/>
            </w:rPr>
            <w:instrText xml:space="preserve"> HYPERLINK \l _Toc15097 </w:instrText>
          </w:r>
          <w:r>
            <w:rPr>
              <w:rFonts w:hint="eastAsia" w:ascii="宋体" w:hAnsi="宋体" w:eastAsia="宋体" w:cs="宋体"/>
              <w:sz w:val="36"/>
              <w:szCs w:val="52"/>
              <w:highlight w:val="none"/>
            </w:rPr>
            <w:fldChar w:fldCharType="separate"/>
          </w:r>
          <w:r>
            <w:rPr>
              <w:rFonts w:hint="eastAsia" w:ascii="宋体" w:hAnsi="宋体" w:eastAsia="宋体" w:cs="宋体"/>
              <w:sz w:val="36"/>
              <w:szCs w:val="72"/>
              <w:highlight w:val="none"/>
            </w:rPr>
            <w:t>第五章 合同文本</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_Toc15097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33</w:t>
          </w:r>
          <w:r>
            <w:rPr>
              <w:rFonts w:hint="eastAsia" w:ascii="宋体" w:hAnsi="宋体" w:eastAsia="宋体" w:cs="宋体"/>
              <w:sz w:val="36"/>
              <w:szCs w:val="36"/>
              <w:highlight w:val="none"/>
            </w:rPr>
            <w:fldChar w:fldCharType="end"/>
          </w:r>
          <w:r>
            <w:rPr>
              <w:rFonts w:hint="eastAsia" w:ascii="宋体" w:hAnsi="宋体" w:eastAsia="宋体" w:cs="宋体"/>
              <w:sz w:val="36"/>
              <w:szCs w:val="52"/>
              <w:highlight w:val="none"/>
            </w:rPr>
            <w:fldChar w:fldCharType="end"/>
          </w:r>
        </w:p>
        <w:p>
          <w:pPr>
            <w:pStyle w:val="54"/>
            <w:tabs>
              <w:tab w:val="right" w:leader="dot" w:pos="8731"/>
            </w:tabs>
            <w:rPr>
              <w:rFonts w:hint="eastAsia" w:ascii="宋体" w:hAnsi="宋体" w:eastAsia="宋体" w:cs="宋体"/>
              <w:sz w:val="36"/>
              <w:szCs w:val="36"/>
              <w:highlight w:val="none"/>
            </w:rPr>
          </w:pPr>
          <w:r>
            <w:rPr>
              <w:rFonts w:hint="eastAsia" w:ascii="宋体" w:hAnsi="宋体" w:eastAsia="宋体" w:cs="宋体"/>
              <w:sz w:val="36"/>
              <w:szCs w:val="52"/>
              <w:highlight w:val="none"/>
            </w:rPr>
            <w:fldChar w:fldCharType="begin"/>
          </w:r>
          <w:r>
            <w:rPr>
              <w:rFonts w:hint="eastAsia" w:ascii="宋体" w:hAnsi="宋体" w:eastAsia="宋体" w:cs="宋体"/>
              <w:sz w:val="36"/>
              <w:szCs w:val="52"/>
              <w:highlight w:val="none"/>
            </w:rPr>
            <w:instrText xml:space="preserve"> HYPERLINK \l _Toc15009 </w:instrText>
          </w:r>
          <w:r>
            <w:rPr>
              <w:rFonts w:hint="eastAsia" w:ascii="宋体" w:hAnsi="宋体" w:eastAsia="宋体" w:cs="宋体"/>
              <w:sz w:val="36"/>
              <w:szCs w:val="52"/>
              <w:highlight w:val="none"/>
            </w:rPr>
            <w:fldChar w:fldCharType="separate"/>
          </w:r>
          <w:r>
            <w:rPr>
              <w:rFonts w:hint="eastAsia" w:ascii="宋体" w:hAnsi="宋体" w:eastAsia="宋体" w:cs="宋体"/>
              <w:sz w:val="36"/>
              <w:szCs w:val="72"/>
              <w:highlight w:val="none"/>
            </w:rPr>
            <w:t>第六章 投标文件格式</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_Toc15009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45</w:t>
          </w:r>
          <w:r>
            <w:rPr>
              <w:rFonts w:hint="eastAsia" w:ascii="宋体" w:hAnsi="宋体" w:eastAsia="宋体" w:cs="宋体"/>
              <w:sz w:val="36"/>
              <w:szCs w:val="36"/>
              <w:highlight w:val="none"/>
            </w:rPr>
            <w:fldChar w:fldCharType="end"/>
          </w:r>
          <w:r>
            <w:rPr>
              <w:rFonts w:hint="eastAsia" w:ascii="宋体" w:hAnsi="宋体" w:eastAsia="宋体" w:cs="宋体"/>
              <w:sz w:val="36"/>
              <w:szCs w:val="52"/>
              <w:highlight w:val="none"/>
            </w:rPr>
            <w:fldChar w:fldCharType="end"/>
          </w:r>
        </w:p>
        <w:p>
          <w:pPr>
            <w:spacing w:line="480" w:lineRule="auto"/>
            <w:rPr>
              <w:rFonts w:hint="eastAsia" w:ascii="宋体" w:hAnsi="宋体" w:eastAsia="宋体" w:cs="宋体"/>
              <w:sz w:val="52"/>
              <w:szCs w:val="52"/>
              <w:highlight w:val="none"/>
            </w:rPr>
          </w:pPr>
          <w:r>
            <w:rPr>
              <w:rFonts w:hint="eastAsia" w:ascii="宋体" w:hAnsi="宋体" w:eastAsia="宋体" w:cs="宋体"/>
              <w:sz w:val="40"/>
              <w:szCs w:val="52"/>
              <w:highlight w:val="none"/>
            </w:rPr>
            <w:fldChar w:fldCharType="end"/>
          </w:r>
        </w:p>
      </w:sdtContent>
    </w:sdt>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rPr>
          <w:rFonts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6" w:name="_Toc1198"/>
      <w:r>
        <w:rPr>
          <w:rFonts w:hint="eastAsia" w:ascii="宋体" w:hAnsi="宋体" w:cs="宋体"/>
          <w:b/>
          <w:kern w:val="0"/>
          <w:sz w:val="36"/>
          <w:szCs w:val="36"/>
          <w:highlight w:val="none"/>
        </w:rPr>
        <w:t>投标邀请</w:t>
      </w:r>
      <w:bookmarkEnd w:id="6"/>
    </w:p>
    <w:p>
      <w:pPr>
        <w:pStyle w:val="3"/>
        <w:ind w:firstLine="480" w:firstLineChars="200"/>
        <w:rPr>
          <w:rFonts w:cs="宋体"/>
          <w:b w:val="0"/>
          <w:sz w:val="24"/>
          <w:szCs w:val="24"/>
          <w:highlight w:val="none"/>
        </w:rPr>
      </w:pPr>
      <w:bookmarkStart w:id="7" w:name="_Toc28359079"/>
      <w:bookmarkStart w:id="8" w:name="_Toc35393621"/>
      <w:bookmarkStart w:id="9" w:name="_Toc28359002"/>
      <w:bookmarkStart w:id="10" w:name="_Toc35393790"/>
      <w:bookmarkStart w:id="11" w:name="_Hlk24379207"/>
      <w:r>
        <w:rPr>
          <w:rFonts w:hint="eastAsia" w:cs="宋体"/>
          <w:b w:val="0"/>
          <w:sz w:val="24"/>
          <w:szCs w:val="24"/>
          <w:highlight w:val="none"/>
          <w:u w:val="single"/>
        </w:rPr>
        <w:t>台州市建设咨询有限公司</w:t>
      </w:r>
      <w:r>
        <w:rPr>
          <w:rFonts w:hint="eastAsia" w:cs="宋体"/>
          <w:b w:val="0"/>
          <w:sz w:val="24"/>
          <w:szCs w:val="24"/>
          <w:highlight w:val="none"/>
        </w:rPr>
        <w:t>受</w:t>
      </w:r>
      <w:r>
        <w:rPr>
          <w:rFonts w:hint="eastAsia" w:cs="宋体"/>
          <w:b w:val="0"/>
          <w:sz w:val="24"/>
          <w:szCs w:val="24"/>
          <w:highlight w:val="none"/>
          <w:u w:val="single"/>
          <w:lang w:eastAsia="zh-CN"/>
        </w:rPr>
        <w:t>台州市开发投资集团有限公司</w:t>
      </w:r>
      <w:r>
        <w:rPr>
          <w:rFonts w:hint="eastAsia" w:cs="宋体"/>
          <w:b w:val="0"/>
          <w:sz w:val="24"/>
          <w:szCs w:val="24"/>
          <w:highlight w:val="none"/>
        </w:rPr>
        <w:t>委托，就</w:t>
      </w:r>
      <w:r>
        <w:rPr>
          <w:rFonts w:hint="eastAsia" w:cs="宋体"/>
          <w:b w:val="0"/>
          <w:sz w:val="24"/>
          <w:szCs w:val="24"/>
          <w:highlight w:val="none"/>
          <w:u w:val="single"/>
          <w:lang w:eastAsia="zh-CN"/>
        </w:rPr>
        <w:t>台州湾新区朝阳未来社区创建实施方案编制及验收全过程咨询服务采购项目</w:t>
      </w:r>
      <w:r>
        <w:rPr>
          <w:rFonts w:hint="eastAsia" w:cs="宋体"/>
          <w:b w:val="0"/>
          <w:sz w:val="24"/>
          <w:szCs w:val="24"/>
          <w:highlight w:val="none"/>
        </w:rPr>
        <w:t>进行公开招标，欢迎符合资格条件的国内投标人参加投标。</w:t>
      </w:r>
    </w:p>
    <w:p>
      <w:pPr>
        <w:pStyle w:val="3"/>
        <w:ind w:firstLine="482" w:firstLineChars="200"/>
        <w:rPr>
          <w:rFonts w:cs="宋体"/>
          <w:bCs/>
          <w:sz w:val="24"/>
          <w:szCs w:val="24"/>
          <w:highlight w:val="none"/>
        </w:rPr>
      </w:pPr>
      <w:r>
        <w:rPr>
          <w:rFonts w:hint="eastAsia" w:cs="宋体"/>
          <w:bCs/>
          <w:sz w:val="24"/>
          <w:szCs w:val="24"/>
          <w:highlight w:val="none"/>
        </w:rPr>
        <w:t>一、项目基本情况</w:t>
      </w:r>
      <w:bookmarkEnd w:id="7"/>
      <w:bookmarkEnd w:id="8"/>
      <w:bookmarkEnd w:id="9"/>
      <w:bookmarkEnd w:id="10"/>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w:t>
      </w:r>
      <w:r>
        <w:rPr>
          <w:rFonts w:hint="eastAsia" w:ascii="宋体" w:hAnsi="宋体" w:cs="Calibri Light"/>
          <w:kern w:val="0"/>
          <w:sz w:val="24"/>
          <w:highlight w:val="none"/>
        </w:rPr>
        <w:t>QBJ2024027</w:t>
      </w:r>
      <w:r>
        <w:rPr>
          <w:rFonts w:ascii="宋体" w:hAnsi="宋体" w:cs="宋体"/>
          <w:sz w:val="24"/>
          <w:highlight w:val="none"/>
        </w:rPr>
        <w:t xml:space="preserve"> </w:t>
      </w:r>
    </w:p>
    <w:bookmarkEnd w:id="11"/>
    <w:p>
      <w:pPr>
        <w:spacing w:line="360" w:lineRule="auto"/>
        <w:ind w:firstLine="480" w:firstLineChars="200"/>
        <w:rPr>
          <w:highlight w:val="none"/>
        </w:rPr>
      </w:pPr>
      <w:r>
        <w:rPr>
          <w:rFonts w:hint="eastAsia" w:ascii="宋体" w:hAnsi="宋体" w:cs="宋体"/>
          <w:sz w:val="24"/>
          <w:highlight w:val="none"/>
        </w:rPr>
        <w:t>项目名称：台州湾新区朝阳未来社区创建实施方案编制及验收全过程咨询服务采购项目</w:t>
      </w:r>
      <w:r>
        <w:rPr>
          <w:highlight w:val="none"/>
        </w:rPr>
        <w:t xml:space="preserve"> </w:t>
      </w:r>
    </w:p>
    <w:tbl>
      <w:tblPr>
        <w:tblStyle w:val="25"/>
        <w:tblpPr w:leftFromText="181" w:rightFromText="181" w:bottomFromText="170" w:vertAnchor="text" w:tblpXSpec="center" w:tblpY="1"/>
        <w:tblOverlap w:val="never"/>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3665"/>
        <w:gridCol w:w="1224"/>
        <w:gridCol w:w="941"/>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3" w:type="dxa"/>
            <w:vAlign w:val="center"/>
          </w:tcPr>
          <w:p>
            <w:pPr>
              <w:tabs>
                <w:tab w:val="left" w:pos="8280"/>
              </w:tabs>
              <w:autoSpaceDE w:val="0"/>
              <w:autoSpaceDN w:val="0"/>
              <w:adjustRightInd w:val="0"/>
              <w:jc w:val="center"/>
              <w:rPr>
                <w:rFonts w:ascii="宋体" w:hAnsi="宋体" w:cs="宋体"/>
                <w:b w:val="0"/>
                <w:bCs/>
                <w:sz w:val="24"/>
                <w:szCs w:val="24"/>
                <w:highlight w:val="none"/>
              </w:rPr>
            </w:pPr>
            <w:r>
              <w:rPr>
                <w:rFonts w:hint="eastAsia" w:ascii="宋体" w:hAnsi="宋体" w:cs="宋体"/>
                <w:b w:val="0"/>
                <w:bCs/>
                <w:sz w:val="24"/>
                <w:szCs w:val="24"/>
                <w:highlight w:val="none"/>
              </w:rPr>
              <w:t>标项号</w:t>
            </w:r>
          </w:p>
        </w:tc>
        <w:tc>
          <w:tcPr>
            <w:tcW w:w="3665" w:type="dxa"/>
            <w:vAlign w:val="center"/>
          </w:tcPr>
          <w:p>
            <w:pPr>
              <w:tabs>
                <w:tab w:val="left" w:pos="8280"/>
              </w:tabs>
              <w:autoSpaceDE w:val="0"/>
              <w:autoSpaceDN w:val="0"/>
              <w:adjustRightInd w:val="0"/>
              <w:ind w:firstLine="120" w:firstLineChars="50"/>
              <w:jc w:val="center"/>
              <w:rPr>
                <w:rFonts w:ascii="宋体" w:hAnsi="宋体" w:cs="宋体"/>
                <w:b w:val="0"/>
                <w:bCs/>
                <w:sz w:val="24"/>
                <w:szCs w:val="24"/>
                <w:highlight w:val="none"/>
              </w:rPr>
            </w:pPr>
            <w:r>
              <w:rPr>
                <w:rFonts w:hint="eastAsia" w:ascii="宋体" w:hAnsi="宋体" w:cs="宋体"/>
                <w:b w:val="0"/>
                <w:bCs/>
                <w:sz w:val="24"/>
                <w:szCs w:val="24"/>
                <w:highlight w:val="none"/>
              </w:rPr>
              <w:t>标项名称</w:t>
            </w:r>
          </w:p>
        </w:tc>
        <w:tc>
          <w:tcPr>
            <w:tcW w:w="1224" w:type="dxa"/>
            <w:vAlign w:val="center"/>
          </w:tcPr>
          <w:p>
            <w:pPr>
              <w:tabs>
                <w:tab w:val="left" w:pos="8280"/>
              </w:tabs>
              <w:autoSpaceDE w:val="0"/>
              <w:autoSpaceDN w:val="0"/>
              <w:adjustRightInd w:val="0"/>
              <w:jc w:val="center"/>
              <w:rPr>
                <w:rFonts w:ascii="宋体" w:hAnsi="宋体" w:cs="宋体"/>
                <w:b w:val="0"/>
                <w:bCs/>
                <w:sz w:val="24"/>
                <w:szCs w:val="24"/>
                <w:highlight w:val="none"/>
              </w:rPr>
            </w:pPr>
            <w:r>
              <w:rPr>
                <w:rFonts w:hint="eastAsia" w:ascii="宋体" w:hAnsi="宋体" w:cs="宋体"/>
                <w:b w:val="0"/>
                <w:bCs/>
                <w:kern w:val="0"/>
                <w:sz w:val="24"/>
                <w:szCs w:val="24"/>
                <w:highlight w:val="none"/>
              </w:rPr>
              <w:t>数量</w:t>
            </w:r>
          </w:p>
        </w:tc>
        <w:tc>
          <w:tcPr>
            <w:tcW w:w="941" w:type="dxa"/>
            <w:vAlign w:val="center"/>
          </w:tcPr>
          <w:p>
            <w:pPr>
              <w:tabs>
                <w:tab w:val="left" w:pos="8280"/>
              </w:tabs>
              <w:autoSpaceDE w:val="0"/>
              <w:autoSpaceDN w:val="0"/>
              <w:adjustRightInd w:val="0"/>
              <w:jc w:val="center"/>
              <w:rPr>
                <w:rFonts w:ascii="宋体" w:hAnsi="宋体" w:cs="宋体"/>
                <w:b w:val="0"/>
                <w:bCs/>
                <w:sz w:val="24"/>
                <w:szCs w:val="24"/>
                <w:highlight w:val="none"/>
              </w:rPr>
            </w:pPr>
            <w:r>
              <w:rPr>
                <w:rFonts w:hint="eastAsia" w:ascii="宋体" w:hAnsi="宋体" w:cs="宋体"/>
                <w:b w:val="0"/>
                <w:bCs/>
                <w:sz w:val="24"/>
                <w:szCs w:val="24"/>
                <w:highlight w:val="none"/>
              </w:rPr>
              <w:t>单位</w:t>
            </w:r>
          </w:p>
        </w:tc>
        <w:tc>
          <w:tcPr>
            <w:tcW w:w="1615" w:type="dxa"/>
            <w:vAlign w:val="center"/>
          </w:tcPr>
          <w:p>
            <w:pPr>
              <w:jc w:val="center"/>
              <w:rPr>
                <w:rFonts w:ascii="宋体" w:hAnsi="宋体" w:cs="宋体"/>
                <w:b w:val="0"/>
                <w:bCs/>
                <w:sz w:val="24"/>
                <w:szCs w:val="24"/>
                <w:highlight w:val="none"/>
              </w:rPr>
            </w:pPr>
            <w:r>
              <w:rPr>
                <w:rFonts w:hint="eastAsia" w:ascii="宋体" w:hAnsi="宋体" w:cs="宋体"/>
                <w:b w:val="0"/>
                <w:bCs/>
                <w:sz w:val="24"/>
                <w:szCs w:val="24"/>
                <w:highlight w:val="none"/>
              </w:rPr>
              <w:t>最高限价</w:t>
            </w:r>
          </w:p>
          <w:p>
            <w:pPr>
              <w:jc w:val="center"/>
              <w:rPr>
                <w:rFonts w:ascii="宋体" w:hAnsi="宋体" w:cs="宋体"/>
                <w:b w:val="0"/>
                <w:bCs/>
                <w:sz w:val="24"/>
                <w:szCs w:val="24"/>
                <w:highlight w:val="none"/>
              </w:rPr>
            </w:pPr>
            <w:r>
              <w:rPr>
                <w:rFonts w:hint="eastAsia" w:ascii="宋体" w:hAnsi="宋体" w:cs="宋体"/>
                <w:b w:val="0"/>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13" w:type="dxa"/>
            <w:vAlign w:val="center"/>
          </w:tcPr>
          <w:p>
            <w:pPr>
              <w:tabs>
                <w:tab w:val="left" w:pos="8280"/>
              </w:tabs>
              <w:autoSpaceDE w:val="0"/>
              <w:autoSpaceDN w:val="0"/>
              <w:adjustRightInd w:val="0"/>
              <w:jc w:val="center"/>
              <w:rPr>
                <w:rFonts w:ascii="宋体" w:hAnsi="宋体" w:cs="宋体"/>
                <w:b w:val="0"/>
                <w:bCs/>
                <w:sz w:val="24"/>
                <w:szCs w:val="24"/>
                <w:highlight w:val="none"/>
              </w:rPr>
            </w:pPr>
            <w:r>
              <w:rPr>
                <w:rFonts w:hint="eastAsia" w:ascii="宋体" w:hAnsi="宋体" w:cs="宋体"/>
                <w:b w:val="0"/>
                <w:bCs/>
                <w:sz w:val="24"/>
                <w:szCs w:val="24"/>
                <w:highlight w:val="none"/>
              </w:rPr>
              <w:t>1</w:t>
            </w:r>
          </w:p>
        </w:tc>
        <w:tc>
          <w:tcPr>
            <w:tcW w:w="3665" w:type="dxa"/>
            <w:vAlign w:val="center"/>
          </w:tcPr>
          <w:p>
            <w:pPr>
              <w:tabs>
                <w:tab w:val="left" w:pos="8280"/>
              </w:tabs>
              <w:autoSpaceDE w:val="0"/>
              <w:autoSpaceDN w:val="0"/>
              <w:adjustRightInd w:val="0"/>
              <w:rPr>
                <w:rFonts w:ascii="宋体" w:hAnsi="宋体" w:cs="宋体"/>
                <w:b w:val="0"/>
                <w:bCs/>
                <w:sz w:val="24"/>
                <w:szCs w:val="24"/>
                <w:highlight w:val="none"/>
              </w:rPr>
            </w:pPr>
            <w:r>
              <w:rPr>
                <w:rFonts w:hint="eastAsia" w:ascii="宋体" w:hAnsi="宋体" w:cs="宋体"/>
                <w:b w:val="0"/>
                <w:bCs/>
                <w:sz w:val="24"/>
                <w:szCs w:val="24"/>
                <w:highlight w:val="none"/>
              </w:rPr>
              <w:t>台州湾新区朝阳未来社区创建实施方案编制及验收全过程咨询服务采购项目</w:t>
            </w:r>
          </w:p>
        </w:tc>
        <w:tc>
          <w:tcPr>
            <w:tcW w:w="1224" w:type="dxa"/>
            <w:vAlign w:val="center"/>
          </w:tcPr>
          <w:p>
            <w:pPr>
              <w:tabs>
                <w:tab w:val="left" w:pos="8280"/>
              </w:tabs>
              <w:autoSpaceDE w:val="0"/>
              <w:autoSpaceDN w:val="0"/>
              <w:adjustRightInd w:val="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p>
        </w:tc>
        <w:tc>
          <w:tcPr>
            <w:tcW w:w="941" w:type="dxa"/>
            <w:vAlign w:val="center"/>
          </w:tcPr>
          <w:p>
            <w:pPr>
              <w:tabs>
                <w:tab w:val="left" w:pos="8280"/>
              </w:tabs>
              <w:autoSpaceDE w:val="0"/>
              <w:autoSpaceDN w:val="0"/>
              <w:adjustRightInd w:val="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项</w:t>
            </w:r>
          </w:p>
        </w:tc>
        <w:tc>
          <w:tcPr>
            <w:tcW w:w="1615" w:type="dxa"/>
            <w:vAlign w:val="center"/>
          </w:tcPr>
          <w:p>
            <w:pPr>
              <w:tabs>
                <w:tab w:val="left" w:pos="8280"/>
              </w:tabs>
              <w:autoSpaceDE w:val="0"/>
              <w:autoSpaceDN w:val="0"/>
              <w:adjustRightInd w:val="0"/>
              <w:jc w:val="center"/>
              <w:rPr>
                <w:rStyle w:val="67"/>
                <w:rFonts w:hint="default" w:ascii="宋体" w:hAnsi="宋体" w:eastAsia="宋体"/>
                <w:b w:val="0"/>
                <w:bCs/>
                <w:sz w:val="24"/>
                <w:szCs w:val="24"/>
                <w:highlight w:val="none"/>
                <w:lang w:val="en-US" w:eastAsia="zh-CN"/>
              </w:rPr>
            </w:pPr>
            <w:r>
              <w:rPr>
                <w:rStyle w:val="67"/>
                <w:rFonts w:hint="eastAsia" w:ascii="宋体" w:hAnsi="宋体"/>
                <w:b w:val="0"/>
                <w:bCs/>
                <w:sz w:val="24"/>
                <w:szCs w:val="24"/>
                <w:highlight w:val="none"/>
                <w:lang w:val="en-US" w:eastAsia="zh-CN"/>
              </w:rPr>
              <w:t>185</w:t>
            </w:r>
          </w:p>
        </w:tc>
      </w:tr>
    </w:tbl>
    <w:p>
      <w:pPr>
        <w:pStyle w:val="3"/>
        <w:tabs>
          <w:tab w:val="left" w:pos="9660"/>
          <w:tab w:val="clear" w:pos="8280"/>
        </w:tabs>
        <w:ind w:right="23" w:firstLine="482" w:firstLineChars="200"/>
        <w:jc w:val="left"/>
        <w:rPr>
          <w:rFonts w:cs="宋体"/>
          <w:bCs/>
          <w:sz w:val="24"/>
          <w:szCs w:val="24"/>
          <w:highlight w:val="none"/>
        </w:rPr>
      </w:pPr>
      <w:bookmarkStart w:id="12" w:name="_Toc35393791"/>
      <w:bookmarkStart w:id="13" w:name="_Toc35393622"/>
      <w:bookmarkStart w:id="14" w:name="_Toc28359080"/>
      <w:bookmarkStart w:id="15" w:name="_Toc28359003"/>
      <w:r>
        <w:rPr>
          <w:rFonts w:hint="eastAsia" w:cs="宋体"/>
          <w:bCs/>
          <w:sz w:val="24"/>
          <w:szCs w:val="24"/>
          <w:highlight w:val="none"/>
        </w:rPr>
        <w:t>二、投标人的资格要求</w:t>
      </w:r>
      <w:bookmarkEnd w:id="12"/>
      <w:bookmarkEnd w:id="13"/>
      <w:bookmarkEnd w:id="14"/>
      <w:bookmarkEnd w:id="15"/>
    </w:p>
    <w:p>
      <w:pPr>
        <w:spacing w:line="360" w:lineRule="auto"/>
        <w:ind w:left="12" w:firstLine="480" w:firstLineChars="200"/>
        <w:jc w:val="left"/>
        <w:rPr>
          <w:rFonts w:ascii="宋体" w:hAnsi="宋体" w:cs="宋体"/>
          <w:sz w:val="24"/>
          <w:highlight w:val="none"/>
        </w:rPr>
      </w:pPr>
      <w:r>
        <w:rPr>
          <w:rFonts w:hint="eastAsia" w:ascii="宋体" w:hAnsi="宋体" w:cs="宋体"/>
          <w:sz w:val="24"/>
          <w:highlight w:val="none"/>
        </w:rPr>
        <w:t>（一）满足《中华人民共和国政府采购法》第二十二条规定。</w:t>
      </w:r>
    </w:p>
    <w:p>
      <w:pPr>
        <w:spacing w:line="360" w:lineRule="auto"/>
        <w:ind w:firstLine="480" w:firstLineChars="200"/>
        <w:rPr>
          <w:rFonts w:ascii="宋体" w:hAnsi="宋体" w:cs="宋体"/>
          <w:sz w:val="24"/>
          <w:highlight w:val="none"/>
        </w:rPr>
      </w:pPr>
      <w:bookmarkStart w:id="16" w:name="_Toc35393792"/>
      <w:bookmarkStart w:id="17" w:name="_Toc28359004"/>
      <w:bookmarkStart w:id="18" w:name="_Toc35393623"/>
      <w:bookmarkStart w:id="19" w:name="_Toc28359081"/>
      <w:r>
        <w:rPr>
          <w:rFonts w:hint="eastAsia" w:ascii="宋体" w:hAnsi="宋体" w:cs="宋体"/>
          <w:sz w:val="24"/>
          <w:highlight w:val="none"/>
        </w:rPr>
        <w:t>（二）本项目的特定资格要求：</w:t>
      </w:r>
      <w:r>
        <w:rPr>
          <w:rFonts w:hint="eastAsia" w:ascii="宋体" w:hAnsi="宋体"/>
          <w:sz w:val="24"/>
          <w:highlight w:val="none"/>
        </w:rPr>
        <w:t>无</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（三）本项目不接受联合体投标。</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ascii="宋体" w:hAnsi="宋体" w:cs="宋体"/>
          <w:sz w:val="24"/>
          <w:highlight w:val="none"/>
        </w:rPr>
        <w:fldChar w:fldCharType="end"/>
      </w:r>
    </w:p>
    <w:p>
      <w:pPr>
        <w:spacing w:line="360" w:lineRule="auto"/>
        <w:ind w:firstLine="480" w:firstLineChars="200"/>
        <w:jc w:val="left"/>
        <w:rPr>
          <w:rFonts w:ascii="宋体" w:hAnsi="宋体"/>
          <w:sz w:val="24"/>
          <w:highlight w:val="none"/>
        </w:rPr>
      </w:pPr>
      <w:r>
        <w:rPr>
          <w:rFonts w:hint="eastAsia" w:ascii="宋体" w:hAnsi="宋体" w:cs="宋体"/>
          <w:sz w:val="24"/>
          <w:highlight w:val="none"/>
        </w:rPr>
        <w:t>（五）</w:t>
      </w:r>
      <w:r>
        <w:rPr>
          <w:rFonts w:hint="eastAsia" w:ascii="宋体" w:hAnsi="宋体"/>
          <w:sz w:val="24"/>
          <w:highlight w:val="none"/>
        </w:rPr>
        <w:t>公益一类事业单位，既不属于政府购买服务的购买主体，也不属于承接主体，不得参与承接政府购买服务。</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（六）</w:t>
      </w:r>
      <w:r>
        <w:rPr>
          <w:rFonts w:hint="eastAsia" w:ascii="宋体" w:hAnsi="宋体" w:cs="宋体"/>
          <w:sz w:val="24"/>
          <w:highlight w:val="none"/>
        </w:rPr>
        <w:t>法律、行政法规规定的其他条件：单位负责人为同一人或者存在直接控股、管理关系的不同</w:t>
      </w:r>
      <w:r>
        <w:rPr>
          <w:rFonts w:hint="eastAsia" w:ascii="宋体" w:hAnsi="宋体" w:cs="宋体"/>
          <w:sz w:val="24"/>
          <w:highlight w:val="none"/>
          <w:lang w:eastAsia="zh-CN"/>
        </w:rPr>
        <w:t>投标人</w:t>
      </w:r>
      <w:r>
        <w:rPr>
          <w:rFonts w:hint="eastAsia" w:ascii="宋体" w:hAnsi="宋体" w:cs="宋体"/>
          <w:sz w:val="24"/>
          <w:highlight w:val="none"/>
        </w:rPr>
        <w:t>，不得同时参加同一项目投标，不得再参与本项目投标。</w:t>
      </w:r>
    </w:p>
    <w:p>
      <w:pPr>
        <w:pStyle w:val="3"/>
        <w:tabs>
          <w:tab w:val="left" w:pos="9660"/>
          <w:tab w:val="clear" w:pos="8280"/>
        </w:tabs>
        <w:ind w:right="23" w:firstLine="482" w:firstLineChars="200"/>
        <w:jc w:val="left"/>
        <w:rPr>
          <w:rFonts w:cs="宋体"/>
          <w:bCs/>
          <w:sz w:val="24"/>
          <w:szCs w:val="24"/>
          <w:highlight w:val="none"/>
        </w:rPr>
      </w:pPr>
      <w:r>
        <w:rPr>
          <w:rFonts w:hint="eastAsia" w:cs="宋体"/>
          <w:bCs/>
          <w:sz w:val="24"/>
          <w:szCs w:val="24"/>
          <w:highlight w:val="none"/>
        </w:rPr>
        <w:t>三、获取招标文件</w:t>
      </w:r>
      <w:bookmarkEnd w:id="16"/>
      <w:bookmarkEnd w:id="17"/>
      <w:bookmarkEnd w:id="18"/>
      <w:bookmarkEnd w:id="19"/>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（一）时间：项目发布之日起至</w:t>
      </w:r>
      <w:r>
        <w:rPr>
          <w:rFonts w:hint="eastAsia" w:ascii="宋体" w:hAnsi="宋体" w:cs="宋体"/>
          <w:sz w:val="24"/>
          <w:highlight w:val="none"/>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highlight w:val="none"/>
        </w:rPr>
      </w:pPr>
      <w:r>
        <w:rPr>
          <w:rFonts w:hint="eastAsia" w:ascii="宋体" w:hAnsi="宋体" w:cs="宋体"/>
          <w:sz w:val="24"/>
          <w:highlight w:val="none"/>
        </w:rPr>
        <w:t>（二）方式：</w:t>
      </w:r>
      <w:r>
        <w:rPr>
          <w:rFonts w:hint="eastAsia" w:ascii="宋体" w:hAnsi="宋体" w:cs="宋体"/>
          <w:b/>
          <w:kern w:val="0"/>
          <w:sz w:val="24"/>
          <w:highlight w:val="none"/>
        </w:rPr>
        <w:t>网上下载-台州湾新区小额工程电子交易平台（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p>
    <w:p>
      <w:pPr>
        <w:pStyle w:val="3"/>
        <w:ind w:right="0" w:firstLine="482" w:firstLineChars="200"/>
        <w:rPr>
          <w:rFonts w:cs="宋体"/>
          <w:bCs/>
          <w:sz w:val="24"/>
          <w:szCs w:val="24"/>
          <w:highlight w:val="none"/>
        </w:rPr>
      </w:pPr>
      <w:bookmarkStart w:id="20" w:name="_Toc35393624"/>
      <w:bookmarkStart w:id="21" w:name="_Toc28359082"/>
      <w:bookmarkStart w:id="22" w:name="_Toc28359005"/>
      <w:bookmarkStart w:id="23" w:name="_Toc35393793"/>
      <w:r>
        <w:rPr>
          <w:rFonts w:hint="eastAsia" w:cs="宋体"/>
          <w:bCs/>
          <w:sz w:val="24"/>
          <w:szCs w:val="24"/>
          <w:highlight w:val="none"/>
        </w:rPr>
        <w:t>四、提交投标文件</w:t>
      </w:r>
      <w:bookmarkEnd w:id="20"/>
      <w:bookmarkEnd w:id="21"/>
      <w:bookmarkEnd w:id="22"/>
      <w:bookmarkEnd w:id="23"/>
    </w:p>
    <w:p>
      <w:pPr>
        <w:spacing w:line="360" w:lineRule="auto"/>
        <w:ind w:firstLine="480" w:firstLineChars="200"/>
        <w:jc w:val="left"/>
        <w:rPr>
          <w:rFonts w:ascii="宋体" w:hAnsi="宋体" w:cs="宋体"/>
          <w:sz w:val="24"/>
          <w:highlight w:val="none"/>
        </w:rPr>
      </w:pPr>
      <w:bookmarkStart w:id="24" w:name="_Toc35393794"/>
      <w:bookmarkStart w:id="25" w:name="_Toc35393625"/>
      <w:bookmarkStart w:id="26" w:name="_Toc28359007"/>
      <w:bookmarkStart w:id="27" w:name="_Toc28359084"/>
      <w:r>
        <w:rPr>
          <w:rFonts w:hint="eastAsia" w:ascii="宋体" w:hAnsi="宋体" w:cs="宋体"/>
          <w:sz w:val="24"/>
          <w:highlight w:val="none"/>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26</w:t>
      </w:r>
      <w:r>
        <w:rPr>
          <w:rFonts w:hint="eastAsia" w:ascii="宋体" w:hAnsi="宋体" w:cs="宋体"/>
          <w:bCs/>
          <w:sz w:val="24"/>
          <w:highlight w:val="none"/>
          <w:u w:val="single"/>
        </w:rPr>
        <w:t>日1</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点00分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（二）投标网址：台州湾新区小额工程电子交易平台（网址：</w:t>
      </w:r>
      <w:r>
        <w:rPr>
          <w:sz w:val="24"/>
          <w:highlight w:val="none"/>
        </w:rPr>
        <w:t>http://www.tzwztb.com/</w:t>
      </w:r>
      <w:r>
        <w:rPr>
          <w:rFonts w:hint="eastAsia" w:ascii="宋体" w:hAnsi="宋体" w:cs="宋体"/>
          <w:sz w:val="24"/>
          <w:highlight w:val="none"/>
        </w:rPr>
        <w:t>）</w:t>
      </w:r>
    </w:p>
    <w:bookmarkEnd w:id="24"/>
    <w:bookmarkEnd w:id="25"/>
    <w:bookmarkEnd w:id="26"/>
    <w:bookmarkEnd w:id="27"/>
    <w:p>
      <w:pPr>
        <w:pStyle w:val="24"/>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pPr>
        <w:pStyle w:val="24"/>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p>
    <w:p>
      <w:pPr>
        <w:pStyle w:val="24"/>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pPr>
        <w:pStyle w:val="3"/>
        <w:ind w:right="0" w:firstLine="482" w:firstLineChars="200"/>
        <w:rPr>
          <w:rFonts w:cs="宋体"/>
          <w:bCs/>
          <w:sz w:val="24"/>
          <w:szCs w:val="24"/>
          <w:highlight w:val="none"/>
        </w:rPr>
      </w:pPr>
      <w:bookmarkStart w:id="28" w:name="_Toc35393795"/>
      <w:bookmarkStart w:id="29" w:name="_Toc35393626"/>
      <w:r>
        <w:rPr>
          <w:rFonts w:hint="eastAsia" w:cs="宋体"/>
          <w:bCs/>
          <w:sz w:val="24"/>
          <w:szCs w:val="24"/>
          <w:highlight w:val="none"/>
        </w:rPr>
        <w:t>六、</w:t>
      </w:r>
      <w:bookmarkEnd w:id="28"/>
      <w:bookmarkEnd w:id="29"/>
      <w:r>
        <w:rPr>
          <w:rFonts w:hint="eastAsia" w:cs="宋体"/>
          <w:bCs/>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2" w:firstLineChars="200"/>
        <w:rPr>
          <w:rFonts w:ascii="宋体" w:hAnsi="宋体" w:cs="宋体"/>
          <w:sz w:val="24"/>
          <w:szCs w:val="20"/>
          <w:highlight w:val="none"/>
        </w:rPr>
      </w:pPr>
      <w:r>
        <w:rPr>
          <w:rFonts w:hint="eastAsia" w:ascii="宋体" w:hAnsi="宋体" w:cs="宋体"/>
          <w:b/>
          <w:bCs/>
          <w:sz w:val="24"/>
          <w:highlight w:val="none"/>
        </w:rPr>
        <w:t>七、投标保证金</w:t>
      </w:r>
      <w:r>
        <w:rPr>
          <w:rFonts w:hint="eastAsia" w:ascii="宋体" w:hAnsi="宋体" w:cs="宋体"/>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lang w:val="en-US" w:eastAsia="zh-CN"/>
        </w:rPr>
        <w:t>3700</w:t>
      </w:r>
      <w:r>
        <w:rPr>
          <w:rFonts w:hint="eastAsia" w:ascii="宋体" w:hAnsi="宋体" w:cs="宋体"/>
          <w:bCs/>
          <w:kern w:val="0"/>
          <w:sz w:val="24"/>
          <w:highlight w:val="none"/>
        </w:rPr>
        <w:t>元。</w:t>
      </w:r>
    </w:p>
    <w:p>
      <w:pPr>
        <w:pStyle w:val="24"/>
        <w:ind w:left="0" w:leftChars="0" w:firstLine="480"/>
        <w:jc w:val="left"/>
        <w:rPr>
          <w:rFonts w:ascii="宋体" w:hAnsi="宋体" w:cs="宋体"/>
          <w:bCs/>
          <w:kern w:val="0"/>
          <w:sz w:val="24"/>
          <w:highlight w:val="none"/>
        </w:rPr>
      </w:pPr>
      <w:r>
        <w:rPr>
          <w:rFonts w:hint="eastAsia" w:ascii="宋体" w:hAnsi="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①工程保函的受益人：台州市开发投资集团有限公司（招标人名称）；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（2）若是投标人委托代理人递交工程保函的，应持针对本</w:t>
      </w:r>
      <w:r>
        <w:rPr>
          <w:rFonts w:hint="eastAsia" w:ascii="宋体" w:hAnsi="宋体" w:cs="宋体"/>
          <w:bCs/>
          <w:kern w:val="0"/>
          <w:sz w:val="24"/>
          <w:highlight w:val="none"/>
          <w:lang w:val="en-US" w:eastAsia="zh-CN"/>
        </w:rPr>
        <w:t>项目</w:t>
      </w:r>
      <w:r>
        <w:rPr>
          <w:rFonts w:hint="eastAsia" w:ascii="宋体" w:hAnsi="宋体" w:cs="宋体"/>
          <w:bCs/>
          <w:kern w:val="0"/>
          <w:sz w:val="24"/>
          <w:highlight w:val="none"/>
        </w:rPr>
        <w:t>的授权委托书原件（投标文件格式</w:t>
      </w:r>
      <w:r>
        <w:rPr>
          <w:rFonts w:hint="eastAsia" w:ascii="宋体" w:hAnsi="宋体" w:cs="宋体"/>
          <w:bCs/>
          <w:kern w:val="0"/>
          <w:sz w:val="24"/>
          <w:highlight w:val="none"/>
          <w:lang w:val="en-US" w:eastAsia="zh-CN"/>
        </w:rPr>
        <w:t>二</w:t>
      </w:r>
      <w:r>
        <w:rPr>
          <w:rFonts w:hint="eastAsia" w:ascii="宋体" w:hAnsi="宋体" w:cs="宋体"/>
          <w:bCs/>
          <w:kern w:val="0"/>
          <w:sz w:val="24"/>
          <w:highlight w:val="none"/>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2</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26</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w:t>
      </w:r>
      <w:r>
        <w:rPr>
          <w:rFonts w:hint="eastAsia" w:ascii="宋体" w:hAnsi="宋体" w:cs="宋体"/>
          <w:bCs/>
          <w:kern w:val="0"/>
          <w:sz w:val="24"/>
          <w:highlight w:val="none"/>
          <w:u w:val="single"/>
        </w:rPr>
        <w:t>0-</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w:t>
      </w:r>
      <w:r>
        <w:rPr>
          <w:rFonts w:hint="eastAsia" w:ascii="宋体" w:hAnsi="宋体" w:cs="宋体"/>
          <w:bCs/>
          <w:kern w:val="0"/>
          <w:sz w:val="24"/>
          <w:highlight w:val="none"/>
          <w:u w:val="single"/>
        </w:rPr>
        <w:t>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88519890</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3、注意事项</w:t>
      </w:r>
    </w:p>
    <w:p>
      <w:pPr>
        <w:pStyle w:val="3"/>
        <w:ind w:firstLine="480" w:firstLineChars="200"/>
        <w:rPr>
          <w:rFonts w:cs="宋体"/>
          <w:b w:val="0"/>
          <w:bCs/>
          <w:kern w:val="0"/>
          <w:sz w:val="24"/>
          <w:szCs w:val="24"/>
          <w:highlight w:val="none"/>
        </w:rPr>
      </w:pPr>
      <w:r>
        <w:rPr>
          <w:rFonts w:hint="eastAsia" w:cs="宋体"/>
          <w:b w:val="0"/>
          <w:bCs/>
          <w:kern w:val="0"/>
          <w:sz w:val="24"/>
          <w:szCs w:val="24"/>
          <w:highlight w:val="none"/>
        </w:rPr>
        <w:t>① 若招标文件允许联合体投标且投标人以联合体身份投标的，由联合体牵头人提交投标保证金；</w:t>
      </w:r>
    </w:p>
    <w:p>
      <w:pPr>
        <w:pStyle w:val="3"/>
        <w:ind w:firstLine="480" w:firstLineChars="200"/>
        <w:rPr>
          <w:rFonts w:cs="宋体"/>
          <w:b w:val="0"/>
          <w:bCs/>
          <w:kern w:val="0"/>
          <w:sz w:val="24"/>
          <w:szCs w:val="24"/>
          <w:highlight w:val="none"/>
        </w:rPr>
      </w:pPr>
      <w:r>
        <w:rPr>
          <w:rFonts w:hint="eastAsia" w:cs="宋体"/>
          <w:b w:val="0"/>
          <w:bCs/>
          <w:kern w:val="0"/>
          <w:sz w:val="24"/>
          <w:szCs w:val="24"/>
          <w:highlight w:val="none"/>
        </w:rPr>
        <w:t>② 现金转账账号根据不同工程（标段）由系统随机生成，此账号只在本工程（标段）中使用有效，请注意核对。账号漏填、混填或错填均视为未按时缴纳保证金。</w:t>
      </w:r>
    </w:p>
    <w:p>
      <w:pPr>
        <w:pStyle w:val="3"/>
        <w:ind w:firstLine="482" w:firstLineChars="200"/>
        <w:rPr>
          <w:rFonts w:cs="宋体"/>
          <w:kern w:val="0"/>
          <w:sz w:val="24"/>
          <w:szCs w:val="24"/>
          <w:highlight w:val="none"/>
        </w:rPr>
      </w:pPr>
      <w:r>
        <w:rPr>
          <w:rFonts w:hint="eastAsia" w:cs="宋体"/>
          <w:kern w:val="0"/>
          <w:sz w:val="24"/>
          <w:szCs w:val="24"/>
          <w:highlight w:val="none"/>
        </w:rPr>
        <w:t>③ 以现金转账形式提交的投标保证金应当从投标人或其上级公司基本账户支付，购买工程保函的费用应当从投标人或其上级公司基本账户支付；</w:t>
      </w:r>
    </w:p>
    <w:p>
      <w:pPr>
        <w:pStyle w:val="3"/>
        <w:ind w:firstLine="482" w:firstLineChars="200"/>
        <w:rPr>
          <w:rFonts w:hint="eastAsia" w:cs="宋体"/>
          <w:b w:val="0"/>
          <w:bCs/>
          <w:kern w:val="0"/>
          <w:sz w:val="24"/>
          <w:szCs w:val="24"/>
          <w:highlight w:val="none"/>
        </w:rPr>
      </w:pPr>
      <w:r>
        <w:rPr>
          <w:rFonts w:hint="eastAsia" w:cs="宋体"/>
          <w:kern w:val="0"/>
          <w:sz w:val="24"/>
          <w:szCs w:val="24"/>
          <w:highlight w:val="none"/>
        </w:rPr>
        <w:t xml:space="preserve">④ </w:t>
      </w:r>
      <w:r>
        <w:rPr>
          <w:rFonts w:hint="eastAsia" w:cs="宋体"/>
          <w:b w:val="0"/>
          <w:bCs/>
          <w:kern w:val="0"/>
          <w:sz w:val="24"/>
          <w:szCs w:val="24"/>
          <w:highlight w:val="none"/>
        </w:rPr>
        <w:t>若有疑问，请咨询技术服务热线：0576-88865501</w:t>
      </w:r>
    </w:p>
    <w:p>
      <w:pPr>
        <w:pStyle w:val="3"/>
        <w:ind w:firstLine="480" w:firstLineChars="200"/>
        <w:rPr>
          <w:rFonts w:hint="eastAsia" w:cs="宋体"/>
          <w:b w:val="0"/>
          <w:bCs/>
          <w:kern w:val="0"/>
          <w:sz w:val="24"/>
          <w:szCs w:val="24"/>
          <w:highlight w:val="none"/>
        </w:rPr>
      </w:pPr>
      <w:r>
        <w:rPr>
          <w:rFonts w:hint="eastAsia" w:cs="宋体"/>
          <w:b w:val="0"/>
          <w:bCs/>
          <w:kern w:val="0"/>
          <w:sz w:val="24"/>
          <w:szCs w:val="24"/>
          <w:highlight w:val="none"/>
        </w:rPr>
        <w:t>⑤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rPr>
        <w:t>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2</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25</w:t>
      </w:r>
      <w:r>
        <w:rPr>
          <w:rFonts w:hint="eastAsia" w:ascii="宋体" w:hAnsi="宋体" w:cs="宋体"/>
          <w:b/>
          <w:bCs/>
          <w:color w:val="000000"/>
          <w:kern w:val="0"/>
          <w:sz w:val="24"/>
          <w:highlight w:val="none"/>
          <w:lang w:val="en-US" w:eastAsia="zh-CN"/>
        </w:rPr>
        <w:t>日</w:t>
      </w:r>
      <w:r>
        <w:rPr>
          <w:rFonts w:hint="eastAsia" w:ascii="宋体" w:hAnsi="宋体" w:cs="宋体"/>
          <w:b/>
          <w:bCs/>
          <w:color w:val="000000"/>
          <w:kern w:val="0"/>
          <w:sz w:val="24"/>
          <w:highlight w:val="none"/>
        </w:rPr>
        <w:t>下午16点前</w:t>
      </w:r>
    </w:p>
    <w:p>
      <w:pPr>
        <w:pStyle w:val="3"/>
        <w:ind w:right="0" w:firstLine="482" w:firstLineChars="200"/>
        <w:rPr>
          <w:rFonts w:cs="宋体"/>
          <w:bCs/>
          <w:sz w:val="24"/>
          <w:szCs w:val="24"/>
          <w:highlight w:val="none"/>
        </w:rPr>
      </w:pPr>
      <w:bookmarkStart w:id="30" w:name="_Toc28359008"/>
      <w:bookmarkStart w:id="31" w:name="_Toc35393627"/>
      <w:bookmarkStart w:id="32" w:name="_Toc35393796"/>
      <w:bookmarkStart w:id="33" w:name="_Toc28359085"/>
      <w:r>
        <w:rPr>
          <w:rFonts w:hint="eastAsia" w:cs="宋体"/>
          <w:bCs/>
          <w:sz w:val="24"/>
          <w:szCs w:val="24"/>
          <w:highlight w:val="none"/>
        </w:rPr>
        <w:t>八、</w:t>
      </w:r>
      <w:bookmarkEnd w:id="30"/>
      <w:bookmarkEnd w:id="31"/>
      <w:bookmarkEnd w:id="32"/>
      <w:bookmarkEnd w:id="33"/>
      <w:r>
        <w:rPr>
          <w:rFonts w:hint="eastAsia" w:cs="宋体"/>
          <w:bCs/>
          <w:sz w:val="24"/>
          <w:szCs w:val="24"/>
          <w:highlight w:val="none"/>
        </w:rPr>
        <w:t>联系方式</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（一）采购人（受理招标文件相关质疑及答复）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cs="宋体"/>
          <w:sz w:val="24"/>
          <w:highlight w:val="none"/>
          <w:u w:val="single"/>
        </w:rPr>
        <w:t>台州市开发投资集团有限公司</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府中路177号开投大厦</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联系人：</w:t>
      </w:r>
      <w:bookmarkStart w:id="34" w:name="_Toc28359009"/>
      <w:bookmarkStart w:id="35" w:name="_Toc28359086"/>
      <w:r>
        <w:rPr>
          <w:rFonts w:hint="eastAsia" w:ascii="宋体" w:hAnsi="宋体" w:cs="宋体"/>
          <w:sz w:val="24"/>
          <w:highlight w:val="none"/>
        </w:rPr>
        <w:t xml:space="preserve"> </w:t>
      </w:r>
      <w:r>
        <w:rPr>
          <w:rFonts w:hint="eastAsia" w:ascii="宋体" w:hAnsi="宋体" w:cs="宋体"/>
          <w:sz w:val="24"/>
          <w:highlight w:val="none"/>
          <w:u w:val="single"/>
        </w:rPr>
        <w:t>黄先生</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0576-88529239</w:t>
      </w:r>
    </w:p>
    <w:bookmarkEnd w:id="34"/>
    <w:bookmarkEnd w:id="35"/>
    <w:p>
      <w:pPr>
        <w:spacing w:line="360"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pPr>
        <w:spacing w:line="360" w:lineRule="auto"/>
        <w:ind w:firstLine="480" w:firstLineChars="200"/>
        <w:rPr>
          <w:rFonts w:hint="eastAsia" w:ascii="宋体" w:hAnsi="宋体" w:eastAsia="宋体" w:cs="宋体"/>
          <w:sz w:val="24"/>
          <w:highlight w:val="none"/>
          <w:u w:val="single"/>
          <w:lang w:eastAsia="zh-CN"/>
        </w:rPr>
      </w:pPr>
      <w:bookmarkStart w:id="36" w:name="_Toc28359010"/>
      <w:bookmarkStart w:id="37" w:name="_Toc28359087"/>
      <w:r>
        <w:rPr>
          <w:rFonts w:hint="eastAsia" w:ascii="宋体" w:hAnsi="宋体" w:cs="宋体"/>
          <w:sz w:val="24"/>
          <w:highlight w:val="none"/>
        </w:rPr>
        <w:t>名 称：</w:t>
      </w:r>
      <w:r>
        <w:rPr>
          <w:rFonts w:hint="eastAsia" w:ascii="宋体" w:hAnsi="宋体" w:cs="宋体"/>
          <w:sz w:val="24"/>
          <w:highlight w:val="none"/>
          <w:u w:val="single"/>
          <w:lang w:val="en-US" w:eastAsia="zh-CN"/>
        </w:rPr>
        <w:t>台州市建设咨询有限公司</w:t>
      </w:r>
    </w:p>
    <w:p>
      <w:p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地 址：</w:t>
      </w:r>
      <w:r>
        <w:rPr>
          <w:rFonts w:hint="eastAsia" w:ascii="宋体" w:hAnsi="宋体" w:cs="宋体"/>
          <w:sz w:val="24"/>
          <w:highlight w:val="none"/>
          <w:u w:val="single"/>
          <w:lang w:val="en-US" w:eastAsia="zh-CN"/>
        </w:rPr>
        <w:t>台州市椒江区葭沚街道工人西路427号</w:t>
      </w:r>
    </w:p>
    <w:p>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项目联系人：</w:t>
      </w:r>
      <w:r>
        <w:rPr>
          <w:rFonts w:hint="eastAsia" w:ascii="宋体" w:hAnsi="宋体" w:cs="宋体"/>
          <w:sz w:val="24"/>
          <w:highlight w:val="none"/>
          <w:u w:val="single"/>
          <w:lang w:val="en-US" w:eastAsia="zh-CN"/>
        </w:rPr>
        <w:t>胡先生</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0576-88519890</w:t>
      </w:r>
    </w:p>
    <w:p>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受理联系人：</w:t>
      </w:r>
      <w:r>
        <w:rPr>
          <w:rFonts w:hint="eastAsia" w:ascii="宋体" w:hAnsi="宋体" w:cs="宋体"/>
          <w:sz w:val="24"/>
          <w:highlight w:val="none"/>
          <w:u w:val="single"/>
          <w:lang w:val="en-US" w:eastAsia="zh-CN"/>
        </w:rPr>
        <w:t>徐先生</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0576-88519890</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（三）同级政府采购监管机构</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名 称：</w:t>
      </w:r>
      <w:r>
        <w:rPr>
          <w:rFonts w:hint="eastAsia" w:asciiTheme="minorEastAsia" w:hAnsiTheme="minorEastAsia" w:eastAsiaTheme="minorEastAsia" w:cstheme="minorEastAsia"/>
          <w:sz w:val="24"/>
          <w:highlight w:val="none"/>
          <w:u w:val="single"/>
        </w:rPr>
        <w:t>台州湾新区司法审计局</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台州市甲南大道东段9号</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single"/>
        </w:rPr>
        <w:t>徐先生</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0576-88538849</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（四）台州湾新区小额工程电子交易平台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蔡先生、王女士</w:t>
      </w:r>
    </w:p>
    <w:p>
      <w:pPr>
        <w:spacing w:line="360" w:lineRule="auto"/>
        <w:ind w:firstLine="480" w:firstLineChars="200"/>
        <w:rPr>
          <w:rFonts w:ascii="宋体" w:hAnsi="宋体" w:cs="宋体"/>
          <w:sz w:val="24"/>
          <w:highlight w:val="none"/>
          <w:shd w:val="clear" w:color="auto" w:fill="FFFFFF"/>
        </w:rPr>
      </w:pPr>
      <w:r>
        <w:rPr>
          <w:rFonts w:hint="eastAsia" w:ascii="宋体" w:hAnsi="宋体" w:cs="宋体"/>
          <w:sz w:val="24"/>
          <w:highlight w:val="none"/>
        </w:rPr>
        <w:t>联系电话：</w:t>
      </w:r>
      <w:r>
        <w:rPr>
          <w:rFonts w:hint="eastAsia" w:ascii="宋体" w:hAnsi="宋体" w:cs="宋体"/>
          <w:sz w:val="24"/>
          <w:highlight w:val="none"/>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highlight w:val="none"/>
        </w:rPr>
      </w:pPr>
      <w:r>
        <w:rPr>
          <w:rFonts w:hint="eastAsia" w:ascii="宋体" w:hAnsi="宋体" w:cs="宋体"/>
          <w:sz w:val="24"/>
          <w:highlight w:val="none"/>
          <w:shd w:val="clear" w:color="auto" w:fill="FFFFFF"/>
        </w:rPr>
        <w:t>台州市建设咨询有限公司</w:t>
      </w:r>
      <w:r>
        <w:rPr>
          <w:rFonts w:hint="eastAsia" w:ascii="宋体" w:hAnsi="宋体" w:cs="宋体"/>
          <w:kern w:val="0"/>
          <w:sz w:val="24"/>
          <w:highlight w:val="none"/>
        </w:rPr>
        <w:t xml:space="preserve">  </w:t>
      </w:r>
    </w:p>
    <w:p>
      <w:pPr>
        <w:widowControl/>
        <w:spacing w:line="360" w:lineRule="auto"/>
        <w:ind w:firstLine="200"/>
        <w:jc w:val="right"/>
        <w:rPr>
          <w:rFonts w:asciiTheme="minorEastAsia" w:hAnsiTheme="minorEastAsia" w:eastAsiaTheme="minorEastAsia" w:cstheme="minorEastAsia"/>
          <w:kern w:val="0"/>
          <w:sz w:val="24"/>
          <w:highlight w:val="none"/>
        </w:rPr>
      </w:pPr>
      <w:r>
        <w:rPr>
          <w:rFonts w:hint="eastAsia" w:ascii="宋体" w:hAnsi="宋体" w:cs="宋体"/>
          <w:kern w:val="0"/>
          <w:sz w:val="24"/>
          <w:highlight w:val="none"/>
        </w:rPr>
        <w:t xml:space="preserve">                                                      </w:t>
      </w:r>
      <w:r>
        <w:rPr>
          <w:rFonts w:hint="eastAsia" w:asciiTheme="minorEastAsia" w:hAnsiTheme="minorEastAsia" w:eastAsiaTheme="minorEastAsia" w:cstheme="minorEastAsia"/>
          <w:kern w:val="0"/>
          <w:sz w:val="24"/>
          <w:highlight w:val="none"/>
        </w:rPr>
        <w:t>202</w:t>
      </w:r>
      <w:r>
        <w:rPr>
          <w:rFonts w:hint="eastAsia" w:asciiTheme="minorEastAsia" w:hAnsiTheme="minorEastAsia" w:eastAsiaTheme="minorEastAsia" w:cstheme="minorEastAsia"/>
          <w:kern w:val="0"/>
          <w:sz w:val="24"/>
          <w:highlight w:val="none"/>
          <w:lang w:val="en-US" w:eastAsia="zh-CN"/>
        </w:rPr>
        <w:t>4</w:t>
      </w:r>
      <w:r>
        <w:rPr>
          <w:rFonts w:hint="eastAsia" w:asciiTheme="minorEastAsia" w:hAnsiTheme="minorEastAsia" w:eastAsiaTheme="minorEastAsia" w:cstheme="minorEastAsia"/>
          <w:kern w:val="0"/>
          <w:sz w:val="24"/>
          <w:highlight w:val="none"/>
        </w:rPr>
        <w:t>年</w:t>
      </w:r>
      <w:r>
        <w:rPr>
          <w:rFonts w:hint="eastAsia" w:asciiTheme="minorEastAsia" w:hAnsiTheme="minorEastAsia" w:eastAsiaTheme="minorEastAsia" w:cstheme="minorEastAsia"/>
          <w:sz w:val="24"/>
          <w:highlight w:val="none"/>
        </w:rPr>
        <w:t>0</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kern w:val="0"/>
          <w:sz w:val="24"/>
          <w:highlight w:val="none"/>
        </w:rPr>
        <w:t>月</w:t>
      </w:r>
    </w:p>
    <w:p>
      <w:pPr>
        <w:pStyle w:val="31"/>
        <w:ind w:firstLine="480"/>
        <w:rPr>
          <w:rFonts w:asciiTheme="minorEastAsia" w:hAnsiTheme="minorEastAsia" w:eastAsiaTheme="minorEastAsia" w:cstheme="minorEastAsia"/>
          <w:kern w:val="0"/>
          <w:highlight w:val="none"/>
        </w:rPr>
      </w:pPr>
    </w:p>
    <w:p>
      <w:pPr>
        <w:pStyle w:val="31"/>
        <w:ind w:firstLine="480"/>
        <w:rPr>
          <w:rFonts w:asciiTheme="minorEastAsia" w:hAnsiTheme="minorEastAsia" w:eastAsiaTheme="minorEastAsia" w:cstheme="minorEastAsia"/>
          <w:kern w:val="0"/>
          <w:highlight w:val="none"/>
        </w:rPr>
      </w:pPr>
    </w:p>
    <w:p>
      <w:pPr>
        <w:pStyle w:val="31"/>
        <w:ind w:firstLine="0" w:firstLineChars="0"/>
        <w:rPr>
          <w:rFonts w:asciiTheme="minorEastAsia" w:hAnsiTheme="minorEastAsia" w:eastAsiaTheme="minorEastAsia" w:cstheme="minorEastAsia"/>
          <w:kern w:val="0"/>
          <w:highlight w:val="none"/>
        </w:rPr>
      </w:pPr>
    </w:p>
    <w:bookmarkEnd w:id="36"/>
    <w:bookmarkEnd w:id="37"/>
    <w:p>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38" w:name="_Toc19662"/>
      <w:r>
        <w:rPr>
          <w:rFonts w:hint="eastAsia" w:asciiTheme="minorEastAsia" w:hAnsiTheme="minorEastAsia" w:eastAsiaTheme="minorEastAsia"/>
          <w:b/>
          <w:sz w:val="36"/>
          <w:szCs w:val="36"/>
          <w:highlight w:val="none"/>
        </w:rPr>
        <w:t>投标人须知</w:t>
      </w:r>
      <w:bookmarkEnd w:id="38"/>
    </w:p>
    <w:p>
      <w:pPr>
        <w:numPr>
          <w:ilvl w:val="0"/>
          <w:numId w:val="7"/>
        </w:numPr>
        <w:ind w:firstLine="482" w:firstLineChars="200"/>
        <w:rPr>
          <w:highlight w:val="none"/>
        </w:rPr>
      </w:pPr>
      <w:r>
        <w:rPr>
          <w:rFonts w:hint="eastAsia" w:asciiTheme="minorEastAsia" w:hAnsiTheme="minorEastAsia" w:eastAsiaTheme="minorEastAsia"/>
          <w:b/>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hint="default" w:ascii="宋体" w:hAnsi="宋体" w:eastAsia="宋体" w:cs="宋体"/>
                <w:highlight w:val="none"/>
                <w:lang w:val="en-US" w:eastAsia="zh-CN"/>
              </w:rPr>
            </w:pPr>
            <w:r>
              <w:rPr>
                <w:rFonts w:hint="eastAsia" w:ascii="宋体" w:hAnsi="宋体" w:cs="宋体"/>
                <w:highlight w:val="none"/>
                <w:lang w:val="en-US" w:eastAsia="zh-CN"/>
              </w:rPr>
              <w:t>项目涉及的施工图设计及施工图审查和报价清单编制允许分包。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答疑会或</w:t>
            </w:r>
          </w:p>
          <w:p>
            <w:pPr>
              <w:spacing w:line="300" w:lineRule="auto"/>
              <w:jc w:val="center"/>
              <w:rPr>
                <w:rFonts w:ascii="宋体" w:hAnsi="宋体" w:cs="宋体"/>
                <w:highlight w:val="none"/>
              </w:rPr>
            </w:pPr>
            <w:r>
              <w:rPr>
                <w:rFonts w:hint="eastAsia" w:ascii="宋体" w:hAnsi="宋体" w:cs="宋体"/>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highlight w:val="none"/>
              </w:rPr>
            </w:pPr>
            <w:r>
              <w:rPr>
                <w:rFonts w:hint="eastAsia" w:ascii="宋体" w:hAnsi="宋体" w:cs="宋体"/>
                <w:highlight w:val="none"/>
              </w:rPr>
              <w:t>2、电子投标文件上传步骤：</w:t>
            </w:r>
          </w:p>
          <w:p>
            <w:pPr>
              <w:spacing w:line="300" w:lineRule="auto"/>
              <w:ind w:firstLine="420" w:firstLineChars="200"/>
              <w:rPr>
                <w:rFonts w:ascii="宋体" w:hAnsi="宋体" w:cs="宋体"/>
                <w:highlight w:val="none"/>
              </w:rPr>
            </w:pPr>
            <w:r>
              <w:rPr>
                <w:rFonts w:hint="eastAsia" w:ascii="宋体" w:hAnsi="宋体" w:cs="宋体"/>
                <w:highlight w:val="none"/>
              </w:rPr>
              <w:t>1) 台州湾新区小额工程电子交易平台（网址：http://www.tzwztb.com/）；</w:t>
            </w:r>
          </w:p>
          <w:p>
            <w:pPr>
              <w:spacing w:line="300" w:lineRule="auto"/>
              <w:ind w:firstLine="420" w:firstLineChars="200"/>
              <w:rPr>
                <w:rFonts w:ascii="宋体" w:hAnsi="宋体" w:cs="宋体"/>
                <w:highlight w:val="none"/>
              </w:rPr>
            </w:pPr>
            <w:r>
              <w:rPr>
                <w:rFonts w:hint="eastAsia" w:ascii="宋体" w:hAnsi="宋体" w:cs="宋体"/>
                <w:highlight w:val="none"/>
              </w:rPr>
              <w:t>2) 投标人应提前办好ca锁（办理网址：http://www.tseal.cn/tcloud/common.xhtml?projId=295），绑定平台账户。</w:t>
            </w:r>
          </w:p>
          <w:p>
            <w:pPr>
              <w:spacing w:line="300" w:lineRule="auto"/>
              <w:ind w:firstLine="420" w:firstLineChars="200"/>
              <w:rPr>
                <w:rFonts w:ascii="宋体" w:hAnsi="宋体" w:cs="宋体"/>
                <w:highlight w:val="none"/>
              </w:rPr>
            </w:pPr>
            <w:r>
              <w:rPr>
                <w:rFonts w:hint="eastAsia" w:ascii="宋体" w:hAnsi="宋体" w:cs="宋体"/>
                <w:highlight w:val="none"/>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投标与开标</w:t>
            </w:r>
          </w:p>
          <w:p>
            <w:pPr>
              <w:spacing w:line="300" w:lineRule="auto"/>
              <w:jc w:val="center"/>
              <w:rPr>
                <w:rFonts w:ascii="宋体" w:hAnsi="宋体" w:cs="宋体"/>
                <w:highlight w:val="none"/>
              </w:rPr>
            </w:pPr>
            <w:r>
              <w:rPr>
                <w:rFonts w:hint="eastAsia" w:ascii="宋体" w:hAnsi="宋体" w:cs="宋体"/>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pPr>
              <w:spacing w:line="300" w:lineRule="auto"/>
              <w:ind w:firstLine="420" w:firstLineChars="200"/>
              <w:rPr>
                <w:rFonts w:ascii="宋体" w:hAnsi="宋体" w:cs="宋体"/>
                <w:highlight w:val="none"/>
              </w:rPr>
            </w:pPr>
            <w:r>
              <w:rPr>
                <w:rFonts w:hint="eastAsia" w:ascii="宋体" w:hAnsi="宋体" w:cs="宋体"/>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信用信息</w:t>
            </w:r>
          </w:p>
          <w:p>
            <w:pPr>
              <w:spacing w:line="300" w:lineRule="auto"/>
              <w:jc w:val="center"/>
              <w:rPr>
                <w:rFonts w:ascii="宋体" w:hAnsi="宋体" w:cs="宋体"/>
                <w:highlight w:val="none"/>
              </w:rPr>
            </w:pPr>
            <w:r>
              <w:rPr>
                <w:rFonts w:hint="eastAsia" w:ascii="宋体" w:hAnsi="宋体" w:cs="宋体"/>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ascii="宋体" w:hAnsi="宋体" w:cs="宋体"/>
                <w:highlight w:val="none"/>
              </w:rPr>
              <w:fldChar w:fldCharType="end"/>
            </w:r>
            <w:r>
              <w:rPr>
                <w:rFonts w:hint="eastAsia" w:ascii="宋体" w:hAnsi="宋体" w:cs="宋体"/>
                <w:highlight w:val="none"/>
              </w:rPr>
              <w:t>）</w:t>
            </w:r>
          </w:p>
          <w:p>
            <w:pPr>
              <w:spacing w:line="30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highlight w:val="none"/>
              </w:rPr>
            </w:pPr>
            <w:r>
              <w:rPr>
                <w:rFonts w:hint="eastAsia" w:ascii="宋体" w:hAnsi="宋体" w:cs="宋体"/>
                <w:highlight w:val="none"/>
              </w:rPr>
              <w:t>本项目投标应以人民币报价；</w:t>
            </w:r>
          </w:p>
          <w:p>
            <w:pPr>
              <w:spacing w:line="300" w:lineRule="auto"/>
              <w:rPr>
                <w:rFonts w:ascii="宋体" w:hAnsi="宋体" w:cs="宋体"/>
                <w:highlight w:val="none"/>
              </w:rPr>
            </w:pPr>
            <w:r>
              <w:rPr>
                <w:rFonts w:hint="eastAsia" w:ascii="宋体" w:hAnsi="宋体" w:cs="宋体"/>
                <w:highlight w:val="none"/>
              </w:rPr>
              <w:t>不论投标结果如何，投标人均应自行承担所有与投标有关的全部费用。</w:t>
            </w:r>
            <w:r>
              <w:rPr>
                <w:rFonts w:hint="eastAsia" w:ascii="宋体" w:hAnsi="宋体" w:cs="宋体"/>
                <w:szCs w:val="21"/>
                <w:highlight w:val="none"/>
              </w:rPr>
              <w:t>本项目招标代理服务费以本项目中标价为基数，按计价格[2002]1980号文件、发改办价格[2003]857号、发改价格[2011]534号收费标准的45%计取，不足6000元按6000元计。由中标</w:t>
            </w:r>
            <w:r>
              <w:rPr>
                <w:rFonts w:hint="eastAsia" w:ascii="宋体" w:hAnsi="宋体" w:cs="宋体"/>
                <w:szCs w:val="21"/>
                <w:highlight w:val="none"/>
                <w:lang w:val="en-US" w:eastAsia="zh-CN"/>
              </w:rPr>
              <w:t>单位</w:t>
            </w:r>
            <w:r>
              <w:rPr>
                <w:rFonts w:hint="eastAsia" w:ascii="宋体" w:hAnsi="宋体" w:cs="宋体"/>
                <w:szCs w:val="21"/>
                <w:highlight w:val="none"/>
              </w:rPr>
              <w:t>在领取中标通知书前支付给招标代理机构。，由中标单位支付，请各投标人报价时综合考虑。</w:t>
            </w:r>
          </w:p>
        </w:tc>
      </w:tr>
    </w:tbl>
    <w:p>
      <w:pPr>
        <w:pStyle w:val="13"/>
        <w:snapToGrid w:val="0"/>
        <w:spacing w:line="360" w:lineRule="auto"/>
        <w:rPr>
          <w:rFonts w:asciiTheme="minorEastAsia" w:hAnsiTheme="minorEastAsia" w:eastAsiaTheme="minorEastAsia"/>
          <w:b/>
          <w:sz w:val="24"/>
          <w:highlight w:val="none"/>
        </w:rPr>
      </w:pPr>
    </w:p>
    <w:p>
      <w:pPr>
        <w:pStyle w:val="13"/>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二、说 明</w:t>
      </w:r>
    </w:p>
    <w:p>
      <w:pPr>
        <w:pStyle w:val="14"/>
        <w:numPr>
          <w:ilvl w:val="0"/>
          <w:numId w:val="8"/>
        </w:numPr>
        <w:spacing w:line="360" w:lineRule="auto"/>
        <w:ind w:left="0" w:leftChars="0"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pPr>
        <w:numPr>
          <w:ilvl w:val="0"/>
          <w:numId w:val="8"/>
        </w:numPr>
        <w:snapToGri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pPr>
        <w:pStyle w:val="9"/>
        <w:spacing w:line="360" w:lineRule="auto"/>
        <w:ind w:firstLine="480" w:firstLineChars="200"/>
        <w:rPr>
          <w:highlight w:val="none"/>
        </w:rPr>
      </w:pPr>
      <w:r>
        <w:rPr>
          <w:highlight w:val="none"/>
        </w:rP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highlight w:val="none"/>
        </w:rPr>
      </w:pPr>
      <w:r>
        <w:rPr>
          <w:rFonts w:hint="eastAsia" w:asciiTheme="minorEastAsia" w:hAnsiTheme="minorEastAsia" w:eastAsiaTheme="minorEastAsia"/>
          <w:sz w:val="24"/>
          <w:szCs w:val="24"/>
          <w:highlight w:val="none"/>
        </w:rPr>
        <w:t>1.</w:t>
      </w: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指采购人委托组织招标的集中采购机构</w:t>
      </w:r>
      <w:r>
        <w:rPr>
          <w:rFonts w:hint="eastAsia" w:cs="Arial"/>
          <w:bCs w:val="0"/>
          <w:sz w:val="24"/>
          <w:szCs w:val="24"/>
          <w:highlight w:val="none"/>
        </w:rPr>
        <w:t>或</w:t>
      </w:r>
      <w:r>
        <w:rPr>
          <w:rFonts w:hint="eastAsia"/>
          <w:bCs w:val="0"/>
          <w:sz w:val="24"/>
          <w:szCs w:val="24"/>
          <w:highlight w:val="none"/>
          <w:lang w:val="zh-CN"/>
        </w:rPr>
        <w:t>采购代理机构；</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pPr>
        <w:snapToGrid w:val="0"/>
        <w:spacing w:line="360" w:lineRule="auto"/>
        <w:ind w:firstLine="480" w:firstLineChars="200"/>
        <w:rPr>
          <w:rFonts w:ascii="宋体" w:hAnsi="宋体"/>
          <w:sz w:val="24"/>
          <w:highlight w:val="none"/>
          <w:lang w:val="zh-CN"/>
        </w:rPr>
      </w:pPr>
      <w:r>
        <w:rPr>
          <w:rFonts w:hint="eastAsia" w:ascii="宋体" w:hAnsi="宋体"/>
          <w:sz w:val="24"/>
          <w:highlight w:val="none"/>
        </w:rPr>
        <w:t>4.</w:t>
      </w: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pPr>
        <w:snapToGrid w:val="0"/>
        <w:spacing w:line="360" w:lineRule="auto"/>
        <w:ind w:firstLine="480" w:firstLineChars="200"/>
        <w:rPr>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以联合体形式投标的，应符合以下规定</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本项目不接受联合体投标。</w:t>
      </w:r>
    </w:p>
    <w:p>
      <w:pPr>
        <w:snapToGrid w:val="0"/>
        <w:spacing w:line="360" w:lineRule="auto"/>
        <w:ind w:firstLine="482" w:firstLineChars="200"/>
        <w:rPr>
          <w:b/>
          <w:bCs/>
          <w:sz w:val="24"/>
          <w:highlight w:val="none"/>
        </w:rPr>
      </w:pPr>
      <w:r>
        <w:rPr>
          <w:rFonts w:hint="eastAsia"/>
          <w:b/>
          <w:bCs/>
          <w:sz w:val="24"/>
          <w:highlight w:val="none"/>
        </w:rPr>
        <w:t>（五）</w:t>
      </w:r>
      <w:r>
        <w:rPr>
          <w:b/>
          <w:bCs/>
          <w:sz w:val="24"/>
          <w:highlight w:val="none"/>
        </w:rPr>
        <w:t>语言文字以及度量衡单位</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1.投标文件以及投标人与</w:t>
      </w:r>
      <w:r>
        <w:rPr>
          <w:rFonts w:hint="eastAsia" w:ascii="宋体" w:hAnsi="宋体" w:cs="宋体" w:eastAsiaTheme="minorEastAsia"/>
          <w:kern w:val="0"/>
          <w:sz w:val="24"/>
          <w:highlight w:val="none"/>
        </w:rPr>
        <w:t>台州市建设咨询有限公司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2.所有计量均采用中国法定的计量单位。</w:t>
      </w:r>
    </w:p>
    <w:p>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3.所有</w:t>
      </w:r>
      <w:r>
        <w:rPr>
          <w:sz w:val="24"/>
          <w:highlight w:val="none"/>
        </w:rPr>
        <w:t>报价一律使用人民币，货币单位：元。</w:t>
      </w:r>
    </w:p>
    <w:p>
      <w:pPr>
        <w:snapToGrid w:val="0"/>
        <w:spacing w:line="360" w:lineRule="auto"/>
        <w:ind w:firstLine="482" w:firstLineChars="200"/>
        <w:rPr>
          <w:b/>
          <w:bCs/>
          <w:sz w:val="24"/>
          <w:highlight w:val="none"/>
        </w:rPr>
      </w:pPr>
      <w:r>
        <w:rPr>
          <w:rFonts w:hint="eastAsia"/>
          <w:b/>
          <w:bCs/>
          <w:sz w:val="24"/>
          <w:highlight w:val="none"/>
        </w:rPr>
        <w:t>（六）</w:t>
      </w:r>
      <w:r>
        <w:rPr>
          <w:b/>
          <w:bCs/>
          <w:sz w:val="24"/>
          <w:highlight w:val="none"/>
        </w:rPr>
        <w:t>现场踏勘</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1.本项目不组织现场踏勘。</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2.投标人自行承担踏勘现场发生的责任、风险和自身费用。</w:t>
      </w:r>
    </w:p>
    <w:p>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3.采购人</w:t>
      </w:r>
      <w:r>
        <w:rPr>
          <w:sz w:val="24"/>
          <w:highlight w:val="none"/>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sz w:val="24"/>
          <w:highlight w:val="none"/>
        </w:rPr>
      </w:pPr>
      <w:r>
        <w:rPr>
          <w:rFonts w:hint="eastAsia" w:hAnsi="宋体"/>
          <w:b/>
          <w:sz w:val="24"/>
          <w:highlight w:val="none"/>
        </w:rPr>
        <w:t>（七）特别说明</w:t>
      </w:r>
    </w:p>
    <w:p>
      <w:pPr>
        <w:pStyle w:val="13"/>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。投标人投标所使用的采购项目实施人员必须为本法人员工。</w:t>
      </w:r>
    </w:p>
    <w:p>
      <w:pPr>
        <w:pStyle w:val="34"/>
        <w:snapToGrid w:val="0"/>
        <w:spacing w:line="360" w:lineRule="auto"/>
        <w:ind w:firstLine="480"/>
        <w:rPr>
          <w:rFonts w:ascii="宋体" w:hAnsi="宋体" w:cs="宋体"/>
          <w:sz w:val="24"/>
          <w:szCs w:val="24"/>
          <w:highlight w:val="none"/>
        </w:rPr>
      </w:pPr>
      <w:r>
        <w:rPr>
          <w:rFonts w:hint="eastAsia" w:asciiTheme="minorEastAsia" w:hAnsiTheme="minorEastAsia" w:eastAsiaTheme="minorEastAsia" w:cstheme="minorBidi"/>
          <w:sz w:val="24"/>
          <w:szCs w:val="24"/>
          <w:highlight w:val="none"/>
        </w:rPr>
        <w:t>2.</w:t>
      </w:r>
      <w:r>
        <w:rPr>
          <w:rFonts w:hint="eastAsia" w:ascii="宋体" w:hAnsi="宋体" w:cs="宋体"/>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三、招标文件</w:t>
      </w:r>
    </w:p>
    <w:p>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（一）招标文件由招标文件目录所列内容组成。</w:t>
      </w:r>
    </w:p>
    <w:p>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（二）投标人在规定的时间内未对招标文件提出疑问、质疑或要求澄清的，将视其为无异议。</w:t>
      </w:r>
    </w:p>
    <w:p>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（三）对招标文件中描述有歧义或前后不一致的地方，评标委员会有权进行评判，但对同一条款的评判应适用于每个投标人。</w:t>
      </w:r>
    </w:p>
    <w:p>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w:t>
      </w:r>
    </w:p>
    <w:p>
      <w:pPr>
        <w:pStyle w:val="5"/>
        <w:spacing w:line="360" w:lineRule="auto"/>
        <w:ind w:firstLine="482" w:firstLineChars="200"/>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（一）投标文件的编制</w:t>
      </w:r>
    </w:p>
    <w:p>
      <w:pPr>
        <w:pStyle w:val="5"/>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投标人获取招标文件后，按照采购组织机构的要求提供：资格标、技术标和商务标</w:t>
      </w:r>
      <w:r>
        <w:rPr>
          <w:rFonts w:hint="eastAsia" w:asciiTheme="minorEastAsia" w:hAnsiTheme="minorEastAsia" w:eastAsiaTheme="minorEastAsia"/>
          <w:kern w:val="0"/>
          <w:sz w:val="24"/>
          <w:highlight w:val="none"/>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highlight w:val="none"/>
        </w:rPr>
      </w:pPr>
      <w:r>
        <w:rPr>
          <w:rFonts w:hint="eastAsia" w:ascii="宋体" w:hAnsi="宋体" w:cs="宋体"/>
          <w:b/>
          <w:sz w:val="24"/>
          <w:highlight w:val="none"/>
        </w:rPr>
        <w:t>▲</w:t>
      </w:r>
      <w:r>
        <w:rPr>
          <w:rFonts w:hint="eastAsia" w:asciiTheme="minorEastAsia" w:hAnsiTheme="minorEastAsia" w:eastAsiaTheme="minorEastAsia"/>
          <w:b/>
          <w:sz w:val="24"/>
          <w:highlight w:val="none"/>
        </w:rPr>
        <w:t>1.资格标</w:t>
      </w:r>
      <w:r>
        <w:rPr>
          <w:rFonts w:hint="eastAsia" w:ascii="宋体" w:hAnsi="宋体"/>
          <w:b/>
          <w:sz w:val="24"/>
          <w:highlight w:val="none"/>
        </w:rPr>
        <w:t>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（1）投标声明书（附件1）；</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（2）授权委托书（法定代表人亲自办理投标事宜的，则无需提交；附件2）；</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（4）具有依法缴纳税收和社会保障资金证明的承诺函（附件3）；</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（5）具有良好的商业信誉和健全的财务会计制度的承诺函（附件4）；</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（6）具有履行合同所必须的设备和专业技术能力的承诺函（附件5）；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（7）需要说明的其他资料。</w:t>
      </w:r>
    </w:p>
    <w:p>
      <w:pPr>
        <w:snapToGrid w:val="0"/>
        <w:spacing w:line="360" w:lineRule="auto"/>
        <w:ind w:firstLine="482" w:firstLineChars="200"/>
        <w:rPr>
          <w:rFonts w:ascii="宋体" w:hAnsi="宋体"/>
          <w:b/>
          <w:sz w:val="24"/>
          <w:highlight w:val="none"/>
        </w:rPr>
      </w:pPr>
      <w:r>
        <w:rPr>
          <w:rFonts w:hint="eastAsia" w:asciiTheme="minorEastAsia" w:hAnsiTheme="minorEastAsia" w:eastAsiaTheme="minorEastAsia"/>
          <w:b/>
          <w:sz w:val="24"/>
          <w:highlight w:val="none"/>
        </w:rPr>
        <w:t>2.</w:t>
      </w:r>
      <w:r>
        <w:rPr>
          <w:rFonts w:hint="eastAsia" w:ascii="宋体" w:hAnsi="宋体" w:eastAsiaTheme="minorEastAsia"/>
          <w:b/>
          <w:sz w:val="24"/>
          <w:highlight w:val="none"/>
        </w:rPr>
        <w:t>技术标</w:t>
      </w:r>
      <w:r>
        <w:rPr>
          <w:rFonts w:hint="eastAsia" w:ascii="宋体" w:hAnsi="宋体"/>
          <w:b/>
          <w:sz w:val="24"/>
          <w:highlight w:val="none"/>
        </w:rPr>
        <w:t>组成</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w:t>
      </w:r>
      <w:r>
        <w:rPr>
          <w:rFonts w:hint="eastAsia" w:ascii="宋体" w:hAnsi="宋体"/>
          <w:bCs/>
          <w:sz w:val="24"/>
          <w:highlight w:val="none"/>
        </w:rPr>
        <w:t>投标人基本情况表（附件6）；</w:t>
      </w:r>
    </w:p>
    <w:p>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（2）技术方案（包括</w:t>
      </w:r>
      <w:r>
        <w:rPr>
          <w:rFonts w:hint="eastAsia" w:ascii="Calibri" w:hAnsi="Calibri" w:cs="Calibri"/>
          <w:sz w:val="24"/>
          <w:highlight w:val="none"/>
        </w:rPr>
        <w:t>项目需求的理解与分析、项目实施方案、重难点分析、保障措施、进度安排等</w:t>
      </w:r>
      <w:r>
        <w:rPr>
          <w:rFonts w:hint="eastAsia" w:ascii="宋体" w:hAnsi="宋体"/>
          <w:bCs/>
          <w:sz w:val="24"/>
          <w:highlight w:val="none"/>
        </w:rPr>
        <w:t>）；</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bCs/>
          <w:sz w:val="24"/>
          <w:highlight w:val="none"/>
        </w:rPr>
        <w:t>）项目实施人员一览表（附件</w:t>
      </w:r>
      <w:r>
        <w:rPr>
          <w:rFonts w:hint="eastAsia" w:ascii="宋体" w:hAnsi="宋体"/>
          <w:bCs/>
          <w:sz w:val="24"/>
          <w:highlight w:val="none"/>
          <w:lang w:val="en-US" w:eastAsia="zh-CN"/>
        </w:rPr>
        <w:t>7</w:t>
      </w:r>
      <w:r>
        <w:rPr>
          <w:rFonts w:hint="eastAsia" w:ascii="宋体" w:hAnsi="宋体"/>
          <w:bCs/>
          <w:sz w:val="24"/>
          <w:highlight w:val="none"/>
        </w:rPr>
        <w:t>）；</w:t>
      </w:r>
    </w:p>
    <w:p>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w:t>
      </w:r>
      <w:r>
        <w:rPr>
          <w:rFonts w:hint="eastAsia" w:ascii="Calibri" w:hAnsi="Calibri" w:cs="Calibri"/>
          <w:sz w:val="24"/>
          <w:highlight w:val="none"/>
        </w:rPr>
        <w:t>服务条款响应表（附件</w:t>
      </w:r>
      <w:r>
        <w:rPr>
          <w:rFonts w:hint="eastAsia" w:ascii="Calibri" w:hAnsi="Calibri" w:cs="Calibri"/>
          <w:sz w:val="24"/>
          <w:highlight w:val="none"/>
          <w:lang w:val="en-US" w:eastAsia="zh-CN"/>
        </w:rPr>
        <w:t>8</w:t>
      </w:r>
      <w:r>
        <w:rPr>
          <w:rFonts w:hint="eastAsia" w:ascii="Calibri" w:hAnsi="Calibri" w:cs="Calibri"/>
          <w:sz w:val="24"/>
          <w:highlight w:val="none"/>
        </w:rPr>
        <w:t>）；</w:t>
      </w:r>
    </w:p>
    <w:p>
      <w:pPr>
        <w:pStyle w:val="5"/>
        <w:widowControl/>
        <w:numPr>
          <w:ilvl w:val="255"/>
          <w:numId w:val="0"/>
        </w:num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）证书一览表（与本项目相关的认证证书或文件；附件</w:t>
      </w:r>
      <w:r>
        <w:rPr>
          <w:rFonts w:hint="eastAsia" w:ascii="宋体" w:hAnsi="宋体"/>
          <w:bCs/>
          <w:sz w:val="24"/>
          <w:highlight w:val="none"/>
          <w:lang w:val="en-US" w:eastAsia="zh-CN"/>
        </w:rPr>
        <w:t>9</w:t>
      </w:r>
      <w:r>
        <w:rPr>
          <w:rFonts w:hint="eastAsia" w:ascii="宋体" w:hAnsi="宋体"/>
          <w:bCs/>
          <w:sz w:val="24"/>
          <w:highlight w:val="none"/>
        </w:rPr>
        <w:t>）；</w:t>
      </w:r>
    </w:p>
    <w:p>
      <w:pPr>
        <w:pStyle w:val="5"/>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）同类业绩证明（如有，需提供合同复印件；附件1</w:t>
      </w:r>
      <w:r>
        <w:rPr>
          <w:rFonts w:hint="eastAsia" w:ascii="宋体" w:hAnsi="宋体"/>
          <w:bCs/>
          <w:sz w:val="24"/>
          <w:highlight w:val="none"/>
          <w:lang w:val="en-US" w:eastAsia="zh-CN"/>
        </w:rPr>
        <w:t>0</w:t>
      </w:r>
      <w:r>
        <w:rPr>
          <w:rFonts w:hint="eastAsia" w:ascii="宋体" w:hAnsi="宋体"/>
          <w:bCs/>
          <w:sz w:val="24"/>
          <w:highlight w:val="none"/>
        </w:rPr>
        <w:t>）；</w:t>
      </w:r>
    </w:p>
    <w:p>
      <w:pPr>
        <w:pStyle w:val="5"/>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7</w:t>
      </w:r>
      <w:r>
        <w:rPr>
          <w:rFonts w:hint="eastAsia" w:ascii="宋体" w:hAnsi="宋体"/>
          <w:bCs/>
          <w:sz w:val="24"/>
          <w:highlight w:val="none"/>
        </w:rPr>
        <w:t>）符合招标文件规定的其他证明文件及评分标准中涉及的其他材料。</w:t>
      </w:r>
    </w:p>
    <w:p>
      <w:pPr>
        <w:autoSpaceDE w:val="0"/>
        <w:autoSpaceDN w:val="0"/>
        <w:adjustRightInd w:val="0"/>
        <w:spacing w:line="360"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3、商务标组成</w:t>
      </w:r>
    </w:p>
    <w:p>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（1）开标一览表（附件</w:t>
      </w:r>
      <w:r>
        <w:rPr>
          <w:rFonts w:hint="eastAsia" w:asciiTheme="minorEastAsia" w:hAnsiTheme="minorEastAsia" w:eastAsiaTheme="minorEastAsia"/>
          <w:kern w:val="0"/>
          <w:sz w:val="24"/>
          <w:highlight w:val="none"/>
          <w:lang w:val="en-US" w:eastAsia="zh-CN"/>
        </w:rPr>
        <w:t>11</w:t>
      </w:r>
      <w:r>
        <w:rPr>
          <w:rFonts w:hint="eastAsia" w:asciiTheme="minorEastAsia" w:hAnsiTheme="minorEastAsia" w:eastAsiaTheme="minorEastAsia"/>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（二）投标报价</w:t>
      </w:r>
    </w:p>
    <w:p>
      <w:pPr>
        <w:pStyle w:val="5"/>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2.投标报价是履行合同的最终价格，</w:t>
      </w:r>
      <w:r>
        <w:rPr>
          <w:rFonts w:hint="eastAsia" w:ascii="宋体" w:hAnsi="宋体"/>
          <w:bCs/>
          <w:spacing w:val="-4"/>
          <w:sz w:val="24"/>
          <w:highlight w:val="none"/>
          <w:lang w:bidi="ar"/>
        </w:rPr>
        <w:t>包括但不限于获取相关研究资料、专家评审、办公、交通、保险、人员、差旅、税费、测试工具费用、招标代理服务费、批文申报及协调等全部费用。</w:t>
      </w:r>
      <w:r>
        <w:rPr>
          <w:rFonts w:hint="eastAsia" w:asciiTheme="minorEastAsia" w:hAnsiTheme="minorEastAsia" w:eastAsiaTheme="minorEastAsia"/>
          <w:bCs/>
          <w:kern w:val="0"/>
          <w:sz w:val="24"/>
          <w:highlight w:val="none"/>
          <w:lang w:eastAsia="zh-CN"/>
        </w:rPr>
        <w:t>投标人</w:t>
      </w:r>
      <w:r>
        <w:rPr>
          <w:rFonts w:hint="eastAsia" w:asciiTheme="minorEastAsia" w:hAnsiTheme="minorEastAsia" w:eastAsiaTheme="minorEastAsia"/>
          <w:bCs/>
          <w:kern w:val="0"/>
          <w:sz w:val="24"/>
          <w:highlight w:val="none"/>
        </w:rPr>
        <w:t>须充分考虑实际服务内容和需求，针对自身实际情况，核算所需的成本及合理的利润，自行报价，结算时由</w:t>
      </w:r>
      <w:r>
        <w:rPr>
          <w:rFonts w:hint="eastAsia" w:asciiTheme="minorEastAsia" w:hAnsiTheme="minorEastAsia" w:eastAsiaTheme="minorEastAsia"/>
          <w:bCs/>
          <w:kern w:val="0"/>
          <w:sz w:val="24"/>
          <w:highlight w:val="none"/>
          <w:lang w:eastAsia="zh-CN"/>
        </w:rPr>
        <w:t>投标人</w:t>
      </w:r>
      <w:r>
        <w:rPr>
          <w:rFonts w:hint="eastAsia" w:asciiTheme="minorEastAsia" w:hAnsiTheme="minorEastAsia" w:eastAsiaTheme="minorEastAsia"/>
          <w:bCs/>
          <w:kern w:val="0"/>
          <w:sz w:val="24"/>
          <w:highlight w:val="none"/>
        </w:rPr>
        <w:t>开具正式发票。各投标人应根据招标人提供的技术资料、工程量清单，以及本工程实际情况和自身的综合实力，竞报投标报价。总报价以人民币元计。知识产权等由投标人在投标报价时综合考虑，以后不作任何调整。</w:t>
      </w:r>
    </w:p>
    <w:p>
      <w:pPr>
        <w:pStyle w:val="5"/>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3.投标报价不得为选择性报价和附有条件的报价。</w:t>
      </w:r>
    </w:p>
    <w:p>
      <w:pPr>
        <w:pStyle w:val="5"/>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（三）投标文件的有效期</w:t>
      </w:r>
    </w:p>
    <w:p>
      <w:pPr>
        <w:pStyle w:val="5"/>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1.投标文件有效期为</w:t>
      </w:r>
      <w:r>
        <w:rPr>
          <w:rFonts w:hint="eastAsia" w:asciiTheme="minorEastAsia" w:hAnsiTheme="minorEastAsia" w:eastAsiaTheme="minorEastAsia" w:cstheme="minorEastAsia"/>
          <w:sz w:val="24"/>
          <w:highlight w:val="none"/>
          <w:lang w:val="en-GB"/>
        </w:rPr>
        <w:t>投标截止日起90天。</w:t>
      </w:r>
    </w:p>
    <w:p>
      <w:pPr>
        <w:pStyle w:val="5"/>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（四）投标文件的签署</w:t>
      </w:r>
    </w:p>
    <w:p>
      <w:pPr>
        <w:pStyle w:val="5"/>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1.投标文件需由法定代表人或经其正式授权的代表签字或盖章。授权代表须出具书面授权证明，其《法定代表人授权书》应附在投标文件中。</w:t>
      </w:r>
    </w:p>
    <w:p>
      <w:pPr>
        <w:pStyle w:val="5"/>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2.投标文件中所有的插字、涂改和增删，必须由法定代表人或经其正式授权的代表在旁边签字或盖章才有效。</w:t>
      </w:r>
    </w:p>
    <w:p>
      <w:pPr>
        <w:pStyle w:val="5"/>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highlight w:val="none"/>
        </w:rPr>
      </w:pPr>
      <w:r>
        <w:rPr>
          <w:rFonts w:hint="eastAsia" w:asciiTheme="minorEastAsia" w:hAnsiTheme="minorEastAsia"/>
          <w:b/>
          <w:bCs/>
          <w:sz w:val="24"/>
          <w:highlight w:val="none"/>
        </w:rPr>
        <w:t>（五）</w:t>
      </w: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五、开标</w:t>
      </w:r>
    </w:p>
    <w:p>
      <w:pPr>
        <w:pStyle w:val="13"/>
        <w:snapToGrid w:val="0"/>
        <w:spacing w:line="360" w:lineRule="auto"/>
        <w:ind w:firstLine="413" w:firstLineChars="196"/>
        <w:rPr>
          <w:rFonts w:hAnsi="宋体"/>
          <w:b/>
          <w:bCs/>
          <w:highlight w:val="none"/>
        </w:rPr>
      </w:pPr>
      <w:r>
        <w:rPr>
          <w:rFonts w:hAnsi="宋体"/>
          <w:b/>
          <w:bCs/>
          <w:highlight w:val="none"/>
        </w:rPr>
        <w:t>（一）开标</w:t>
      </w:r>
    </w:p>
    <w:p>
      <w:pPr>
        <w:pStyle w:val="21"/>
        <w:widowControl w:val="0"/>
        <w:snapToGrid w:val="0"/>
        <w:spacing w:before="156" w:beforeLines="50" w:beforeAutospacing="0" w:after="0" w:afterAutospacing="0" w:line="360" w:lineRule="auto"/>
        <w:ind w:firstLine="480" w:firstLineChars="200"/>
        <w:jc w:val="both"/>
        <w:rPr>
          <w:rFonts w:hint="default"/>
          <w:bCs/>
          <w:highlight w:val="none"/>
        </w:rPr>
      </w:pPr>
      <w:r>
        <w:rPr>
          <w:szCs w:val="21"/>
          <w:highlight w:val="none"/>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28"/>
          <w:highlight w:val="none"/>
        </w:rPr>
        <w:t>http://www.tzwztb.com/live/</w:t>
      </w:r>
      <w:r>
        <w:rPr>
          <w:rStyle w:val="28"/>
          <w:highlight w:val="none"/>
        </w:rPr>
        <w:fldChar w:fldCharType="end"/>
      </w:r>
      <w:r>
        <w:rPr>
          <w:rFonts w:hint="default"/>
          <w:highlight w:val="none"/>
        </w:rPr>
        <w:t xml:space="preserve"> </w:t>
      </w:r>
      <w:r>
        <w:rPr>
          <w:highlight w:val="none"/>
        </w:rPr>
        <w:t>。</w:t>
      </w:r>
    </w:p>
    <w:p>
      <w:pPr>
        <w:pStyle w:val="13"/>
        <w:snapToGrid w:val="0"/>
        <w:spacing w:before="120" w:after="120" w:line="360" w:lineRule="auto"/>
        <w:ind w:firstLine="482" w:firstLineChars="200"/>
        <w:rPr>
          <w:rFonts w:hAnsi="宋体" w:cs="宋体"/>
          <w:b/>
          <w:bCs/>
          <w:sz w:val="24"/>
          <w:highlight w:val="none"/>
        </w:rPr>
      </w:pPr>
      <w:r>
        <w:rPr>
          <w:rFonts w:hAnsi="宋体" w:cs="宋体"/>
          <w:b/>
          <w:bCs/>
          <w:sz w:val="24"/>
          <w:highlight w:val="none"/>
        </w:rPr>
        <w:t>（二） 开标程序：</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1、开标由采购代理机构工作人员主持</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2、投标人</w:t>
      </w:r>
      <w:r>
        <w:rPr>
          <w:rFonts w:hint="eastAsia" w:ascii="宋体" w:hAnsi="宋体" w:cs="宋体"/>
          <w:sz w:val="24"/>
          <w:highlight w:val="none"/>
        </w:rPr>
        <w:t>可</w:t>
      </w:r>
      <w:r>
        <w:rPr>
          <w:rFonts w:ascii="宋体" w:hAnsi="宋体" w:cs="宋体"/>
          <w:sz w:val="24"/>
          <w:highlight w:val="none"/>
        </w:rPr>
        <w:t>进行在线</w:t>
      </w:r>
      <w:r>
        <w:rPr>
          <w:rFonts w:hint="eastAsia" w:ascii="宋体" w:hAnsi="宋体" w:cs="宋体"/>
          <w:sz w:val="24"/>
          <w:highlight w:val="none"/>
        </w:rPr>
        <w:t>沟通</w:t>
      </w:r>
      <w:r>
        <w:rPr>
          <w:rFonts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3、采购人依法对资格文件进行审查，评标委员会对技术文件进行评审。</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5、开启各投标人</w:t>
      </w:r>
      <w:r>
        <w:rPr>
          <w:rFonts w:hint="eastAsia" w:ascii="宋体" w:hAnsi="宋体" w:cs="宋体"/>
          <w:sz w:val="24"/>
          <w:highlight w:val="none"/>
        </w:rPr>
        <w:t>商务</w:t>
      </w:r>
      <w:r>
        <w:rPr>
          <w:rFonts w:ascii="宋体" w:hAnsi="宋体" w:cs="宋体"/>
          <w:sz w:val="24"/>
          <w:highlight w:val="none"/>
        </w:rPr>
        <w:t>文件。</w:t>
      </w:r>
    </w:p>
    <w:p>
      <w:pPr>
        <w:snapToGrid w:val="0"/>
        <w:spacing w:line="360" w:lineRule="auto"/>
        <w:ind w:firstLine="480" w:firstLineChars="200"/>
        <w:rPr>
          <w:rFonts w:ascii="宋体" w:hAnsi="宋体" w:cs="宋体"/>
          <w:sz w:val="24"/>
          <w:highlight w:val="none"/>
          <w:lang w:val="zh-CN"/>
        </w:rPr>
      </w:pPr>
      <w:r>
        <w:rPr>
          <w:rFonts w:ascii="宋体" w:hAnsi="宋体" w:cs="宋体"/>
          <w:sz w:val="24"/>
          <w:highlight w:val="none"/>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7、评标结束后，主持人公布投标</w:t>
      </w:r>
      <w:r>
        <w:rPr>
          <w:rFonts w:hint="eastAsia" w:ascii="宋体" w:hAnsi="宋体" w:cs="宋体"/>
          <w:sz w:val="24"/>
          <w:highlight w:val="none"/>
        </w:rPr>
        <w:t>商务</w:t>
      </w:r>
      <w:r>
        <w:rPr>
          <w:rFonts w:ascii="宋体" w:hAnsi="宋体" w:cs="宋体"/>
          <w:sz w:val="24"/>
          <w:highlight w:val="none"/>
        </w:rPr>
        <w:t>得分、综合得分以及推荐中标候选人排序名单。</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8、开标会议结束。</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9、其他注意事项：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highlight w:val="none"/>
        </w:rPr>
      </w:pPr>
      <w:r>
        <w:rPr>
          <w:rFonts w:hint="eastAsia" w:ascii="宋体" w:hAnsi="宋体"/>
          <w:b/>
          <w:sz w:val="24"/>
          <w:highlight w:val="none"/>
        </w:rPr>
        <w:t>重要事项说明：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（1）开标项目的时间均以国家授时中心发布的时间为准。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（2）若投标人已申请多把CA锁，请注意使用差别。因ca锁使用错误引发的问题，由投标人自己负责。</w:t>
      </w:r>
    </w:p>
    <w:p>
      <w:pPr>
        <w:snapToGrid w:val="0"/>
        <w:spacing w:line="360" w:lineRule="auto"/>
        <w:ind w:firstLine="480" w:firstLineChars="200"/>
        <w:rPr>
          <w:rFonts w:hAnsi="宋体"/>
          <w:bCs/>
          <w:highlight w:val="none"/>
        </w:rPr>
      </w:pPr>
      <w:r>
        <w:rPr>
          <w:rFonts w:hint="eastAsia" w:ascii="宋体" w:hAnsi="宋体" w:cs="宋体"/>
          <w:sz w:val="24"/>
          <w:highlight w:val="none"/>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highlight w:val="none"/>
        </w:rPr>
      </w:pPr>
      <w:r>
        <w:rPr>
          <w:rFonts w:hint="eastAsia" w:ascii="宋体" w:hAnsi="宋体"/>
          <w:b/>
          <w:kern w:val="0"/>
          <w:sz w:val="24"/>
          <w:highlight w:val="none"/>
        </w:rPr>
        <w:t>（三） 异常情况处理：</w:t>
      </w:r>
    </w:p>
    <w:p>
      <w:pPr>
        <w:snapToGrid w:val="0"/>
        <w:spacing w:line="360" w:lineRule="auto"/>
        <w:ind w:firstLine="480" w:firstLineChars="200"/>
        <w:rPr>
          <w:rFonts w:ascii="宋体" w:hAnsi="宋体"/>
          <w:sz w:val="24"/>
          <w:highlight w:val="none"/>
        </w:rPr>
      </w:pPr>
      <w:r>
        <w:rPr>
          <w:rFonts w:hint="eastAsia" w:ascii="宋体" w:hAnsi="宋体"/>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1、电子交易平台发生故障而无法登录访问的；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2、电子交易平台应用或数据库出现错误，不能进行正常操作的；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3、电子交易平台发现严重安全漏洞，有潜在泄密危险的；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4、病毒发作导致不能进行正常操作的；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5、其他无法保证电子交易的公平、公正和安全的情况。</w:t>
      </w:r>
    </w:p>
    <w:p>
      <w:pPr>
        <w:pStyle w:val="5"/>
        <w:spacing w:line="360" w:lineRule="auto"/>
        <w:ind w:firstLine="480" w:firstLineChars="200"/>
        <w:rPr>
          <w:rFonts w:ascii="宋体" w:hAnsi="宋体"/>
          <w:sz w:val="24"/>
          <w:highlight w:val="none"/>
        </w:rPr>
      </w:pPr>
      <w:r>
        <w:rPr>
          <w:rFonts w:hint="eastAsia" w:ascii="宋体" w:hAnsi="宋体"/>
          <w:sz w:val="24"/>
          <w:highlight w:val="none"/>
        </w:rPr>
        <w:t>出现前款规定情形，不影响采购公平、公正性的，采购组织机构可以待上述情形消除后继续组织电子交易活动。</w:t>
      </w:r>
    </w:p>
    <w:p>
      <w:pPr>
        <w:pStyle w:val="5"/>
        <w:spacing w:line="360" w:lineRule="auto"/>
        <w:ind w:firstLine="723" w:firstLineChars="300"/>
        <w:rPr>
          <w:b/>
          <w:bCs/>
          <w:sz w:val="24"/>
          <w:szCs w:val="22"/>
          <w:highlight w:val="none"/>
        </w:rPr>
      </w:pPr>
      <w:r>
        <w:rPr>
          <w:rFonts w:hint="eastAsia"/>
          <w:b/>
          <w:bCs/>
          <w:sz w:val="24"/>
          <w:szCs w:val="22"/>
          <w:highlight w:val="none"/>
        </w:rPr>
        <w:t>（四）开标异议</w:t>
      </w:r>
    </w:p>
    <w:p>
      <w:pPr>
        <w:pStyle w:val="5"/>
        <w:spacing w:line="360" w:lineRule="auto"/>
        <w:ind w:firstLine="480" w:firstLineChars="200"/>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5"/>
        <w:spacing w:line="360" w:lineRule="auto"/>
        <w:ind w:firstLine="723" w:firstLineChars="300"/>
        <w:rPr>
          <w:sz w:val="24"/>
          <w:szCs w:val="22"/>
          <w:highlight w:val="none"/>
        </w:rPr>
      </w:pPr>
      <w:r>
        <w:rPr>
          <w:rFonts w:hint="eastAsia"/>
          <w:b/>
          <w:bCs/>
          <w:sz w:val="24"/>
          <w:szCs w:val="22"/>
          <w:highlight w:val="none"/>
        </w:rPr>
        <w:t>（五）</w:t>
      </w:r>
      <w:r>
        <w:rPr>
          <w:rFonts w:hint="eastAsia"/>
          <w:sz w:val="24"/>
          <w:szCs w:val="22"/>
          <w:highlight w:val="none"/>
        </w:rPr>
        <w:t>投标人不足三家，不得开标。</w:t>
      </w:r>
    </w:p>
    <w:p>
      <w:pPr>
        <w:pStyle w:val="13"/>
        <w:snapToGrid w:val="0"/>
        <w:spacing w:line="360" w:lineRule="auto"/>
        <w:ind w:firstLine="482" w:firstLineChars="200"/>
        <w:rPr>
          <w:rFonts w:asciiTheme="minorEastAsia" w:hAnsiTheme="minorEastAsia"/>
          <w:b/>
          <w:sz w:val="24"/>
          <w:highlight w:val="none"/>
        </w:rPr>
      </w:pPr>
      <w:r>
        <w:rPr>
          <w:rFonts w:hint="eastAsia" w:asciiTheme="minorEastAsia" w:hAnsiTheme="minorEastAsia" w:eastAsiaTheme="minorEastAsia"/>
          <w:b/>
          <w:sz w:val="24"/>
          <w:highlight w:val="none"/>
        </w:rPr>
        <w:t>五、评标（详见第四章）</w:t>
      </w:r>
    </w:p>
    <w:p>
      <w:pPr>
        <w:pStyle w:val="21"/>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六、定标</w:t>
      </w:r>
    </w:p>
    <w:p>
      <w:pPr>
        <w:spacing w:line="360" w:lineRule="auto"/>
        <w:ind w:firstLine="482" w:firstLineChars="200"/>
        <w:rPr>
          <w:rFonts w:ascii="宋体" w:hAnsi="宋体"/>
          <w:b/>
          <w:bCs/>
          <w:kern w:val="0"/>
          <w:sz w:val="24"/>
          <w:highlight w:val="none"/>
        </w:rPr>
      </w:pPr>
      <w:r>
        <w:rPr>
          <w:rFonts w:hint="eastAsia" w:asciiTheme="minorEastAsia" w:hAnsiTheme="minorEastAsia" w:eastAsiaTheme="minorEastAsia"/>
          <w:b/>
          <w:bCs/>
          <w:sz w:val="24"/>
          <w:highlight w:val="none"/>
        </w:rPr>
        <w:t>（一）</w:t>
      </w: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结果公示</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1"/>
        <w:spacing w:before="0" w:beforeAutospacing="0" w:after="0" w:afterAutospacing="0" w:line="360" w:lineRule="auto"/>
        <w:jc w:val="both"/>
        <w:rPr>
          <w:rFonts w:hint="default"/>
          <w:highlight w:val="none"/>
        </w:rPr>
      </w:pPr>
      <w:r>
        <w:rPr>
          <w:highlight w:val="none"/>
        </w:rPr>
        <w:t>采购组织机构自中标候选人确定之日起3个工作日内，在浙江省政府采购网和</w:t>
      </w:r>
      <w:r>
        <w:rPr>
          <w:rFonts w:cs="宋体"/>
          <w:highlight w:val="none"/>
        </w:rPr>
        <w:t>台州湾新区小额工程电子交易平台</w:t>
      </w:r>
      <w:r>
        <w:rPr>
          <w:highlight w:val="none"/>
        </w:rPr>
        <w:t>公告中标结果，中标结果公示期为3日。</w:t>
      </w:r>
    </w:p>
    <w:p>
      <w:pPr>
        <w:pStyle w:val="21"/>
        <w:spacing w:before="0" w:beforeAutospacing="0" w:after="0" w:afterAutospacing="0" w:line="360" w:lineRule="auto"/>
        <w:ind w:firstLine="482" w:firstLineChars="200"/>
        <w:jc w:val="both"/>
        <w:rPr>
          <w:rFonts w:hint="default"/>
          <w:b/>
          <w:bCs/>
          <w:highlight w:val="none"/>
        </w:rPr>
      </w:pPr>
      <w:r>
        <w:rPr>
          <w:rFonts w:asciiTheme="minorEastAsia" w:hAnsiTheme="minorEastAsia" w:eastAsiaTheme="minorEastAsia"/>
          <w:b/>
          <w:bCs/>
          <w:highlight w:val="none"/>
        </w:rPr>
        <w:t>（二）</w:t>
      </w:r>
      <w:r>
        <w:rPr>
          <w:b/>
          <w:bCs/>
          <w:highlight w:val="none"/>
        </w:rPr>
        <w:t>确定中标人</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本项目确定</w:t>
      </w:r>
      <w:r>
        <w:rPr>
          <w:rFonts w:hint="eastAsia" w:ascii="宋体" w:hAnsi="宋体"/>
          <w:kern w:val="0"/>
          <w:sz w:val="24"/>
          <w:highlight w:val="none"/>
        </w:rPr>
        <w:t>一</w:t>
      </w:r>
      <w:r>
        <w:rPr>
          <w:rFonts w:hint="eastAsia" w:ascii="宋体" w:hAnsi="宋体"/>
          <w:kern w:val="0"/>
          <w:sz w:val="24"/>
          <w:highlight w:val="none"/>
        </w:rPr>
        <w:t>名中标人，公示期满后，采购人应确定本项目第一中标候选人为本项目中标人。</w:t>
      </w:r>
    </w:p>
    <w:p>
      <w:pPr>
        <w:pStyle w:val="8"/>
        <w:numPr>
          <w:ilvl w:val="0"/>
          <w:numId w:val="8"/>
        </w:numPr>
        <w:spacing w:line="360" w:lineRule="auto"/>
        <w:ind w:firstLine="482" w:firstLineChars="200"/>
        <w:jc w:val="both"/>
        <w:rPr>
          <w:b/>
          <w:bCs/>
          <w:sz w:val="24"/>
          <w:highlight w:val="none"/>
        </w:rPr>
      </w:pPr>
      <w:r>
        <w:rPr>
          <w:rFonts w:hint="eastAsia"/>
          <w:b/>
          <w:bCs/>
          <w:sz w:val="24"/>
          <w:highlight w:val="none"/>
        </w:rPr>
        <w:t>发放中标通知书</w:t>
      </w:r>
    </w:p>
    <w:p>
      <w:pPr>
        <w:pStyle w:val="9"/>
        <w:tabs>
          <w:tab w:val="left" w:pos="574"/>
        </w:tabs>
        <w:spacing w:line="400" w:lineRule="exact"/>
        <w:ind w:firstLine="480" w:firstLineChars="200"/>
        <w:rPr>
          <w:highlight w:val="none"/>
        </w:rPr>
      </w:pPr>
      <w:r>
        <w:rPr>
          <w:rFonts w:hint="eastAsia"/>
          <w:szCs w:val="32"/>
          <w:highlight w:val="none"/>
        </w:rPr>
        <w:t>采购人应当确定第一中标候选人为中标人。如涉及第二中标候选人和其他投标人资格无效的，评标结果不作调整。</w:t>
      </w:r>
    </w:p>
    <w:p>
      <w:pPr>
        <w:pStyle w:val="9"/>
        <w:tabs>
          <w:tab w:val="left" w:pos="574"/>
        </w:tabs>
        <w:spacing w:line="400" w:lineRule="exact"/>
        <w:ind w:firstLine="480" w:firstLineChars="200"/>
        <w:rPr>
          <w:highlight w:val="none"/>
        </w:rPr>
      </w:pPr>
      <w:r>
        <w:rPr>
          <w:rFonts w:hint="eastAsia"/>
          <w:szCs w:val="32"/>
          <w:highlight w:val="none"/>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9"/>
        <w:tabs>
          <w:tab w:val="left" w:pos="574"/>
        </w:tabs>
        <w:spacing w:line="400" w:lineRule="exact"/>
        <w:ind w:firstLine="480" w:firstLineChars="200"/>
        <w:rPr>
          <w:highlight w:val="none"/>
        </w:rPr>
      </w:pPr>
      <w:r>
        <w:rPr>
          <w:rFonts w:hint="eastAsia"/>
          <w:szCs w:val="32"/>
          <w:highlight w:val="none"/>
        </w:rPr>
        <w:t>中标人确定后，采购人应当向中标人发出《中标通知书》。</w:t>
      </w:r>
    </w:p>
    <w:p>
      <w:pPr>
        <w:pStyle w:val="9"/>
        <w:tabs>
          <w:tab w:val="left" w:pos="574"/>
        </w:tabs>
        <w:spacing w:line="400" w:lineRule="exact"/>
        <w:ind w:firstLine="480" w:firstLineChars="200"/>
        <w:rPr>
          <w:szCs w:val="32"/>
          <w:highlight w:val="none"/>
        </w:rPr>
      </w:pPr>
      <w:r>
        <w:rPr>
          <w:rFonts w:hint="eastAsia"/>
          <w:szCs w:val="32"/>
          <w:highlight w:val="none"/>
        </w:rPr>
        <w:t>采购人在发出《中标通知书》的同时，应当将中标结果在交易场所（发布招标公告的媒体上）通知所有未中标的投标人。</w:t>
      </w:r>
    </w:p>
    <w:p>
      <w:pPr>
        <w:pStyle w:val="9"/>
        <w:tabs>
          <w:tab w:val="left" w:pos="574"/>
        </w:tabs>
        <w:spacing w:line="400" w:lineRule="exact"/>
        <w:ind w:firstLine="480" w:firstLineChars="200"/>
        <w:rPr>
          <w:szCs w:val="32"/>
          <w:highlight w:val="none"/>
        </w:rPr>
      </w:pPr>
      <w:r>
        <w:rPr>
          <w:rFonts w:hint="eastAsia"/>
          <w:szCs w:val="32"/>
          <w:highlight w:val="none"/>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宋体" w:hAnsi="宋体"/>
          <w:b/>
          <w:kern w:val="0"/>
          <w:sz w:val="24"/>
          <w:highlight w:val="none"/>
        </w:rPr>
        <w:t>合同签订</w:t>
      </w:r>
    </w:p>
    <w:p>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2.采购人不得向中标人提出任何不合理的要求作为签订合同的条件。</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3.中标人无故拖延、拒签合同的，将取消中标资格。</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w:t>
      </w:r>
    </w:p>
    <w:p>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八、询问、质疑与投诉</w:t>
      </w:r>
    </w:p>
    <w:p>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（一）询问</w:t>
      </w:r>
    </w:p>
    <w:p>
      <w:pPr>
        <w:pStyle w:val="8"/>
        <w:spacing w:line="360" w:lineRule="auto"/>
        <w:ind w:firstLine="480" w:firstLineChars="200"/>
        <w:jc w:val="both"/>
        <w:rPr>
          <w:rFonts w:ascii="宋体" w:hAnsi="宋体"/>
          <w:sz w:val="24"/>
          <w:highlight w:val="none"/>
        </w:rPr>
      </w:pPr>
      <w:r>
        <w:rPr>
          <w:rFonts w:hint="eastAsia" w:ascii="宋体" w:hAnsi="宋体"/>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pPr>
        <w:pStyle w:val="8"/>
        <w:spacing w:line="360" w:lineRule="auto"/>
        <w:ind w:firstLine="480" w:firstLineChars="200"/>
        <w:jc w:val="both"/>
        <w:rPr>
          <w:rFonts w:ascii="宋体" w:hAnsi="宋体"/>
          <w:sz w:val="24"/>
          <w:highlight w:val="none"/>
        </w:rPr>
      </w:pPr>
      <w:r>
        <w:rPr>
          <w:rFonts w:hint="eastAsia" w:ascii="宋体" w:hAnsi="宋体"/>
          <w:sz w:val="24"/>
          <w:highlight w:val="none"/>
        </w:rPr>
        <w:t>1.报名本项目的投标人认为招标文件、采购过程和中标结果使自己的权益受到损害的，通过书面形式一次性向采购人或采购组织机构提出质疑：</w:t>
      </w:r>
    </w:p>
    <w:p>
      <w:pPr>
        <w:pStyle w:val="8"/>
        <w:spacing w:line="360" w:lineRule="auto"/>
        <w:ind w:firstLine="480" w:firstLineChars="200"/>
        <w:jc w:val="both"/>
        <w:rPr>
          <w:rFonts w:ascii="宋体" w:hAnsi="宋体"/>
          <w:sz w:val="24"/>
          <w:highlight w:val="none"/>
        </w:rPr>
      </w:pPr>
      <w:r>
        <w:rPr>
          <w:rFonts w:hint="eastAsia" w:ascii="宋体" w:hAnsi="宋体"/>
          <w:sz w:val="24"/>
          <w:highlight w:val="none"/>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sz w:val="24"/>
          <w:highlight w:val="none"/>
        </w:rPr>
      </w:pPr>
      <w:r>
        <w:rPr>
          <w:rFonts w:hint="eastAsia" w:ascii="宋体" w:hAnsi="宋体"/>
          <w:sz w:val="24"/>
          <w:highlight w:val="none"/>
        </w:rPr>
        <w:t>（2）投标人对采购过程提出质疑的，应当在各采购程序环节结束之日起7个工作日内提出质疑；</w:t>
      </w:r>
    </w:p>
    <w:p>
      <w:pPr>
        <w:pStyle w:val="8"/>
        <w:spacing w:line="360" w:lineRule="auto"/>
        <w:ind w:firstLine="480" w:firstLineChars="200"/>
        <w:jc w:val="both"/>
        <w:rPr>
          <w:rFonts w:ascii="宋体" w:hAnsi="宋体"/>
          <w:sz w:val="24"/>
          <w:highlight w:val="none"/>
        </w:rPr>
      </w:pPr>
      <w:r>
        <w:rPr>
          <w:rFonts w:hint="eastAsia" w:ascii="宋体" w:hAnsi="宋体"/>
          <w:sz w:val="24"/>
          <w:highlight w:val="none"/>
        </w:rPr>
        <w:t>（3）投标人对中标结果提出质疑的，应当在中标结果公告期限届满之日起7个工作日内提出质疑。</w:t>
      </w:r>
    </w:p>
    <w:p>
      <w:pPr>
        <w:pStyle w:val="8"/>
        <w:spacing w:line="360" w:lineRule="auto"/>
        <w:ind w:firstLine="480" w:firstLineChars="200"/>
        <w:jc w:val="both"/>
        <w:rPr>
          <w:rFonts w:ascii="宋体" w:hAnsi="宋体"/>
          <w:sz w:val="24"/>
          <w:highlight w:val="none"/>
        </w:rPr>
      </w:pPr>
      <w:r>
        <w:rPr>
          <w:rFonts w:hint="eastAsia" w:ascii="宋体" w:hAnsi="宋体"/>
          <w:sz w:val="24"/>
          <w:highlight w:val="none"/>
        </w:rPr>
        <w:t>2.采购人或采购组织机构在收到投标人的书面质疑后7个工作日内作出答复，并以书面形式回复质疑投标人和其他有关投标人，但答复内容不涉及商业秘密。</w:t>
      </w:r>
    </w:p>
    <w:p>
      <w:pPr>
        <w:pStyle w:val="8"/>
        <w:spacing w:line="360" w:lineRule="auto"/>
        <w:ind w:firstLine="480" w:firstLineChars="200"/>
        <w:jc w:val="both"/>
        <w:rPr>
          <w:rFonts w:ascii="宋体" w:hAnsi="宋体"/>
          <w:sz w:val="24"/>
          <w:highlight w:val="none"/>
        </w:rPr>
      </w:pPr>
      <w:r>
        <w:rPr>
          <w:rFonts w:hint="eastAsia" w:ascii="宋体" w:hAnsi="宋体"/>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pPr>
        <w:pStyle w:val="8"/>
        <w:spacing w:line="360" w:lineRule="auto"/>
        <w:ind w:firstLine="480" w:firstLineChars="200"/>
        <w:jc w:val="both"/>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39" w:name="_Toc12676"/>
      <w:r>
        <w:rPr>
          <w:rFonts w:hint="eastAsia" w:asciiTheme="minorEastAsia" w:hAnsiTheme="minorEastAsia" w:eastAsiaTheme="minorEastAsia"/>
          <w:b/>
          <w:sz w:val="36"/>
          <w:szCs w:val="36"/>
          <w:highlight w:val="none"/>
        </w:rPr>
        <w:t>招标需求</w:t>
      </w:r>
      <w:bookmarkEnd w:id="39"/>
    </w:p>
    <w:p>
      <w:pPr>
        <w:tabs>
          <w:tab w:val="left" w:pos="8280"/>
        </w:tabs>
        <w:autoSpaceDE w:val="0"/>
        <w:autoSpaceDN w:val="0"/>
        <w:adjustRightInd w:val="0"/>
        <w:spacing w:line="360" w:lineRule="auto"/>
        <w:ind w:right="25"/>
        <w:rPr>
          <w:sz w:val="24"/>
          <w:highlight w:val="none"/>
        </w:rPr>
      </w:pPr>
      <w:r>
        <w:rPr>
          <w:rFonts w:hint="eastAsia"/>
          <w:b/>
          <w:sz w:val="24"/>
          <w:highlight w:val="none"/>
          <w:lang w:eastAsia="zh-CN"/>
        </w:rPr>
        <w:t>（</w:t>
      </w:r>
      <w:r>
        <w:rPr>
          <w:rFonts w:hint="eastAsia"/>
          <w:b/>
          <w:sz w:val="24"/>
          <w:highlight w:val="none"/>
          <w:lang w:val="en-US" w:eastAsia="zh-CN"/>
        </w:rPr>
        <w:t>一</w:t>
      </w:r>
      <w:r>
        <w:rPr>
          <w:rFonts w:hint="eastAsia"/>
          <w:b/>
          <w:sz w:val="24"/>
          <w:highlight w:val="none"/>
          <w:lang w:eastAsia="zh-CN"/>
        </w:rPr>
        <w:t>）</w:t>
      </w:r>
      <w:r>
        <w:rPr>
          <w:rFonts w:hint="eastAsia"/>
          <w:b/>
          <w:sz w:val="24"/>
          <w:highlight w:val="none"/>
        </w:rPr>
        <w:t>招标项目一览表</w:t>
      </w:r>
    </w:p>
    <w:p>
      <w:pPr>
        <w:tabs>
          <w:tab w:val="left" w:pos="8280"/>
        </w:tabs>
        <w:autoSpaceDE w:val="0"/>
        <w:autoSpaceDN w:val="0"/>
        <w:adjustRightInd w:val="0"/>
        <w:spacing w:line="360" w:lineRule="auto"/>
        <w:ind w:right="25" w:firstLine="280"/>
        <w:rPr>
          <w:sz w:val="24"/>
          <w:highlight w:val="none"/>
        </w:rPr>
      </w:pPr>
      <w:r>
        <w:rPr>
          <w:rFonts w:hint="eastAsia"/>
          <w:sz w:val="24"/>
          <w:highlight w:val="none"/>
        </w:rPr>
        <w:t>本次招标共</w:t>
      </w:r>
      <w:r>
        <w:rPr>
          <w:rFonts w:hint="eastAsia"/>
          <w:sz w:val="24"/>
          <w:highlight w:val="none"/>
          <w:u w:val="single"/>
        </w:rPr>
        <w:t xml:space="preserve"> 1 </w:t>
      </w:r>
      <w:r>
        <w:rPr>
          <w:rFonts w:hint="eastAsia"/>
          <w:sz w:val="24"/>
          <w:highlight w:val="none"/>
        </w:rPr>
        <w:t>个标段，具体内容如下表：</w:t>
      </w:r>
    </w:p>
    <w:tbl>
      <w:tblPr>
        <w:tblStyle w:val="25"/>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513"/>
        <w:gridCol w:w="1174"/>
        <w:gridCol w:w="901"/>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Align w:val="center"/>
          </w:tcPr>
          <w:p>
            <w:pPr>
              <w:tabs>
                <w:tab w:val="left" w:pos="8280"/>
              </w:tabs>
              <w:autoSpaceDE w:val="0"/>
              <w:autoSpaceDN w:val="0"/>
              <w:adjustRightInd w:val="0"/>
              <w:jc w:val="center"/>
              <w:rPr>
                <w:rFonts w:ascii="宋体" w:hAnsi="宋体" w:cs="宋体"/>
                <w:b w:val="0"/>
                <w:bCs/>
                <w:sz w:val="24"/>
                <w:szCs w:val="24"/>
                <w:highlight w:val="none"/>
              </w:rPr>
            </w:pPr>
            <w:r>
              <w:rPr>
                <w:rFonts w:hint="eastAsia" w:ascii="宋体" w:hAnsi="宋体" w:cs="宋体"/>
                <w:b w:val="0"/>
                <w:bCs/>
                <w:sz w:val="24"/>
                <w:szCs w:val="24"/>
                <w:highlight w:val="none"/>
              </w:rPr>
              <w:t>标项号</w:t>
            </w:r>
          </w:p>
        </w:tc>
        <w:tc>
          <w:tcPr>
            <w:tcW w:w="3513" w:type="dxa"/>
            <w:vAlign w:val="center"/>
          </w:tcPr>
          <w:p>
            <w:pPr>
              <w:tabs>
                <w:tab w:val="left" w:pos="8280"/>
              </w:tabs>
              <w:autoSpaceDE w:val="0"/>
              <w:autoSpaceDN w:val="0"/>
              <w:adjustRightInd w:val="0"/>
              <w:ind w:firstLine="120" w:firstLineChars="50"/>
              <w:jc w:val="center"/>
              <w:rPr>
                <w:rFonts w:ascii="宋体" w:hAnsi="宋体" w:cs="宋体"/>
                <w:b w:val="0"/>
                <w:bCs/>
                <w:sz w:val="24"/>
                <w:szCs w:val="24"/>
                <w:highlight w:val="none"/>
              </w:rPr>
            </w:pPr>
            <w:r>
              <w:rPr>
                <w:rFonts w:hint="eastAsia" w:ascii="宋体" w:hAnsi="宋体" w:cs="宋体"/>
                <w:b w:val="0"/>
                <w:bCs/>
                <w:sz w:val="24"/>
                <w:szCs w:val="24"/>
                <w:highlight w:val="none"/>
              </w:rPr>
              <w:t>标项名称</w:t>
            </w:r>
          </w:p>
        </w:tc>
        <w:tc>
          <w:tcPr>
            <w:tcW w:w="1174" w:type="dxa"/>
            <w:vAlign w:val="center"/>
          </w:tcPr>
          <w:p>
            <w:pPr>
              <w:tabs>
                <w:tab w:val="left" w:pos="8280"/>
              </w:tabs>
              <w:autoSpaceDE w:val="0"/>
              <w:autoSpaceDN w:val="0"/>
              <w:adjustRightInd w:val="0"/>
              <w:jc w:val="center"/>
              <w:rPr>
                <w:rFonts w:ascii="宋体" w:hAnsi="宋体" w:cs="宋体"/>
                <w:b w:val="0"/>
                <w:bCs/>
                <w:sz w:val="24"/>
                <w:szCs w:val="24"/>
                <w:highlight w:val="none"/>
              </w:rPr>
            </w:pPr>
            <w:r>
              <w:rPr>
                <w:rFonts w:hint="eastAsia" w:ascii="宋体" w:hAnsi="宋体" w:cs="宋体"/>
                <w:b w:val="0"/>
                <w:bCs/>
                <w:kern w:val="0"/>
                <w:sz w:val="24"/>
                <w:szCs w:val="24"/>
                <w:highlight w:val="none"/>
              </w:rPr>
              <w:t>数量</w:t>
            </w:r>
          </w:p>
        </w:tc>
        <w:tc>
          <w:tcPr>
            <w:tcW w:w="901" w:type="dxa"/>
            <w:vAlign w:val="center"/>
          </w:tcPr>
          <w:p>
            <w:pPr>
              <w:tabs>
                <w:tab w:val="left" w:pos="8280"/>
              </w:tabs>
              <w:autoSpaceDE w:val="0"/>
              <w:autoSpaceDN w:val="0"/>
              <w:adjustRightInd w:val="0"/>
              <w:jc w:val="center"/>
              <w:rPr>
                <w:rFonts w:ascii="宋体" w:hAnsi="宋体" w:cs="宋体"/>
                <w:b w:val="0"/>
                <w:bCs/>
                <w:sz w:val="24"/>
                <w:szCs w:val="24"/>
                <w:highlight w:val="none"/>
              </w:rPr>
            </w:pPr>
            <w:r>
              <w:rPr>
                <w:rFonts w:hint="eastAsia" w:ascii="宋体" w:hAnsi="宋体" w:cs="宋体"/>
                <w:b w:val="0"/>
                <w:bCs/>
                <w:sz w:val="24"/>
                <w:szCs w:val="24"/>
                <w:highlight w:val="none"/>
              </w:rPr>
              <w:t>单位</w:t>
            </w:r>
          </w:p>
        </w:tc>
        <w:tc>
          <w:tcPr>
            <w:tcW w:w="1548" w:type="dxa"/>
            <w:vAlign w:val="center"/>
          </w:tcPr>
          <w:p>
            <w:pPr>
              <w:jc w:val="center"/>
              <w:rPr>
                <w:rFonts w:ascii="宋体" w:hAnsi="宋体" w:cs="宋体"/>
                <w:b w:val="0"/>
                <w:bCs/>
                <w:sz w:val="24"/>
                <w:szCs w:val="24"/>
                <w:highlight w:val="none"/>
              </w:rPr>
            </w:pPr>
            <w:r>
              <w:rPr>
                <w:rFonts w:hint="eastAsia" w:ascii="宋体" w:hAnsi="宋体" w:cs="宋体"/>
                <w:b w:val="0"/>
                <w:bCs/>
                <w:sz w:val="24"/>
                <w:szCs w:val="24"/>
                <w:highlight w:val="none"/>
              </w:rPr>
              <w:t>最高限价</w:t>
            </w:r>
          </w:p>
          <w:p>
            <w:pPr>
              <w:jc w:val="center"/>
              <w:rPr>
                <w:rFonts w:ascii="宋体" w:hAnsi="宋体" w:cs="宋体"/>
                <w:b w:val="0"/>
                <w:bCs/>
                <w:sz w:val="24"/>
                <w:szCs w:val="24"/>
                <w:highlight w:val="none"/>
              </w:rPr>
            </w:pPr>
            <w:r>
              <w:rPr>
                <w:rFonts w:hint="eastAsia" w:ascii="宋体" w:hAnsi="宋体" w:cs="宋体"/>
                <w:b w:val="0"/>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62" w:type="dxa"/>
            <w:vAlign w:val="center"/>
          </w:tcPr>
          <w:p>
            <w:pPr>
              <w:tabs>
                <w:tab w:val="left" w:pos="8280"/>
              </w:tabs>
              <w:autoSpaceDE w:val="0"/>
              <w:autoSpaceDN w:val="0"/>
              <w:adjustRightInd w:val="0"/>
              <w:jc w:val="center"/>
              <w:rPr>
                <w:rFonts w:ascii="宋体" w:hAnsi="宋体" w:cs="宋体"/>
                <w:b w:val="0"/>
                <w:bCs/>
                <w:sz w:val="24"/>
                <w:szCs w:val="24"/>
                <w:highlight w:val="none"/>
              </w:rPr>
            </w:pPr>
            <w:r>
              <w:rPr>
                <w:rFonts w:hint="eastAsia" w:ascii="宋体" w:hAnsi="宋体" w:cs="宋体"/>
                <w:b w:val="0"/>
                <w:bCs/>
                <w:sz w:val="24"/>
                <w:szCs w:val="24"/>
                <w:highlight w:val="none"/>
              </w:rPr>
              <w:t>1</w:t>
            </w:r>
          </w:p>
        </w:tc>
        <w:tc>
          <w:tcPr>
            <w:tcW w:w="3513" w:type="dxa"/>
            <w:vAlign w:val="center"/>
          </w:tcPr>
          <w:p>
            <w:pPr>
              <w:tabs>
                <w:tab w:val="left" w:pos="8280"/>
              </w:tabs>
              <w:autoSpaceDE w:val="0"/>
              <w:autoSpaceDN w:val="0"/>
              <w:adjustRightInd w:val="0"/>
              <w:rPr>
                <w:rFonts w:ascii="宋体" w:hAnsi="宋体" w:cs="宋体"/>
                <w:b w:val="0"/>
                <w:bCs/>
                <w:sz w:val="24"/>
                <w:szCs w:val="24"/>
                <w:highlight w:val="none"/>
              </w:rPr>
            </w:pPr>
            <w:r>
              <w:rPr>
                <w:rFonts w:hint="eastAsia" w:ascii="宋体" w:hAnsi="宋体" w:cs="宋体"/>
                <w:b w:val="0"/>
                <w:bCs/>
                <w:sz w:val="24"/>
                <w:szCs w:val="24"/>
                <w:highlight w:val="none"/>
              </w:rPr>
              <w:t>台州湾新区朝阳未来社区创建实施方案编制及验收全过程咨询服务采购项目</w:t>
            </w:r>
          </w:p>
        </w:tc>
        <w:tc>
          <w:tcPr>
            <w:tcW w:w="1174" w:type="dxa"/>
            <w:vAlign w:val="center"/>
          </w:tcPr>
          <w:p>
            <w:pPr>
              <w:tabs>
                <w:tab w:val="left" w:pos="8280"/>
              </w:tabs>
              <w:autoSpaceDE w:val="0"/>
              <w:autoSpaceDN w:val="0"/>
              <w:adjustRightInd w:val="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p>
        </w:tc>
        <w:tc>
          <w:tcPr>
            <w:tcW w:w="901" w:type="dxa"/>
            <w:vAlign w:val="center"/>
          </w:tcPr>
          <w:p>
            <w:pPr>
              <w:tabs>
                <w:tab w:val="left" w:pos="8280"/>
              </w:tabs>
              <w:autoSpaceDE w:val="0"/>
              <w:autoSpaceDN w:val="0"/>
              <w:adjustRightInd w:val="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项</w:t>
            </w:r>
          </w:p>
        </w:tc>
        <w:tc>
          <w:tcPr>
            <w:tcW w:w="1548" w:type="dxa"/>
            <w:vAlign w:val="center"/>
          </w:tcPr>
          <w:p>
            <w:pPr>
              <w:tabs>
                <w:tab w:val="left" w:pos="8280"/>
              </w:tabs>
              <w:autoSpaceDE w:val="0"/>
              <w:autoSpaceDN w:val="0"/>
              <w:adjustRightInd w:val="0"/>
              <w:jc w:val="center"/>
              <w:rPr>
                <w:rStyle w:val="67"/>
                <w:rFonts w:hint="default" w:ascii="宋体" w:hAnsi="宋体" w:eastAsia="宋体"/>
                <w:b w:val="0"/>
                <w:bCs/>
                <w:sz w:val="24"/>
                <w:szCs w:val="24"/>
                <w:highlight w:val="none"/>
                <w:lang w:val="en-US" w:eastAsia="zh-CN"/>
              </w:rPr>
            </w:pPr>
            <w:r>
              <w:rPr>
                <w:rStyle w:val="67"/>
                <w:rFonts w:hint="eastAsia" w:ascii="宋体" w:hAnsi="宋体"/>
                <w:b w:val="0"/>
                <w:bCs/>
                <w:sz w:val="24"/>
                <w:szCs w:val="24"/>
                <w:highlight w:val="none"/>
                <w:lang w:val="en-US" w:eastAsia="zh-CN"/>
              </w:rPr>
              <w:t>185</w:t>
            </w:r>
          </w:p>
        </w:tc>
      </w:tr>
    </w:tbl>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（二）项目概况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台州湾新区朝阳社区辖区面积</w:t>
      </w:r>
      <w:r>
        <w:rPr>
          <w:rFonts w:hint="eastAsia" w:ascii="宋体" w:hAnsi="宋体" w:eastAsia="宋体" w:cs="宋体"/>
          <w:sz w:val="24"/>
          <w:szCs w:val="24"/>
          <w:highlight w:val="none"/>
        </w:rPr>
        <w:t>共计2.785平方公里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位于浙江省台州市椒江区南侧。</w:t>
      </w:r>
      <w:r>
        <w:rPr>
          <w:rFonts w:hint="eastAsia" w:ascii="宋体" w:hAnsi="宋体" w:eastAsia="宋体" w:cs="宋体"/>
          <w:color w:val="000000"/>
          <w:kern w:val="0"/>
          <w:sz w:val="24"/>
          <w:szCs w:val="24"/>
          <w:highlight w:val="none"/>
        </w:rPr>
        <w:t>根据省市区“未来社区”相关工作要求，</w:t>
      </w:r>
      <w:r>
        <w:rPr>
          <w:rFonts w:hint="eastAsia" w:ascii="宋体" w:hAnsi="宋体" w:eastAsia="宋体" w:cs="宋体"/>
          <w:color w:val="000000"/>
          <w:kern w:val="0"/>
          <w:sz w:val="24"/>
          <w:szCs w:val="24"/>
          <w:highlight w:val="none"/>
          <w:lang w:val="en-US" w:eastAsia="zh-CN"/>
        </w:rPr>
        <w:t>结合</w:t>
      </w:r>
      <w:r>
        <w:rPr>
          <w:rFonts w:hint="eastAsia" w:ascii="宋体" w:hAnsi="宋体" w:eastAsia="宋体" w:cs="宋体"/>
          <w:b w:val="0"/>
          <w:bCs w:val="0"/>
          <w:sz w:val="24"/>
          <w:szCs w:val="24"/>
          <w:highlight w:val="none"/>
        </w:rPr>
        <w:t>《省风貌办关于开展浙江省第八批未来社区创建的通知》</w:t>
      </w:r>
      <w:r>
        <w:rPr>
          <w:rFonts w:hint="eastAsia" w:ascii="宋体" w:hAnsi="宋体" w:eastAsia="宋体" w:cs="宋体"/>
          <w:b w:val="0"/>
          <w:bCs w:val="0"/>
          <w:sz w:val="24"/>
          <w:szCs w:val="24"/>
          <w:highlight w:val="none"/>
          <w:lang w:val="en-US" w:eastAsia="zh-CN"/>
        </w:rPr>
        <w:t>文件要求</w:t>
      </w:r>
      <w:r>
        <w:rPr>
          <w:rFonts w:hint="eastAsia" w:ascii="宋体" w:hAnsi="宋体" w:eastAsia="宋体" w:cs="宋体"/>
          <w:b w:val="0"/>
          <w:bCs w:val="0"/>
          <w:sz w:val="24"/>
          <w:szCs w:val="24"/>
          <w:highlight w:val="none"/>
          <w:lang w:eastAsia="zh-CN"/>
        </w:rPr>
        <w:t>，</w:t>
      </w:r>
      <w:r>
        <w:rPr>
          <w:rFonts w:hint="eastAsia" w:ascii="宋体" w:hAnsi="宋体" w:eastAsia="宋体" w:cs="宋体"/>
          <w:kern w:val="0"/>
          <w:sz w:val="24"/>
          <w:szCs w:val="24"/>
          <w:highlight w:val="none"/>
        </w:rPr>
        <w:t>为了更好推进20</w:t>
      </w: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年未来社区项目建设</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加快打造共同富裕现代化基本单元</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台州湾新区本次聚焦朝阳社区，</w:t>
      </w:r>
      <w:r>
        <w:rPr>
          <w:rFonts w:hint="eastAsia" w:ascii="宋体" w:hAnsi="宋体" w:eastAsia="宋体" w:cs="宋体"/>
          <w:b w:val="0"/>
          <w:bCs w:val="0"/>
          <w:sz w:val="24"/>
          <w:szCs w:val="24"/>
          <w:highlight w:val="none"/>
          <w:lang w:val="en-US" w:eastAsia="zh-CN"/>
        </w:rPr>
        <w:t>开展未来社区创建工作。</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（三）</w:t>
      </w:r>
      <w:r>
        <w:rPr>
          <w:rFonts w:hint="eastAsia" w:ascii="宋体" w:hAnsi="宋体" w:eastAsia="宋体" w:cs="宋体"/>
          <w:b/>
          <w:bCs/>
          <w:sz w:val="24"/>
          <w:szCs w:val="24"/>
          <w:highlight w:val="none"/>
          <w:lang w:val="en-US" w:eastAsia="zh-CN"/>
        </w:rPr>
        <w:t>采购需求</w:t>
      </w:r>
    </w:p>
    <w:p>
      <w:pPr>
        <w:keepNext w:val="0"/>
        <w:keepLines w:val="0"/>
        <w:pageBreakBefore w:val="0"/>
        <w:numPr>
          <w:ilvl w:val="0"/>
          <w:numId w:val="9"/>
        </w:numPr>
        <w:kinsoku/>
        <w:wordWrap/>
        <w:overflowPunct/>
        <w:topLinePunct w:val="0"/>
        <w:bidi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服务范围</w:t>
      </w:r>
    </w:p>
    <w:p>
      <w:pPr>
        <w:keepNext w:val="0"/>
        <w:keepLines w:val="0"/>
        <w:pageBreakBefore w:val="0"/>
        <w:widowControl w:val="0"/>
        <w:kinsoku/>
        <w:wordWrap/>
        <w:overflowPunct/>
        <w:topLinePunct w:val="0"/>
        <w:autoSpaceDE w:val="0"/>
        <w:autoSpaceDN w:val="0"/>
        <w:bidi w:val="0"/>
        <w:spacing w:line="360" w:lineRule="auto"/>
        <w:ind w:firstLine="42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服务范围：浙江省台州市台州湾新区海虹街道朝阳社区。</w:t>
      </w:r>
    </w:p>
    <w:p>
      <w:pPr>
        <w:keepNext w:val="0"/>
        <w:keepLines w:val="0"/>
        <w:pageBreakBefore w:val="0"/>
        <w:numPr>
          <w:ilvl w:val="0"/>
          <w:numId w:val="9"/>
        </w:numPr>
        <w:kinsoku/>
        <w:wordWrap/>
        <w:overflowPunct/>
        <w:topLinePunct w:val="0"/>
        <w:bidi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kern w:val="0"/>
          <w:sz w:val="24"/>
          <w:szCs w:val="24"/>
          <w:highlight w:val="none"/>
          <w:lang w:val="en-US" w:eastAsia="zh-CN"/>
        </w:rPr>
        <w:t>服务内容</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主要招标内容包括</w:t>
      </w:r>
      <w:r>
        <w:rPr>
          <w:rFonts w:hint="eastAsia" w:ascii="宋体" w:hAnsi="宋体" w:eastAsia="宋体" w:cs="宋体"/>
          <w:b/>
          <w:bCs/>
          <w:kern w:val="0"/>
          <w:sz w:val="24"/>
          <w:szCs w:val="24"/>
          <w:highlight w:val="none"/>
        </w:rPr>
        <w:t>创建实施方案编制</w:t>
      </w:r>
      <w:r>
        <w:rPr>
          <w:rFonts w:hint="eastAsia" w:ascii="宋体" w:hAnsi="宋体" w:cs="宋体"/>
          <w:b/>
          <w:bCs/>
          <w:kern w:val="0"/>
          <w:sz w:val="24"/>
          <w:szCs w:val="24"/>
          <w:highlight w:val="none"/>
          <w:lang w:eastAsia="zh-CN"/>
        </w:rPr>
        <w:t>、</w:t>
      </w:r>
      <w:r>
        <w:rPr>
          <w:rFonts w:hint="eastAsia" w:ascii="宋体" w:hAnsi="宋体" w:eastAsia="宋体" w:cs="宋体"/>
          <w:b/>
          <w:bCs/>
          <w:kern w:val="0"/>
          <w:sz w:val="24"/>
          <w:szCs w:val="24"/>
          <w:highlight w:val="none"/>
        </w:rPr>
        <w:t>验收</w:t>
      </w:r>
      <w:r>
        <w:rPr>
          <w:rFonts w:hint="eastAsia" w:ascii="宋体" w:hAnsi="宋体" w:eastAsia="宋体" w:cs="宋体"/>
          <w:b/>
          <w:bCs/>
          <w:kern w:val="0"/>
          <w:sz w:val="24"/>
          <w:szCs w:val="24"/>
          <w:highlight w:val="none"/>
          <w:lang w:val="en-US" w:eastAsia="zh-CN"/>
        </w:rPr>
        <w:t>全过程</w:t>
      </w:r>
      <w:r>
        <w:rPr>
          <w:rFonts w:hint="eastAsia" w:ascii="宋体" w:hAnsi="宋体" w:eastAsia="宋体" w:cs="宋体"/>
          <w:b/>
          <w:bCs/>
          <w:kern w:val="0"/>
          <w:sz w:val="24"/>
          <w:szCs w:val="24"/>
          <w:highlight w:val="none"/>
        </w:rPr>
        <w:t>咨询服务</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项目涉及的施工图设计及施工图审查和报价清单编制</w:t>
      </w:r>
      <w:r>
        <w:rPr>
          <w:rFonts w:hint="eastAsia" w:ascii="宋体" w:hAnsi="宋体" w:eastAsia="宋体" w:cs="宋体"/>
          <w:kern w:val="0"/>
          <w:sz w:val="24"/>
          <w:szCs w:val="24"/>
          <w:highlight w:val="none"/>
        </w:rPr>
        <w:t>，具体包括如下：</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（1）创建实施方案编制</w:t>
      </w:r>
    </w:p>
    <w:p>
      <w:pPr>
        <w:keepNext w:val="0"/>
        <w:keepLines w:val="0"/>
        <w:pageBreakBefore w:val="0"/>
        <w:tabs>
          <w:tab w:val="left" w:pos="0"/>
        </w:tabs>
        <w:kinsoku/>
        <w:wordWrap/>
        <w:overflowPunct/>
        <w:topLinePunct w:val="0"/>
        <w:bidi w:val="0"/>
        <w:spacing w:line="360" w:lineRule="auto"/>
        <w:ind w:firstLine="48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根据浙江省未来社区实施方案编制要求，编制</w:t>
      </w:r>
      <w:r>
        <w:rPr>
          <w:rFonts w:hint="eastAsia" w:ascii="宋体" w:hAnsi="宋体" w:eastAsia="宋体" w:cs="宋体"/>
          <w:kern w:val="0"/>
          <w:sz w:val="24"/>
          <w:szCs w:val="24"/>
          <w:highlight w:val="none"/>
          <w:lang w:eastAsia="zh-Hans"/>
        </w:rPr>
        <w:t>包含项目解读、创建目标（包含文化专篇研究、创建思路、目标定位、特色主题）、空间总体设计、</w:t>
      </w:r>
      <w:r>
        <w:rPr>
          <w:rFonts w:hint="eastAsia" w:ascii="宋体" w:hAnsi="宋体" w:eastAsia="宋体" w:cs="宋体"/>
          <w:kern w:val="0"/>
          <w:sz w:val="24"/>
          <w:szCs w:val="24"/>
          <w:highlight w:val="none"/>
        </w:rPr>
        <w:t>特色亮点提炼</w:t>
      </w:r>
      <w:r>
        <w:rPr>
          <w:rFonts w:hint="eastAsia" w:ascii="宋体" w:hAnsi="宋体" w:eastAsia="宋体" w:cs="宋体"/>
          <w:kern w:val="0"/>
          <w:sz w:val="24"/>
          <w:szCs w:val="24"/>
          <w:highlight w:val="none"/>
          <w:lang w:eastAsia="zh-Hans"/>
        </w:rPr>
        <w:t>、数字化系统设计、运营组织、实施推进计划、资金平衡方案、政策与机制保障、专业技术图纸等。根据专家评审意见修改，并协助</w:t>
      </w:r>
      <w:r>
        <w:rPr>
          <w:rFonts w:hint="eastAsia" w:ascii="宋体" w:hAnsi="宋体" w:eastAsia="宋体" w:cs="宋体"/>
          <w:kern w:val="0"/>
          <w:sz w:val="24"/>
          <w:szCs w:val="24"/>
          <w:highlight w:val="none"/>
          <w:lang w:val="en-US" w:eastAsia="zh-CN"/>
        </w:rPr>
        <w:t>完成第八批未来社区实施方案</w:t>
      </w:r>
      <w:r>
        <w:rPr>
          <w:rFonts w:hint="eastAsia" w:ascii="宋体" w:hAnsi="宋体" w:eastAsia="宋体" w:cs="宋体"/>
          <w:kern w:val="0"/>
          <w:sz w:val="24"/>
          <w:szCs w:val="24"/>
          <w:highlight w:val="none"/>
          <w:lang w:eastAsia="zh-Hans"/>
        </w:rPr>
        <w:t>备案。</w:t>
      </w:r>
      <w:r>
        <w:rPr>
          <w:rFonts w:hint="eastAsia" w:ascii="宋体" w:hAnsi="宋体" w:eastAsia="宋体" w:cs="宋体"/>
          <w:kern w:val="0"/>
          <w:sz w:val="24"/>
          <w:szCs w:val="24"/>
          <w:highlight w:val="none"/>
          <w:lang w:val="en-US" w:eastAsia="zh-CN"/>
        </w:rPr>
        <w:t>具体内容如下：</w:t>
      </w:r>
    </w:p>
    <w:tbl>
      <w:tblPr>
        <w:tblStyle w:val="25"/>
        <w:tblpPr w:leftFromText="180" w:rightFromText="180" w:vertAnchor="text" w:horzAnchor="page" w:tblpX="724" w:tblpY="939"/>
        <w:tblOverlap w:val="never"/>
        <w:tblW w:w="10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6"/>
        <w:gridCol w:w="996"/>
        <w:gridCol w:w="5872"/>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06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highlight w:val="none"/>
              </w:rPr>
            </w:pPr>
            <w:r>
              <w:rPr>
                <w:rFonts w:hint="eastAsia" w:ascii="宋体" w:hAnsi="宋体" w:eastAsia="宋体" w:cs="宋体"/>
                <w:b/>
                <w:bCs/>
                <w:sz w:val="21"/>
                <w:highlight w:val="none"/>
                <w:lang w:val="en-US" w:eastAsia="zh-CN"/>
              </w:rPr>
              <w:t>服务类型</w:t>
            </w:r>
          </w:p>
        </w:tc>
        <w:tc>
          <w:tcPr>
            <w:tcW w:w="6868"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highlight w:val="none"/>
              </w:rPr>
            </w:pPr>
            <w:r>
              <w:rPr>
                <w:rFonts w:hint="eastAsia" w:ascii="宋体" w:hAnsi="宋体" w:eastAsia="宋体" w:cs="宋体"/>
                <w:b/>
                <w:bCs/>
                <w:sz w:val="21"/>
                <w:highlight w:val="none"/>
                <w:lang w:val="en-US" w:eastAsia="zh-CN"/>
              </w:rPr>
              <w:t>服务内容</w:t>
            </w:r>
          </w:p>
        </w:tc>
        <w:tc>
          <w:tcPr>
            <w:tcW w:w="23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highlight w:val="none"/>
              </w:rPr>
            </w:pPr>
            <w:r>
              <w:rPr>
                <w:rFonts w:hint="eastAsia" w:ascii="宋体" w:hAnsi="宋体" w:eastAsia="宋体" w:cs="宋体"/>
                <w:b/>
                <w:bCs/>
                <w:sz w:val="21"/>
                <w:highlight w:val="none"/>
                <w:lang w:val="en-US" w:eastAsia="zh-CN"/>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b/>
                <w:bCs/>
                <w:sz w:val="21"/>
                <w:highlight w:val="none"/>
                <w:lang w:val="en-US" w:eastAsia="zh-CN"/>
              </w:rPr>
              <w:t>创建实施方案编制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总体策划方案</w:t>
            </w:r>
          </w:p>
        </w:tc>
        <w:tc>
          <w:tcPr>
            <w:tcW w:w="5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研究实施单元的创建基础、居民需求和创建优势；提炼社区文化内涵和创建特色，确认社区的总体定位、创建目标、创建亮点；规划社区功能结构，进行未来社区九大场景功能的总体配置</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《项目基础研究专项方案》《文化分析专项方案》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空间改造设计</w:t>
            </w:r>
          </w:p>
        </w:tc>
        <w:tc>
          <w:tcPr>
            <w:tcW w:w="5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根据场景空间内容规划需求，进行系统性提升改造设计，包括景观提升、室内改造及VI导视设计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《空间改造提升初步设计方案》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场景空间运营设计</w:t>
            </w:r>
          </w:p>
        </w:tc>
        <w:tc>
          <w:tcPr>
            <w:tcW w:w="5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按《浙江省未来社区创建实施方案编制及评审要点》文件要求创建实施方案。围绕未来社区“三化九场景”的基本框架，按照“标准+订制”原则，以5-10分钟生活圈活动交往与生活服务需求为重点，各社区在标准化的“18+N”生活圈模块基础上，综合考虑所在地的城市级15分钟生活圈服务功能特点，以及空间弹性化利用等因素，进行系统性场景内容规划及运营建议</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《场景空间规划及运营建议》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数字化系统设计</w:t>
            </w:r>
          </w:p>
        </w:tc>
        <w:tc>
          <w:tcPr>
            <w:tcW w:w="5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1）数字化平台与组织架构：明确平台建设模式和组织架构</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2）数字化建设方案：梳理数字化需求清单，设计数字化建设总体框架图和路线图；拟建设/落地的重点数字化应用；明确数字社会公共服务落地方案</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3）数字化融合社区运营方案</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《数字化系统设计方案》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5"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运营组织安排</w:t>
            </w:r>
          </w:p>
        </w:tc>
        <w:tc>
          <w:tcPr>
            <w:tcW w:w="5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1）运营目标及运营策略</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2）运营业态策划①公益性业态落位②惠民性业态落位③经营性业态落位</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3）场景运营方案①重点空间运营方案②社群组织运营方案③社区活动运营方案④社区积分运营方案</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4）运营模式与架构</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5）运营协议</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《项目运营组织安排》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投资测算</w:t>
            </w:r>
          </w:p>
        </w:tc>
        <w:tc>
          <w:tcPr>
            <w:tcW w:w="5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整理未来社区创建的近远期项目与建设规模，提出未来社区建设资金平衡测算方案</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《未来社区建设资金平衡方案》</w:t>
            </w:r>
          </w:p>
        </w:tc>
      </w:tr>
    </w:tbl>
    <w:p>
      <w:pPr>
        <w:keepNext w:val="0"/>
        <w:keepLines w:val="0"/>
        <w:pageBreakBefore w:val="0"/>
        <w:widowControl w:val="0"/>
        <w:numPr>
          <w:ilvl w:val="0"/>
          <w:numId w:val="0"/>
        </w:numPr>
        <w:kinsoku/>
        <w:wordWrap/>
        <w:overflowPunct/>
        <w:topLinePunct w:val="0"/>
        <w:autoSpaceDE/>
        <w:autoSpaceDN/>
        <w:bidi w:val="0"/>
        <w:spacing w:line="360" w:lineRule="auto"/>
        <w:ind w:leftChars="0" w:firstLine="420"/>
        <w:jc w:val="left"/>
        <w:textAlignment w:val="auto"/>
        <w:rPr>
          <w:rFonts w:hint="eastAsia" w:ascii="宋体" w:hAnsi="宋体" w:eastAsia="宋体" w:cs="宋体"/>
          <w:b/>
          <w:bCs w:val="0"/>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1"/>
          <w:highlight w:val="none"/>
          <w:lang w:val="en-US" w:eastAsia="zh-CN"/>
        </w:rPr>
      </w:pP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（2）验收全过程咨询服务</w:t>
      </w:r>
    </w:p>
    <w:p>
      <w:pPr>
        <w:keepNext w:val="0"/>
        <w:keepLines w:val="0"/>
        <w:pageBreakBefore w:val="0"/>
        <w:widowControl/>
        <w:tabs>
          <w:tab w:val="left" w:pos="0"/>
        </w:tabs>
        <w:kinsoku/>
        <w:wordWrap/>
        <w:overflowPunct/>
        <w:topLinePunct w:val="0"/>
        <w:bidi w:val="0"/>
        <w:spacing w:line="360" w:lineRule="auto"/>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做好</w:t>
      </w:r>
      <w:r>
        <w:rPr>
          <w:rFonts w:hint="eastAsia" w:ascii="宋体" w:hAnsi="宋体" w:eastAsia="宋体" w:cs="宋体"/>
          <w:kern w:val="0"/>
          <w:sz w:val="24"/>
          <w:szCs w:val="24"/>
          <w:highlight w:val="none"/>
          <w:lang w:val="en-US" w:eastAsia="zh-CN"/>
        </w:rPr>
        <w:t>未来社区验收全过程咨询服务</w:t>
      </w:r>
      <w:r>
        <w:rPr>
          <w:rFonts w:hint="eastAsia" w:ascii="宋体" w:hAnsi="宋体" w:eastAsia="宋体" w:cs="宋体"/>
          <w:kern w:val="0"/>
          <w:sz w:val="24"/>
          <w:szCs w:val="24"/>
          <w:highlight w:val="none"/>
        </w:rPr>
        <w:t>，包含</w:t>
      </w:r>
      <w:r>
        <w:rPr>
          <w:rFonts w:hint="eastAsia" w:ascii="宋体" w:hAnsi="宋体" w:eastAsia="宋体" w:cs="宋体"/>
          <w:b/>
          <w:bCs/>
          <w:kern w:val="0"/>
          <w:sz w:val="24"/>
          <w:szCs w:val="24"/>
          <w:highlight w:val="none"/>
          <w:lang w:val="en-US" w:eastAsia="zh-CN"/>
        </w:rPr>
        <w:t>运营前介服务以及验收咨询、验收报告、验收实施服务</w:t>
      </w:r>
      <w:r>
        <w:rPr>
          <w:rFonts w:hint="eastAsia" w:ascii="宋体" w:hAnsi="宋体" w:eastAsia="宋体" w:cs="宋体"/>
          <w:kern w:val="0"/>
          <w:sz w:val="24"/>
          <w:szCs w:val="24"/>
          <w:highlight w:val="none"/>
        </w:rPr>
        <w:t>，具体内容标准如下：</w:t>
      </w:r>
    </w:p>
    <w:p>
      <w:pPr>
        <w:keepNext w:val="0"/>
        <w:keepLines w:val="0"/>
        <w:pageBreakBefore w:val="0"/>
        <w:widowControl/>
        <w:tabs>
          <w:tab w:val="left" w:pos="0"/>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rPr>
        <w:t>①运营前介服务：</w:t>
      </w:r>
      <w:r>
        <w:rPr>
          <w:rFonts w:hint="eastAsia" w:ascii="宋体" w:hAnsi="宋体" w:eastAsia="宋体" w:cs="宋体"/>
          <w:kern w:val="0"/>
          <w:sz w:val="24"/>
          <w:szCs w:val="24"/>
          <w:highlight w:val="none"/>
          <w:lang w:val="en-US" w:eastAsia="zh-CN"/>
        </w:rPr>
        <w:t>根据未来社区试运营相关指标要求，完成朝阳社区运营前介服务，具体内容如下</w:t>
      </w:r>
    </w:p>
    <w:tbl>
      <w:tblPr>
        <w:tblStyle w:val="73"/>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5"/>
        <w:gridCol w:w="591"/>
        <w:gridCol w:w="137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shd w:val="clear" w:color="auto" w:fill="E7E6E6"/>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服务类型</w:t>
            </w:r>
          </w:p>
        </w:tc>
        <w:tc>
          <w:tcPr>
            <w:tcW w:w="1963" w:type="dxa"/>
            <w:gridSpan w:val="2"/>
            <w:shd w:val="clear" w:color="auto" w:fill="E7E6E6"/>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服务内容</w:t>
            </w:r>
          </w:p>
        </w:tc>
        <w:tc>
          <w:tcPr>
            <w:tcW w:w="7071" w:type="dxa"/>
            <w:shd w:val="clear" w:color="auto" w:fill="E7E6E6"/>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运营前介服务</w:t>
            </w:r>
          </w:p>
        </w:tc>
        <w:tc>
          <w:tcPr>
            <w:tcW w:w="591"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统筹</w:t>
            </w:r>
            <w:r>
              <w:rPr>
                <w:rFonts w:hint="eastAsia" w:ascii="宋体" w:hAnsi="宋体" w:eastAsia="宋体" w:cs="宋体"/>
                <w:sz w:val="21"/>
                <w:szCs w:val="21"/>
                <w:highlight w:val="none"/>
                <w:lang w:val="en-US" w:eastAsia="zh-CN"/>
              </w:rPr>
              <w:t>运营咨询</w:t>
            </w:r>
          </w:p>
        </w:tc>
        <w:tc>
          <w:tcPr>
            <w:tcW w:w="13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全景计划指导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1、根据项目进展及情况，进行未来社区工作计划全景排期指导和跟踪；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2、根据验收要求，进行全流程把控排期，梳理风险点提示，完成相关节点把控提示工作；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空间规划指导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1、根据在地文化、场景空间特色等形成运营深化指导方案及阶段性目标；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社区宣传指导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1、梳理社区需求及宣传路径，定期输出宣传文案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团队培育指导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1、根据社区场景工作需求，指导社区搭建项目组、制定工作机制。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2、结合社区共建主体资源，指导制定社区联动工作机制，并组建合作资源库。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公共生活</w:t>
            </w:r>
            <w:r>
              <w:rPr>
                <w:rFonts w:hint="eastAsia" w:ascii="宋体" w:hAnsi="宋体" w:eastAsia="宋体" w:cs="宋体"/>
                <w:sz w:val="21"/>
                <w:szCs w:val="21"/>
                <w:highlight w:val="none"/>
                <w:lang w:val="en-US" w:eastAsia="zh-CN"/>
              </w:rPr>
              <w:t>运营咨询</w:t>
            </w:r>
          </w:p>
        </w:tc>
        <w:tc>
          <w:tcPr>
            <w:tcW w:w="13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活动策划指导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1、指导社区整合生态合作方和在地资源，建立社区活动资源库；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2、结合社区与居民需求，完善活动策划方案，并指导社区落地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并在验收前三个月指导社区完成30场活动（10场/月）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社群培育指导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1、针对社区已有社群做好提升工作，实现线上线下稳定运转；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2、指导培育新生社群力量，并完成相应管理；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3、协助社区挖掘达人，并组建达人资源库；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社区营造指导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1、指导社区形成激活社区达人、培育社区主理人的策略，定期形成专项营造活动；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2、基于社区需求与特色，指导并策划社区营造活动；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数字化</w:t>
            </w:r>
            <w:r>
              <w:rPr>
                <w:rFonts w:hint="eastAsia" w:ascii="宋体" w:hAnsi="宋体" w:eastAsia="宋体" w:cs="宋体"/>
                <w:sz w:val="21"/>
                <w:szCs w:val="21"/>
                <w:highlight w:val="none"/>
                <w:lang w:val="en-US" w:eastAsia="zh-CN"/>
              </w:rPr>
              <w:t>运营</w:t>
            </w:r>
            <w:r>
              <w:rPr>
                <w:rFonts w:hint="eastAsia" w:ascii="宋体" w:hAnsi="宋体" w:eastAsia="宋体" w:cs="宋体"/>
                <w:sz w:val="21"/>
                <w:szCs w:val="21"/>
                <w:highlight w:val="none"/>
              </w:rPr>
              <w:t>咨询</w:t>
            </w:r>
          </w:p>
        </w:tc>
        <w:tc>
          <w:tcPr>
            <w:tcW w:w="13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产品运营指导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1、挖掘社区居民需求，结合社区管理诉求，推进平台优化与迭代；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2、结合场景推广小程序与应用，提高居民注册率和使用率，并与线下第三空间充分联动；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内容运营指导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1、首页特色版块运营优化，包含平台内容优化把控和指导；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2、指导平台及应用、公众号重要讯息，内容填充和更新维护；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积分运营指导</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1、配合数字化建设单位，协助社区搭建积分体系；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品牌宣传指导</w:t>
            </w:r>
          </w:p>
        </w:tc>
        <w:tc>
          <w:tcPr>
            <w:tcW w:w="13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视频咨询</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根据未来社区要求，指导社区完成</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分钟的宣传视频；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展板咨询</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结合未来社区创建工作、指导广告公司完成特色亮点、在地文化，形成未来社区展板素材并制作；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05"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59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3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折页策划</w:t>
            </w:r>
          </w:p>
        </w:tc>
        <w:tc>
          <w:tcPr>
            <w:tcW w:w="7071"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结合未来社区创建工作、特色亮点、在地文化等形成宣传折页；</w:t>
            </w:r>
          </w:p>
        </w:tc>
      </w:tr>
    </w:tbl>
    <w:p>
      <w:pPr>
        <w:keepNext w:val="0"/>
        <w:keepLines w:val="0"/>
        <w:pageBreakBefore w:val="0"/>
        <w:widowControl/>
        <w:tabs>
          <w:tab w:val="left" w:pos="0"/>
        </w:tabs>
        <w:kinsoku/>
        <w:wordWrap/>
        <w:overflowPunct/>
        <w:topLinePunct w:val="0"/>
        <w:bidi w:val="0"/>
        <w:spacing w:line="360" w:lineRule="auto"/>
        <w:jc w:val="left"/>
        <w:textAlignment w:val="auto"/>
        <w:rPr>
          <w:rFonts w:hint="eastAsia" w:ascii="宋体" w:hAnsi="宋体" w:eastAsia="宋体" w:cs="宋体"/>
          <w:b/>
          <w:bCs/>
          <w:kern w:val="0"/>
          <w:sz w:val="24"/>
          <w:szCs w:val="24"/>
          <w:highlight w:val="none"/>
          <w:lang w:val="en-US" w:eastAsia="zh-CN"/>
        </w:rPr>
      </w:pPr>
    </w:p>
    <w:p>
      <w:pPr>
        <w:keepNext w:val="0"/>
        <w:keepLines w:val="0"/>
        <w:pageBreakBefore w:val="0"/>
        <w:widowControl/>
        <w:tabs>
          <w:tab w:val="left" w:pos="0"/>
        </w:tabs>
        <w:kinsoku/>
        <w:wordWrap/>
        <w:overflowPunct/>
        <w:topLinePunct w:val="0"/>
        <w:bidi w:val="0"/>
        <w:spacing w:line="360" w:lineRule="auto"/>
        <w:jc w:val="left"/>
        <w:textAlignment w:val="auto"/>
        <w:rPr>
          <w:rFonts w:hint="eastAsia" w:ascii="宋体" w:hAnsi="宋体" w:eastAsia="宋体" w:cs="宋体"/>
          <w:kern w:val="0"/>
          <w:sz w:val="24"/>
          <w:szCs w:val="24"/>
          <w:highlight w:val="none"/>
          <w:lang w:val="en-US"/>
        </w:rPr>
      </w:pPr>
      <w:r>
        <w:rPr>
          <w:rFonts w:hint="eastAsia" w:ascii="宋体" w:hAnsi="宋体" w:eastAsia="宋体" w:cs="宋体"/>
          <w:b/>
          <w:bCs/>
          <w:kern w:val="0"/>
          <w:sz w:val="24"/>
          <w:szCs w:val="24"/>
          <w:highlight w:val="none"/>
          <w:lang w:val="en-US" w:eastAsia="zh-CN"/>
        </w:rPr>
        <w:t>②验收咨询、验收报告、验收实施服务</w:t>
      </w:r>
      <w:r>
        <w:rPr>
          <w:rFonts w:hint="eastAsia" w:ascii="宋体" w:hAnsi="宋体" w:eastAsia="宋体" w:cs="宋体"/>
          <w:b w:val="0"/>
          <w:bCs w:val="0"/>
          <w:kern w:val="0"/>
          <w:sz w:val="24"/>
          <w:szCs w:val="24"/>
          <w:highlight w:val="none"/>
          <w:lang w:val="en-US" w:eastAsia="zh-CN"/>
        </w:rPr>
        <w:t>，具体内容如下：</w:t>
      </w:r>
    </w:p>
    <w:tbl>
      <w:tblPr>
        <w:tblStyle w:val="25"/>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46"/>
        <w:gridCol w:w="4608"/>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1000" w:type="dxa"/>
            <w:shd w:val="clear" w:color="auto" w:fill="E7E6E6"/>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服务</w:t>
            </w:r>
            <w:r>
              <w:rPr>
                <w:rFonts w:hint="eastAsia" w:ascii="宋体" w:hAnsi="宋体" w:eastAsia="宋体" w:cs="宋体"/>
                <w:b/>
                <w:bCs/>
                <w:color w:val="auto"/>
                <w:kern w:val="0"/>
                <w:sz w:val="21"/>
                <w:szCs w:val="21"/>
                <w:highlight w:val="none"/>
                <w:lang w:val="en-US" w:eastAsia="zh-CN"/>
              </w:rPr>
              <w:t>类型</w:t>
            </w:r>
          </w:p>
        </w:tc>
        <w:tc>
          <w:tcPr>
            <w:tcW w:w="5554" w:type="dxa"/>
            <w:gridSpan w:val="2"/>
            <w:shd w:val="clear" w:color="auto" w:fill="E7E6E6"/>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c>
          <w:tcPr>
            <w:tcW w:w="3035" w:type="dxa"/>
            <w:shd w:val="clear" w:color="auto" w:fill="E7E6E6"/>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验收</w:t>
            </w:r>
            <w:r>
              <w:rPr>
                <w:rFonts w:hint="eastAsia" w:ascii="宋体" w:hAnsi="宋体" w:eastAsia="宋体" w:cs="宋体"/>
                <w:b/>
                <w:bCs/>
                <w:color w:val="auto"/>
                <w:kern w:val="0"/>
                <w:sz w:val="21"/>
                <w:szCs w:val="21"/>
                <w:highlight w:val="none"/>
              </w:rPr>
              <w:t>咨询服务</w:t>
            </w: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政策解读</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根据未来社区验收政策，对</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未来社区分析验收的重难点以及注意事项，开展验收相关培训工作。</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完成验收政策解读培训、验收重难点培训和验收注意事项培训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项目解读与验收统筹</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根据未来社区验收政策及相关标准文件，开展</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未来社区建设成熟度评估工作，包括社区场景建设及运营成熟度、数字化建设及运营成熟度等内容。</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社区场景及运营情况调研表》《</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社区验收成熟度自评表》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实地勘探</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未来社区项目基本情况，依据已备案的实施方案，分析项目建设优势、亮点场景打造策略、九大场景空间及数字化建设落地</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输出项目实施方案落地完成度分析内容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通过项目验收启动会整合参与单位，构建权责分明、一体协作的验收项目团队</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协助组建验收小组，输出《小组成员清单》和《各主体验收职责划分清单》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场景设计优化</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1、根据省市未来社区专班要求及验收标准要求，提供场景空间布置优化提升建议、完成空间梳理和权属复核，完善并丰富场景功能。重点描述养老场景、托幼服务场景优化建议。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2、根据设计方案及未来社区验收标准，对设计方案</w:t>
            </w:r>
            <w:r>
              <w:rPr>
                <w:rFonts w:hint="eastAsia" w:ascii="宋体" w:hAnsi="宋体" w:eastAsia="宋体" w:cs="宋体"/>
                <w:color w:val="auto"/>
                <w:kern w:val="0"/>
                <w:sz w:val="21"/>
                <w:szCs w:val="21"/>
                <w:highlight w:val="none"/>
                <w:lang w:eastAsia="zh-CN"/>
              </w:rPr>
              <w:t>、施工图</w:t>
            </w:r>
            <w:r>
              <w:rPr>
                <w:rFonts w:hint="eastAsia" w:ascii="宋体" w:hAnsi="宋体" w:eastAsia="宋体" w:cs="宋体"/>
                <w:color w:val="auto"/>
                <w:kern w:val="0"/>
                <w:sz w:val="21"/>
                <w:szCs w:val="21"/>
                <w:highlight w:val="none"/>
              </w:rPr>
              <w:t>提出场景系统符合性意见。</w:t>
            </w:r>
          </w:p>
        </w:tc>
        <w:tc>
          <w:tcPr>
            <w:tcW w:w="3035"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未来社区场景优化建议》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w:t>
            </w:r>
            <w:r>
              <w:rPr>
                <w:rFonts w:hint="eastAsia" w:ascii="宋体" w:hAnsi="宋体" w:eastAsia="宋体" w:cs="宋体"/>
                <w:color w:val="auto"/>
                <w:kern w:val="0"/>
                <w:sz w:val="21"/>
                <w:szCs w:val="21"/>
                <w:highlight w:val="none"/>
                <w:lang w:eastAsia="zh-CN"/>
              </w:rPr>
              <w:t>设计方案</w:t>
            </w:r>
            <w:r>
              <w:rPr>
                <w:rFonts w:hint="eastAsia" w:ascii="宋体" w:hAnsi="宋体" w:eastAsia="宋体" w:cs="宋体"/>
                <w:color w:val="auto"/>
                <w:kern w:val="0"/>
                <w:sz w:val="21"/>
                <w:szCs w:val="21"/>
                <w:highlight w:val="none"/>
              </w:rPr>
              <w:t>优化建议》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w:t>
            </w:r>
            <w:r>
              <w:rPr>
                <w:rFonts w:hint="eastAsia" w:ascii="宋体" w:hAnsi="宋体" w:eastAsia="宋体" w:cs="宋体"/>
                <w:color w:val="auto"/>
                <w:kern w:val="0"/>
                <w:sz w:val="21"/>
                <w:szCs w:val="21"/>
                <w:highlight w:val="none"/>
                <w:lang w:eastAsia="zh-CN"/>
              </w:rPr>
              <w:t>施工图</w:t>
            </w:r>
            <w:r>
              <w:rPr>
                <w:rFonts w:hint="eastAsia" w:ascii="宋体" w:hAnsi="宋体" w:eastAsia="宋体" w:cs="宋体"/>
                <w:color w:val="auto"/>
                <w:kern w:val="0"/>
                <w:sz w:val="21"/>
                <w:szCs w:val="21"/>
                <w:highlight w:val="none"/>
              </w:rPr>
              <w:t>优化建议》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数字化建设优化</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1、按照省级未来社区验收标准，对数字化平台开发清单提出意见，包括与原有数字化项目衔接以及特色应用、高频应用等合理性；</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2、结合实际运营需求，评估运营数字化开发清单，从可实施、实用性、便捷性方面提出意见。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3.对社区数字化平台、APP、小程序等评估、指导。</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协助委托方完成未来社区数字化建设单位招标；</w:t>
            </w:r>
            <w:r>
              <w:rPr>
                <w:rFonts w:hint="eastAsia" w:ascii="宋体" w:hAnsi="宋体" w:eastAsia="宋体" w:cs="宋体"/>
                <w:color w:val="auto"/>
                <w:kern w:val="0"/>
                <w:sz w:val="21"/>
                <w:szCs w:val="21"/>
                <w:highlight w:val="none"/>
              </w:rPr>
              <w:t>提出数字化平台开发、落地实施意见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运营优化</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1、运营体系：协助委托方确认运营模式及统筹运营方，协助梳理场景及存量空间产权，对运营方案的落地性、符合性、可持续性及对运营资金测算表的合理性提出意见。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2、运营协助：协助社区社群活动总体计划编制，为运营团队培育社区达人库、社群提供意见。协助委托人与各政府部门对接场景空间相关事项；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3、运营评估：在试运营期间结合验收标准及实际运营状况等方面对运营成效进行评估。</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协助委托方完善运营体系；为社区、运营团队开展运营提供意见；试运营期间运营成效开展评估。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节点管控</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制定</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工作排期表并与各参与单位同步，对</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节奏进行整体把控（包括数字化、运营、设计、施工等单位工作进度），对整个验收时间节点进行过程管理。</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《验收工作排期表》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党建统领机制</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以理顺条块、重塑职能、强化统揽为重点。从社区的功能职责、组织架构、人员配备、支撑保障等方面提出党建统领机制意见。</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提出党建统领机制意见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验收报告服务</w:t>
            </w: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报告指导</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（1）对</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未来社区验收全流程进行培训和持续跟进，确保指标拆解到位、对接主体明确、材料收集准确并完整；</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（1）完成九大场景响应度、数字化平台落地、运营可持续性、特色亮点塑造等要点培训；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（2）针对</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未来社区九大场景响应、数字化平台落地、运营可持续性、特色亮点塑造等要点进行专项培训；</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（2）输出《九大场景佐证材料清单》、《各主体单位材料清单》、《材料缺失清单》、《报告拟评分及失分项标注文档》、《报告拟评分及失分项标注文档》，协助提交《验收报告》最终版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报告撰写</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《实施方案符合度》篇章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复核项目的场景配套面积和功能、技术应用等与实施方案中承诺的匹配情况，完成《实施方案符合度自评报告》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《九大场景响应度》篇章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输出《场景响应度自评报告》，街道和社区提供所需素材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指导输出《“浙里未来社区在线”落地性》篇章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指导数字化建设单位，输出《“浙里未来社区在线”落地性》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《运营可持续性》篇章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指导输出《运营可持续性自评报告》，运营单位协助提供素材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《特色亮点塑造》篇章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指导输出《特色亮点塑造自评报告》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把关报告质量，组织内部评审并进行优化</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指导输出《项目验收自评报告》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报告补充</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根据评审专家意见，对验收报告的内容进行整改、资料补充，并上传提交</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验收实施服务</w:t>
            </w: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验收材料</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迎检路线：展陈布置、验收路线节点设计</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《迎检路线》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迎检手册：指导输出项目迎检手册、项目迎检展板</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《迎检手册》制作</w:t>
            </w:r>
            <w:r>
              <w:rPr>
                <w:rFonts w:hint="eastAsia" w:ascii="宋体" w:hAnsi="宋体" w:cs="宋体"/>
                <w:color w:val="auto"/>
                <w:kern w:val="0"/>
                <w:sz w:val="21"/>
                <w:szCs w:val="21"/>
                <w:highlight w:val="none"/>
                <w:lang w:val="en-US" w:eastAsia="zh-CN"/>
              </w:rPr>
              <w:t>不少于</w:t>
            </w:r>
            <w:r>
              <w:rPr>
                <w:rFonts w:hint="eastAsia" w:ascii="宋体" w:hAnsi="宋体" w:eastAsia="宋体" w:cs="宋体"/>
                <w:color w:val="auto"/>
                <w:kern w:val="0"/>
                <w:sz w:val="21"/>
                <w:szCs w:val="21"/>
                <w:highlight w:val="none"/>
              </w:rPr>
              <w:t>50份</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项目迎检展板</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制作</w:t>
            </w:r>
            <w:r>
              <w:rPr>
                <w:rFonts w:hint="eastAsia" w:ascii="宋体" w:hAnsi="宋体" w:cs="宋体"/>
                <w:color w:val="auto"/>
                <w:kern w:val="0"/>
                <w:sz w:val="21"/>
                <w:szCs w:val="21"/>
                <w:highlight w:val="none"/>
                <w:lang w:val="en-US" w:eastAsia="zh-CN"/>
              </w:rPr>
              <w:t>不少于</w:t>
            </w:r>
            <w:r>
              <w:rPr>
                <w:rFonts w:hint="eastAsia" w:ascii="宋体" w:hAnsi="宋体" w:eastAsia="宋体" w:cs="宋体"/>
                <w:color w:val="auto"/>
                <w:kern w:val="0"/>
                <w:sz w:val="21"/>
                <w:szCs w:val="21"/>
                <w:highlight w:val="none"/>
              </w:rPr>
              <w:t>50份</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具体份数根据后期实际情况来定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宣传视频：宣传视频脚本方案确定；完成未来社区宣传片拍摄和制作</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输出时长4-5分钟的</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未来社区</w:t>
            </w:r>
            <w:r>
              <w:rPr>
                <w:rFonts w:hint="eastAsia" w:ascii="宋体" w:hAnsi="宋体" w:eastAsia="宋体" w:cs="宋体"/>
                <w:color w:val="auto"/>
                <w:kern w:val="0"/>
                <w:sz w:val="21"/>
                <w:szCs w:val="21"/>
                <w:highlight w:val="none"/>
              </w:rPr>
              <w:t>宣传视频》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验收座谈汇报PPT</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验收座谈汇报PPT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现场参观解说词</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现场参观解说词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宣传手册：完成未来社区宣传文案，以宣传折页和手册制作为输出形式；协助指导第三方完成社区特色IP体系打造</w:t>
            </w:r>
            <w:r>
              <w:rPr>
                <w:rFonts w:hint="eastAsia" w:ascii="宋体" w:hAnsi="宋体" w:eastAsia="宋体" w:cs="宋体"/>
                <w:color w:val="auto"/>
                <w:kern w:val="0"/>
                <w:sz w:val="21"/>
                <w:szCs w:val="21"/>
                <w:highlight w:val="none"/>
                <w:lang w:eastAsia="zh-CN"/>
              </w:rPr>
              <w:t>。</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宣传折页和手册设计稿；宣传折页纸质版制作</w:t>
            </w:r>
            <w:r>
              <w:rPr>
                <w:rFonts w:hint="eastAsia" w:ascii="宋体" w:hAnsi="宋体" w:cs="宋体"/>
                <w:color w:val="auto"/>
                <w:kern w:val="0"/>
                <w:sz w:val="21"/>
                <w:szCs w:val="21"/>
                <w:highlight w:val="none"/>
                <w:lang w:val="en-US" w:eastAsia="zh-CN"/>
              </w:rPr>
              <w:t>不少于</w:t>
            </w:r>
            <w:r>
              <w:rPr>
                <w:rFonts w:hint="eastAsia" w:ascii="宋体" w:hAnsi="宋体" w:eastAsia="宋体" w:cs="宋体"/>
                <w:color w:val="auto"/>
                <w:kern w:val="0"/>
                <w:sz w:val="21"/>
                <w:szCs w:val="21"/>
                <w:highlight w:val="none"/>
              </w:rPr>
              <w:t>200份；宣传手册制作</w:t>
            </w:r>
            <w:r>
              <w:rPr>
                <w:rFonts w:hint="eastAsia" w:ascii="宋体" w:hAnsi="宋体" w:cs="宋体"/>
                <w:color w:val="auto"/>
                <w:kern w:val="0"/>
                <w:sz w:val="21"/>
                <w:szCs w:val="21"/>
                <w:highlight w:val="none"/>
                <w:lang w:val="en-US" w:eastAsia="zh-CN"/>
              </w:rPr>
              <w:t>不少于</w:t>
            </w:r>
            <w:r>
              <w:rPr>
                <w:rFonts w:hint="eastAsia" w:ascii="宋体" w:hAnsi="宋体" w:eastAsia="宋体" w:cs="宋体"/>
                <w:color w:val="auto"/>
                <w:kern w:val="0"/>
                <w:sz w:val="21"/>
                <w:szCs w:val="21"/>
                <w:highlight w:val="none"/>
              </w:rPr>
              <w:t>50份；</w:t>
            </w:r>
            <w:r>
              <w:rPr>
                <w:rFonts w:hint="eastAsia" w:ascii="宋体" w:hAnsi="宋体" w:cs="宋体"/>
                <w:color w:val="auto"/>
                <w:kern w:val="0"/>
                <w:sz w:val="21"/>
                <w:szCs w:val="21"/>
                <w:highlight w:val="none"/>
                <w:lang w:val="en-US" w:eastAsia="zh-CN"/>
              </w:rPr>
              <w:t>具体份数根据后期实际情况来定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验收实施</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工作计划：明确执行单位、推进事项、完成时间节点，并提供解决方案</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《验收工作推进计划分工表》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验收预案：提出线上或线下验收整体流程的方案</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《验收工作手册（预案）》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协同验收：根据专班验收通知，核对验收要求及进行材料准备；并参与验收专家评审，协助进行验收讲解、现场答辩等；</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未来社区验收答疑》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未来社区验收问题反馈》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验收整改</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根据专家评审意见，针对性验收整改内容进行落地性策划（包括线上运营、活动运营、宣传策划、社区展陈等方面）</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输出《整改实施指导意见》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运营指导</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结合未来社区创建成效及特色，根据验收专家意见，做出未来社区后期长效运营的专业意见指导</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输出《未来社区长效运营指导意见》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验收后期咨询保障</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项目拟定于2024年下半年参加浙江省第六批未来社区验收</w:t>
            </w:r>
            <w:r>
              <w:rPr>
                <w:rFonts w:hint="eastAsia" w:ascii="宋体" w:hAnsi="宋体" w:eastAsia="宋体" w:cs="宋体"/>
                <w:b/>
                <w:bCs/>
                <w:color w:val="auto"/>
                <w:kern w:val="0"/>
                <w:sz w:val="21"/>
                <w:szCs w:val="21"/>
                <w:highlight w:val="none"/>
              </w:rPr>
              <w:t>（具体参加验收批次以采购人要求为准）</w:t>
            </w:r>
            <w:r>
              <w:rPr>
                <w:rFonts w:hint="eastAsia" w:ascii="宋体" w:hAnsi="宋体" w:eastAsia="宋体" w:cs="宋体"/>
                <w:color w:val="auto"/>
                <w:kern w:val="0"/>
                <w:sz w:val="21"/>
                <w:szCs w:val="21"/>
                <w:highlight w:val="none"/>
              </w:rPr>
              <w:t>，通过验收后6个月内，中标人接采购人通知应及时响应，并配合提供未来社区创建相关咨询服务</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中标人在接到采购人通知后1小时内做出响应，6小时内作出相关咨询报告</w:t>
            </w:r>
          </w:p>
        </w:tc>
      </w:tr>
    </w:tbl>
    <w:p>
      <w:pPr>
        <w:numPr>
          <w:ilvl w:val="0"/>
          <w:numId w:val="10"/>
        </w:numPr>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项目涉及的施工图设计及施工图审查和报价清单编制</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包括且不限于如下设计内容：</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①</w:t>
      </w:r>
      <w:r>
        <w:rPr>
          <w:rFonts w:hint="eastAsia" w:ascii="宋体" w:hAnsi="宋体" w:eastAsia="宋体" w:cs="宋体"/>
          <w:sz w:val="24"/>
          <w:szCs w:val="24"/>
          <w:highlight w:val="none"/>
          <w:lang w:val="en-US" w:eastAsia="zh-CN"/>
        </w:rPr>
        <w:t>朝阳未来社区邻里中心建设项目：</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1、室内外</w:t>
      </w:r>
      <w:r>
        <w:rPr>
          <w:rFonts w:hint="eastAsia" w:ascii="宋体" w:hAnsi="宋体" w:cs="宋体"/>
          <w:sz w:val="24"/>
          <w:szCs w:val="24"/>
          <w:highlight w:val="none"/>
          <w:lang w:val="en-US" w:eastAsia="zh-CN"/>
        </w:rPr>
        <w:t>改造</w:t>
      </w:r>
      <w:r>
        <w:rPr>
          <w:rFonts w:hint="eastAsia" w:ascii="宋体" w:hAnsi="宋体" w:eastAsia="宋体" w:cs="宋体"/>
          <w:sz w:val="24"/>
          <w:szCs w:val="24"/>
          <w:highlight w:val="none"/>
          <w:lang w:val="en-US" w:eastAsia="zh-CN"/>
        </w:rPr>
        <w:t>（包括建筑和结构改造）、装修、电气、给排水、暖通、空调、智能化、消防、软装（家具、儿童游乐设施、图书阅览区陈设、健身娱乐设备设施、窗帘、厨房厨具等陈设设计）等施工图设计</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施工图审查（含房屋结构安全检测）</w:t>
      </w:r>
      <w:r>
        <w:rPr>
          <w:rFonts w:hint="eastAsia" w:ascii="宋体" w:hAnsi="宋体" w:cs="宋体"/>
          <w:sz w:val="24"/>
          <w:szCs w:val="24"/>
          <w:highlight w:val="none"/>
          <w:lang w:val="en-US" w:eastAsia="zh-CN"/>
        </w:rPr>
        <w:t>相关</w:t>
      </w:r>
      <w:r>
        <w:rPr>
          <w:rFonts w:hint="eastAsia" w:ascii="宋体" w:hAnsi="宋体" w:eastAsia="宋体" w:cs="宋体"/>
          <w:sz w:val="24"/>
          <w:szCs w:val="24"/>
          <w:highlight w:val="none"/>
          <w:lang w:val="en-US" w:eastAsia="zh-CN"/>
        </w:rPr>
        <w:t>工作；</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2、标识、标牌及门头等宣传广告设计及报价清单编制</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②</w:t>
      </w:r>
      <w:r>
        <w:rPr>
          <w:rFonts w:hint="eastAsia" w:ascii="宋体" w:hAnsi="宋体" w:eastAsia="宋体" w:cs="宋体"/>
          <w:sz w:val="24"/>
          <w:szCs w:val="24"/>
          <w:highlight w:val="none"/>
          <w:lang w:val="en-US" w:eastAsia="zh-CN"/>
        </w:rPr>
        <w:t>未来社区</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标识、标牌及视觉导览形象设计等宣传广告设计及报价清单编制</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③</w:t>
      </w:r>
      <w:r>
        <w:rPr>
          <w:rFonts w:hint="eastAsia" w:ascii="宋体" w:hAnsi="宋体" w:eastAsia="宋体" w:cs="宋体"/>
          <w:sz w:val="24"/>
          <w:szCs w:val="24"/>
          <w:highlight w:val="none"/>
          <w:lang w:val="en-US" w:eastAsia="zh-CN"/>
        </w:rPr>
        <w:t>数字化运营服务增加设计</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朝阳未来社区数字化软件、硬件清单编制及未来社区数字化设备设施点位及线路布置图</w:t>
      </w:r>
      <w:r>
        <w:rPr>
          <w:rFonts w:hint="eastAsia" w:ascii="宋体" w:hAnsi="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（四）项目人员配置需求</w:t>
      </w:r>
    </w:p>
    <w:p>
      <w:pPr>
        <w:keepNext w:val="0"/>
        <w:keepLines w:val="0"/>
        <w:pageBreakBefore w:val="0"/>
        <w:widowControl w:val="0"/>
        <w:numPr>
          <w:ilvl w:val="0"/>
          <w:numId w:val="11"/>
        </w:numPr>
        <w:kinsoku/>
        <w:wordWrap/>
        <w:overflowPunct/>
        <w:topLinePunct w:val="0"/>
        <w:bidi w:val="0"/>
        <w:adjustRightInd/>
        <w:snapToGrid/>
        <w:spacing w:line="360" w:lineRule="auto"/>
        <w:ind w:leftChars="0" w:firstLine="480" w:firstLineChars="200"/>
        <w:textAlignment w:val="auto"/>
        <w:rPr>
          <w:rFonts w:hint="eastAsia" w:ascii="宋体" w:hAnsi="宋体" w:eastAsia="宋体" w:cs="宋体"/>
          <w:sz w:val="21"/>
          <w:highlight w:val="none"/>
          <w:lang w:val="en-US" w:eastAsia="zh-CN"/>
        </w:rPr>
      </w:pPr>
      <w:r>
        <w:rPr>
          <w:rFonts w:hint="eastAsia" w:ascii="宋体" w:hAnsi="宋体" w:eastAsia="宋体" w:cs="宋体"/>
          <w:sz w:val="24"/>
          <w:szCs w:val="24"/>
          <w:highlight w:val="none"/>
          <w:lang w:val="en-US" w:eastAsia="zh-CN"/>
        </w:rPr>
        <w:t>创建实施方案编制：项目负责人1名、方案编制顾问3名。</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1"/>
          <w:highlight w:val="none"/>
          <w:lang w:val="en-US" w:eastAsia="zh-CN" w:bidi="ar-SA"/>
        </w:rPr>
        <w:t>验收全过程咨询：</w:t>
      </w:r>
      <w:r>
        <w:rPr>
          <w:rFonts w:hint="eastAsia" w:ascii="宋体" w:hAnsi="宋体" w:eastAsia="宋体" w:cs="宋体"/>
          <w:sz w:val="24"/>
          <w:szCs w:val="24"/>
          <w:highlight w:val="none"/>
          <w:lang w:val="en-US" w:eastAsia="zh-CN"/>
        </w:rPr>
        <w:t>项目负责人</w:t>
      </w:r>
      <w:r>
        <w:rPr>
          <w:rFonts w:hint="eastAsia" w:ascii="宋体" w:hAnsi="宋体" w:eastAsia="宋体" w:cs="宋体"/>
          <w:kern w:val="2"/>
          <w:sz w:val="24"/>
          <w:szCs w:val="24"/>
          <w:highlight w:val="none"/>
          <w:lang w:val="en-US" w:eastAsia="zh-CN" w:bidi="ar-SA"/>
        </w:rPr>
        <w:t>1名</w:t>
      </w:r>
      <w:r>
        <w:rPr>
          <w:rFonts w:hint="eastAsia" w:ascii="宋体" w:hAnsi="宋体" w:cs="宋体"/>
          <w:kern w:val="2"/>
          <w:sz w:val="24"/>
          <w:szCs w:val="24"/>
          <w:highlight w:val="none"/>
          <w:lang w:val="en-US" w:eastAsia="zh-CN" w:bidi="ar-SA"/>
        </w:rPr>
        <w:t>（项目负责人须长期驻点本项目）</w:t>
      </w:r>
      <w:r>
        <w:rPr>
          <w:rFonts w:hint="eastAsia" w:ascii="宋体" w:hAnsi="宋体" w:eastAsia="宋体" w:cs="宋体"/>
          <w:kern w:val="2"/>
          <w:sz w:val="24"/>
          <w:szCs w:val="24"/>
          <w:highlight w:val="none"/>
          <w:lang w:val="en-US" w:eastAsia="zh-CN" w:bidi="ar-SA"/>
        </w:rPr>
        <w:t>、运营咨询经理</w:t>
      </w:r>
      <w:r>
        <w:rPr>
          <w:rFonts w:hint="eastAsia" w:ascii="宋体" w:hAnsi="宋体" w:eastAsia="宋体" w:cs="宋体"/>
          <w:sz w:val="24"/>
          <w:szCs w:val="24"/>
          <w:highlight w:val="none"/>
          <w:lang w:val="en-US" w:eastAsia="zh-CN"/>
        </w:rPr>
        <w:t>1名</w:t>
      </w:r>
      <w:r>
        <w:rPr>
          <w:rFonts w:hint="eastAsia" w:ascii="宋体" w:hAnsi="宋体" w:eastAsia="宋体" w:cs="宋体"/>
          <w:kern w:val="2"/>
          <w:sz w:val="24"/>
          <w:szCs w:val="24"/>
          <w:highlight w:val="none"/>
          <w:lang w:val="en-US" w:eastAsia="zh-CN" w:bidi="ar-SA"/>
        </w:rPr>
        <w:t>、验收顾问3</w:t>
      </w:r>
      <w:r>
        <w:rPr>
          <w:rFonts w:hint="eastAsia" w:ascii="宋体" w:hAnsi="宋体" w:eastAsia="宋体" w:cs="宋体"/>
          <w:sz w:val="24"/>
          <w:szCs w:val="24"/>
          <w:highlight w:val="none"/>
          <w:lang w:val="en-US" w:eastAsia="zh-CN"/>
        </w:rPr>
        <w:t>名</w:t>
      </w:r>
      <w:r>
        <w:rPr>
          <w:rFonts w:hint="eastAsia" w:ascii="宋体" w:hAnsi="宋体" w:eastAsia="宋体" w:cs="宋体"/>
          <w:kern w:val="2"/>
          <w:sz w:val="24"/>
          <w:szCs w:val="24"/>
          <w:highlight w:val="none"/>
          <w:lang w:val="en-US" w:eastAsia="zh-CN" w:bidi="ar-SA"/>
        </w:rPr>
        <w:t>（验收期需至少3</w:t>
      </w:r>
      <w:r>
        <w:rPr>
          <w:rFonts w:hint="eastAsia" w:ascii="宋体" w:hAnsi="宋体" w:eastAsia="宋体" w:cs="宋体"/>
          <w:sz w:val="24"/>
          <w:szCs w:val="24"/>
          <w:highlight w:val="none"/>
          <w:lang w:val="en-US" w:eastAsia="zh-CN"/>
        </w:rPr>
        <w:t>名</w:t>
      </w:r>
      <w:r>
        <w:rPr>
          <w:rFonts w:hint="eastAsia" w:ascii="宋体" w:hAnsi="宋体" w:eastAsia="宋体" w:cs="宋体"/>
          <w:kern w:val="2"/>
          <w:sz w:val="24"/>
          <w:szCs w:val="24"/>
          <w:highlight w:val="none"/>
          <w:lang w:val="en-US" w:eastAsia="zh-CN" w:bidi="ar-SA"/>
        </w:rPr>
        <w:t>全职驻场</w:t>
      </w:r>
      <w:r>
        <w:rPr>
          <w:rFonts w:hint="eastAsia" w:ascii="宋体" w:hAnsi="宋体" w:cs="宋体"/>
          <w:kern w:val="2"/>
          <w:sz w:val="24"/>
          <w:szCs w:val="24"/>
          <w:highlight w:val="none"/>
          <w:lang w:val="en-US" w:eastAsia="zh-CN" w:bidi="ar-SA"/>
        </w:rPr>
        <w:t>（不包含项目负责人）</w:t>
      </w:r>
      <w:r>
        <w:rPr>
          <w:rFonts w:hint="eastAsia" w:ascii="宋体" w:hAnsi="宋体" w:eastAsia="宋体" w:cs="宋体"/>
          <w:kern w:val="2"/>
          <w:sz w:val="24"/>
          <w:szCs w:val="24"/>
          <w:highlight w:val="none"/>
          <w:lang w:val="en-US" w:eastAsia="zh-CN" w:bidi="ar-SA"/>
        </w:rPr>
        <w:t>，验收期约3个月，月驻场天数不少于22天</w:t>
      </w:r>
      <w:r>
        <w:rPr>
          <w:rFonts w:hint="eastAsia" w:ascii="宋体" w:hAnsi="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常驻人员须在接到采购人通知后2小时内到达现场</w:t>
      </w:r>
      <w:r>
        <w:rPr>
          <w:rFonts w:hint="eastAsia" w:ascii="宋体" w:hAnsi="宋体" w:eastAsia="宋体" w:cs="宋体"/>
          <w:kern w:val="2"/>
          <w:sz w:val="24"/>
          <w:szCs w:val="24"/>
          <w:highlight w:val="none"/>
          <w:lang w:val="en-US" w:eastAsia="zh-CN" w:bidi="ar-SA"/>
        </w:rPr>
        <w:t>）。</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验收后期咨询保障</w:t>
      </w:r>
      <w:r>
        <w:rPr>
          <w:rFonts w:hint="eastAsia" w:ascii="宋体" w:hAnsi="宋体" w:cs="宋体"/>
          <w:kern w:val="2"/>
          <w:sz w:val="24"/>
          <w:szCs w:val="24"/>
          <w:highlight w:val="none"/>
          <w:lang w:val="en-US" w:eastAsia="zh-CN" w:bidi="ar-SA"/>
        </w:rPr>
        <w:t>约6个月，中标人须根据采购人要求提供相关服务人员。</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组成人员须报采购人备案，在履行合同过程中，未经采购人许可，项目负责人及项目组成人员不能更换。如遇特殊情况必须更换的，更换人员须满足工作及工作组组成要求，经采购人书面同意后，方可进行；投标人须作出项目组组成人员结构及同等人员更换承诺；采购人可根据招标项目性质、规模和复杂情况适当调整项目组人员。</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2"/>
          <w:sz w:val="24"/>
          <w:szCs w:val="21"/>
          <w:highlight w:val="none"/>
          <w:lang w:val="en-US" w:eastAsia="zh-CN" w:bidi="ar-SA"/>
        </w:rPr>
      </w:pPr>
      <w:r>
        <w:rPr>
          <w:rFonts w:hint="eastAsia" w:ascii="宋体" w:hAnsi="宋体" w:eastAsia="宋体" w:cs="宋体"/>
          <w:kern w:val="2"/>
          <w:sz w:val="24"/>
          <w:szCs w:val="24"/>
          <w:highlight w:val="none"/>
          <w:lang w:val="en-US" w:eastAsia="zh-CN" w:bidi="ar-SA"/>
        </w:rPr>
        <w:t>本次投标活动中标单位的项目负责人必须参加中标后第一轮对接，并由项目负责人本人负责初步方案、中间方案、专家评审方案及成果方案汇报及验收，如不能按要求参加需书面征求采购人意见。中标单位须安排相关人员配合好采购人（业主单位）做好本项目进行中相关联的工作。</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1"/>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（五）商务需求</w:t>
      </w:r>
    </w:p>
    <w:p>
      <w:pPr>
        <w:keepNext w:val="0"/>
        <w:keepLines w:val="0"/>
        <w:pageBreakBefore w:val="0"/>
        <w:widowControl w:val="0"/>
        <w:numPr>
          <w:ilvl w:val="0"/>
          <w:numId w:val="0"/>
        </w:numPr>
        <w:kinsoku/>
        <w:wordWrap/>
        <w:overflowPunct/>
        <w:topLinePunct w:val="0"/>
        <w:bidi w:val="0"/>
        <w:spacing w:before="240" w:beforeLines="0" w:after="60" w:afterLines="0" w:line="360" w:lineRule="auto"/>
        <w:ind w:leftChars="0"/>
        <w:jc w:val="both"/>
        <w:textAlignment w:val="auto"/>
        <w:outlineLvl w:val="0"/>
        <w:rPr>
          <w:rFonts w:hint="eastAsia" w:ascii="宋体" w:hAnsi="宋体" w:eastAsia="宋体" w:cs="宋体"/>
          <w:b/>
          <w:bCs w:val="0"/>
          <w:kern w:val="2"/>
          <w:sz w:val="24"/>
          <w:szCs w:val="24"/>
          <w:highlight w:val="none"/>
          <w:lang w:val="en-US" w:eastAsia="zh-CN" w:bidi="ar-SA"/>
        </w:rPr>
      </w:pPr>
      <w:bookmarkStart w:id="40" w:name="_Toc23600"/>
      <w:bookmarkStart w:id="41" w:name="_Toc20624"/>
      <w:r>
        <w:rPr>
          <w:rFonts w:hint="eastAsia" w:ascii="宋体" w:hAnsi="宋体" w:eastAsia="宋体" w:cs="宋体"/>
          <w:b/>
          <w:bCs w:val="0"/>
          <w:kern w:val="2"/>
          <w:sz w:val="24"/>
          <w:szCs w:val="24"/>
          <w:highlight w:val="none"/>
          <w:lang w:val="en-US" w:eastAsia="zh-CN" w:bidi="ar-SA"/>
        </w:rPr>
        <w:t>1、服务周期要求</w:t>
      </w:r>
      <w:bookmarkEnd w:id="40"/>
      <w:bookmarkEnd w:id="41"/>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（1）实施方案编制完成节点要求：中标人</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lang w:val="en-US" w:eastAsia="zh-CN"/>
        </w:rPr>
        <w:t>在2024年3月10日前，完成实施方案终稿。</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（2）创建实施方案编制：服务期自合同签订之日起至第八批未来社区实施方案备案完成。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（3）验收全过程咨询：</w:t>
      </w:r>
      <w:r>
        <w:rPr>
          <w:rFonts w:hint="eastAsia" w:ascii="宋体" w:hAnsi="宋体" w:eastAsia="宋体" w:cs="宋体"/>
          <w:kern w:val="2"/>
          <w:sz w:val="24"/>
          <w:szCs w:val="24"/>
          <w:highlight w:val="none"/>
          <w:lang w:val="en-US" w:eastAsia="zh-CN" w:bidi="ar-SA"/>
        </w:rPr>
        <w:t>服务期自合同签订之日起至2024下半年第六批</w:t>
      </w:r>
      <w:r>
        <w:rPr>
          <w:rFonts w:hint="eastAsia" w:ascii="宋体" w:hAnsi="宋体" w:eastAsia="宋体" w:cs="宋体"/>
          <w:b/>
          <w:bCs/>
          <w:kern w:val="2"/>
          <w:sz w:val="24"/>
          <w:szCs w:val="24"/>
          <w:highlight w:val="none"/>
          <w:lang w:val="en-US" w:eastAsia="zh-CN" w:bidi="ar-SA"/>
        </w:rPr>
        <w:t>（具体参加验收批次以</w:t>
      </w:r>
      <w:r>
        <w:rPr>
          <w:rFonts w:hint="eastAsia" w:ascii="宋体" w:hAnsi="宋体" w:cs="宋体"/>
          <w:b/>
          <w:bCs/>
          <w:kern w:val="2"/>
          <w:sz w:val="24"/>
          <w:szCs w:val="24"/>
          <w:highlight w:val="none"/>
          <w:lang w:val="en-US" w:eastAsia="zh-CN" w:bidi="ar-SA"/>
        </w:rPr>
        <w:t>采购人</w:t>
      </w:r>
      <w:r>
        <w:rPr>
          <w:rFonts w:hint="eastAsia" w:ascii="宋体" w:hAnsi="宋体" w:eastAsia="宋体" w:cs="宋体"/>
          <w:b/>
          <w:bCs/>
          <w:kern w:val="2"/>
          <w:sz w:val="24"/>
          <w:szCs w:val="24"/>
          <w:highlight w:val="none"/>
          <w:lang w:val="en-US" w:eastAsia="zh-CN" w:bidi="ar-SA"/>
        </w:rPr>
        <w:t>要求为准）</w:t>
      </w:r>
      <w:r>
        <w:rPr>
          <w:rFonts w:hint="eastAsia" w:ascii="宋体" w:hAnsi="宋体" w:eastAsia="宋体" w:cs="宋体"/>
          <w:kern w:val="2"/>
          <w:sz w:val="24"/>
          <w:szCs w:val="24"/>
          <w:highlight w:val="none"/>
          <w:lang w:val="en-US" w:eastAsia="zh-CN" w:bidi="ar-SA"/>
        </w:rPr>
        <w:t>未来社区验收通过为止（以省级未来社区名单为准）。</w:t>
      </w:r>
    </w:p>
    <w:p>
      <w:pPr>
        <w:keepNext w:val="0"/>
        <w:keepLines w:val="0"/>
        <w:pageBreakBefore w:val="0"/>
        <w:widowControl w:val="0"/>
        <w:numPr>
          <w:ilvl w:val="0"/>
          <w:numId w:val="0"/>
        </w:numPr>
        <w:kinsoku/>
        <w:wordWrap/>
        <w:overflowPunct/>
        <w:topLinePunct w:val="0"/>
        <w:autoSpaceDE w:val="0"/>
        <w:autoSpaceDN w:val="0"/>
        <w:bidi w:val="0"/>
        <w:spacing w:line="360" w:lineRule="auto"/>
        <w:ind w:leftChars="0" w:firstLine="420"/>
        <w:jc w:val="both"/>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2、验收要求</w:t>
      </w:r>
    </w:p>
    <w:p>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kern w:val="0"/>
          <w:sz w:val="18"/>
          <w:szCs w:val="20"/>
          <w:highlight w:val="none"/>
          <w:lang w:val="en-US" w:eastAsia="zh-CN" w:bidi="ar-SA"/>
        </w:rPr>
      </w:pPr>
      <w:r>
        <w:rPr>
          <w:rFonts w:hint="eastAsia" w:ascii="宋体" w:hAnsi="宋体" w:eastAsia="宋体" w:cs="宋体"/>
          <w:color w:val="000000"/>
          <w:kern w:val="0"/>
          <w:sz w:val="24"/>
          <w:szCs w:val="24"/>
          <w:highlight w:val="none"/>
          <w:lang w:val="en-US" w:eastAsia="zh-CN" w:bidi="ar-SA"/>
        </w:rPr>
        <w:t>（1）创建实施方案编制服务：以完成浙江省第八批未来社区实施方案备案为准。</w:t>
      </w:r>
    </w:p>
    <w:p>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kern w:val="0"/>
          <w:sz w:val="18"/>
          <w:szCs w:val="20"/>
          <w:highlight w:val="none"/>
          <w:lang w:val="en-US" w:eastAsia="zh-CN" w:bidi="ar-SA"/>
        </w:rPr>
      </w:pPr>
      <w:r>
        <w:rPr>
          <w:rFonts w:hint="eastAsia" w:ascii="宋体" w:hAnsi="宋体" w:eastAsia="宋体" w:cs="宋体"/>
          <w:color w:val="000000"/>
          <w:kern w:val="0"/>
          <w:sz w:val="24"/>
          <w:szCs w:val="24"/>
          <w:highlight w:val="none"/>
          <w:lang w:val="en-US" w:eastAsia="zh-CN" w:bidi="ar-SA"/>
        </w:rPr>
        <w:t>（2）验收前介及验收全过程咨询服务：</w:t>
      </w:r>
      <w:r>
        <w:rPr>
          <w:rFonts w:hint="eastAsia" w:ascii="宋体" w:hAnsi="宋体" w:eastAsia="宋体" w:cs="宋体"/>
          <w:color w:val="000000"/>
          <w:kern w:val="0"/>
          <w:sz w:val="24"/>
          <w:szCs w:val="24"/>
          <w:highlight w:val="none"/>
          <w:lang w:val="en-US" w:eastAsia="zh-CN" w:bidi="ar-SA"/>
        </w:rPr>
        <w:t>项目通过</w:t>
      </w:r>
      <w:r>
        <w:rPr>
          <w:rFonts w:hint="eastAsia" w:ascii="宋体" w:hAnsi="宋体" w:eastAsia="宋体" w:cs="宋体"/>
          <w:kern w:val="2"/>
          <w:sz w:val="24"/>
          <w:szCs w:val="24"/>
          <w:highlight w:val="none"/>
          <w:lang w:val="en-US" w:eastAsia="zh-CN" w:bidi="ar-SA"/>
        </w:rPr>
        <w:t>2024下半年第六批</w:t>
      </w:r>
      <w:r>
        <w:rPr>
          <w:rFonts w:hint="eastAsia" w:ascii="宋体" w:hAnsi="宋体" w:eastAsia="宋体" w:cs="宋体"/>
          <w:b/>
          <w:bCs/>
          <w:kern w:val="2"/>
          <w:sz w:val="24"/>
          <w:szCs w:val="24"/>
          <w:highlight w:val="none"/>
          <w:lang w:val="en-US" w:eastAsia="zh-CN" w:bidi="ar-SA"/>
        </w:rPr>
        <w:t>（具体参加验收批次以</w:t>
      </w:r>
      <w:r>
        <w:rPr>
          <w:rFonts w:hint="eastAsia" w:ascii="宋体" w:hAnsi="宋体" w:cs="宋体"/>
          <w:b/>
          <w:bCs/>
          <w:kern w:val="2"/>
          <w:sz w:val="24"/>
          <w:szCs w:val="24"/>
          <w:highlight w:val="none"/>
          <w:lang w:val="en-US" w:eastAsia="zh-CN" w:bidi="ar-SA"/>
        </w:rPr>
        <w:t>采购人</w:t>
      </w:r>
      <w:r>
        <w:rPr>
          <w:rFonts w:hint="eastAsia" w:ascii="宋体" w:hAnsi="宋体" w:eastAsia="宋体" w:cs="宋体"/>
          <w:b/>
          <w:bCs/>
          <w:kern w:val="2"/>
          <w:sz w:val="24"/>
          <w:szCs w:val="24"/>
          <w:highlight w:val="none"/>
          <w:lang w:val="en-US" w:eastAsia="zh-CN" w:bidi="ar-SA"/>
        </w:rPr>
        <w:t>要求为准）</w:t>
      </w:r>
      <w:r>
        <w:rPr>
          <w:rFonts w:hint="eastAsia" w:ascii="宋体" w:hAnsi="宋体" w:eastAsia="宋体" w:cs="宋体"/>
          <w:kern w:val="2"/>
          <w:sz w:val="24"/>
          <w:szCs w:val="24"/>
          <w:highlight w:val="none"/>
          <w:lang w:val="en-US" w:eastAsia="zh-CN" w:bidi="ar-SA"/>
        </w:rPr>
        <w:t>未来社区验收</w:t>
      </w:r>
      <w:r>
        <w:rPr>
          <w:rFonts w:hint="eastAsia" w:ascii="宋体" w:hAnsi="宋体" w:eastAsia="宋体" w:cs="宋体"/>
          <w:color w:val="000000"/>
          <w:kern w:val="0"/>
          <w:sz w:val="24"/>
          <w:szCs w:val="24"/>
          <w:highlight w:val="none"/>
          <w:lang w:val="en-US" w:eastAsia="zh-CN" w:bidi="ar-SA"/>
        </w:rPr>
        <w:t>，以省风貌办公布盖章文件为准。</w:t>
      </w:r>
    </w:p>
    <w:p>
      <w:pPr>
        <w:keepNext w:val="0"/>
        <w:keepLines w:val="0"/>
        <w:pageBreakBefore w:val="0"/>
        <w:widowControl w:val="0"/>
        <w:numPr>
          <w:ilvl w:val="0"/>
          <w:numId w:val="0"/>
        </w:numPr>
        <w:kinsoku/>
        <w:wordWrap/>
        <w:overflowPunct/>
        <w:topLinePunct w:val="0"/>
        <w:autoSpaceDE w:val="0"/>
        <w:autoSpaceDN w:val="0"/>
        <w:bidi w:val="0"/>
        <w:spacing w:line="360" w:lineRule="auto"/>
        <w:ind w:leftChars="0" w:firstLine="420"/>
        <w:jc w:val="both"/>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3、付款方式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实施方案完成浙江省第八批未来社区备案后15个工作日内，</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支付签约合同价的30%</w:t>
      </w:r>
      <w:r>
        <w:rPr>
          <w:rFonts w:hint="eastAsia" w:ascii="宋体" w:hAnsi="宋体" w:cs="宋体"/>
          <w:color w:val="000000"/>
          <w:sz w:val="24"/>
          <w:highlight w:val="none"/>
          <w:lang w:eastAsia="zh-CN"/>
        </w:rPr>
        <w:t>；</w:t>
      </w:r>
      <w:r>
        <w:rPr>
          <w:rFonts w:hint="eastAsia" w:ascii="宋体" w:hAnsi="宋体" w:eastAsia="宋体" w:cs="宋体"/>
          <w:color w:val="000000"/>
          <w:kern w:val="0"/>
          <w:sz w:val="24"/>
          <w:szCs w:val="24"/>
          <w:highlight w:val="none"/>
          <w:lang w:val="en-US" w:eastAsia="zh-CN" w:bidi="ar-SA"/>
        </w:rPr>
        <w:t>项目通过</w:t>
      </w:r>
      <w:r>
        <w:rPr>
          <w:rFonts w:hint="eastAsia" w:ascii="宋体" w:hAnsi="宋体" w:eastAsia="宋体" w:cs="宋体"/>
          <w:kern w:val="2"/>
          <w:sz w:val="24"/>
          <w:szCs w:val="24"/>
          <w:highlight w:val="none"/>
          <w:lang w:val="en-US" w:eastAsia="zh-CN" w:bidi="ar-SA"/>
        </w:rPr>
        <w:t>2024下半年第六批</w:t>
      </w:r>
      <w:r>
        <w:rPr>
          <w:rFonts w:hint="eastAsia" w:ascii="宋体" w:hAnsi="宋体" w:eastAsia="宋体" w:cs="宋体"/>
          <w:b/>
          <w:bCs/>
          <w:kern w:val="2"/>
          <w:sz w:val="24"/>
          <w:szCs w:val="24"/>
          <w:highlight w:val="none"/>
          <w:lang w:val="en-US" w:eastAsia="zh-CN" w:bidi="ar-SA"/>
        </w:rPr>
        <w:t>（具体参加验收批次以</w:t>
      </w:r>
      <w:r>
        <w:rPr>
          <w:rFonts w:hint="eastAsia" w:ascii="宋体" w:hAnsi="宋体" w:cs="宋体"/>
          <w:b/>
          <w:bCs/>
          <w:kern w:val="2"/>
          <w:sz w:val="24"/>
          <w:szCs w:val="24"/>
          <w:highlight w:val="none"/>
          <w:lang w:val="en-US" w:eastAsia="zh-CN" w:bidi="ar-SA"/>
        </w:rPr>
        <w:t>采购人</w:t>
      </w:r>
      <w:r>
        <w:rPr>
          <w:rFonts w:hint="eastAsia" w:ascii="宋体" w:hAnsi="宋体" w:eastAsia="宋体" w:cs="宋体"/>
          <w:b/>
          <w:bCs/>
          <w:kern w:val="2"/>
          <w:sz w:val="24"/>
          <w:szCs w:val="24"/>
          <w:highlight w:val="none"/>
          <w:lang w:val="en-US" w:eastAsia="zh-CN" w:bidi="ar-SA"/>
        </w:rPr>
        <w:t>要求为准）</w:t>
      </w:r>
      <w:r>
        <w:rPr>
          <w:rFonts w:hint="eastAsia" w:ascii="宋体" w:hAnsi="宋体" w:eastAsia="宋体" w:cs="宋体"/>
          <w:kern w:val="2"/>
          <w:sz w:val="24"/>
          <w:szCs w:val="24"/>
          <w:highlight w:val="none"/>
          <w:lang w:val="en-US" w:eastAsia="zh-CN" w:bidi="ar-SA"/>
        </w:rPr>
        <w:t>未来社区验收</w:t>
      </w:r>
      <w:r>
        <w:rPr>
          <w:rFonts w:hint="eastAsia" w:ascii="宋体" w:hAnsi="宋体" w:cs="宋体"/>
          <w:kern w:val="2"/>
          <w:sz w:val="24"/>
          <w:szCs w:val="24"/>
          <w:highlight w:val="none"/>
          <w:lang w:val="en-US" w:eastAsia="zh-CN" w:bidi="ar-SA"/>
        </w:rPr>
        <w:t>（以</w:t>
      </w:r>
      <w:r>
        <w:rPr>
          <w:rFonts w:hint="eastAsia" w:ascii="宋体" w:hAnsi="宋体" w:eastAsia="宋体" w:cs="宋体"/>
          <w:color w:val="000000"/>
          <w:sz w:val="24"/>
          <w:highlight w:val="none"/>
        </w:rPr>
        <w:t>省风貌办公布盖章文件公布</w:t>
      </w:r>
      <w:r>
        <w:rPr>
          <w:rFonts w:hint="eastAsia" w:ascii="宋体" w:hAnsi="宋体" w:cs="宋体"/>
          <w:color w:val="000000"/>
          <w:sz w:val="24"/>
          <w:highlight w:val="none"/>
          <w:lang w:val="en-US" w:eastAsia="zh-CN"/>
        </w:rPr>
        <w:t>为准</w:t>
      </w:r>
      <w:r>
        <w:rPr>
          <w:rFonts w:hint="eastAsia" w:ascii="宋体" w:hAnsi="宋体" w:cs="宋体"/>
          <w:kern w:val="2"/>
          <w:sz w:val="24"/>
          <w:szCs w:val="24"/>
          <w:highlight w:val="none"/>
          <w:lang w:val="en-US" w:eastAsia="zh-CN" w:bidi="ar-SA"/>
        </w:rPr>
        <w:t>）</w:t>
      </w:r>
      <w:r>
        <w:rPr>
          <w:rFonts w:hint="eastAsia" w:ascii="宋体" w:hAnsi="宋体" w:eastAsia="宋体" w:cs="宋体"/>
          <w:color w:val="000000"/>
          <w:sz w:val="24"/>
          <w:highlight w:val="none"/>
        </w:rPr>
        <w:t>后的15个工作日内，</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支付</w:t>
      </w:r>
      <w:r>
        <w:rPr>
          <w:rFonts w:hint="eastAsia" w:ascii="宋体" w:hAnsi="宋体" w:cs="宋体"/>
          <w:color w:val="000000"/>
          <w:sz w:val="24"/>
          <w:highlight w:val="none"/>
          <w:lang w:val="en-US" w:eastAsia="zh-CN"/>
        </w:rPr>
        <w:t>签约合同价的60%</w:t>
      </w:r>
      <w:r>
        <w:rPr>
          <w:rFonts w:hint="eastAsia" w:ascii="宋体" w:hAnsi="宋体" w:cs="宋体"/>
          <w:color w:val="000000"/>
          <w:sz w:val="24"/>
          <w:highlight w:val="none"/>
          <w:lang w:eastAsia="zh-CN"/>
        </w:rPr>
        <w:t>；</w:t>
      </w:r>
      <w:r>
        <w:rPr>
          <w:rFonts w:hint="eastAsia" w:ascii="宋体" w:hAnsi="宋体" w:eastAsia="宋体" w:cs="宋体"/>
          <w:color w:val="000000"/>
          <w:kern w:val="0"/>
          <w:sz w:val="24"/>
          <w:szCs w:val="24"/>
          <w:highlight w:val="none"/>
          <w:lang w:val="en-US" w:eastAsia="zh-CN" w:bidi="ar-SA"/>
        </w:rPr>
        <w:t>项目通过</w:t>
      </w:r>
      <w:r>
        <w:rPr>
          <w:rFonts w:hint="eastAsia" w:ascii="宋体" w:hAnsi="宋体" w:eastAsia="宋体" w:cs="宋体"/>
          <w:kern w:val="2"/>
          <w:sz w:val="24"/>
          <w:szCs w:val="24"/>
          <w:highlight w:val="none"/>
          <w:lang w:val="en-US" w:eastAsia="zh-CN" w:bidi="ar-SA"/>
        </w:rPr>
        <w:t>2024下半年第六批</w:t>
      </w:r>
      <w:r>
        <w:rPr>
          <w:rFonts w:hint="eastAsia" w:ascii="宋体" w:hAnsi="宋体" w:eastAsia="宋体" w:cs="宋体"/>
          <w:b/>
          <w:bCs/>
          <w:kern w:val="2"/>
          <w:sz w:val="24"/>
          <w:szCs w:val="24"/>
          <w:highlight w:val="none"/>
          <w:lang w:val="en-US" w:eastAsia="zh-CN" w:bidi="ar-SA"/>
        </w:rPr>
        <w:t>（具体参加验收批次以</w:t>
      </w:r>
      <w:r>
        <w:rPr>
          <w:rFonts w:hint="eastAsia" w:ascii="宋体" w:hAnsi="宋体" w:cs="宋体"/>
          <w:b/>
          <w:bCs/>
          <w:kern w:val="2"/>
          <w:sz w:val="24"/>
          <w:szCs w:val="24"/>
          <w:highlight w:val="none"/>
          <w:lang w:val="en-US" w:eastAsia="zh-CN" w:bidi="ar-SA"/>
        </w:rPr>
        <w:t>采购人</w:t>
      </w:r>
      <w:r>
        <w:rPr>
          <w:rFonts w:hint="eastAsia" w:ascii="宋体" w:hAnsi="宋体" w:eastAsia="宋体" w:cs="宋体"/>
          <w:b/>
          <w:bCs/>
          <w:kern w:val="2"/>
          <w:sz w:val="24"/>
          <w:szCs w:val="24"/>
          <w:highlight w:val="none"/>
          <w:lang w:val="en-US" w:eastAsia="zh-CN" w:bidi="ar-SA"/>
        </w:rPr>
        <w:t>要求为准）</w:t>
      </w:r>
      <w:r>
        <w:rPr>
          <w:rFonts w:hint="eastAsia" w:ascii="宋体" w:hAnsi="宋体" w:eastAsia="宋体" w:cs="宋体"/>
          <w:kern w:val="2"/>
          <w:sz w:val="24"/>
          <w:szCs w:val="24"/>
          <w:highlight w:val="none"/>
          <w:lang w:val="en-US" w:eastAsia="zh-CN" w:bidi="ar-SA"/>
        </w:rPr>
        <w:t>未来社区验收</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以</w:t>
      </w:r>
      <w:r>
        <w:rPr>
          <w:rFonts w:hint="eastAsia" w:ascii="宋体" w:hAnsi="宋体" w:eastAsia="宋体" w:cs="宋体"/>
          <w:color w:val="000000"/>
          <w:sz w:val="24"/>
          <w:highlight w:val="none"/>
        </w:rPr>
        <w:t>省风貌办公布盖章文件公布</w:t>
      </w:r>
      <w:r>
        <w:rPr>
          <w:rFonts w:hint="eastAsia" w:ascii="宋体" w:hAnsi="宋体" w:cs="宋体"/>
          <w:color w:val="000000"/>
          <w:sz w:val="24"/>
          <w:highlight w:val="none"/>
          <w:lang w:val="en-US" w:eastAsia="zh-CN"/>
        </w:rPr>
        <w:t>为准</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满6个月</w:t>
      </w:r>
      <w:r>
        <w:rPr>
          <w:rFonts w:hint="eastAsia" w:ascii="宋体" w:hAnsi="宋体" w:eastAsia="宋体" w:cs="宋体"/>
          <w:color w:val="000000"/>
          <w:sz w:val="24"/>
          <w:highlight w:val="none"/>
        </w:rPr>
        <w:t>后</w:t>
      </w:r>
      <w:r>
        <w:rPr>
          <w:rFonts w:hint="eastAsia" w:ascii="宋体" w:hAnsi="宋体" w:cs="宋体"/>
          <w:color w:val="000000"/>
          <w:sz w:val="24"/>
          <w:highlight w:val="none"/>
          <w:lang w:val="en-US" w:eastAsia="zh-CN"/>
        </w:rPr>
        <w:t>的</w:t>
      </w:r>
      <w:r>
        <w:rPr>
          <w:rFonts w:hint="eastAsia" w:ascii="宋体" w:hAnsi="宋体" w:eastAsia="宋体" w:cs="宋体"/>
          <w:color w:val="000000"/>
          <w:sz w:val="24"/>
          <w:highlight w:val="none"/>
        </w:rPr>
        <w:t>15个工作日内</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支付</w:t>
      </w:r>
      <w:r>
        <w:rPr>
          <w:rFonts w:hint="eastAsia" w:ascii="宋体" w:hAnsi="宋体" w:cs="宋体"/>
          <w:color w:val="000000"/>
          <w:sz w:val="24"/>
          <w:highlight w:val="none"/>
          <w:lang w:val="en-US" w:eastAsia="zh-CN"/>
        </w:rPr>
        <w:t>签约合同价的10%。</w:t>
      </w:r>
    </w:p>
    <w:p>
      <w:pPr>
        <w:rPr>
          <w:rFonts w:ascii="宋体" w:hAnsi="宋体" w:cs="宋体"/>
          <w:b/>
          <w:kern w:val="0"/>
          <w:sz w:val="24"/>
          <w:highlight w:val="none"/>
        </w:rPr>
      </w:pPr>
      <w:r>
        <w:rPr>
          <w:rFonts w:hint="eastAsia" w:ascii="宋体" w:hAnsi="宋体" w:eastAsia="宋体" w:cs="宋体"/>
          <w:color w:val="000000"/>
          <w:sz w:val="24"/>
          <w:highlight w:val="none"/>
        </w:rPr>
        <w:t>注：付款前</w:t>
      </w:r>
      <w:r>
        <w:rPr>
          <w:rFonts w:hint="eastAsia" w:ascii="宋体" w:hAnsi="宋体" w:eastAsia="宋体" w:cs="宋体"/>
          <w:color w:val="000000"/>
          <w:sz w:val="24"/>
          <w:highlight w:val="none"/>
          <w:lang w:val="en-US" w:eastAsia="zh-CN"/>
        </w:rPr>
        <w:t>中标人</w:t>
      </w:r>
      <w:r>
        <w:rPr>
          <w:rFonts w:hint="eastAsia" w:ascii="宋体" w:hAnsi="宋体" w:eastAsia="宋体" w:cs="宋体"/>
          <w:color w:val="000000"/>
          <w:sz w:val="24"/>
          <w:highlight w:val="none"/>
        </w:rPr>
        <w:t>向</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提供足额的增值税</w:t>
      </w:r>
      <w:r>
        <w:rPr>
          <w:rFonts w:hint="eastAsia" w:ascii="宋体" w:hAnsi="宋体" w:cs="宋体"/>
          <w:color w:val="000000"/>
          <w:sz w:val="24"/>
          <w:highlight w:val="none"/>
          <w:lang w:val="en-US" w:eastAsia="zh-CN"/>
        </w:rPr>
        <w:t>专用</w:t>
      </w:r>
      <w:r>
        <w:rPr>
          <w:rFonts w:hint="eastAsia" w:ascii="宋体" w:hAnsi="宋体" w:eastAsia="宋体" w:cs="宋体"/>
          <w:color w:val="000000"/>
          <w:sz w:val="24"/>
          <w:highlight w:val="none"/>
        </w:rPr>
        <w:t>发票,</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收到发票后15个工作日内支付到合同约定的</w:t>
      </w:r>
      <w:r>
        <w:rPr>
          <w:rFonts w:hint="eastAsia" w:ascii="宋体" w:hAnsi="宋体" w:eastAsia="宋体" w:cs="宋体"/>
          <w:color w:val="000000"/>
          <w:sz w:val="24"/>
          <w:highlight w:val="none"/>
          <w:lang w:val="en-US" w:eastAsia="zh-CN"/>
        </w:rPr>
        <w:t>中标人</w:t>
      </w:r>
      <w:r>
        <w:rPr>
          <w:rFonts w:hint="eastAsia" w:ascii="宋体" w:hAnsi="宋体" w:eastAsia="宋体" w:cs="宋体"/>
          <w:color w:val="000000"/>
          <w:sz w:val="24"/>
          <w:highlight w:val="none"/>
        </w:rPr>
        <w:t>账户。</w:t>
      </w:r>
    </w:p>
    <w:p>
      <w:pPr>
        <w:snapToGrid w:val="0"/>
        <w:spacing w:line="360" w:lineRule="auto"/>
        <w:ind w:firstLine="354" w:firstLineChars="169"/>
        <w:jc w:val="left"/>
        <w:rPr>
          <w:highlight w:val="none"/>
        </w:rPr>
      </w:pPr>
    </w:p>
    <w:p>
      <w:pPr>
        <w:pStyle w:val="31"/>
        <w:ind w:firstLine="0" w:firstLineChars="0"/>
        <w:rPr>
          <w:highlight w:val="none"/>
        </w:rPr>
      </w:pPr>
    </w:p>
    <w:p>
      <w:pPr>
        <w:pStyle w:val="31"/>
        <w:ind w:firstLine="0" w:firstLineChars="0"/>
        <w:rPr>
          <w:highlight w:val="none"/>
        </w:rPr>
      </w:pPr>
    </w:p>
    <w:p>
      <w:pPr>
        <w:pStyle w:val="31"/>
        <w:ind w:firstLine="0" w:firstLineChars="0"/>
        <w:rPr>
          <w:highlight w:val="none"/>
        </w:rPr>
      </w:pPr>
    </w:p>
    <w:p>
      <w:pPr>
        <w:pStyle w:val="31"/>
        <w:ind w:firstLine="0" w:firstLineChars="0"/>
        <w:rPr>
          <w:highlight w:val="none"/>
        </w:rPr>
      </w:pPr>
    </w:p>
    <w:p>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42" w:name="_Toc16021"/>
      <w:r>
        <w:rPr>
          <w:rFonts w:hint="eastAsia" w:asciiTheme="minorEastAsia" w:hAnsiTheme="minorEastAsia" w:eastAsiaTheme="minorEastAsia"/>
          <w:b/>
          <w:sz w:val="36"/>
          <w:szCs w:val="36"/>
          <w:highlight w:val="none"/>
        </w:rPr>
        <w:t>评标</w:t>
      </w:r>
      <w:bookmarkEnd w:id="42"/>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一、评标原则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二、评标方法</w:t>
      </w:r>
    </w:p>
    <w:p>
      <w:pPr>
        <w:spacing w:line="360" w:lineRule="auto"/>
        <w:ind w:firstLine="480" w:firstLineChars="200"/>
        <w:rPr>
          <w:highlight w:val="none"/>
        </w:rPr>
      </w:pPr>
      <w:r>
        <w:rPr>
          <w:rFonts w:hint="eastAsia" w:ascii="宋体" w:hAnsi="宋体" w:cs="宋体"/>
          <w:sz w:val="24"/>
          <w:highlight w:val="none"/>
        </w:rPr>
        <w:t>综合评分法，是指投标文件满足招标文件全部实质性要求，且按照评审因素的量化指标评审得分最高的投标人为中标候选人的评标方法。</w:t>
      </w:r>
    </w:p>
    <w:p>
      <w:pPr>
        <w:pStyle w:val="24"/>
        <w:spacing w:after="0" w:line="360" w:lineRule="auto"/>
        <w:ind w:left="0" w:leftChars="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三、评标委员会</w:t>
      </w:r>
    </w:p>
    <w:p>
      <w:pPr>
        <w:pStyle w:val="5"/>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（一）本项目评标委员会由采购人代表和评审专家组成。</w:t>
      </w:r>
    </w:p>
    <w:p>
      <w:pPr>
        <w:pStyle w:val="5"/>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（二）评标委员会成员与参与投标的</w:t>
      </w:r>
      <w:r>
        <w:rPr>
          <w:rFonts w:hint="eastAsia" w:ascii="宋体" w:hAnsi="宋体" w:cs="宋体"/>
          <w:sz w:val="24"/>
          <w:szCs w:val="24"/>
          <w:highlight w:val="none"/>
          <w:lang w:eastAsia="zh-CN"/>
        </w:rPr>
        <w:t>投标人</w:t>
      </w:r>
      <w:r>
        <w:rPr>
          <w:rFonts w:hint="eastAsia" w:ascii="宋体" w:hAnsi="宋体" w:cs="宋体"/>
          <w:sz w:val="24"/>
          <w:szCs w:val="24"/>
          <w:highlight w:val="none"/>
        </w:rPr>
        <w:t>有下列情形之一的，应当回避：</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1.参加采购活动前3年内与</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存在劳动关系；</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2.参加采购活动前3年内担任</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的董事、监事；</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3.参加采购活动前3年内是</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的控股股东或者实际控制人；</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4.与</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的法定代表人或者负责人有夫妻、直系血亲、三代以内旁系血亲或者近姻亲关系；</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5.与</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有其他可能影响政府采购活动公平、公正进行的关系；</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6.法律法规规定的其他情形。</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（三）评标委员会负责具体评标事务，并独立履行下列职责：</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1.审查、评价投标文件是否符合招标文件的商务、技术等实质性要求；</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2.要求投标人对投标文件有关事项作出澄清或者说明；</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3.对投标文件进行比较和评价；</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4.确定中标候选人名单，以及根据采购人委托直接确定中标人；</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5.向采购人、采购组织机构或者有关部门报告评标中发现的违法行为；</w:t>
      </w:r>
    </w:p>
    <w:p>
      <w:pPr>
        <w:pStyle w:val="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pPr>
        <w:pStyle w:val="21"/>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四、无效标情形</w:t>
      </w:r>
    </w:p>
    <w:p>
      <w:pPr>
        <w:adjustRightInd w:val="0"/>
        <w:snapToGrid w:val="0"/>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（一）在资格标或技术标中出现投标报价的，或者报价文件中报价的服务跟商务与技术文件中的投标服务出现重大偏差的；</w:t>
      </w:r>
    </w:p>
    <w:p>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（二）不具备招标文件中规定的资格要求的；</w:t>
      </w:r>
      <w:r>
        <w:rPr>
          <w:rFonts w:hint="default" w:asciiTheme="minorEastAsia" w:hAnsiTheme="minorEastAsia" w:eastAsiaTheme="minorEastAsia"/>
          <w:highlight w:val="none"/>
        </w:rPr>
        <w:tab/>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（八）有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不同投标人的投标文件由同一单位或者个人编制；</w:t>
      </w:r>
    </w:p>
    <w:p>
      <w:pPr>
        <w:pStyle w:val="2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2.不同投标人委托同一单位或者个人办理投标事宜；</w:t>
      </w:r>
    </w:p>
    <w:p>
      <w:pPr>
        <w:pStyle w:val="2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3.不同投标人的投标文件载明的项目管理成员或者联系人员为同一人；</w:t>
      </w:r>
    </w:p>
    <w:p>
      <w:pPr>
        <w:pStyle w:val="2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4.不同投标人的投标文件异常一致或者投标报价呈规律性差异；</w:t>
      </w:r>
    </w:p>
    <w:p>
      <w:pPr>
        <w:pStyle w:val="2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5.不同投标人的投标文件相互混装。</w:t>
      </w:r>
    </w:p>
    <w:p>
      <w:pPr>
        <w:pStyle w:val="21"/>
        <w:spacing w:before="0" w:beforeAutospacing="0" w:after="0" w:afterAutospacing="0" w:line="360" w:lineRule="auto"/>
        <w:ind w:firstLine="480" w:firstLineChars="200"/>
        <w:jc w:val="both"/>
        <w:rPr>
          <w:rFonts w:hint="default" w:asciiTheme="minorEastAsia" w:hAnsiTheme="minorEastAsia"/>
          <w:highlight w:val="none"/>
        </w:rPr>
      </w:pPr>
      <w:r>
        <w:rPr>
          <w:rFonts w:asciiTheme="minorEastAsia" w:hAnsiTheme="minorEastAsia" w:eastAsiaTheme="minorEastAsia"/>
          <w:highlight w:val="none"/>
        </w:rPr>
        <w:t>（九）</w:t>
      </w:r>
      <w:r>
        <w:rPr>
          <w:rFonts w:cs="宋体"/>
          <w:highlight w:val="none"/>
        </w:rPr>
        <w:t>实质性要求（招标文件中打“▲”内容）不响应的；</w:t>
      </w:r>
    </w:p>
    <w:p>
      <w:pPr>
        <w:pStyle w:val="5"/>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（十）商务条款不响应的；</w:t>
      </w:r>
    </w:p>
    <w:p>
      <w:pPr>
        <w:pStyle w:val="5"/>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（十一）投标文件有效期不足的；</w:t>
      </w:r>
    </w:p>
    <w:p>
      <w:pPr>
        <w:pStyle w:val="5"/>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（十二）逾期或未按要求提交投标文件的；</w:t>
      </w:r>
    </w:p>
    <w:p>
      <w:pPr>
        <w:pStyle w:val="5"/>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（十三）两家或两家以上投标单位上传投标文件的ip地址（或工程清单锁地址）相同，视为串标行为，取消评标资格。</w:t>
      </w:r>
    </w:p>
    <w:p>
      <w:pPr>
        <w:pStyle w:val="5"/>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（十四）被拒绝的投标文件为无效。</w:t>
      </w:r>
    </w:p>
    <w:p>
      <w:pPr>
        <w:pStyle w:val="5"/>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（十五）其他不符合法律法规相关规定的。</w:t>
      </w:r>
    </w:p>
    <w:p>
      <w:pPr>
        <w:autoSpaceDE w:val="0"/>
        <w:autoSpaceDN w:val="0"/>
        <w:adjustRightIn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五、废标情形</w:t>
      </w:r>
    </w:p>
    <w:p>
      <w:pPr>
        <w:pStyle w:val="21"/>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（一）</w:t>
      </w:r>
      <w:r>
        <w:rPr>
          <w:rFonts w:cs="宋体"/>
          <w:highlight w:val="none"/>
        </w:rPr>
        <w:t>出现影响采购公正的违法、违规行为的；</w:t>
      </w:r>
    </w:p>
    <w:p>
      <w:pPr>
        <w:pStyle w:val="21"/>
        <w:spacing w:before="0" w:beforeAutospacing="0" w:after="0" w:afterAutospacing="0" w:line="360" w:lineRule="auto"/>
        <w:ind w:firstLine="480" w:firstLineChars="200"/>
        <w:jc w:val="both"/>
        <w:rPr>
          <w:rFonts w:hint="default" w:cs="宋体"/>
          <w:b/>
          <w:bCs/>
          <w:highlight w:val="none"/>
        </w:rPr>
      </w:pPr>
      <w:r>
        <w:rPr>
          <w:rFonts w:asciiTheme="minorEastAsia" w:hAnsiTheme="minorEastAsia" w:eastAsiaTheme="minorEastAsia"/>
          <w:highlight w:val="none"/>
        </w:rPr>
        <w:t>（二）</w:t>
      </w:r>
      <w:r>
        <w:rPr>
          <w:rFonts w:cs="宋体"/>
          <w:highlight w:val="none"/>
        </w:rPr>
        <w:t>评标委员会发现招标文件存在歧义、重大缺陷导致评标工作无法进行，或者招标文件内容违反国家有关强制性规定的；</w:t>
      </w:r>
    </w:p>
    <w:p>
      <w:pPr>
        <w:pStyle w:val="21"/>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（三）</w:t>
      </w:r>
      <w:r>
        <w:rPr>
          <w:rFonts w:cs="宋体"/>
          <w:highlight w:val="none"/>
        </w:rPr>
        <w:t>因重大变故，采购任务取消的；</w:t>
      </w:r>
    </w:p>
    <w:p>
      <w:pPr>
        <w:pStyle w:val="21"/>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（四）</w:t>
      </w:r>
      <w:r>
        <w:rPr>
          <w:rFonts w:cs="宋体"/>
          <w:highlight w:val="none"/>
        </w:rPr>
        <w:t>法律、法规和招标文件规定的其他导致评标结果无效的。</w:t>
      </w:r>
    </w:p>
    <w:p>
      <w:pPr>
        <w:autoSpaceDE w:val="0"/>
        <w:autoSpaceDN w:val="0"/>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六、投标人有下列情形之一的，投标保证金将不予退还：</w:t>
      </w:r>
    </w:p>
    <w:p>
      <w:pPr>
        <w:snapToGrid w:val="0"/>
        <w:spacing w:line="400" w:lineRule="exact"/>
        <w:ind w:firstLine="470" w:firstLineChars="196"/>
        <w:jc w:val="left"/>
        <w:rPr>
          <w:rFonts w:ascii="宋体" w:hAnsi="宋体"/>
          <w:sz w:val="24"/>
          <w:highlight w:val="none"/>
        </w:rPr>
      </w:pPr>
      <w:r>
        <w:rPr>
          <w:rFonts w:hint="eastAsia" w:ascii="宋体" w:hAnsi="宋体"/>
          <w:sz w:val="24"/>
          <w:highlight w:val="none"/>
        </w:rPr>
        <w:t>（一）投标人在投标有效期内撤回投标文件的；</w:t>
      </w:r>
    </w:p>
    <w:p>
      <w:pPr>
        <w:snapToGrid w:val="0"/>
        <w:spacing w:line="400" w:lineRule="exact"/>
        <w:ind w:firstLine="470" w:firstLineChars="196"/>
        <w:jc w:val="left"/>
        <w:rPr>
          <w:rFonts w:ascii="宋体" w:hAnsi="宋体"/>
          <w:sz w:val="24"/>
          <w:highlight w:val="none"/>
        </w:rPr>
      </w:pPr>
      <w:r>
        <w:rPr>
          <w:rFonts w:hint="eastAsia" w:ascii="宋体" w:hAnsi="宋体"/>
          <w:sz w:val="24"/>
          <w:highlight w:val="none"/>
        </w:rPr>
        <w:t>（二）未按规定提交履约保证金的；</w:t>
      </w:r>
    </w:p>
    <w:p>
      <w:pPr>
        <w:snapToGrid w:val="0"/>
        <w:spacing w:line="400" w:lineRule="exact"/>
        <w:ind w:firstLine="470" w:firstLineChars="196"/>
        <w:jc w:val="left"/>
        <w:rPr>
          <w:rFonts w:ascii="宋体" w:hAnsi="宋体"/>
          <w:sz w:val="24"/>
          <w:highlight w:val="none"/>
        </w:rPr>
      </w:pPr>
      <w:r>
        <w:rPr>
          <w:rFonts w:hint="eastAsia" w:ascii="宋体" w:hAnsi="宋体"/>
          <w:sz w:val="24"/>
          <w:highlight w:val="none"/>
        </w:rPr>
        <w:t>（三）投标人在投标过程中弄虚作假，提供虚假材料的；</w:t>
      </w:r>
    </w:p>
    <w:p>
      <w:pPr>
        <w:snapToGrid w:val="0"/>
        <w:spacing w:line="400" w:lineRule="exact"/>
        <w:ind w:firstLine="470" w:firstLineChars="196"/>
        <w:rPr>
          <w:rFonts w:ascii="宋体" w:hAnsi="宋体"/>
          <w:sz w:val="24"/>
          <w:highlight w:val="none"/>
        </w:rPr>
      </w:pPr>
      <w:r>
        <w:rPr>
          <w:rFonts w:hint="eastAsia" w:ascii="宋体" w:hAnsi="宋体"/>
          <w:sz w:val="24"/>
          <w:highlight w:val="none"/>
        </w:rPr>
        <w:t>（四）中标人无正当理由不与采购单位签订合同的；</w:t>
      </w:r>
    </w:p>
    <w:p>
      <w:pPr>
        <w:snapToGrid w:val="0"/>
        <w:spacing w:line="400" w:lineRule="exact"/>
        <w:ind w:firstLine="470" w:firstLineChars="196"/>
        <w:rPr>
          <w:rFonts w:ascii="宋体" w:hAnsi="宋体"/>
          <w:sz w:val="24"/>
          <w:highlight w:val="none"/>
        </w:rPr>
      </w:pPr>
      <w:r>
        <w:rPr>
          <w:rFonts w:hint="eastAsia" w:ascii="宋体" w:hAnsi="宋体"/>
          <w:sz w:val="24"/>
          <w:highlight w:val="none"/>
        </w:rPr>
        <w:t>（五）</w:t>
      </w:r>
      <w:r>
        <w:rPr>
          <w:rFonts w:hint="eastAsia" w:ascii="宋体" w:hAnsi="宋体"/>
          <w:bCs/>
          <w:sz w:val="24"/>
          <w:highlight w:val="none"/>
        </w:rPr>
        <w:t>将中标项目转让给他人或者在投标文件中未说明且未经招标人同意，将中标项目分包给他人的；</w:t>
      </w:r>
    </w:p>
    <w:p>
      <w:pPr>
        <w:snapToGrid w:val="0"/>
        <w:spacing w:line="400" w:lineRule="exact"/>
        <w:ind w:firstLine="470" w:firstLineChars="196"/>
        <w:jc w:val="left"/>
        <w:rPr>
          <w:rFonts w:ascii="宋体" w:hAnsi="宋体"/>
          <w:sz w:val="24"/>
          <w:highlight w:val="none"/>
        </w:rPr>
      </w:pPr>
      <w:r>
        <w:rPr>
          <w:rFonts w:hint="eastAsia" w:ascii="宋体" w:hAnsi="宋体"/>
          <w:sz w:val="24"/>
          <w:highlight w:val="none"/>
        </w:rPr>
        <w:t>（六）拒绝履行合同义务的；</w:t>
      </w:r>
    </w:p>
    <w:p>
      <w:pPr>
        <w:snapToGrid w:val="0"/>
        <w:spacing w:line="400" w:lineRule="exact"/>
        <w:ind w:firstLine="470" w:firstLineChars="196"/>
        <w:jc w:val="left"/>
        <w:rPr>
          <w:rFonts w:ascii="宋体" w:hAnsi="宋体"/>
          <w:sz w:val="24"/>
          <w:highlight w:val="none"/>
        </w:rPr>
      </w:pPr>
      <w:r>
        <w:rPr>
          <w:rFonts w:hint="eastAsia" w:ascii="宋体" w:hAnsi="宋体"/>
          <w:sz w:val="24"/>
          <w:highlight w:val="none"/>
        </w:rPr>
        <w:t>（七）两家或两家以上投标单位上传投标文件的ip地址（或工程清单锁地址）相同的。</w:t>
      </w:r>
    </w:p>
    <w:p>
      <w:pPr>
        <w:autoSpaceDE w:val="0"/>
        <w:autoSpaceDN w:val="0"/>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七、评标过程的监控</w:t>
      </w:r>
    </w:p>
    <w:p>
      <w:pPr>
        <w:pStyle w:val="21"/>
        <w:spacing w:before="0" w:beforeAutospacing="0" w:after="0" w:afterAutospacing="0" w:line="360" w:lineRule="auto"/>
        <w:ind w:firstLine="480" w:firstLineChars="200"/>
        <w:jc w:val="both"/>
        <w:rPr>
          <w:rFonts w:hint="default"/>
          <w:highlight w:val="none"/>
        </w:rPr>
      </w:pPr>
      <w:r>
        <w:rPr>
          <w:highlight w:val="none"/>
        </w:rPr>
        <w:t>本项目评标过程实行全程录音、录像监控，投标人在评标过程中所进行的试图影响评标结果的不公正活动，可能导致其投标被拒绝。</w:t>
      </w:r>
    </w:p>
    <w:p>
      <w:pPr>
        <w:pStyle w:val="13"/>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八、</w:t>
      </w:r>
      <w:r>
        <w:rPr>
          <w:rFonts w:asciiTheme="minorEastAsia" w:hAnsiTheme="minorEastAsia" w:eastAsiaTheme="minorEastAsia"/>
          <w:b/>
          <w:bCs/>
          <w:sz w:val="24"/>
          <w:highlight w:val="none"/>
        </w:rPr>
        <w:t>评标程序</w:t>
      </w:r>
    </w:p>
    <w:p>
      <w:pPr>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pPr>
        <w:pStyle w:val="8"/>
        <w:spacing w:line="360" w:lineRule="auto"/>
        <w:ind w:firstLine="480" w:firstLineChars="200"/>
        <w:jc w:val="both"/>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，采购人或采购组织机构依法对投标人的资格进行审查，对审查发现无效的进行必要的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w:t>
      </w:r>
      <w:r>
        <w:rPr>
          <w:rFonts w:hint="eastAsia" w:ascii="宋体" w:hAnsi="宋体" w:cs="宋体"/>
          <w:sz w:val="24"/>
          <w:highlight w:val="none"/>
        </w:rPr>
        <w:t>台州湾新区小额工程电子交易平台</w:t>
      </w:r>
      <w:r>
        <w:rPr>
          <w:rFonts w:hint="eastAsia"/>
          <w:sz w:val="24"/>
          <w:highlight w:val="none"/>
        </w:rPr>
        <w:t>公布</w:t>
      </w:r>
      <w:r>
        <w:rPr>
          <w:rFonts w:asciiTheme="minorEastAsia" w:hAnsiTheme="minorEastAsia" w:eastAsiaTheme="minorEastAsia"/>
          <w:sz w:val="24"/>
          <w:highlight w:val="none"/>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pPr>
              <w:pStyle w:val="53"/>
              <w:spacing w:line="300" w:lineRule="auto"/>
              <w:ind w:left="15" w:leftChars="7" w:right="-17" w:rightChars="-8" w:firstLine="403" w:firstLineChars="192"/>
              <w:rPr>
                <w:szCs w:val="21"/>
                <w:highlight w:val="none"/>
              </w:rPr>
            </w:pPr>
            <w:r>
              <w:rPr>
                <w:rFonts w:hint="eastAsia"/>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3"/>
              <w:spacing w:line="30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szCs w:val="21"/>
                <w:highlight w:val="none"/>
              </w:rPr>
            </w:pPr>
            <w:r>
              <w:rPr>
                <w:rFonts w:hint="eastAsia"/>
                <w:szCs w:val="21"/>
                <w:highlight w:val="none"/>
              </w:rPr>
              <w:t>具有良好的商业信誉和健全的财务会计制度</w:t>
            </w:r>
          </w:p>
        </w:tc>
        <w:tc>
          <w:tcPr>
            <w:tcW w:w="7092" w:type="dxa"/>
            <w:tcMar>
              <w:top w:w="57" w:type="dxa"/>
              <w:left w:w="108" w:type="dxa"/>
              <w:bottom w:w="0" w:type="dxa"/>
              <w:right w:w="108" w:type="dxa"/>
            </w:tcMar>
            <w:vAlign w:val="center"/>
          </w:tcPr>
          <w:p>
            <w:pPr>
              <w:pStyle w:val="53"/>
              <w:spacing w:before="117" w:line="30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3"/>
              <w:spacing w:before="1" w:line="30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highlight w:val="none"/>
              </w:rPr>
            </w:pPr>
            <w:r>
              <w:rPr>
                <w:rFonts w:hint="eastAsia"/>
                <w:szCs w:val="21"/>
                <w:highlight w:val="none"/>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highlight w:val="none"/>
              </w:rPr>
            </w:pPr>
            <w:r>
              <w:rPr>
                <w:rFonts w:hint="eastAsia"/>
                <w:szCs w:val="21"/>
                <w:highlight w:val="none"/>
              </w:rPr>
              <w:t>必须符合法律、行政法规规定的其他条件</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highlight w:val="none"/>
              </w:rPr>
            </w:pPr>
            <w:r>
              <w:rPr>
                <w:rFonts w:hint="eastAsia"/>
                <w:szCs w:val="21"/>
                <w:highlight w:val="none"/>
              </w:rPr>
              <w:t>1.单位负责人为同一人或者存在直接控股、管理关系的不同</w:t>
            </w:r>
            <w:r>
              <w:rPr>
                <w:rFonts w:hint="eastAsia"/>
                <w:szCs w:val="21"/>
                <w:highlight w:val="none"/>
                <w:lang w:eastAsia="zh-CN"/>
              </w:rPr>
              <w:t>投标人</w:t>
            </w:r>
            <w:r>
              <w:rPr>
                <w:rFonts w:hint="eastAsia"/>
                <w:szCs w:val="21"/>
                <w:highlight w:val="none"/>
              </w:rPr>
              <w:t>，不得同时参加本项目投标。</w:t>
            </w:r>
          </w:p>
          <w:p>
            <w:pPr>
              <w:pStyle w:val="53"/>
              <w:spacing w:before="48" w:line="300" w:lineRule="auto"/>
              <w:ind w:left="15" w:leftChars="7" w:right="-17" w:rightChars="-8" w:firstLine="403" w:firstLineChars="192"/>
              <w:rPr>
                <w:szCs w:val="21"/>
                <w:highlight w:val="none"/>
              </w:rPr>
            </w:pPr>
            <w:r>
              <w:rPr>
                <w:rFonts w:hint="eastAsia"/>
                <w:szCs w:val="21"/>
                <w:highlight w:val="none"/>
              </w:rPr>
              <w:t>2.为本项目提供整体设计、规范编制或者项目管理、监理、检测等服务的</w:t>
            </w:r>
            <w:r>
              <w:rPr>
                <w:rFonts w:hint="eastAsia"/>
                <w:szCs w:val="21"/>
                <w:highlight w:val="none"/>
                <w:lang w:eastAsia="zh-CN"/>
              </w:rPr>
              <w:t>投标人</w:t>
            </w:r>
            <w:r>
              <w:rPr>
                <w:rFonts w:hint="eastAsia"/>
                <w:szCs w:val="21"/>
                <w:highlight w:val="none"/>
              </w:rPr>
              <w:t>，不得再参与本项目投标。</w:t>
            </w:r>
          </w:p>
          <w:p>
            <w:pPr>
              <w:pStyle w:val="53"/>
              <w:spacing w:before="48" w:line="300" w:lineRule="auto"/>
              <w:ind w:left="15" w:leftChars="7" w:right="-17" w:rightChars="-8" w:firstLine="403" w:firstLineChars="192"/>
              <w:rPr>
                <w:szCs w:val="21"/>
                <w:highlight w:val="none"/>
              </w:rPr>
            </w:pPr>
            <w:r>
              <w:rPr>
                <w:rFonts w:hint="eastAsia"/>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48" w:line="300" w:lineRule="auto"/>
              <w:ind w:right="3" w:hanging="10"/>
              <w:jc w:val="center"/>
              <w:rPr>
                <w:szCs w:val="21"/>
                <w:highlight w:val="none"/>
              </w:rPr>
            </w:pPr>
            <w:r>
              <w:rPr>
                <w:rFonts w:hint="eastAsia"/>
                <w:szCs w:val="21"/>
                <w:highlight w:val="none"/>
              </w:rPr>
              <w:t>联合体投标</w:t>
            </w:r>
          </w:p>
        </w:tc>
        <w:tc>
          <w:tcPr>
            <w:tcW w:w="7092" w:type="dxa"/>
            <w:shd w:val="clear" w:color="auto" w:fill="F6F6F6"/>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highlight w:val="none"/>
              </w:rPr>
            </w:pPr>
            <w:r>
              <w:rPr>
                <w:rFonts w:hint="eastAsia"/>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highlight w:val="none"/>
              </w:rPr>
            </w:pPr>
            <w:r>
              <w:rPr>
                <w:rFonts w:hint="eastAsia"/>
                <w:szCs w:val="21"/>
                <w:highlight w:val="none"/>
              </w:rPr>
              <w:t>资质</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highlight w:val="none"/>
              </w:rPr>
            </w:pPr>
            <w:r>
              <w:rPr>
                <w:rFonts w:hint="eastAsia"/>
                <w:szCs w:val="21"/>
                <w:highlight w:val="none"/>
              </w:rPr>
              <w:t>无</w:t>
            </w:r>
          </w:p>
        </w:tc>
      </w:tr>
    </w:tbl>
    <w:p>
      <w:pPr>
        <w:pStyle w:val="8"/>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pPr>
        <w:pStyle w:val="8"/>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在台州湾新区小额工程电子交易平台公布无效投标的投标人名单、投标无效的原因</w:t>
      </w:r>
      <w:r>
        <w:rPr>
          <w:rFonts w:hint="eastAsia" w:asciiTheme="minorEastAsia" w:hAnsiTheme="minorEastAsia" w:eastAsiaTheme="minorEastAsia"/>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highlight w:val="none"/>
              </w:rPr>
            </w:pPr>
            <w:r>
              <w:rPr>
                <w:rFonts w:hint="eastAsia"/>
                <w:szCs w:val="21"/>
                <w:highlight w:val="none"/>
              </w:rPr>
              <w:t>投标文件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highlight w:val="none"/>
              </w:rPr>
            </w:pPr>
            <w:r>
              <w:rPr>
                <w:rFonts w:hint="eastAsia"/>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highlight w:val="none"/>
              </w:rPr>
            </w:pPr>
            <w:r>
              <w:rPr>
                <w:rFonts w:hint="eastAsia"/>
                <w:szCs w:val="21"/>
                <w:highlight w:val="none"/>
              </w:rPr>
              <w:t>“▲”实质性条款</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highlight w:val="none"/>
              </w:rPr>
            </w:pPr>
            <w:r>
              <w:rPr>
                <w:rFonts w:hint="eastAsia"/>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highlight w:val="none"/>
              </w:rPr>
            </w:pPr>
            <w:r>
              <w:rPr>
                <w:rFonts w:hint="eastAsia"/>
                <w:szCs w:val="21"/>
                <w:highlight w:val="none"/>
              </w:rPr>
              <w:t>串通投标</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pPr>
        <w:pStyle w:val="21"/>
        <w:spacing w:before="0" w:beforeAutospacing="0" w:after="0" w:afterAutospacing="0" w:line="360" w:lineRule="auto"/>
        <w:jc w:val="both"/>
        <w:rPr>
          <w:rFonts w:hint="default" w:asciiTheme="minorEastAsia" w:hAnsiTheme="minorEastAsia" w:eastAsiaTheme="minorEastAsia"/>
          <w:b/>
          <w:bCs/>
          <w:highlight w:val="none"/>
        </w:rPr>
      </w:pPr>
    </w:p>
    <w:p>
      <w:pPr>
        <w:pStyle w:val="21"/>
        <w:spacing w:before="0" w:beforeAutospacing="0" w:after="0" w:afterAutospacing="0" w:line="360" w:lineRule="auto"/>
        <w:ind w:firstLine="482" w:firstLineChars="200"/>
        <w:jc w:val="both"/>
        <w:rPr>
          <w:rFonts w:hint="default" w:asciiTheme="minorEastAsia" w:hAnsiTheme="minorEastAsia" w:eastAsiaTheme="minorEastAsia"/>
          <w:b/>
          <w:bCs/>
          <w:highlight w:val="none"/>
        </w:rPr>
      </w:pPr>
    </w:p>
    <w:p>
      <w:pPr>
        <w:pStyle w:val="21"/>
        <w:spacing w:before="0" w:beforeAutospacing="0" w:after="0" w:afterAutospacing="0" w:line="360" w:lineRule="auto"/>
        <w:jc w:val="both"/>
        <w:rPr>
          <w:rFonts w:hint="default" w:asciiTheme="minorEastAsia" w:hAnsiTheme="minorEastAsia" w:eastAsiaTheme="minorEastAsia"/>
          <w:b/>
          <w:bCs/>
          <w:highlight w:val="none"/>
        </w:rPr>
      </w:pPr>
    </w:p>
    <w:p>
      <w:pPr>
        <w:pStyle w:val="21"/>
        <w:spacing w:before="0" w:beforeAutospacing="0" w:after="0" w:afterAutospacing="0" w:line="360" w:lineRule="auto"/>
        <w:jc w:val="both"/>
        <w:rPr>
          <w:rFonts w:hint="default" w:asciiTheme="minorEastAsia" w:hAnsiTheme="minorEastAsia" w:eastAsiaTheme="minorEastAsia"/>
          <w:b/>
          <w:bCs/>
          <w:highlight w:val="none"/>
        </w:rPr>
      </w:pPr>
    </w:p>
    <w:p>
      <w:pPr>
        <w:pStyle w:val="21"/>
        <w:spacing w:before="0" w:beforeAutospacing="0" w:after="0" w:afterAutospacing="0" w:line="360" w:lineRule="auto"/>
        <w:jc w:val="both"/>
        <w:rPr>
          <w:rFonts w:hint="default" w:asciiTheme="minorEastAsia" w:hAnsiTheme="minorEastAsia" w:eastAsiaTheme="minorEastAsia"/>
          <w:b/>
          <w:bCs/>
          <w:highlight w:val="none"/>
        </w:rPr>
      </w:pPr>
    </w:p>
    <w:p>
      <w:pPr>
        <w:pStyle w:val="21"/>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（三）</w:t>
      </w:r>
      <w:r>
        <w:rPr>
          <w:rFonts w:ascii="Arial" w:hAnsi="Arial" w:cs="Arial" w:eastAsiaTheme="minorEastAsia"/>
          <w:b/>
          <w:bCs/>
          <w:highlight w:val="none"/>
        </w:rPr>
        <w:t>技术标及商务标评审</w:t>
      </w:r>
    </w:p>
    <w:p>
      <w:pPr>
        <w:autoSpaceDE w:val="0"/>
        <w:autoSpaceDN w:val="0"/>
        <w:adjustRightInd w:val="0"/>
        <w:spacing w:line="360" w:lineRule="auto"/>
        <w:ind w:right="85" w:firstLine="240" w:firstLineChars="100"/>
        <w:rPr>
          <w:rFonts w:ascii="宋体"/>
          <w:b/>
          <w:bCs/>
          <w:sz w:val="24"/>
          <w:highlight w:val="none"/>
        </w:rPr>
      </w:pPr>
      <w:r>
        <w:rPr>
          <w:rFonts w:hint="eastAsia" w:asciiTheme="minorEastAsia" w:hAnsiTheme="minorEastAsia" w:eastAsiaTheme="minorEastAsia"/>
          <w:kern w:val="0"/>
          <w:sz w:val="24"/>
          <w:highlight w:val="none"/>
        </w:rPr>
        <w:t>项目评标方法为综合评分法，总计100分，评标按以下标准及要求进行：</w:t>
      </w:r>
    </w:p>
    <w:p>
      <w:pPr>
        <w:autoSpaceDE w:val="0"/>
        <w:autoSpaceDN w:val="0"/>
        <w:adjustRightInd w:val="0"/>
        <w:spacing w:line="360" w:lineRule="auto"/>
        <w:ind w:right="85" w:firstLine="241" w:firstLineChars="100"/>
        <w:rPr>
          <w:rFonts w:ascii="宋体"/>
          <w:b/>
          <w:bCs/>
          <w:sz w:val="24"/>
          <w:highlight w:val="none"/>
        </w:rPr>
      </w:pPr>
      <w:r>
        <w:rPr>
          <w:rFonts w:hint="eastAsia" w:ascii="宋体"/>
          <w:b/>
          <w:bCs/>
          <w:sz w:val="24"/>
          <w:highlight w:val="none"/>
        </w:rPr>
        <w:t>1、评分标准</w:t>
      </w:r>
    </w:p>
    <w:tbl>
      <w:tblPr>
        <w:tblStyle w:val="25"/>
        <w:tblpPr w:leftFromText="180" w:rightFromText="180" w:vertAnchor="text" w:horzAnchor="page" w:tblpX="748" w:tblpY="285"/>
        <w:tblOverlap w:val="never"/>
        <w:tblW w:w="10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927"/>
        <w:gridCol w:w="776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088" w:type="dxa"/>
            <w:gridSpan w:val="2"/>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7767" w:type="dxa"/>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44" w:type="dxa"/>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61" w:type="dxa"/>
            <w:vMerge w:val="restart"/>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资信</w:t>
            </w:r>
            <w:r>
              <w:rPr>
                <w:rFonts w:hint="eastAsia" w:ascii="宋体" w:hAnsi="宋体" w:eastAsia="宋体" w:cs="宋体"/>
                <w:color w:val="auto"/>
                <w:sz w:val="24"/>
                <w:szCs w:val="24"/>
                <w:highlight w:val="none"/>
              </w:rPr>
              <w:t>分</w:t>
            </w:r>
          </w:p>
        </w:tc>
        <w:tc>
          <w:tcPr>
            <w:tcW w:w="92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Style w:val="67"/>
                <w:rFonts w:hint="eastAsia" w:ascii="宋体" w:hAnsi="宋体" w:eastAsia="宋体" w:cs="宋体"/>
                <w:color w:val="auto"/>
                <w:sz w:val="24"/>
                <w:szCs w:val="24"/>
                <w:highlight w:val="none"/>
                <w:lang w:val="en-US" w:eastAsia="zh-CN"/>
              </w:rPr>
              <w:t>项目</w:t>
            </w:r>
            <w:r>
              <w:rPr>
                <w:rStyle w:val="67"/>
                <w:rFonts w:hint="eastAsia" w:ascii="宋体" w:hAnsi="宋体" w:eastAsia="宋体" w:cs="宋体"/>
                <w:color w:val="auto"/>
                <w:sz w:val="24"/>
                <w:szCs w:val="24"/>
                <w:highlight w:val="none"/>
              </w:rPr>
              <w:t>经验</w:t>
            </w:r>
          </w:p>
        </w:tc>
        <w:tc>
          <w:tcPr>
            <w:tcW w:w="7767"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w:t>
            </w:r>
            <w:r>
              <w:rPr>
                <w:rFonts w:hint="eastAsia" w:ascii="宋体" w:hAnsi="宋体" w:eastAsia="宋体" w:cs="宋体"/>
                <w:color w:val="auto"/>
                <w:kern w:val="0"/>
                <w:sz w:val="24"/>
                <w:szCs w:val="24"/>
                <w:highlight w:val="none"/>
                <w:lang w:val="zh-CN"/>
              </w:rPr>
              <w:t>（以合同签订时间为准），</w:t>
            </w:r>
            <w:r>
              <w:rPr>
                <w:rFonts w:hint="eastAsia" w:ascii="宋体" w:hAnsi="宋体" w:eastAsia="宋体" w:cs="宋体"/>
                <w:color w:val="auto"/>
                <w:kern w:val="0"/>
                <w:sz w:val="24"/>
                <w:szCs w:val="24"/>
                <w:highlight w:val="none"/>
              </w:rPr>
              <w:t>承接过</w:t>
            </w:r>
            <w:r>
              <w:rPr>
                <w:rFonts w:hint="eastAsia" w:ascii="宋体" w:hAnsi="宋体" w:eastAsia="宋体" w:cs="宋体"/>
                <w:color w:val="auto"/>
                <w:kern w:val="0"/>
                <w:sz w:val="24"/>
                <w:szCs w:val="24"/>
                <w:highlight w:val="none"/>
                <w:lang w:val="en-US" w:eastAsia="zh-CN"/>
              </w:rPr>
              <w:t>未来社区验收咨询相关</w:t>
            </w:r>
            <w:r>
              <w:rPr>
                <w:rFonts w:hint="eastAsia" w:ascii="宋体" w:hAnsi="宋体" w:eastAsia="宋体" w:cs="宋体"/>
                <w:color w:val="auto"/>
                <w:kern w:val="0"/>
                <w:sz w:val="24"/>
                <w:szCs w:val="24"/>
                <w:highlight w:val="none"/>
              </w:rPr>
              <w:t>项目的，每提供1个合同得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最高得4分。</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（须提供有效的合同复印件加盖投标人公章编入投标文件中，未提供的不得分）</w:t>
            </w:r>
          </w:p>
        </w:tc>
        <w:tc>
          <w:tcPr>
            <w:tcW w:w="844" w:type="dxa"/>
            <w:vAlign w:val="center"/>
          </w:tcPr>
          <w:p>
            <w:pPr>
              <w:pStyle w:val="13"/>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61"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927" w:type="dxa"/>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tc>
        <w:tc>
          <w:tcPr>
            <w:tcW w:w="7767" w:type="dxa"/>
            <w:vAlign w:val="center"/>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投标人具有质量管理体系认证证书、环境管理体系认证证书、职业健康安全管理体系认证证书</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每具备一项得1分</w:t>
            </w:r>
            <w:r>
              <w:rPr>
                <w:rFonts w:hint="eastAsia" w:ascii="宋体" w:hAnsi="宋体" w:cs="宋体"/>
                <w:sz w:val="24"/>
                <w:szCs w:val="24"/>
                <w:highlight w:val="none"/>
                <w:lang w:val="en-US" w:eastAsia="zh-CN"/>
              </w:rPr>
              <w:t>，最高得3分</w:t>
            </w:r>
            <w:r>
              <w:rPr>
                <w:rFonts w:hint="eastAsia" w:ascii="宋体" w:hAnsi="宋体" w:eastAsia="宋体" w:cs="宋体"/>
                <w:sz w:val="24"/>
                <w:szCs w:val="24"/>
                <w:highlight w:val="none"/>
                <w:lang w:val="en-US" w:eastAsia="zh-CN"/>
              </w:rPr>
              <w:t>。</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如以上三项认证证书认证范围均包含未来社区管理咨询策划服务相关内容的，得2分，</w:t>
            </w:r>
            <w:r>
              <w:rPr>
                <w:rFonts w:hint="eastAsia" w:ascii="宋体" w:hAnsi="宋体" w:cs="宋体"/>
                <w:sz w:val="24"/>
                <w:szCs w:val="24"/>
                <w:highlight w:val="none"/>
                <w:lang w:val="en-US" w:eastAsia="zh-CN"/>
              </w:rPr>
              <w:t>如</w:t>
            </w:r>
            <w:r>
              <w:rPr>
                <w:rFonts w:hint="eastAsia" w:ascii="宋体" w:hAnsi="宋体" w:eastAsia="宋体" w:cs="宋体"/>
                <w:sz w:val="24"/>
                <w:szCs w:val="24"/>
                <w:highlight w:val="none"/>
              </w:rPr>
              <w:t>以上二项认证证书认证范围均包含未来社区管理咨询策划服务相关内容的，得1分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本项最</w:t>
            </w:r>
            <w:r>
              <w:rPr>
                <w:rFonts w:hint="eastAsia" w:ascii="宋体" w:hAnsi="宋体" w:cs="宋体"/>
                <w:sz w:val="24"/>
                <w:szCs w:val="24"/>
                <w:highlight w:val="none"/>
                <w:lang w:val="en-US" w:eastAsia="zh-CN"/>
              </w:rPr>
              <w:t>高</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注:投标文件中须提供有效期内的证书扫描件并加盖投标人公章，未提供不得分。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rPr>
              <w:t>须</w:t>
            </w:r>
            <w:r>
              <w:rPr>
                <w:rFonts w:hint="eastAsia" w:ascii="宋体" w:hAnsi="宋体" w:eastAsia="宋体" w:cs="宋体"/>
                <w:b/>
                <w:bCs/>
                <w:color w:val="auto"/>
                <w:kern w:val="0"/>
                <w:sz w:val="24"/>
                <w:szCs w:val="24"/>
                <w:highlight w:val="none"/>
                <w:lang w:val="zh-CN"/>
              </w:rPr>
              <w:t>提供证书复印件加盖投标人公章编入投标文件中，未提供的不得分）</w:t>
            </w:r>
          </w:p>
        </w:tc>
        <w:tc>
          <w:tcPr>
            <w:tcW w:w="84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61"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927" w:type="dxa"/>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tc>
        <w:tc>
          <w:tcPr>
            <w:tcW w:w="7767"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入选过市级及以上政府部门公布的未来社区优秀服务商名单的得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须</w:t>
            </w:r>
            <w:r>
              <w:rPr>
                <w:rFonts w:hint="eastAsia" w:ascii="宋体" w:hAnsi="宋体" w:eastAsia="宋体" w:cs="宋体"/>
                <w:b/>
                <w:bCs/>
                <w:sz w:val="24"/>
                <w:szCs w:val="24"/>
                <w:highlight w:val="none"/>
              </w:rPr>
              <w:t>提供相关荣誉证书（或获奖文件）复印件或官方网页截图加盖公章</w:t>
            </w:r>
            <w:r>
              <w:rPr>
                <w:rFonts w:hint="eastAsia" w:ascii="宋体" w:hAnsi="宋体" w:eastAsia="宋体" w:cs="宋体"/>
                <w:b/>
                <w:bCs/>
                <w:sz w:val="24"/>
                <w:szCs w:val="24"/>
                <w:highlight w:val="none"/>
                <w:lang w:eastAsia="zh-CN"/>
              </w:rPr>
              <w:t>）</w:t>
            </w:r>
          </w:p>
        </w:tc>
        <w:tc>
          <w:tcPr>
            <w:tcW w:w="84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1161"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927" w:type="dxa"/>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团队能力</w:t>
            </w:r>
          </w:p>
        </w:tc>
        <w:tc>
          <w:tcPr>
            <w:tcW w:w="7767" w:type="dxa"/>
            <w:vAlign w:val="center"/>
          </w:tcPr>
          <w:p>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1、项目团队人员隶属于市级及以上未来社区运营专家库的，2名及以上得1分，1名得0.5分，没有不得分。</w:t>
            </w:r>
          </w:p>
          <w:p>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(提供市级及以上验收通知或相关证明材料和人员社保证明复印件加盖公章，否则不得分)</w:t>
            </w:r>
          </w:p>
          <w:p>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w:t>
            </w:r>
            <w:r>
              <w:rPr>
                <w:rFonts w:hint="eastAsia" w:ascii="宋体" w:hAnsi="宋体" w:eastAsia="宋体" w:cs="宋体"/>
                <w:color w:val="auto"/>
                <w:sz w:val="24"/>
                <w:szCs w:val="24"/>
                <w:highlight w:val="none"/>
                <w:lang w:eastAsia="zh-CN"/>
              </w:rPr>
              <w:t>团队人员中参加过市级及以上组织的未来社区培训主讲的得</w:t>
            </w:r>
            <w:r>
              <w:rPr>
                <w:rFonts w:hint="eastAsia" w:ascii="宋体" w:hAnsi="宋体" w:eastAsia="宋体" w:cs="宋体"/>
                <w:color w:val="auto"/>
                <w:sz w:val="24"/>
                <w:szCs w:val="24"/>
                <w:highlight w:val="none"/>
                <w:lang w:val="en-US" w:eastAsia="zh-CN"/>
              </w:rPr>
              <w:t>1分，不提供不得分。</w:t>
            </w:r>
          </w:p>
          <w:p>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(提供人员社保证明、会议通知文件或相关证明材料复印件加盖公章，否则不得分) </w:t>
            </w:r>
          </w:p>
          <w:p>
            <w:pPr>
              <w:pStyle w:val="9"/>
              <w:keepNext w:val="0"/>
              <w:keepLines w:val="0"/>
              <w:pageBreakBefore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项目团队人员中有</w:t>
            </w:r>
            <w:r>
              <w:rPr>
                <w:rFonts w:hint="eastAsia" w:ascii="宋体" w:hAnsi="宋体" w:eastAsia="宋体" w:cs="宋体"/>
                <w:snapToGrid/>
                <w:color w:val="auto"/>
                <w:kern w:val="2"/>
                <w:sz w:val="24"/>
                <w:szCs w:val="24"/>
                <w:highlight w:val="none"/>
                <w:lang w:val="en-US" w:eastAsia="zh-CN" w:bidi="ar-SA"/>
              </w:rPr>
              <w:t>在核心期刊中发表过关于未来社区的论文的；提供2篇论文及以上得2分，提供1篇论文只得1分，不提供不得分；</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bidi="ar-SA"/>
              </w:rPr>
              <w:t>（提供发表论文人员社保证明及核心期刊的复印件加盖公章和期刊目录照片，否则不得分）</w:t>
            </w:r>
          </w:p>
        </w:tc>
        <w:tc>
          <w:tcPr>
            <w:tcW w:w="84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161" w:type="dxa"/>
            <w:vMerge w:val="restart"/>
            <w:vAlign w:val="center"/>
          </w:tcPr>
          <w:p>
            <w:pPr>
              <w:pStyle w:val="9"/>
              <w:keepNext w:val="0"/>
              <w:keepLines w:val="0"/>
              <w:pageBreakBefore w:val="0"/>
              <w:kinsoku/>
              <w:wordWrap/>
              <w:overflowPunct/>
              <w:topLinePunct w:val="0"/>
              <w:bidi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restart"/>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创建</w:t>
            </w:r>
            <w:r>
              <w:rPr>
                <w:rFonts w:hint="eastAsia" w:ascii="宋体" w:hAnsi="宋体" w:eastAsia="宋体" w:cs="宋体"/>
                <w:color w:val="auto"/>
                <w:sz w:val="24"/>
                <w:szCs w:val="24"/>
                <w:highlight w:val="none"/>
              </w:rPr>
              <w:t>实施方案</w:t>
            </w:r>
            <w:r>
              <w:rPr>
                <w:rFonts w:hint="eastAsia" w:ascii="宋体" w:hAnsi="宋体" w:eastAsia="宋体" w:cs="宋体"/>
                <w:color w:val="auto"/>
                <w:sz w:val="24"/>
                <w:szCs w:val="24"/>
                <w:highlight w:val="none"/>
                <w:lang w:val="en-US" w:eastAsia="zh-CN"/>
              </w:rPr>
              <w:t>编制</w:t>
            </w:r>
          </w:p>
        </w:tc>
        <w:tc>
          <w:tcPr>
            <w:tcW w:w="7767"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根据投标人对项目背景把握，</w:t>
            </w:r>
            <w:r>
              <w:rPr>
                <w:rFonts w:hint="eastAsia" w:ascii="宋体" w:hAnsi="宋体" w:eastAsia="宋体" w:cs="宋体"/>
                <w:b/>
                <w:bCs/>
                <w:sz w:val="24"/>
                <w:szCs w:val="24"/>
                <w:highlight w:val="none"/>
                <w:lang w:val="en-US" w:eastAsia="zh-CN"/>
              </w:rPr>
              <w:t>结合充分详实的居民调研，</w:t>
            </w:r>
            <w:r>
              <w:rPr>
                <w:rFonts w:hint="eastAsia" w:ascii="宋体" w:hAnsi="宋体" w:eastAsia="宋体" w:cs="宋体"/>
                <w:b/>
                <w:bCs/>
                <w:sz w:val="24"/>
                <w:szCs w:val="24"/>
                <w:highlight w:val="none"/>
              </w:rPr>
              <w:t>对未来社区设计理念及发展方向、场地外部环境、制约因素、核心价值分析、上位规划研究及项目限制性要素分析，社区治理单元情况分析等进行打分。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投标人对本项目</w:t>
            </w:r>
            <w:r>
              <w:rPr>
                <w:rFonts w:hint="eastAsia" w:ascii="宋体" w:hAnsi="宋体" w:eastAsia="宋体" w:cs="宋体"/>
                <w:sz w:val="24"/>
                <w:szCs w:val="24"/>
                <w:highlight w:val="none"/>
                <w:lang w:val="en-US" w:eastAsia="zh-CN"/>
              </w:rPr>
              <w:t>调研充分详实，</w:t>
            </w:r>
            <w:r>
              <w:rPr>
                <w:rFonts w:hint="eastAsia" w:ascii="宋体" w:hAnsi="宋体" w:eastAsia="宋体" w:cs="宋体"/>
                <w:sz w:val="24"/>
                <w:szCs w:val="24"/>
                <w:highlight w:val="none"/>
              </w:rPr>
              <w:t>背景及需求有深刻理解，分析透彻、内容清晰、科学合理，完全满足项目需求的得</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投标人对本项目</w:t>
            </w:r>
            <w:r>
              <w:rPr>
                <w:rFonts w:hint="eastAsia" w:ascii="宋体" w:hAnsi="宋体" w:eastAsia="宋体" w:cs="宋体"/>
                <w:sz w:val="24"/>
                <w:szCs w:val="24"/>
                <w:highlight w:val="none"/>
                <w:lang w:val="en-US" w:eastAsia="zh-CN"/>
              </w:rPr>
              <w:t>调研完成，</w:t>
            </w:r>
            <w:r>
              <w:rPr>
                <w:rFonts w:hint="eastAsia" w:ascii="宋体" w:hAnsi="宋体" w:eastAsia="宋体" w:cs="宋体"/>
                <w:sz w:val="24"/>
                <w:szCs w:val="24"/>
                <w:highlight w:val="none"/>
              </w:rPr>
              <w:t>背景及需求理解一般，现状和需求分析基本全面，基本满足项目需求的得3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调研不充分，</w:t>
            </w:r>
            <w:r>
              <w:rPr>
                <w:rFonts w:hint="eastAsia" w:ascii="宋体" w:hAnsi="宋体" w:eastAsia="宋体" w:cs="宋体"/>
                <w:sz w:val="24"/>
                <w:szCs w:val="24"/>
                <w:highlight w:val="none"/>
              </w:rPr>
              <w:t>理解内容简单，分析简单的得</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rPr>
              <w:t>未提及此项的不得分。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根据投标人提供的项目</w:t>
            </w:r>
            <w:r>
              <w:rPr>
                <w:rFonts w:hint="eastAsia" w:ascii="宋体" w:hAnsi="宋体" w:eastAsia="宋体" w:cs="宋体"/>
                <w:b/>
                <w:bCs/>
                <w:sz w:val="24"/>
                <w:szCs w:val="24"/>
                <w:highlight w:val="none"/>
                <w:lang w:val="en-US" w:eastAsia="zh-CN"/>
              </w:rPr>
              <w:t>重点</w:t>
            </w:r>
            <w:r>
              <w:rPr>
                <w:rFonts w:hint="eastAsia" w:ascii="宋体" w:hAnsi="宋体" w:eastAsia="宋体" w:cs="宋体"/>
                <w:b/>
                <w:bCs/>
                <w:sz w:val="24"/>
                <w:szCs w:val="24"/>
                <w:highlight w:val="none"/>
              </w:rPr>
              <w:t>空间设计方案进行综合</w:t>
            </w:r>
            <w:r>
              <w:rPr>
                <w:rFonts w:hint="eastAsia" w:ascii="宋体" w:hAnsi="宋体" w:eastAsia="宋体" w:cs="宋体"/>
                <w:b/>
                <w:bCs/>
                <w:sz w:val="24"/>
                <w:szCs w:val="24"/>
                <w:highlight w:val="none"/>
                <w:lang w:val="en-US" w:eastAsia="zh-CN"/>
              </w:rPr>
              <w:t>打分</w:t>
            </w:r>
            <w:r>
              <w:rPr>
                <w:rFonts w:hint="eastAsia" w:ascii="宋体" w:hAnsi="宋体" w:eastAsia="宋体" w:cs="宋体"/>
                <w:b/>
                <w:bCs/>
                <w:sz w:val="24"/>
                <w:szCs w:val="24"/>
                <w:highlight w:val="none"/>
              </w:rPr>
              <w:t>，包含</w:t>
            </w:r>
            <w:r>
              <w:rPr>
                <w:rFonts w:hint="eastAsia" w:ascii="宋体" w:hAnsi="宋体" w:eastAsia="宋体" w:cs="宋体"/>
                <w:b/>
                <w:bCs/>
                <w:sz w:val="24"/>
                <w:szCs w:val="24"/>
                <w:highlight w:val="none"/>
                <w:lang w:val="en-US" w:eastAsia="zh-CN"/>
              </w:rPr>
              <w:t>朝阳社区重点空间节点</w:t>
            </w:r>
            <w:r>
              <w:rPr>
                <w:rFonts w:hint="eastAsia" w:ascii="宋体" w:hAnsi="宋体" w:eastAsia="宋体" w:cs="宋体"/>
                <w:b/>
                <w:bCs/>
                <w:sz w:val="24"/>
                <w:szCs w:val="24"/>
                <w:highlight w:val="none"/>
              </w:rPr>
              <w:t>，对于改造专篇涉及的重点空间，需提供</w:t>
            </w:r>
            <w:r>
              <w:rPr>
                <w:rFonts w:hint="eastAsia" w:ascii="宋体" w:hAnsi="宋体" w:eastAsia="宋体" w:cs="宋体"/>
                <w:b/>
                <w:bCs/>
                <w:sz w:val="24"/>
                <w:szCs w:val="24"/>
                <w:highlight w:val="none"/>
                <w:lang w:val="en-US" w:eastAsia="zh-CN"/>
              </w:rPr>
              <w:t>技术图纸包含：未来社区总平图、鸟瞰图；场景空间</w:t>
            </w:r>
            <w:r>
              <w:rPr>
                <w:rFonts w:hint="eastAsia" w:ascii="宋体" w:hAnsi="宋体" w:eastAsia="宋体" w:cs="宋体"/>
                <w:b/>
                <w:bCs/>
                <w:sz w:val="24"/>
                <w:szCs w:val="24"/>
                <w:highlight w:val="none"/>
              </w:rPr>
              <w:t>平面图、功能分析图、效果图。</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空间设计</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设计新颖，内容充实完整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图纸详实</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设计较合理，</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及图纸</w:t>
            </w:r>
            <w:r>
              <w:rPr>
                <w:rFonts w:hint="eastAsia" w:ascii="宋体" w:hAnsi="宋体" w:eastAsia="宋体" w:cs="宋体"/>
                <w:color w:val="auto"/>
                <w:sz w:val="24"/>
                <w:szCs w:val="24"/>
                <w:highlight w:val="none"/>
              </w:rPr>
              <w:t>基本有提及且合理的得</w:t>
            </w:r>
            <w:r>
              <w:rPr>
                <w:rFonts w:hint="eastAsia" w:ascii="宋体" w:hAnsi="宋体" w:eastAsia="宋体" w:cs="宋体"/>
                <w:color w:val="auto"/>
                <w:sz w:val="24"/>
                <w:szCs w:val="24"/>
                <w:highlight w:val="none"/>
                <w:lang w:val="en-US" w:eastAsia="zh-CN"/>
              </w:rPr>
              <w:t>4.0-7.9</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设计方案及</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图纸</w:t>
            </w:r>
            <w:r>
              <w:rPr>
                <w:rFonts w:hint="eastAsia" w:ascii="宋体" w:hAnsi="宋体" w:eastAsia="宋体" w:cs="宋体"/>
                <w:color w:val="auto"/>
                <w:sz w:val="24"/>
                <w:szCs w:val="24"/>
                <w:highlight w:val="none"/>
              </w:rPr>
              <w:t>不完整，缺乏针对性的得0.1-</w:t>
            </w: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分；</w:t>
            </w:r>
          </w:p>
          <w:p>
            <w:pPr>
              <w:pStyle w:val="10"/>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通过对</w:t>
            </w:r>
            <w:r>
              <w:rPr>
                <w:rFonts w:hint="eastAsia" w:ascii="宋体" w:hAnsi="宋体" w:eastAsia="宋体" w:cs="宋体"/>
                <w:b/>
                <w:bCs/>
                <w:sz w:val="24"/>
                <w:szCs w:val="24"/>
                <w:highlight w:val="none"/>
                <w:lang w:val="en-US" w:eastAsia="zh-CN"/>
              </w:rPr>
              <w:t>朝阳</w:t>
            </w:r>
            <w:r>
              <w:rPr>
                <w:rFonts w:hint="eastAsia" w:ascii="宋体" w:hAnsi="宋体" w:eastAsia="宋体" w:cs="宋体"/>
                <w:b/>
                <w:bCs/>
                <w:sz w:val="24"/>
                <w:szCs w:val="24"/>
                <w:highlight w:val="none"/>
              </w:rPr>
              <w:t>社区文化的凝练，提供一套体系性的未来社区IP方案.包括社区LOGO设计、社区吉祥物设计以及导视系统设计。</w:t>
            </w:r>
          </w:p>
          <w:p>
            <w:pPr>
              <w:pStyle w:val="10"/>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IP设计方案新颖，特色鲜明且结合在地文化的得2.0-3.0分；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IP设计方案完整，特色不够突出的得1.0-1.9分；</w:t>
            </w:r>
          </w:p>
          <w:p>
            <w:pPr>
              <w:pStyle w:val="10"/>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IP设计方案不完整，缺乏特色的得0.1-0.9分；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评标委员会对投标人提出本项目邻里、教育、健康、服务、治理、创业 6大软场景系统及运营规划是否合理进行综合评定。</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本项目邻里、教育、健康、服务、治理、创业 6 大软场景系统</w:t>
            </w:r>
            <w:r>
              <w:rPr>
                <w:rFonts w:hint="eastAsia" w:ascii="宋体" w:hAnsi="宋体" w:eastAsia="宋体" w:cs="宋体"/>
                <w:sz w:val="24"/>
                <w:szCs w:val="24"/>
                <w:highlight w:val="none"/>
                <w:lang w:val="en-US" w:eastAsia="zh-CN"/>
              </w:rPr>
              <w:t>各2</w:t>
            </w:r>
            <w:r>
              <w:rPr>
                <w:rFonts w:hint="eastAsia" w:ascii="宋体" w:hAnsi="宋体" w:eastAsia="宋体" w:cs="宋体"/>
                <w:sz w:val="24"/>
                <w:szCs w:val="24"/>
                <w:highlight w:val="none"/>
              </w:rPr>
              <w:t>分，共</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单个场景设计及场景配置说明全面、合理的得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单个场景设计及场景配置说明较全面、较合理的得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单个场景设计及场景配置说明全面性一般、合理性一般的得</w:t>
            </w:r>
            <w:r>
              <w:rPr>
                <w:rFonts w:hint="eastAsia" w:ascii="宋体" w:hAnsi="宋体" w:eastAsia="宋体" w:cs="宋体"/>
                <w:sz w:val="24"/>
                <w:szCs w:val="24"/>
                <w:highlight w:val="none"/>
                <w:lang w:val="en-US" w:eastAsia="zh-CN"/>
              </w:rPr>
              <w:t>0.5分；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未提供相关方案的不得分。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根据投标人提供的</w:t>
            </w:r>
            <w:r>
              <w:rPr>
                <w:rFonts w:hint="eastAsia" w:ascii="宋体" w:hAnsi="宋体" w:eastAsia="宋体" w:cs="宋体"/>
                <w:b/>
                <w:bCs/>
                <w:sz w:val="24"/>
                <w:szCs w:val="24"/>
                <w:highlight w:val="none"/>
              </w:rPr>
              <w:t>运营方案，根据</w:t>
            </w:r>
            <w:r>
              <w:rPr>
                <w:rFonts w:hint="eastAsia" w:ascii="宋体" w:hAnsi="宋体" w:eastAsia="宋体" w:cs="宋体"/>
                <w:b/>
                <w:bCs/>
                <w:sz w:val="24"/>
                <w:szCs w:val="24"/>
                <w:highlight w:val="none"/>
                <w:lang w:val="en-US" w:eastAsia="zh-CN"/>
              </w:rPr>
              <w:t>运营目标、运营策略、组织架构、</w:t>
            </w:r>
            <w:r>
              <w:rPr>
                <w:rFonts w:hint="eastAsia" w:ascii="宋体" w:hAnsi="宋体" w:eastAsia="宋体" w:cs="宋体"/>
                <w:b/>
                <w:bCs/>
                <w:sz w:val="24"/>
                <w:szCs w:val="24"/>
                <w:highlight w:val="none"/>
              </w:rPr>
              <w:t>运营模式的合理性、落地性，评价方案的合理性。</w:t>
            </w:r>
            <w:r>
              <w:rPr>
                <w:rFonts w:hint="eastAsia" w:ascii="宋体" w:hAnsi="宋体" w:eastAsia="宋体" w:cs="宋体"/>
                <w:b/>
                <w:bCs/>
                <w:sz w:val="24"/>
                <w:szCs w:val="24"/>
                <w:highlight w:val="none"/>
                <w:lang w:val="en-US" w:eastAsia="zh-CN"/>
              </w:rPr>
              <w:t>对于重点特色</w:t>
            </w:r>
            <w:r>
              <w:rPr>
                <w:rFonts w:hint="eastAsia" w:ascii="宋体" w:hAnsi="宋体" w:eastAsia="宋体" w:cs="宋体"/>
                <w:b/>
                <w:bCs/>
                <w:sz w:val="24"/>
                <w:szCs w:val="24"/>
                <w:highlight w:val="none"/>
              </w:rPr>
              <w:t>场景</w:t>
            </w:r>
            <w:r>
              <w:rPr>
                <w:rFonts w:hint="eastAsia" w:ascii="宋体" w:hAnsi="宋体" w:eastAsia="宋体" w:cs="宋体"/>
                <w:b/>
                <w:bCs/>
                <w:sz w:val="24"/>
                <w:szCs w:val="24"/>
                <w:highlight w:val="none"/>
                <w:lang w:val="en-US" w:eastAsia="zh-CN"/>
              </w:rPr>
              <w:t>应出具</w:t>
            </w:r>
            <w:r>
              <w:rPr>
                <w:rFonts w:hint="eastAsia" w:ascii="宋体" w:hAnsi="宋体" w:eastAsia="宋体" w:cs="宋体"/>
                <w:b/>
                <w:bCs/>
                <w:sz w:val="24"/>
                <w:szCs w:val="24"/>
                <w:highlight w:val="none"/>
              </w:rPr>
              <w:t>深化运营专项方案</w:t>
            </w:r>
            <w:r>
              <w:rPr>
                <w:rFonts w:hint="eastAsia" w:ascii="宋体" w:hAnsi="宋体" w:eastAsia="宋体" w:cs="宋体"/>
                <w:b/>
                <w:bCs/>
                <w:sz w:val="24"/>
                <w:szCs w:val="24"/>
                <w:highlight w:val="none"/>
                <w:lang w:eastAsia="zh-CN"/>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方案内容详细全面，针对性强，符合项目实际的得</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方案内容较合理，具有一定针对性的得</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3.9</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方案内容不完善、缺乏针对性的得0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highlight w:val="none"/>
              </w:rPr>
              <w:t>未提及此项的不得分</w:t>
            </w:r>
            <w:r>
              <w:rPr>
                <w:rFonts w:hint="eastAsia" w:ascii="宋体" w:hAnsi="宋体" w:eastAsia="宋体" w:cs="宋体"/>
                <w:sz w:val="24"/>
                <w:szCs w:val="24"/>
                <w:highlight w:val="none"/>
                <w:lang w:eastAsia="zh-CN"/>
              </w:rPr>
              <w:t>。</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restar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验收全过程咨询</w:t>
            </w:r>
          </w:p>
        </w:tc>
        <w:tc>
          <w:tcPr>
            <w:tcW w:w="7767" w:type="dxa"/>
            <w:vAlign w:val="top"/>
          </w:tcPr>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根据投标人针对本项目提供的</w:t>
            </w:r>
            <w:r>
              <w:rPr>
                <w:rFonts w:hint="eastAsia" w:ascii="宋体" w:hAnsi="宋体" w:eastAsia="宋体" w:cs="宋体"/>
                <w:b/>
                <w:bCs/>
                <w:color w:val="auto"/>
                <w:sz w:val="24"/>
                <w:szCs w:val="24"/>
                <w:highlight w:val="none"/>
                <w:lang w:val="en-US" w:eastAsia="zh-CN"/>
              </w:rPr>
              <w:t>统筹运营</w:t>
            </w:r>
            <w:r>
              <w:rPr>
                <w:rFonts w:hint="eastAsia" w:ascii="宋体" w:hAnsi="宋体" w:eastAsia="宋体" w:cs="宋体"/>
                <w:b/>
                <w:bCs/>
                <w:color w:val="auto"/>
                <w:sz w:val="24"/>
                <w:szCs w:val="24"/>
                <w:highlight w:val="none"/>
              </w:rPr>
              <w:t>指导方案，包括活动、社</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群、社区营造等内容进行综合打分。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方案合理性、科学性，分析详细的得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7767" w:type="dxa"/>
            <w:vAlign w:val="top"/>
          </w:tcPr>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根据投标人针对本项目提供的公共生活</w:t>
            </w:r>
            <w:r>
              <w:rPr>
                <w:rFonts w:hint="eastAsia" w:ascii="宋体" w:hAnsi="宋体" w:eastAsia="宋体" w:cs="宋体"/>
                <w:b/>
                <w:bCs/>
                <w:color w:val="auto"/>
                <w:sz w:val="24"/>
                <w:szCs w:val="24"/>
                <w:highlight w:val="none"/>
                <w:lang w:val="en-US" w:eastAsia="zh-CN"/>
              </w:rPr>
              <w:t>运营</w:t>
            </w:r>
            <w:r>
              <w:rPr>
                <w:rFonts w:hint="eastAsia" w:ascii="宋体" w:hAnsi="宋体" w:eastAsia="宋体" w:cs="宋体"/>
                <w:b/>
                <w:bCs/>
                <w:color w:val="auto"/>
                <w:sz w:val="24"/>
                <w:szCs w:val="24"/>
                <w:highlight w:val="none"/>
              </w:rPr>
              <w:t>指导方案，包括活动、社</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群、社区营造等内容进行综合打分。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方案合理性、科学性，分析详细的得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7767" w:type="dxa"/>
            <w:vAlign w:val="top"/>
          </w:tcPr>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根据投标人针对本项目提供的数字化</w:t>
            </w:r>
            <w:r>
              <w:rPr>
                <w:rFonts w:hint="eastAsia" w:ascii="宋体" w:hAnsi="宋体" w:eastAsia="宋体" w:cs="宋体"/>
                <w:b/>
                <w:bCs/>
                <w:color w:val="auto"/>
                <w:sz w:val="24"/>
                <w:szCs w:val="24"/>
                <w:highlight w:val="none"/>
                <w:lang w:val="en-US" w:eastAsia="zh-CN"/>
              </w:rPr>
              <w:t>运营</w:t>
            </w:r>
            <w:r>
              <w:rPr>
                <w:rFonts w:hint="eastAsia" w:ascii="宋体" w:hAnsi="宋体" w:eastAsia="宋体" w:cs="宋体"/>
                <w:b/>
                <w:bCs/>
                <w:color w:val="auto"/>
                <w:sz w:val="24"/>
                <w:szCs w:val="24"/>
                <w:highlight w:val="none"/>
              </w:rPr>
              <w:t>咨询方案，包括产品咨询、</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内容布局、积分策划等内容进行综合打分。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方案合理性、科学性，分析详细的得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9"/>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7767" w:type="dxa"/>
            <w:vAlign w:val="center"/>
          </w:tcPr>
          <w:p>
            <w:pPr>
              <w:pStyle w:val="9"/>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val="en-US" w:eastAsia="zh-CN"/>
              </w:rPr>
            </w:pPr>
            <w:bookmarkStart w:id="43" w:name="_Toc86152159"/>
            <w:r>
              <w:rPr>
                <w:rFonts w:hint="eastAsia" w:ascii="宋体" w:hAnsi="宋体" w:eastAsia="宋体" w:cs="宋体"/>
                <w:b/>
                <w:bCs/>
                <w:color w:val="auto"/>
                <w:sz w:val="24"/>
                <w:szCs w:val="24"/>
                <w:highlight w:val="none"/>
              </w:rPr>
              <w:t>根据投标人提供的</w:t>
            </w:r>
            <w:r>
              <w:rPr>
                <w:rFonts w:hint="eastAsia" w:ascii="宋体" w:hAnsi="宋体" w:eastAsia="宋体" w:cs="宋体"/>
                <w:b/>
                <w:bCs/>
                <w:sz w:val="24"/>
                <w:szCs w:val="24"/>
                <w:highlight w:val="none"/>
              </w:rPr>
              <w:t>九大场景运营管理风险及应对策略</w:t>
            </w:r>
            <w:bookmarkEnd w:id="43"/>
            <w:r>
              <w:rPr>
                <w:rFonts w:hint="eastAsia" w:ascii="宋体" w:hAnsi="宋体" w:eastAsia="宋体" w:cs="宋体"/>
                <w:b/>
                <w:bCs/>
                <w:sz w:val="24"/>
                <w:szCs w:val="24"/>
                <w:highlight w:val="none"/>
                <w:lang w:val="en-US" w:eastAsia="zh-CN"/>
              </w:rPr>
              <w:t>咨询方案进行打分。</w:t>
            </w:r>
          </w:p>
          <w:p>
            <w:pPr>
              <w:pStyle w:val="9"/>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方案合理性、科学性，分析详细的得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10"/>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从验收角度分析场景响应度、特色亮点塑造梳理得分最大化的提升方案及待推进事项。</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kern w:val="0"/>
                <w:sz w:val="24"/>
                <w:szCs w:val="24"/>
                <w:highlight w:val="none"/>
              </w:rPr>
              <w:t>提升方案及相关事项</w:t>
            </w:r>
            <w:r>
              <w:rPr>
                <w:rFonts w:hint="eastAsia" w:ascii="宋体" w:hAnsi="宋体" w:eastAsia="宋体" w:cs="宋体"/>
                <w:color w:val="auto"/>
                <w:sz w:val="24"/>
                <w:szCs w:val="24"/>
                <w:highlight w:val="none"/>
              </w:rPr>
              <w:t>分析全面，内容阐述完整详细的得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9"/>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根据投标人提供的党建统领机制咨询方案进行打分。主要包括以理顺条块、重塑职能、强化统揽为重点，提出党建统领机制意见。</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对党建统领机制提出意见</w:t>
            </w:r>
            <w:r>
              <w:rPr>
                <w:rFonts w:hint="eastAsia" w:ascii="宋体" w:hAnsi="宋体" w:eastAsia="宋体" w:cs="宋体"/>
                <w:color w:val="auto"/>
                <w:kern w:val="0"/>
                <w:sz w:val="24"/>
                <w:szCs w:val="24"/>
                <w:highlight w:val="none"/>
              </w:rPr>
              <w:t>及相关事项</w:t>
            </w:r>
            <w:r>
              <w:rPr>
                <w:rFonts w:hint="eastAsia" w:ascii="宋体" w:hAnsi="宋体" w:eastAsia="宋体" w:cs="宋体"/>
                <w:color w:val="auto"/>
                <w:sz w:val="24"/>
                <w:szCs w:val="24"/>
                <w:highlight w:val="none"/>
              </w:rPr>
              <w:t>分析全面，内容阐述完整详细的得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9"/>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根据投标人结合验收指标，对</w:t>
            </w:r>
            <w:r>
              <w:rPr>
                <w:rFonts w:hint="eastAsia" w:ascii="宋体" w:hAnsi="宋体" w:eastAsia="宋体" w:cs="宋体"/>
                <w:b/>
                <w:bCs/>
                <w:color w:val="auto"/>
                <w:kern w:val="2"/>
                <w:sz w:val="24"/>
                <w:szCs w:val="24"/>
                <w:highlight w:val="none"/>
                <w:lang w:val="en-US" w:eastAsia="zh-CN"/>
              </w:rPr>
              <w:t>朝阳</w:t>
            </w:r>
            <w:r>
              <w:rPr>
                <w:rFonts w:hint="eastAsia" w:ascii="宋体" w:hAnsi="宋体" w:eastAsia="宋体" w:cs="宋体"/>
                <w:b/>
                <w:bCs/>
                <w:color w:val="auto"/>
                <w:kern w:val="2"/>
                <w:sz w:val="24"/>
                <w:szCs w:val="24"/>
                <w:highlight w:val="none"/>
              </w:rPr>
              <w:t>社区创建过程中，民政、卫建、文旅、体育等各委办局需配合事项及可利用资源并编制跨部门协调、配合方案</w:t>
            </w:r>
            <w:r>
              <w:rPr>
                <w:rFonts w:hint="eastAsia" w:ascii="宋体" w:hAnsi="宋体" w:eastAsia="宋体" w:cs="宋体"/>
                <w:b/>
                <w:bCs/>
                <w:color w:val="auto"/>
                <w:sz w:val="24"/>
                <w:szCs w:val="24"/>
                <w:highlight w:val="none"/>
              </w:rPr>
              <w:t>进行打分。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结合验收指标，资源分析全面、内容阐述完整详细的得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9"/>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61" w:type="dxa"/>
            <w:vMerge w:val="continue"/>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根据投标人针对本项目提供的验收材料制作服务方案，包括迎检手册、视频脚本、汇报PPT、宣传手册等内容进行打分。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验收材料制作服务方案阐述详细，迎检手册、视频脚本、汇报PPT、宣传手册等内容均有具体安排，内容完整，针对性强，符合项目实际的得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验收材料制作服务方案内容较合理，具有一定针对性的得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验收材料制作服务方案内容不完善，缺乏针对性的得0.1-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61" w:type="dxa"/>
            <w:vAlign w:val="center"/>
          </w:tcPr>
          <w:p>
            <w:pPr>
              <w:pStyle w:val="10"/>
              <w:keepNext w:val="0"/>
              <w:keepLines w:val="0"/>
              <w:pageBreakBefore w:val="0"/>
              <w:kinsoku/>
              <w:wordWrap/>
              <w:overflowPunct/>
              <w:topLinePunct w:val="0"/>
              <w:bidi w:val="0"/>
              <w:spacing w:after="0"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92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7767" w:type="dxa"/>
            <w:vAlign w:val="center"/>
          </w:tcPr>
          <w:p>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（1）a.若有效投标人＞3家，则去掉一家最高和一家最低的有效报价，再取余下有效报价的算术平均值后乘以0.99作为评标标底价。</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 若有效投标人≤3家，则取所有有效报价的算术平均值后乘以0.99作为评标标底价。</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（2）报价分计算：评标标底价得</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分，各投标报价与评标标底价相比，采用线性插入法计算，每高于1%扣</w:t>
            </w:r>
            <w:r>
              <w:rPr>
                <w:rFonts w:hint="eastAsia" w:ascii="宋体" w:hAnsi="宋体" w:eastAsia="宋体" w:cs="宋体"/>
                <w:color w:val="000000"/>
                <w:sz w:val="24"/>
                <w:szCs w:val="24"/>
                <w:highlight w:val="none"/>
                <w:lang w:val="en-US" w:eastAsia="zh-CN"/>
              </w:rPr>
              <w:t>0.4</w:t>
            </w:r>
            <w:r>
              <w:rPr>
                <w:rFonts w:hint="eastAsia" w:ascii="宋体" w:hAnsi="宋体" w:eastAsia="宋体" w:cs="宋体"/>
                <w:color w:val="000000"/>
                <w:sz w:val="24"/>
                <w:szCs w:val="24"/>
                <w:highlight w:val="none"/>
              </w:rPr>
              <w:t>分（商务标分值＝</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0.4</w:t>
            </w:r>
            <w:r>
              <w:rPr>
                <w:rFonts w:hint="eastAsia" w:ascii="宋体" w:hAnsi="宋体" w:eastAsia="宋体" w:cs="宋体"/>
                <w:color w:val="000000"/>
                <w:sz w:val="24"/>
                <w:szCs w:val="24"/>
                <w:highlight w:val="none"/>
              </w:rPr>
              <w:t>），每低于1%扣</w:t>
            </w:r>
            <w:r>
              <w:rPr>
                <w:rFonts w:hint="eastAsia" w:ascii="宋体" w:hAnsi="宋体" w:eastAsia="宋体" w:cs="宋体"/>
                <w:color w:val="000000"/>
                <w:sz w:val="24"/>
                <w:szCs w:val="24"/>
                <w:highlight w:val="none"/>
                <w:lang w:val="en-US" w:eastAsia="zh-CN"/>
              </w:rPr>
              <w:t>0.2</w:t>
            </w:r>
            <w:r>
              <w:rPr>
                <w:rFonts w:hint="eastAsia" w:ascii="宋体" w:hAnsi="宋体" w:eastAsia="宋体" w:cs="宋体"/>
                <w:color w:val="000000"/>
                <w:sz w:val="24"/>
                <w:szCs w:val="24"/>
                <w:highlight w:val="none"/>
              </w:rPr>
              <w:t>分（商务标分值＝</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0.2</w:t>
            </w:r>
            <w:r>
              <w:rPr>
                <w:rFonts w:hint="eastAsia" w:ascii="宋体" w:hAnsi="宋体" w:eastAsia="宋体" w:cs="宋体"/>
                <w:color w:val="000000"/>
                <w:sz w:val="24"/>
                <w:szCs w:val="24"/>
                <w:highlight w:val="none"/>
              </w:rPr>
              <w:t>），扣至</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分为止。</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r>
    </w:tbl>
    <w:p>
      <w:pPr>
        <w:pStyle w:val="10"/>
        <w:ind w:firstLine="0" w:firstLineChars="0"/>
        <w:rPr>
          <w:highlight w:val="none"/>
        </w:rPr>
      </w:pPr>
    </w:p>
    <w:p>
      <w:pPr>
        <w:spacing w:line="360" w:lineRule="auto"/>
        <w:rPr>
          <w:highlight w:val="none"/>
        </w:rPr>
      </w:pPr>
      <w:r>
        <w:rPr>
          <w:rFonts w:hint="eastAsia"/>
          <w:b/>
          <w:bCs/>
          <w:highlight w:val="none"/>
        </w:rPr>
        <w:t>注</w:t>
      </w:r>
      <w:r>
        <w:rPr>
          <w:rFonts w:hint="eastAsia"/>
          <w:highlight w:val="none"/>
        </w:rPr>
        <w:t>：①请扫描上传合同、证书、报告及其他相关证明材料的原件至投标文件，并加盖公章。</w:t>
      </w:r>
    </w:p>
    <w:p>
      <w:pPr>
        <w:pStyle w:val="13"/>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2.评审要求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（1）评标委员会应当按照招标文件中规定的评标方法和标准，对符合性审查合格的投标文件的商务部分和技术部分进行综合比较与评价，其中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（2）对于投标文件报价出现前后不一致的，除招标文件另有规定外，按照下列规定修正：</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②投标文件中开标一览表（报价表）内容与投标文件中相应内容不一致的，以开标一览表（报价表）为准；</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③大写金额和小写金额不一致的，以大写金额为准。</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同时出现两种以上不一致的，按照前款规定的顺序修正。修正应当采用询标的形式，并加盖公章。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评标结果按评审后综合得分由高到低顺序排列。</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cs="宋体"/>
          <w:sz w:val="24"/>
          <w:highlight w:val="none"/>
          <w:lang w:val="zh-CN"/>
        </w:rPr>
        <w:t>得分且投标报价相同的</w:t>
      </w:r>
      <w:r>
        <w:rPr>
          <w:rFonts w:hint="eastAsia" w:ascii="宋体" w:hAnsi="宋体" w:cs="宋体"/>
          <w:sz w:val="24"/>
          <w:highlight w:val="none"/>
        </w:rPr>
        <w:t>并列</w:t>
      </w:r>
      <w:r>
        <w:rPr>
          <w:rFonts w:hint="eastAsia" w:ascii="宋体" w:hAnsi="宋体" w:cs="宋体"/>
          <w:sz w:val="24"/>
          <w:highlight w:val="none"/>
          <w:lang w:val="zh-CN"/>
        </w:rPr>
        <w:t>。</w:t>
      </w:r>
      <w:r>
        <w:rPr>
          <w:rFonts w:hint="eastAsia" w:ascii="宋体" w:hAnsi="宋体" w:cs="宋体"/>
          <w:sz w:val="24"/>
          <w:highlight w:val="none"/>
        </w:rPr>
        <w:t>投标文件满足招标文件全部实质性要求，且按照评审因素的量化指标评审得分最高的投标人为排名第一的为第一中标候选人，排名第二的为第二中标</w:t>
      </w:r>
      <w:r>
        <w:rPr>
          <w:rFonts w:hint="eastAsia" w:ascii="宋体" w:hAnsi="宋体" w:cs="宋体"/>
          <w:sz w:val="24"/>
          <w:highlight w:val="none"/>
          <w:lang w:val="en-US" w:eastAsia="zh-CN"/>
        </w:rPr>
        <w:t>候</w:t>
      </w:r>
      <w:r>
        <w:rPr>
          <w:rFonts w:hint="eastAsia" w:ascii="宋体" w:hAnsi="宋体" w:cs="宋体"/>
          <w:sz w:val="24"/>
          <w:highlight w:val="none"/>
        </w:rPr>
        <w:t>选人。</w:t>
      </w:r>
      <w:r>
        <w:rPr>
          <w:rFonts w:hint="eastAsia" w:ascii="宋体" w:hAnsi="宋体"/>
          <w:bCs/>
          <w:sz w:val="24"/>
          <w:highlight w:val="none"/>
        </w:rPr>
        <w:t>若出现总得分相同时，按技术标得分由高到低顺序排列；若以上均相同的，则抽签确定。</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（五）评标报告撰写</w:t>
      </w:r>
    </w:p>
    <w:p>
      <w:pPr>
        <w:spacing w:line="360" w:lineRule="auto"/>
        <w:ind w:firstLine="480"/>
        <w:rPr>
          <w:rFonts w:asciiTheme="minorEastAsia" w:hAnsiTheme="minorEastAsia" w:eastAsiaTheme="minorEastAsia"/>
          <w:b/>
          <w:sz w:val="36"/>
          <w:szCs w:val="36"/>
          <w:highlight w:val="none"/>
        </w:rPr>
      </w:pPr>
      <w:r>
        <w:rPr>
          <w:rFonts w:hint="eastAsia" w:ascii="宋体" w:hAnsi="宋体" w:cs="宋体"/>
          <w:sz w:val="24"/>
          <w:highlight w:val="none"/>
        </w:rPr>
        <w:t>评标委员会根据全体评标成员签字的原始评标记录和评标结果编写评标报告。</w:t>
      </w:r>
    </w:p>
    <w:p>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44" w:name="_Toc15097"/>
      <w:r>
        <w:rPr>
          <w:rFonts w:hint="eastAsia" w:asciiTheme="minorEastAsia" w:hAnsiTheme="minorEastAsia" w:eastAsiaTheme="minorEastAsia"/>
          <w:b/>
          <w:sz w:val="36"/>
          <w:szCs w:val="36"/>
          <w:highlight w:val="none"/>
        </w:rPr>
        <w:t>合同文本</w:t>
      </w:r>
      <w:bookmarkEnd w:id="44"/>
    </w:p>
    <w:p>
      <w:pPr>
        <w:jc w:val="center"/>
        <w:rPr>
          <w:b/>
          <w:bCs/>
          <w:sz w:val="52"/>
          <w:szCs w:val="52"/>
          <w:highlight w:val="none"/>
        </w:rPr>
      </w:pPr>
      <w:r>
        <w:rPr>
          <w:rFonts w:hint="eastAsia"/>
          <w:b/>
          <w:bCs/>
          <w:sz w:val="52"/>
          <w:szCs w:val="52"/>
          <w:highlight w:val="none"/>
          <w:lang w:eastAsia="zh-CN"/>
        </w:rPr>
        <w:t>台州湾新区朝阳未来社区创建实施方案编制及验收全过程咨询服务采购项目</w:t>
      </w:r>
      <w:r>
        <w:rPr>
          <w:rFonts w:hint="eastAsia"/>
          <w:b/>
          <w:bCs/>
          <w:sz w:val="52"/>
          <w:szCs w:val="52"/>
          <w:highlight w:val="none"/>
        </w:rPr>
        <w:t>合同</w:t>
      </w: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kern w:val="0"/>
          <w:sz w:val="28"/>
          <w:szCs w:val="28"/>
          <w:highlight w:val="none"/>
          <w:u w:val="single"/>
          <w:lang w:eastAsia="zh-CN"/>
        </w:rPr>
      </w:pPr>
      <w:r>
        <w:rPr>
          <w:rFonts w:hint="eastAsia" w:ascii="宋体" w:hAnsi="宋体" w:cs="宋体"/>
          <w:kern w:val="0"/>
          <w:sz w:val="28"/>
          <w:szCs w:val="28"/>
          <w:highlight w:val="none"/>
        </w:rPr>
        <w:t>项  目 名  称：</w:t>
      </w:r>
      <w:r>
        <w:rPr>
          <w:rFonts w:hint="eastAsia" w:ascii="宋体" w:hAnsi="宋体" w:cs="宋体"/>
          <w:kern w:val="0"/>
          <w:sz w:val="28"/>
          <w:szCs w:val="28"/>
          <w:highlight w:val="none"/>
          <w:u w:val="single"/>
          <w:lang w:eastAsia="zh-CN"/>
        </w:rPr>
        <w:t>台州湾新区朝阳未来社区创建实施方案编制及验收全过程咨询服务采购项目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项  目 地  点：</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u w:val="single"/>
          <w:lang w:val="en-US" w:eastAsia="zh-CN"/>
        </w:rPr>
        <w:t xml:space="preserve">          </w:t>
      </w:r>
      <w:r>
        <w:rPr>
          <w:rFonts w:hint="eastAsia" w:ascii="宋体" w:hAnsi="宋体" w:cs="宋体"/>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u w:val="single"/>
        </w:rPr>
      </w:pPr>
      <w:r>
        <w:rPr>
          <w:rFonts w:hint="eastAsia" w:ascii="宋体" w:hAnsi="宋体" w:cs="宋体"/>
          <w:kern w:val="0"/>
          <w:sz w:val="28"/>
          <w:szCs w:val="28"/>
          <w:highlight w:val="none"/>
          <w:lang w:val="en-US" w:eastAsia="zh-CN"/>
        </w:rPr>
        <w:t>甲方</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 xml:space="preserve"> </w:t>
      </w:r>
      <w:r>
        <w:rPr>
          <w:rFonts w:hint="eastAsia" w:ascii="宋体" w:hAnsi="宋体"/>
          <w:sz w:val="28"/>
          <w:highlight w:val="none"/>
          <w:u w:val="single"/>
          <w:lang w:eastAsia="zh-CN"/>
        </w:rPr>
        <w:t>台州市开发投资集团有限公司</w:t>
      </w:r>
      <w:r>
        <w:rPr>
          <w:rFonts w:hint="eastAsia" w:ascii="宋体" w:hAnsi="宋体"/>
          <w:sz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lang w:val="en-US" w:eastAsia="zh-CN"/>
        </w:rPr>
        <w:t>乙方</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签  订  日  期：</w:t>
      </w:r>
      <w:r>
        <w:rPr>
          <w:rFonts w:hint="eastAsia" w:ascii="宋体" w:hAnsi="宋体" w:cs="宋体"/>
          <w:kern w:val="0"/>
          <w:sz w:val="28"/>
          <w:szCs w:val="28"/>
          <w:highlight w:val="none"/>
          <w:u w:val="single"/>
        </w:rPr>
        <w:t xml:space="preserve">                                              </w:t>
      </w:r>
    </w:p>
    <w:p>
      <w:pPr>
        <w:pStyle w:val="22"/>
        <w:outlineLvl w:val="9"/>
        <w:rPr>
          <w:highlight w:val="none"/>
        </w:rPr>
      </w:pPr>
    </w:p>
    <w:p>
      <w:pPr>
        <w:rPr>
          <w:b/>
          <w:bCs/>
          <w:sz w:val="30"/>
          <w:szCs w:val="30"/>
          <w:highlight w:val="none"/>
        </w:rPr>
      </w:pPr>
    </w:p>
    <w:p>
      <w:pPr>
        <w:rPr>
          <w:b/>
          <w:bCs/>
          <w:highlight w:val="none"/>
        </w:rPr>
      </w:pPr>
    </w:p>
    <w:p>
      <w:pPr>
        <w:rPr>
          <w:b/>
          <w:bCs/>
          <w:highlight w:val="none"/>
        </w:rPr>
      </w:pPr>
    </w:p>
    <w:p>
      <w:pPr>
        <w:rPr>
          <w:b/>
          <w:bCs/>
          <w:highlight w:val="none"/>
        </w:rPr>
      </w:pPr>
    </w:p>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13"/>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r>
        <w:rPr>
          <w:rFonts w:hint="eastAsia" w:ascii="宋体" w:hAnsi="宋体" w:eastAsia="宋体" w:cs="宋体"/>
          <w:bCs/>
          <w:color w:val="000000"/>
          <w:highlight w:val="none"/>
          <w:lang w:eastAsia="zh-CN"/>
        </w:rPr>
        <w:t>台州湾新区朝阳未来社区创建实施方案编制及验收全过程咨询服务采购项目</w:t>
      </w:r>
      <w:r>
        <w:rPr>
          <w:rFonts w:hint="eastAsia" w:ascii="宋体" w:hAnsi="宋体" w:eastAsia="宋体" w:cs="宋体"/>
          <w:color w:val="000000"/>
          <w:sz w:val="24"/>
          <w:highlight w:val="none"/>
        </w:rPr>
        <w:t xml:space="preserve">       </w:t>
      </w:r>
    </w:p>
    <w:p>
      <w:pPr>
        <w:pStyle w:val="13"/>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项目编号：</w:t>
      </w:r>
    </w:p>
    <w:p>
      <w:pPr>
        <w:pStyle w:val="13"/>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甲方：（采购单位）                        所在地：   </w:t>
      </w:r>
    </w:p>
    <w:p>
      <w:pPr>
        <w:pStyle w:val="13"/>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乙方：（中标人）                          所在地：</w:t>
      </w:r>
    </w:p>
    <w:p>
      <w:pPr>
        <w:widowControl/>
        <w:shd w:val="clear" w:color="auto" w:fill="FFFFFF"/>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根据《民法典》、《中华人民共和国建筑法》及有关法律规定，遵循平等、自愿、公平和诚实信用的原则，甲、乙双方根据关于</w:t>
      </w:r>
      <w:r>
        <w:rPr>
          <w:rFonts w:hint="eastAsia" w:ascii="宋体" w:hAnsi="宋体" w:eastAsia="宋体" w:cs="宋体"/>
          <w:color w:val="000000"/>
          <w:sz w:val="24"/>
          <w:highlight w:val="none"/>
          <w:u w:val="single"/>
          <w:lang w:eastAsia="zh-CN"/>
        </w:rPr>
        <w:t>台州湾新区朝阳未来社区创建实施方案编制及验收全过程咨询服务采购项目</w:t>
      </w:r>
      <w:r>
        <w:rPr>
          <w:rFonts w:hint="eastAsia" w:ascii="宋体" w:hAnsi="宋体" w:eastAsia="宋体" w:cs="宋体"/>
          <w:color w:val="000000"/>
          <w:sz w:val="24"/>
          <w:highlight w:val="none"/>
          <w:u w:val="none"/>
          <w:lang w:val="en-US" w:eastAsia="zh-CN"/>
        </w:rPr>
        <w:t>公开招标</w:t>
      </w:r>
      <w:r>
        <w:rPr>
          <w:rFonts w:hint="eastAsia" w:ascii="宋体" w:hAnsi="宋体" w:eastAsia="宋体" w:cs="宋体"/>
          <w:color w:val="000000"/>
          <w:sz w:val="24"/>
          <w:highlight w:val="none"/>
        </w:rPr>
        <w:t>的结果，签署本合同。</w:t>
      </w:r>
    </w:p>
    <w:p>
      <w:pPr>
        <w:spacing w:line="360" w:lineRule="auto"/>
        <w:ind w:firstLine="482" w:firstLineChars="200"/>
        <w:rPr>
          <w:rFonts w:hint="eastAsia" w:ascii="宋体" w:hAnsi="宋体" w:eastAsia="宋体" w:cs="宋体"/>
          <w:color w:val="000000"/>
          <w:sz w:val="24"/>
          <w:highlight w:val="none"/>
          <w:lang w:val="zh-CN"/>
        </w:rPr>
      </w:pPr>
      <w:r>
        <w:rPr>
          <w:rFonts w:hint="eastAsia" w:ascii="宋体" w:hAnsi="宋体" w:eastAsia="宋体" w:cs="宋体"/>
          <w:b/>
          <w:bCs/>
          <w:color w:val="000000"/>
          <w:sz w:val="24"/>
          <w:highlight w:val="none"/>
          <w:lang w:val="zh-CN"/>
        </w:rPr>
        <w:t>一、合同文件：</w:t>
      </w:r>
      <w:r>
        <w:rPr>
          <w:rFonts w:hint="eastAsia" w:ascii="宋体" w:hAnsi="宋体" w:eastAsia="宋体" w:cs="宋体"/>
          <w:color w:val="000000"/>
          <w:sz w:val="24"/>
          <w:highlight w:val="none"/>
          <w:lang w:val="zh-CN"/>
        </w:rPr>
        <w:t xml:space="preserve"> </w:t>
      </w:r>
    </w:p>
    <w:p>
      <w:pPr>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一</w:t>
      </w:r>
      <w:r>
        <w:rPr>
          <w:rFonts w:hint="eastAsia" w:ascii="宋体" w:hAnsi="宋体" w:eastAsia="宋体" w:cs="宋体"/>
          <w:color w:val="000000"/>
          <w:sz w:val="24"/>
          <w:highlight w:val="none"/>
          <w:lang w:val="zh-CN"/>
        </w:rPr>
        <w:t>）合同条款。</w:t>
      </w:r>
    </w:p>
    <w:p>
      <w:pPr>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二</w:t>
      </w:r>
      <w:r>
        <w:rPr>
          <w:rFonts w:hint="eastAsia" w:ascii="宋体" w:hAnsi="宋体" w:eastAsia="宋体" w:cs="宋体"/>
          <w:color w:val="000000"/>
          <w:sz w:val="24"/>
          <w:highlight w:val="none"/>
          <w:lang w:val="zh-CN"/>
        </w:rPr>
        <w:t>）中标通知书。</w:t>
      </w:r>
    </w:p>
    <w:p>
      <w:pPr>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三</w:t>
      </w:r>
      <w:r>
        <w:rPr>
          <w:rFonts w:hint="eastAsia" w:ascii="宋体" w:hAnsi="宋体" w:eastAsia="宋体" w:cs="宋体"/>
          <w:color w:val="000000"/>
          <w:sz w:val="24"/>
          <w:highlight w:val="none"/>
          <w:lang w:val="zh-CN"/>
        </w:rPr>
        <w:t>）更正补充文件。</w:t>
      </w:r>
    </w:p>
    <w:p>
      <w:pPr>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四</w:t>
      </w:r>
      <w:r>
        <w:rPr>
          <w:rFonts w:hint="eastAsia" w:ascii="宋体" w:hAnsi="宋体" w:eastAsia="宋体" w:cs="宋体"/>
          <w:color w:val="000000"/>
          <w:sz w:val="24"/>
          <w:highlight w:val="none"/>
          <w:lang w:val="zh-CN"/>
        </w:rPr>
        <w:t>）招标文件。</w:t>
      </w:r>
    </w:p>
    <w:p>
      <w:pPr>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五</w:t>
      </w:r>
      <w:r>
        <w:rPr>
          <w:rFonts w:hint="eastAsia" w:ascii="宋体" w:hAnsi="宋体" w:eastAsia="宋体" w:cs="宋体"/>
          <w:color w:val="000000"/>
          <w:sz w:val="24"/>
          <w:highlight w:val="none"/>
          <w:lang w:val="zh-CN"/>
        </w:rPr>
        <w:t>）中标</w:t>
      </w:r>
      <w:r>
        <w:rPr>
          <w:rFonts w:hint="eastAsia" w:ascii="宋体" w:hAnsi="宋体" w:eastAsia="宋体" w:cs="宋体"/>
          <w:color w:val="000000"/>
          <w:sz w:val="24"/>
          <w:highlight w:val="none"/>
        </w:rPr>
        <w:t>人</w:t>
      </w:r>
      <w:r>
        <w:rPr>
          <w:rFonts w:hint="eastAsia" w:ascii="宋体" w:hAnsi="宋体" w:eastAsia="宋体" w:cs="宋体"/>
          <w:color w:val="000000"/>
          <w:sz w:val="24"/>
          <w:highlight w:val="none"/>
          <w:lang w:val="zh-CN"/>
        </w:rPr>
        <w:t>投标文件。</w:t>
      </w:r>
    </w:p>
    <w:p>
      <w:pPr>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六</w:t>
      </w:r>
      <w:r>
        <w:rPr>
          <w:rFonts w:hint="eastAsia" w:ascii="宋体" w:hAnsi="宋体" w:eastAsia="宋体" w:cs="宋体"/>
          <w:color w:val="000000"/>
          <w:sz w:val="24"/>
          <w:highlight w:val="none"/>
          <w:lang w:val="zh-CN"/>
        </w:rPr>
        <w:t>）其他。</w:t>
      </w:r>
    </w:p>
    <w:p>
      <w:pPr>
        <w:pStyle w:val="13"/>
        <w:snapToGrid w:val="0"/>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二、</w:t>
      </w:r>
      <w:r>
        <w:rPr>
          <w:rFonts w:hint="eastAsia" w:ascii="宋体" w:hAnsi="宋体" w:eastAsia="宋体" w:cs="宋体"/>
          <w:b/>
          <w:color w:val="000000"/>
          <w:kern w:val="0"/>
          <w:sz w:val="24"/>
          <w:highlight w:val="none"/>
        </w:rPr>
        <w:t>合同内容及服务标准</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主要招标内容包括</w:t>
      </w:r>
      <w:r>
        <w:rPr>
          <w:rFonts w:hint="eastAsia" w:ascii="宋体" w:hAnsi="宋体" w:eastAsia="宋体" w:cs="宋体"/>
          <w:b/>
          <w:bCs/>
          <w:kern w:val="0"/>
          <w:sz w:val="24"/>
          <w:szCs w:val="24"/>
          <w:highlight w:val="none"/>
        </w:rPr>
        <w:t>创建实施方案编制</w:t>
      </w:r>
      <w:r>
        <w:rPr>
          <w:rFonts w:hint="eastAsia" w:ascii="宋体" w:hAnsi="宋体" w:cs="宋体"/>
          <w:b/>
          <w:bCs/>
          <w:kern w:val="0"/>
          <w:sz w:val="24"/>
          <w:szCs w:val="24"/>
          <w:highlight w:val="none"/>
          <w:lang w:eastAsia="zh-CN"/>
        </w:rPr>
        <w:t>、</w:t>
      </w:r>
      <w:r>
        <w:rPr>
          <w:rFonts w:hint="eastAsia" w:ascii="宋体" w:hAnsi="宋体" w:eastAsia="宋体" w:cs="宋体"/>
          <w:b/>
          <w:bCs/>
          <w:kern w:val="0"/>
          <w:sz w:val="24"/>
          <w:szCs w:val="24"/>
          <w:highlight w:val="none"/>
        </w:rPr>
        <w:t>验收</w:t>
      </w:r>
      <w:r>
        <w:rPr>
          <w:rFonts w:hint="eastAsia" w:ascii="宋体" w:hAnsi="宋体" w:eastAsia="宋体" w:cs="宋体"/>
          <w:b/>
          <w:bCs/>
          <w:kern w:val="0"/>
          <w:sz w:val="24"/>
          <w:szCs w:val="24"/>
          <w:highlight w:val="none"/>
          <w:lang w:val="en-US" w:eastAsia="zh-CN"/>
        </w:rPr>
        <w:t>全过程</w:t>
      </w:r>
      <w:r>
        <w:rPr>
          <w:rFonts w:hint="eastAsia" w:ascii="宋体" w:hAnsi="宋体" w:eastAsia="宋体" w:cs="宋体"/>
          <w:b/>
          <w:bCs/>
          <w:kern w:val="0"/>
          <w:sz w:val="24"/>
          <w:szCs w:val="24"/>
          <w:highlight w:val="none"/>
        </w:rPr>
        <w:t>咨询服务</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项目涉及的施工图设计及施工图审查和报价清单编制</w:t>
      </w:r>
      <w:r>
        <w:rPr>
          <w:rFonts w:hint="eastAsia" w:ascii="宋体" w:hAnsi="宋体" w:eastAsia="宋体" w:cs="宋体"/>
          <w:kern w:val="0"/>
          <w:sz w:val="24"/>
          <w:szCs w:val="24"/>
          <w:highlight w:val="none"/>
        </w:rPr>
        <w:t>，具体包括如下：</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（1）创建实施方案编制</w:t>
      </w:r>
    </w:p>
    <w:p>
      <w:pPr>
        <w:keepNext w:val="0"/>
        <w:keepLines w:val="0"/>
        <w:pageBreakBefore w:val="0"/>
        <w:tabs>
          <w:tab w:val="left" w:pos="0"/>
        </w:tabs>
        <w:kinsoku/>
        <w:wordWrap/>
        <w:overflowPunct/>
        <w:topLinePunct w:val="0"/>
        <w:bidi w:val="0"/>
        <w:spacing w:line="360" w:lineRule="auto"/>
        <w:ind w:firstLine="48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根据浙江省未来社区实施方案编制要求，编制</w:t>
      </w:r>
      <w:r>
        <w:rPr>
          <w:rFonts w:hint="eastAsia" w:ascii="宋体" w:hAnsi="宋体" w:eastAsia="宋体" w:cs="宋体"/>
          <w:kern w:val="0"/>
          <w:sz w:val="24"/>
          <w:szCs w:val="24"/>
          <w:highlight w:val="none"/>
          <w:lang w:eastAsia="zh-Hans"/>
        </w:rPr>
        <w:t>包含项目解读、创建目标（包含文化专篇研究、创建思路、目标定位、特色主题）、空间总体设计、</w:t>
      </w:r>
      <w:r>
        <w:rPr>
          <w:rFonts w:hint="eastAsia" w:ascii="宋体" w:hAnsi="宋体" w:eastAsia="宋体" w:cs="宋体"/>
          <w:kern w:val="0"/>
          <w:sz w:val="24"/>
          <w:szCs w:val="24"/>
          <w:highlight w:val="none"/>
        </w:rPr>
        <w:t>特色亮点提炼</w:t>
      </w:r>
      <w:r>
        <w:rPr>
          <w:rFonts w:hint="eastAsia" w:ascii="宋体" w:hAnsi="宋体" w:eastAsia="宋体" w:cs="宋体"/>
          <w:kern w:val="0"/>
          <w:sz w:val="24"/>
          <w:szCs w:val="24"/>
          <w:highlight w:val="none"/>
          <w:lang w:eastAsia="zh-Hans"/>
        </w:rPr>
        <w:t>、数字化系统设计、运营组织、实施推进计划、资金平衡方案、政策与机制保障、专业技术图纸等。根据专家评审意见修改，并协助</w:t>
      </w:r>
      <w:r>
        <w:rPr>
          <w:rFonts w:hint="eastAsia" w:ascii="宋体" w:hAnsi="宋体" w:eastAsia="宋体" w:cs="宋体"/>
          <w:kern w:val="0"/>
          <w:sz w:val="24"/>
          <w:szCs w:val="24"/>
          <w:highlight w:val="none"/>
          <w:lang w:val="en-US" w:eastAsia="zh-CN"/>
        </w:rPr>
        <w:t>完成第八批未来社区实施方案</w:t>
      </w:r>
      <w:r>
        <w:rPr>
          <w:rFonts w:hint="eastAsia" w:ascii="宋体" w:hAnsi="宋体" w:eastAsia="宋体" w:cs="宋体"/>
          <w:kern w:val="0"/>
          <w:sz w:val="24"/>
          <w:szCs w:val="24"/>
          <w:highlight w:val="none"/>
          <w:lang w:eastAsia="zh-Hans"/>
        </w:rPr>
        <w:t>备案。</w:t>
      </w:r>
      <w:r>
        <w:rPr>
          <w:rFonts w:hint="eastAsia" w:ascii="宋体" w:hAnsi="宋体" w:eastAsia="宋体" w:cs="宋体"/>
          <w:kern w:val="0"/>
          <w:sz w:val="24"/>
          <w:szCs w:val="24"/>
          <w:highlight w:val="none"/>
          <w:lang w:val="en-US" w:eastAsia="zh-CN"/>
        </w:rPr>
        <w:t>具体内容如下：</w:t>
      </w:r>
    </w:p>
    <w:tbl>
      <w:tblPr>
        <w:tblStyle w:val="25"/>
        <w:tblpPr w:leftFromText="180" w:rightFromText="180" w:vertAnchor="text" w:horzAnchor="page" w:tblpX="724" w:tblpY="939"/>
        <w:tblOverlap w:val="never"/>
        <w:tblW w:w="107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4"/>
        <w:gridCol w:w="1041"/>
        <w:gridCol w:w="6131"/>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highlight w:val="none"/>
              </w:rPr>
            </w:pPr>
            <w:r>
              <w:rPr>
                <w:rFonts w:hint="eastAsia" w:ascii="宋体" w:hAnsi="宋体" w:eastAsia="宋体" w:cs="宋体"/>
                <w:b/>
                <w:bCs/>
                <w:sz w:val="21"/>
                <w:highlight w:val="none"/>
                <w:lang w:val="en-US" w:eastAsia="zh-CN"/>
              </w:rPr>
              <w:t>服务类型</w:t>
            </w:r>
          </w:p>
        </w:tc>
        <w:tc>
          <w:tcPr>
            <w:tcW w:w="7172"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highlight w:val="none"/>
              </w:rPr>
            </w:pPr>
            <w:r>
              <w:rPr>
                <w:rFonts w:hint="eastAsia" w:ascii="宋体" w:hAnsi="宋体" w:eastAsia="宋体" w:cs="宋体"/>
                <w:b/>
                <w:bCs/>
                <w:sz w:val="21"/>
                <w:highlight w:val="none"/>
                <w:lang w:val="en-US" w:eastAsia="zh-CN"/>
              </w:rPr>
              <w:t>服务内容</w:t>
            </w:r>
          </w:p>
        </w:tc>
        <w:tc>
          <w:tcPr>
            <w:tcW w:w="242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highlight w:val="none"/>
              </w:rPr>
            </w:pPr>
            <w:r>
              <w:rPr>
                <w:rFonts w:hint="eastAsia" w:ascii="宋体" w:hAnsi="宋体" w:eastAsia="宋体" w:cs="宋体"/>
                <w:b/>
                <w:bCs/>
                <w:sz w:val="21"/>
                <w:highlight w:val="none"/>
                <w:lang w:val="en-US" w:eastAsia="zh-CN"/>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b/>
                <w:bCs/>
                <w:sz w:val="21"/>
                <w:highlight w:val="none"/>
                <w:lang w:val="en-US" w:eastAsia="zh-CN"/>
              </w:rPr>
              <w:t>创建实施方案编制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总体策划方案</w:t>
            </w:r>
          </w:p>
        </w:tc>
        <w:tc>
          <w:tcPr>
            <w:tcW w:w="6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研究实施单元的创建基础、居民需求和创建优势；提炼社区文化内涵和创建特色，确认社区的总体定位、创建目标、创建亮点；规划社区功能结构，进行未来社区九大场景功能的总体配置</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《项目基础研究专项方案》《文化分析专项方案》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空间改造设计</w:t>
            </w:r>
          </w:p>
        </w:tc>
        <w:tc>
          <w:tcPr>
            <w:tcW w:w="6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根据场景空间内容规划需求，进行系统性提升改造设计，包括景观提升、室内改造及VI导视设计</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《空间改造提升初步设计方案》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场景空间运营设计</w:t>
            </w:r>
          </w:p>
        </w:tc>
        <w:tc>
          <w:tcPr>
            <w:tcW w:w="6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按《浙江省未来社区创建实施方案编制及评审要点》文件要求创建实施方案。围绕未来社区“三化九场景”的基本框架，按照“标准+订制”原则，以5-10分钟生活圈活动交往与生活服务需求为重点，各社区在标准化的“18+N”生活圈模块基础上，综合考虑所在地的城市级15分钟生活圈服务功能特点，以及空间弹性化利用等因素，进行系统性场景内容规划及运营建议</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《场景空间规划及运营建议》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数字化系统设计</w:t>
            </w:r>
          </w:p>
        </w:tc>
        <w:tc>
          <w:tcPr>
            <w:tcW w:w="6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1）数字化平台与组织架构：明确平台建设模式和组织架构</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2）数字化建设方案：梳理数字化需求清单，设计数字化建设总体框架图和路线图；拟建设/落地的重点数字化应用；明确数字社会公共服务落地方案</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3）数字化融合社区运营方案</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《数字化系统设计方案》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运营组织安排</w:t>
            </w:r>
          </w:p>
        </w:tc>
        <w:tc>
          <w:tcPr>
            <w:tcW w:w="6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1）运营目标及运营策略</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2）运营业态策划①公益性业态落位②惠民性业态落位③经营性业态落位</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3）场景运营方案①重点空间运营方案②社群组织运营方案③社区活动运营方案④社区积分运营方案</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4）运营模式与架构</w:t>
            </w:r>
            <w:r>
              <w:rPr>
                <w:rFonts w:hint="eastAsia" w:ascii="宋体" w:hAnsi="宋体" w:eastAsia="宋体" w:cs="宋体"/>
                <w:sz w:val="21"/>
                <w:highlight w:val="none"/>
                <w:lang w:val="en-US" w:eastAsia="zh-CN"/>
              </w:rPr>
              <w:br w:type="textWrapping"/>
            </w:r>
            <w:r>
              <w:rPr>
                <w:rFonts w:hint="eastAsia" w:ascii="宋体" w:hAnsi="宋体" w:eastAsia="宋体" w:cs="宋体"/>
                <w:sz w:val="21"/>
                <w:highlight w:val="none"/>
                <w:lang w:val="en-US" w:eastAsia="zh-CN"/>
              </w:rPr>
              <w:t>5）运营协议</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《项目运营组织安排》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投资测算</w:t>
            </w:r>
          </w:p>
        </w:tc>
        <w:tc>
          <w:tcPr>
            <w:tcW w:w="6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整理未来社区创建的近远期项目与建设规模，提出未来社区建设资金平衡测算方案</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《未来社区建设资金平衡方案》</w:t>
            </w:r>
          </w:p>
        </w:tc>
      </w:tr>
    </w:tbl>
    <w:p>
      <w:pPr>
        <w:keepNext w:val="0"/>
        <w:keepLines w:val="0"/>
        <w:pageBreakBefore w:val="0"/>
        <w:widowControl w:val="0"/>
        <w:numPr>
          <w:ilvl w:val="0"/>
          <w:numId w:val="0"/>
        </w:numPr>
        <w:kinsoku/>
        <w:wordWrap/>
        <w:overflowPunct/>
        <w:topLinePunct w:val="0"/>
        <w:autoSpaceDE/>
        <w:autoSpaceDN/>
        <w:bidi w:val="0"/>
        <w:spacing w:line="360" w:lineRule="auto"/>
        <w:ind w:leftChars="0" w:firstLine="420"/>
        <w:jc w:val="left"/>
        <w:textAlignment w:val="auto"/>
        <w:rPr>
          <w:rFonts w:hint="eastAsia" w:ascii="宋体" w:hAnsi="宋体" w:eastAsia="宋体" w:cs="宋体"/>
          <w:b/>
          <w:bCs w:val="0"/>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1"/>
          <w:highlight w:val="none"/>
          <w:lang w:val="en-US" w:eastAsia="zh-CN"/>
        </w:rPr>
      </w:pP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（2）验收全过程咨询服务</w:t>
      </w:r>
    </w:p>
    <w:p>
      <w:pPr>
        <w:keepNext w:val="0"/>
        <w:keepLines w:val="0"/>
        <w:pageBreakBefore w:val="0"/>
        <w:widowControl/>
        <w:tabs>
          <w:tab w:val="left" w:pos="0"/>
        </w:tabs>
        <w:kinsoku/>
        <w:wordWrap/>
        <w:overflowPunct/>
        <w:topLinePunct w:val="0"/>
        <w:bidi w:val="0"/>
        <w:spacing w:line="360" w:lineRule="auto"/>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做好</w:t>
      </w:r>
      <w:r>
        <w:rPr>
          <w:rFonts w:hint="eastAsia" w:ascii="宋体" w:hAnsi="宋体" w:eastAsia="宋体" w:cs="宋体"/>
          <w:kern w:val="0"/>
          <w:sz w:val="24"/>
          <w:szCs w:val="24"/>
          <w:highlight w:val="none"/>
          <w:lang w:val="en-US" w:eastAsia="zh-CN"/>
        </w:rPr>
        <w:t>未来社区验收全过程咨询服务</w:t>
      </w:r>
      <w:r>
        <w:rPr>
          <w:rFonts w:hint="eastAsia" w:ascii="宋体" w:hAnsi="宋体" w:eastAsia="宋体" w:cs="宋体"/>
          <w:kern w:val="0"/>
          <w:sz w:val="24"/>
          <w:szCs w:val="24"/>
          <w:highlight w:val="none"/>
        </w:rPr>
        <w:t>，包含</w:t>
      </w:r>
      <w:r>
        <w:rPr>
          <w:rFonts w:hint="eastAsia" w:ascii="宋体" w:hAnsi="宋体" w:eastAsia="宋体" w:cs="宋体"/>
          <w:b/>
          <w:bCs/>
          <w:kern w:val="0"/>
          <w:sz w:val="24"/>
          <w:szCs w:val="24"/>
          <w:highlight w:val="none"/>
          <w:lang w:val="en-US" w:eastAsia="zh-CN"/>
        </w:rPr>
        <w:t>运营前介服务以及验收咨询、验收报告、验收实施服务</w:t>
      </w:r>
      <w:r>
        <w:rPr>
          <w:rFonts w:hint="eastAsia" w:ascii="宋体" w:hAnsi="宋体" w:eastAsia="宋体" w:cs="宋体"/>
          <w:kern w:val="0"/>
          <w:sz w:val="24"/>
          <w:szCs w:val="24"/>
          <w:highlight w:val="none"/>
        </w:rPr>
        <w:t>，具体内容标准如下：</w:t>
      </w:r>
    </w:p>
    <w:p>
      <w:pPr>
        <w:keepNext w:val="0"/>
        <w:keepLines w:val="0"/>
        <w:pageBreakBefore w:val="0"/>
        <w:widowControl/>
        <w:tabs>
          <w:tab w:val="left" w:pos="0"/>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rPr>
        <w:t>①运营前介服务：</w:t>
      </w:r>
      <w:r>
        <w:rPr>
          <w:rFonts w:hint="eastAsia" w:ascii="宋体" w:hAnsi="宋体" w:eastAsia="宋体" w:cs="宋体"/>
          <w:kern w:val="0"/>
          <w:sz w:val="24"/>
          <w:szCs w:val="24"/>
          <w:highlight w:val="none"/>
          <w:lang w:val="en-US" w:eastAsia="zh-CN"/>
        </w:rPr>
        <w:t>根据未来社区试运营相关指标要求，完成朝阳社区运营前介服务，具体内容如下</w:t>
      </w:r>
    </w:p>
    <w:tbl>
      <w:tblPr>
        <w:tblStyle w:val="73"/>
        <w:tblW w:w="10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6"/>
        <w:gridCol w:w="634"/>
        <w:gridCol w:w="1472"/>
        <w:gridCol w:w="7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186" w:type="dxa"/>
            <w:shd w:val="clear" w:color="auto" w:fill="E7E6E6"/>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服务类型</w:t>
            </w:r>
          </w:p>
        </w:tc>
        <w:tc>
          <w:tcPr>
            <w:tcW w:w="2106" w:type="dxa"/>
            <w:gridSpan w:val="2"/>
            <w:shd w:val="clear" w:color="auto" w:fill="E7E6E6"/>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服务内容</w:t>
            </w:r>
          </w:p>
        </w:tc>
        <w:tc>
          <w:tcPr>
            <w:tcW w:w="7585" w:type="dxa"/>
            <w:shd w:val="clear" w:color="auto" w:fill="E7E6E6"/>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86"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运营前介服务</w:t>
            </w:r>
          </w:p>
        </w:tc>
        <w:tc>
          <w:tcPr>
            <w:tcW w:w="634"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统筹</w:t>
            </w:r>
            <w:r>
              <w:rPr>
                <w:rFonts w:hint="eastAsia" w:ascii="宋体" w:hAnsi="宋体" w:eastAsia="宋体" w:cs="宋体"/>
                <w:sz w:val="21"/>
                <w:szCs w:val="21"/>
                <w:highlight w:val="none"/>
                <w:lang w:val="en-US" w:eastAsia="zh-CN"/>
              </w:rPr>
              <w:t>运营咨询</w:t>
            </w:r>
          </w:p>
        </w:tc>
        <w:tc>
          <w:tcPr>
            <w:tcW w:w="14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全景计划指导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1、根据项目进展及情况，进行未来社区工作计划全景排期指导和跟踪；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2、根据验收要求，进行全流程把控排期，梳理风险点提示，完成相关节点把控提示工作；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空间规划指导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1、根据在地文化、场景空间特色等形成运营深化指导方案及阶段性目标；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社区宣传指导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1、梳理社区需求及宣传路径，定期输出宣传文案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团队培育指导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1、根据社区场景工作需求，指导社区搭建项目组、制定工作机制。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2、结合社区共建主体资源，指导制定社区联动工作机制，并组建合作资源库。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公共生活</w:t>
            </w:r>
            <w:r>
              <w:rPr>
                <w:rFonts w:hint="eastAsia" w:ascii="宋体" w:hAnsi="宋体" w:eastAsia="宋体" w:cs="宋体"/>
                <w:sz w:val="21"/>
                <w:szCs w:val="21"/>
                <w:highlight w:val="none"/>
                <w:lang w:val="en-US" w:eastAsia="zh-CN"/>
              </w:rPr>
              <w:t>运营咨询</w:t>
            </w:r>
          </w:p>
        </w:tc>
        <w:tc>
          <w:tcPr>
            <w:tcW w:w="14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活动策划指导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1、指导社区整合生态合作方和在地资源，建立社区活动资源库；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2、结合社区与居民需求，完善活动策划方案，并指导社区落地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并在验收前三个月指导社区完成30场活动（10场/月）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社群培育指导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1、针对社区已有社群做好提升工作，实现线上线下稳定运转；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2、指导培育新生社群力量，并完成相应管理；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3、协助社区挖掘达人，并组建达人资源库；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社区营造指导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1、指导社区形成激活社区达人、培育社区主理人的策略，定期形成专项营造活动；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2、基于社区需求与特色，指导并策划社区营造活动；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数字化</w:t>
            </w:r>
            <w:r>
              <w:rPr>
                <w:rFonts w:hint="eastAsia" w:ascii="宋体" w:hAnsi="宋体" w:eastAsia="宋体" w:cs="宋体"/>
                <w:sz w:val="21"/>
                <w:szCs w:val="21"/>
                <w:highlight w:val="none"/>
                <w:lang w:val="en-US" w:eastAsia="zh-CN"/>
              </w:rPr>
              <w:t>运营</w:t>
            </w:r>
            <w:r>
              <w:rPr>
                <w:rFonts w:hint="eastAsia" w:ascii="宋体" w:hAnsi="宋体" w:eastAsia="宋体" w:cs="宋体"/>
                <w:sz w:val="21"/>
                <w:szCs w:val="21"/>
                <w:highlight w:val="none"/>
              </w:rPr>
              <w:t>咨询</w:t>
            </w:r>
          </w:p>
        </w:tc>
        <w:tc>
          <w:tcPr>
            <w:tcW w:w="14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产品运营指导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1、挖掘社区居民需求，结合社区管理诉求，推进平台优化与迭代；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2、结合场景推广小程序与应用，提高居民注册率和使用率，并与线下第三空间充分联动；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内容运营指导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1、首页特色版块运营优化，包含平台内容优化把控和指导；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2、指导平台及应用、公众号重要讯息，内容填充和更新维护；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积分运营指导</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1、配合数字化建设单位，协助社区搭建积分体系；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品牌宣传指导</w:t>
            </w:r>
          </w:p>
        </w:tc>
        <w:tc>
          <w:tcPr>
            <w:tcW w:w="14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视频咨询</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根据未来社区要求，指导社区完成</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分钟的宣传视频；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展板咨询</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结合未来社区创建工作、指导广告公司完成特色亮点、在地文化，形成未来社区展板素材并制作；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1186"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63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p>
        </w:tc>
        <w:tc>
          <w:tcPr>
            <w:tcW w:w="14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折页策划</w:t>
            </w:r>
          </w:p>
        </w:tc>
        <w:tc>
          <w:tcPr>
            <w:tcW w:w="7585"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结合未来社区创建工作、特色亮点、在地文化等形成宣传折页；</w:t>
            </w:r>
          </w:p>
        </w:tc>
      </w:tr>
    </w:tbl>
    <w:p>
      <w:pPr>
        <w:keepNext w:val="0"/>
        <w:keepLines w:val="0"/>
        <w:pageBreakBefore w:val="0"/>
        <w:widowControl/>
        <w:tabs>
          <w:tab w:val="left" w:pos="0"/>
        </w:tabs>
        <w:kinsoku/>
        <w:wordWrap/>
        <w:overflowPunct/>
        <w:topLinePunct w:val="0"/>
        <w:bidi w:val="0"/>
        <w:spacing w:line="360" w:lineRule="auto"/>
        <w:jc w:val="left"/>
        <w:textAlignment w:val="auto"/>
        <w:rPr>
          <w:rFonts w:hint="eastAsia" w:ascii="宋体" w:hAnsi="宋体" w:eastAsia="宋体" w:cs="宋体"/>
          <w:b/>
          <w:bCs/>
          <w:kern w:val="0"/>
          <w:sz w:val="24"/>
          <w:szCs w:val="24"/>
          <w:highlight w:val="none"/>
          <w:lang w:val="en-US" w:eastAsia="zh-CN"/>
        </w:rPr>
      </w:pPr>
    </w:p>
    <w:p>
      <w:pPr>
        <w:keepNext w:val="0"/>
        <w:keepLines w:val="0"/>
        <w:pageBreakBefore w:val="0"/>
        <w:widowControl/>
        <w:tabs>
          <w:tab w:val="left" w:pos="0"/>
        </w:tabs>
        <w:kinsoku/>
        <w:wordWrap/>
        <w:overflowPunct/>
        <w:topLinePunct w:val="0"/>
        <w:bidi w:val="0"/>
        <w:spacing w:line="360" w:lineRule="auto"/>
        <w:jc w:val="left"/>
        <w:textAlignment w:val="auto"/>
        <w:rPr>
          <w:rFonts w:hint="eastAsia" w:ascii="宋体" w:hAnsi="宋体" w:eastAsia="宋体" w:cs="宋体"/>
          <w:kern w:val="0"/>
          <w:sz w:val="24"/>
          <w:szCs w:val="24"/>
          <w:highlight w:val="none"/>
          <w:lang w:val="en-US"/>
        </w:rPr>
      </w:pPr>
      <w:r>
        <w:rPr>
          <w:rFonts w:hint="eastAsia" w:ascii="宋体" w:hAnsi="宋体" w:eastAsia="宋体" w:cs="宋体"/>
          <w:b/>
          <w:bCs/>
          <w:kern w:val="0"/>
          <w:sz w:val="24"/>
          <w:szCs w:val="24"/>
          <w:highlight w:val="none"/>
          <w:lang w:val="en-US" w:eastAsia="zh-CN"/>
        </w:rPr>
        <w:t>②验收咨询、验收报告、验收实施服务</w:t>
      </w:r>
      <w:r>
        <w:rPr>
          <w:rFonts w:hint="eastAsia" w:ascii="宋体" w:hAnsi="宋体" w:eastAsia="宋体" w:cs="宋体"/>
          <w:b w:val="0"/>
          <w:bCs w:val="0"/>
          <w:kern w:val="0"/>
          <w:sz w:val="24"/>
          <w:szCs w:val="24"/>
          <w:highlight w:val="none"/>
          <w:lang w:val="en-US" w:eastAsia="zh-CN"/>
        </w:rPr>
        <w:t>，具体内容如下：</w:t>
      </w:r>
    </w:p>
    <w:tbl>
      <w:tblPr>
        <w:tblStyle w:val="25"/>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46"/>
        <w:gridCol w:w="4608"/>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1000" w:type="dxa"/>
            <w:shd w:val="clear" w:color="auto" w:fill="E7E6E6"/>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服务</w:t>
            </w:r>
            <w:r>
              <w:rPr>
                <w:rFonts w:hint="eastAsia" w:ascii="宋体" w:hAnsi="宋体" w:eastAsia="宋体" w:cs="宋体"/>
                <w:b/>
                <w:bCs/>
                <w:color w:val="auto"/>
                <w:kern w:val="0"/>
                <w:sz w:val="21"/>
                <w:szCs w:val="21"/>
                <w:highlight w:val="none"/>
                <w:lang w:val="en-US" w:eastAsia="zh-CN"/>
              </w:rPr>
              <w:t>类型</w:t>
            </w:r>
          </w:p>
        </w:tc>
        <w:tc>
          <w:tcPr>
            <w:tcW w:w="5554" w:type="dxa"/>
            <w:gridSpan w:val="2"/>
            <w:shd w:val="clear" w:color="auto" w:fill="E7E6E6"/>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c>
          <w:tcPr>
            <w:tcW w:w="3035" w:type="dxa"/>
            <w:shd w:val="clear" w:color="auto" w:fill="E7E6E6"/>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验收</w:t>
            </w:r>
            <w:r>
              <w:rPr>
                <w:rFonts w:hint="eastAsia" w:ascii="宋体" w:hAnsi="宋体" w:eastAsia="宋体" w:cs="宋体"/>
                <w:b/>
                <w:bCs/>
                <w:color w:val="auto"/>
                <w:kern w:val="0"/>
                <w:sz w:val="21"/>
                <w:szCs w:val="21"/>
                <w:highlight w:val="none"/>
              </w:rPr>
              <w:t>咨询服务</w:t>
            </w: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政策解读</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根据未来社区验收政策，对</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未来社区分析验收的重难点以及注意事项，开展验收相关培训工作。</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完成验收政策解读培训、验收重难点培训和验收注意事项培训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项目解读与验收统筹</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根据未来社区验收政策及相关标准文件，开展</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未来社区建设成熟度评估工作，包括社区场景建设及运营成熟度、数字化建设及运营成熟度等内容。</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社区场景及运营情况调研表》《</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社区验收成熟度自评表》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实地勘探</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未来社区项目基本情况，依据已备案的实施方案，分析项目建设优势、亮点场景打造策略、九大场景空间及数字化建设落地</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输出项目实施方案落地完成度分析内容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通过项目验收启动会整合参与单位，构建权责分明、一体协作的验收项目团队</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协助组建验收小组，输出《小组成员清单》和《各主体验收职责划分清单》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场景设计优化</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1、根据省市未来社区专班要求及验收标准要求，提供场景空间布置优化提升建议、完成空间梳理和权属复核，完善并丰富场景功能。重点描述养老场景、托幼服务场景优化建议。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2、根据设计方案及未来社区验收标准，对设计方案</w:t>
            </w:r>
            <w:r>
              <w:rPr>
                <w:rFonts w:hint="eastAsia" w:ascii="宋体" w:hAnsi="宋体" w:eastAsia="宋体" w:cs="宋体"/>
                <w:color w:val="auto"/>
                <w:kern w:val="0"/>
                <w:sz w:val="21"/>
                <w:szCs w:val="21"/>
                <w:highlight w:val="none"/>
                <w:lang w:eastAsia="zh-CN"/>
              </w:rPr>
              <w:t>、施工图</w:t>
            </w:r>
            <w:r>
              <w:rPr>
                <w:rFonts w:hint="eastAsia" w:ascii="宋体" w:hAnsi="宋体" w:eastAsia="宋体" w:cs="宋体"/>
                <w:color w:val="auto"/>
                <w:kern w:val="0"/>
                <w:sz w:val="21"/>
                <w:szCs w:val="21"/>
                <w:highlight w:val="none"/>
              </w:rPr>
              <w:t>提出场景系统符合性意见。</w:t>
            </w:r>
          </w:p>
        </w:tc>
        <w:tc>
          <w:tcPr>
            <w:tcW w:w="3035"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未来社区场景优化建议》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w:t>
            </w:r>
            <w:r>
              <w:rPr>
                <w:rFonts w:hint="eastAsia" w:ascii="宋体" w:hAnsi="宋体" w:eastAsia="宋体" w:cs="宋体"/>
                <w:color w:val="auto"/>
                <w:kern w:val="0"/>
                <w:sz w:val="21"/>
                <w:szCs w:val="21"/>
                <w:highlight w:val="none"/>
                <w:lang w:eastAsia="zh-CN"/>
              </w:rPr>
              <w:t>设计方案</w:t>
            </w:r>
            <w:r>
              <w:rPr>
                <w:rFonts w:hint="eastAsia" w:ascii="宋体" w:hAnsi="宋体" w:eastAsia="宋体" w:cs="宋体"/>
                <w:color w:val="auto"/>
                <w:kern w:val="0"/>
                <w:sz w:val="21"/>
                <w:szCs w:val="21"/>
                <w:highlight w:val="none"/>
              </w:rPr>
              <w:t>优化建议》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w:t>
            </w:r>
            <w:r>
              <w:rPr>
                <w:rFonts w:hint="eastAsia" w:ascii="宋体" w:hAnsi="宋体" w:eastAsia="宋体" w:cs="宋体"/>
                <w:color w:val="auto"/>
                <w:kern w:val="0"/>
                <w:sz w:val="21"/>
                <w:szCs w:val="21"/>
                <w:highlight w:val="none"/>
                <w:lang w:eastAsia="zh-CN"/>
              </w:rPr>
              <w:t>施工图</w:t>
            </w:r>
            <w:r>
              <w:rPr>
                <w:rFonts w:hint="eastAsia" w:ascii="宋体" w:hAnsi="宋体" w:eastAsia="宋体" w:cs="宋体"/>
                <w:color w:val="auto"/>
                <w:kern w:val="0"/>
                <w:sz w:val="21"/>
                <w:szCs w:val="21"/>
                <w:highlight w:val="none"/>
              </w:rPr>
              <w:t>优化建议》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数字化建设优化</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1、按照省级未来社区验收标准，对数字化平台开发清单提出意见，包括与原有数字化项目衔接以及特色应用、高频应用等合理性；</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2、结合实际运营需求，评估运营数字化开发清单，从可实施、实用性、便捷性方面提出意见。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3.对社区数字化平台、APP、小程序等评估、指导。</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协助委托方完成未来社区数字化建设单位招标；</w:t>
            </w:r>
            <w:r>
              <w:rPr>
                <w:rFonts w:hint="eastAsia" w:ascii="宋体" w:hAnsi="宋体" w:eastAsia="宋体" w:cs="宋体"/>
                <w:color w:val="auto"/>
                <w:kern w:val="0"/>
                <w:sz w:val="21"/>
                <w:szCs w:val="21"/>
                <w:highlight w:val="none"/>
              </w:rPr>
              <w:t>提出数字化平台开发、落地实施意见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运营优化</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1、运营体系：协助委托方确认运营模式及统筹运营方，协助梳理场景及存量空间产权，对运营方案的落地性、符合性、可持续性及对运营资金测算表的合理性提出意见。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2、运营协助：协助社区社群活动总体计划编制，为运营团队培育社区达人库、社群提供意见。协助委托人与各政府部门对接场景空间相关事项；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3、运营评估：在试运营期间结合验收标准及实际运营状况等方面对运营成效进行评估。</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协助委托方完善运营体系；为社区、运营团队开展运营提供意见；试运营期间运营成效开展评估。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节点管控</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制定</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工作排期表并与各参与单位同步，对</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节奏进行整体把控（包括数字化、运营、设计、施工等单位工作进度），对整个验收时间节点进行过程管理。</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《验收工作排期表》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党建统领机制</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以理顺条块、重塑职能、强化统揽为重点。从社区的功能职责、组织架构、人员配备、支撑保障等方面提出党建统领机制意见。</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提出党建统领机制意见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验收报告服务</w:t>
            </w: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报告指导</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（1）对</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未来社区验收全流程进行培训和持续跟进，确保指标拆解到位、对接主体明确、材料收集准确并完整；</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（1）完成九大场景响应度、数字化平台落地、运营可持续性、特色亮点塑造等要点培训；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（2）针对</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未来社区九大场景响应、数字化平台落地、运营可持续性、特色亮点塑造等要点进行专项培训；</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（2）输出《九大场景佐证材料清单》、《各主体单位材料清单》、《材料缺失清单》、《报告拟评分及失分项标注文档》、《报告拟评分及失分项标注文档》，协助提交《验收报告》最终版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报告撰写</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《实施方案符合度》篇章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复核项目的场景配套面积和功能、技术应用等与实施方案中承诺的匹配情况，完成《实施方案符合度自评报告》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《九大场景响应度》篇章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输出《场景响应度自评报告》，街道和社区提供所需素材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指导输出《“浙里未来社区在线”落地性》篇章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指导数字化建设单位，输出《“浙里未来社区在线”落地性》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《运营可持续性》篇章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指导输出《运营可持续性自评报告》，运营单位协助提供素材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《特色亮点塑造》篇章</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指导输出《特色亮点塑造自评报告》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把关报告质量，组织内部评审并进行优化</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指导输出《项目验收自评报告》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报告补充</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根据评审专家意见，对验收报告的内容进行整改、资料补充，并上传提交</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验收实施服务</w:t>
            </w: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验收材料</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迎检路线：展陈布置、验收路线节点设计</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《迎检路线》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迎检手册：指导输出项目迎检手册、项目迎检展板</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《迎检手册》制作</w:t>
            </w:r>
            <w:r>
              <w:rPr>
                <w:rFonts w:hint="eastAsia" w:ascii="宋体" w:hAnsi="宋体" w:cs="宋体"/>
                <w:color w:val="auto"/>
                <w:kern w:val="0"/>
                <w:sz w:val="21"/>
                <w:szCs w:val="21"/>
                <w:highlight w:val="none"/>
                <w:lang w:val="en-US" w:eastAsia="zh-CN"/>
              </w:rPr>
              <w:t>不少于</w:t>
            </w:r>
            <w:r>
              <w:rPr>
                <w:rFonts w:hint="eastAsia" w:ascii="宋体" w:hAnsi="宋体" w:eastAsia="宋体" w:cs="宋体"/>
                <w:color w:val="auto"/>
                <w:kern w:val="0"/>
                <w:sz w:val="21"/>
                <w:szCs w:val="21"/>
                <w:highlight w:val="none"/>
              </w:rPr>
              <w:t>50份</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项目迎检展板</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制作</w:t>
            </w:r>
            <w:r>
              <w:rPr>
                <w:rFonts w:hint="eastAsia" w:ascii="宋体" w:hAnsi="宋体" w:cs="宋体"/>
                <w:color w:val="auto"/>
                <w:kern w:val="0"/>
                <w:sz w:val="21"/>
                <w:szCs w:val="21"/>
                <w:highlight w:val="none"/>
                <w:lang w:val="en-US" w:eastAsia="zh-CN"/>
              </w:rPr>
              <w:t>不少于</w:t>
            </w:r>
            <w:r>
              <w:rPr>
                <w:rFonts w:hint="eastAsia" w:ascii="宋体" w:hAnsi="宋体" w:eastAsia="宋体" w:cs="宋体"/>
                <w:color w:val="auto"/>
                <w:kern w:val="0"/>
                <w:sz w:val="21"/>
                <w:szCs w:val="21"/>
                <w:highlight w:val="none"/>
              </w:rPr>
              <w:t>50份</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具体份数根据后期实际情况来定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宣传视频：宣传视频脚本方案确定；完成未来社区宣传片拍摄和制作</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输出时长4-5分钟的</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未来社区</w:t>
            </w:r>
            <w:r>
              <w:rPr>
                <w:rFonts w:hint="eastAsia" w:ascii="宋体" w:hAnsi="宋体" w:eastAsia="宋体" w:cs="宋体"/>
                <w:color w:val="auto"/>
                <w:kern w:val="0"/>
                <w:sz w:val="21"/>
                <w:szCs w:val="21"/>
                <w:highlight w:val="none"/>
              </w:rPr>
              <w:t>宣传视频》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验收座谈汇报PPT</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验收座谈汇报PPT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现场参观解说词</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现场参观解说词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宣传手册：完成未来社区宣传文案，以宣传折页和手册制作为输出形式；协助指导第三方完成社区特色IP体系打造</w:t>
            </w:r>
            <w:r>
              <w:rPr>
                <w:rFonts w:hint="eastAsia" w:ascii="宋体" w:hAnsi="宋体" w:eastAsia="宋体" w:cs="宋体"/>
                <w:color w:val="auto"/>
                <w:kern w:val="0"/>
                <w:sz w:val="21"/>
                <w:szCs w:val="21"/>
                <w:highlight w:val="none"/>
                <w:lang w:eastAsia="zh-CN"/>
              </w:rPr>
              <w:t>。</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宣传折页和手册设计稿；宣传折页纸质版制作</w:t>
            </w:r>
            <w:r>
              <w:rPr>
                <w:rFonts w:hint="eastAsia" w:ascii="宋体" w:hAnsi="宋体" w:cs="宋体"/>
                <w:color w:val="auto"/>
                <w:kern w:val="0"/>
                <w:sz w:val="21"/>
                <w:szCs w:val="21"/>
                <w:highlight w:val="none"/>
                <w:lang w:val="en-US" w:eastAsia="zh-CN"/>
              </w:rPr>
              <w:t>不少于</w:t>
            </w:r>
            <w:r>
              <w:rPr>
                <w:rFonts w:hint="eastAsia" w:ascii="宋体" w:hAnsi="宋体" w:eastAsia="宋体" w:cs="宋体"/>
                <w:color w:val="auto"/>
                <w:kern w:val="0"/>
                <w:sz w:val="21"/>
                <w:szCs w:val="21"/>
                <w:highlight w:val="none"/>
              </w:rPr>
              <w:t>200份；宣传手册制作</w:t>
            </w:r>
            <w:r>
              <w:rPr>
                <w:rFonts w:hint="eastAsia" w:ascii="宋体" w:hAnsi="宋体" w:cs="宋体"/>
                <w:color w:val="auto"/>
                <w:kern w:val="0"/>
                <w:sz w:val="21"/>
                <w:szCs w:val="21"/>
                <w:highlight w:val="none"/>
                <w:lang w:val="en-US" w:eastAsia="zh-CN"/>
              </w:rPr>
              <w:t>不少于</w:t>
            </w:r>
            <w:r>
              <w:rPr>
                <w:rFonts w:hint="eastAsia" w:ascii="宋体" w:hAnsi="宋体" w:eastAsia="宋体" w:cs="宋体"/>
                <w:color w:val="auto"/>
                <w:kern w:val="0"/>
                <w:sz w:val="21"/>
                <w:szCs w:val="21"/>
                <w:highlight w:val="none"/>
              </w:rPr>
              <w:t>50份；</w:t>
            </w:r>
            <w:r>
              <w:rPr>
                <w:rFonts w:hint="eastAsia" w:ascii="宋体" w:hAnsi="宋体" w:cs="宋体"/>
                <w:color w:val="auto"/>
                <w:kern w:val="0"/>
                <w:sz w:val="21"/>
                <w:szCs w:val="21"/>
                <w:highlight w:val="none"/>
                <w:lang w:val="en-US" w:eastAsia="zh-CN"/>
              </w:rPr>
              <w:t>具体份数根据后期实际情况来定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验收实施</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工作计划：明确执行单位、推进事项、完成时间节点，并提供解决方案</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《验收工作推进计划分工表》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验收预案：提出线上或线下验收整体流程的方案</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《验收工作手册（预案）》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协同验收：根据专班验收通知，核对验收要求及进行材料准备；并参与验收专家评审，协助进行验收讲解、现场答辩等；</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未来社区验收答疑》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朝阳</w:t>
            </w:r>
            <w:r>
              <w:rPr>
                <w:rFonts w:hint="eastAsia" w:ascii="宋体" w:hAnsi="宋体" w:eastAsia="宋体" w:cs="宋体"/>
                <w:color w:val="auto"/>
                <w:kern w:val="0"/>
                <w:sz w:val="21"/>
                <w:szCs w:val="21"/>
                <w:highlight w:val="none"/>
              </w:rPr>
              <w:t>未来社区验收问题反馈》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验收整改</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根据专家评审意见，针对性验收整改内容进行落地性策划（包括线上运营、活动运营、宣传策划、社区展陈等方面）</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输出《整改实施指导意见》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运营指导</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结合未来社区创建成效及特色，根据验收专家意见，做出未来社区后期长效运营的专业意见指导</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输出《未来社区长效运营指导意见》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验收后期咨询保障</w:t>
            </w:r>
          </w:p>
        </w:tc>
        <w:tc>
          <w:tcPr>
            <w:tcW w:w="4608"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项目拟定于2024年下半年参加浙江省第六批未来社区验收</w:t>
            </w:r>
            <w:r>
              <w:rPr>
                <w:rFonts w:hint="eastAsia" w:ascii="宋体" w:hAnsi="宋体" w:eastAsia="宋体" w:cs="宋体"/>
                <w:b/>
                <w:bCs/>
                <w:color w:val="auto"/>
                <w:kern w:val="0"/>
                <w:sz w:val="21"/>
                <w:szCs w:val="21"/>
                <w:highlight w:val="none"/>
              </w:rPr>
              <w:t>（具体参加验收批次以采购人要求为准）</w:t>
            </w:r>
            <w:r>
              <w:rPr>
                <w:rFonts w:hint="eastAsia" w:ascii="宋体" w:hAnsi="宋体" w:eastAsia="宋体" w:cs="宋体"/>
                <w:color w:val="auto"/>
                <w:kern w:val="0"/>
                <w:sz w:val="21"/>
                <w:szCs w:val="21"/>
                <w:highlight w:val="none"/>
              </w:rPr>
              <w:t>，通过验收后6个月内，中标人接采购人通知应及时响应，并配合提供未来社区创建相关咨询服务</w:t>
            </w:r>
          </w:p>
        </w:tc>
        <w:tc>
          <w:tcPr>
            <w:tcW w:w="303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中标人在接到采购人通知后1小时内做出响应，6小时内作出相关咨询报告</w:t>
            </w:r>
          </w:p>
        </w:tc>
      </w:tr>
    </w:tbl>
    <w:p>
      <w:pPr>
        <w:numPr>
          <w:ilvl w:val="0"/>
          <w:numId w:val="0"/>
        </w:numPr>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（3）项目涉及的施工图设计及施工图审查和报价清单编制</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包括且不限于如下设计内容：</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①</w:t>
      </w:r>
      <w:r>
        <w:rPr>
          <w:rFonts w:hint="eastAsia" w:ascii="宋体" w:hAnsi="宋体" w:eastAsia="宋体" w:cs="宋体"/>
          <w:sz w:val="24"/>
          <w:szCs w:val="24"/>
          <w:highlight w:val="none"/>
          <w:lang w:val="en-US" w:eastAsia="zh-CN"/>
        </w:rPr>
        <w:t>朝阳未来社区邻里中心建设项目：</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1、室内外</w:t>
      </w:r>
      <w:r>
        <w:rPr>
          <w:rFonts w:hint="eastAsia" w:ascii="宋体" w:hAnsi="宋体" w:cs="宋体"/>
          <w:sz w:val="24"/>
          <w:szCs w:val="24"/>
          <w:highlight w:val="none"/>
          <w:lang w:val="en-US" w:eastAsia="zh-CN"/>
        </w:rPr>
        <w:t>改造</w:t>
      </w:r>
      <w:r>
        <w:rPr>
          <w:rFonts w:hint="eastAsia" w:ascii="宋体" w:hAnsi="宋体" w:eastAsia="宋体" w:cs="宋体"/>
          <w:sz w:val="24"/>
          <w:szCs w:val="24"/>
          <w:highlight w:val="none"/>
          <w:lang w:val="en-US" w:eastAsia="zh-CN"/>
        </w:rPr>
        <w:t>（包括建筑和结构改造）、装修、电气、给排水、暖通、空调、智能化、消防、软装（家具、儿童游乐设施、图书阅览区陈设、健身娱乐设备设施、窗帘、厨房厨具等陈设设计）等施工图设计</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施工图审查（含房屋结构安全检测）</w:t>
      </w:r>
      <w:r>
        <w:rPr>
          <w:rFonts w:hint="eastAsia" w:ascii="宋体" w:hAnsi="宋体" w:cs="宋体"/>
          <w:sz w:val="24"/>
          <w:szCs w:val="24"/>
          <w:highlight w:val="none"/>
          <w:lang w:val="en-US" w:eastAsia="zh-CN"/>
        </w:rPr>
        <w:t>相关</w:t>
      </w:r>
      <w:r>
        <w:rPr>
          <w:rFonts w:hint="eastAsia" w:ascii="宋体" w:hAnsi="宋体" w:eastAsia="宋体" w:cs="宋体"/>
          <w:sz w:val="24"/>
          <w:szCs w:val="24"/>
          <w:highlight w:val="none"/>
          <w:lang w:val="en-US" w:eastAsia="zh-CN"/>
        </w:rPr>
        <w:t>工作；</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2、标识、标牌及门头等宣传广告设计及报价清单编制</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②</w:t>
      </w:r>
      <w:r>
        <w:rPr>
          <w:rFonts w:hint="eastAsia" w:ascii="宋体" w:hAnsi="宋体" w:eastAsia="宋体" w:cs="宋体"/>
          <w:sz w:val="24"/>
          <w:szCs w:val="24"/>
          <w:highlight w:val="none"/>
          <w:lang w:val="en-US" w:eastAsia="zh-CN"/>
        </w:rPr>
        <w:t>未来社区</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标识、标牌及视觉导览形象设计等宣传广告设计及报价清单编制</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③</w:t>
      </w:r>
      <w:r>
        <w:rPr>
          <w:rFonts w:hint="eastAsia" w:ascii="宋体" w:hAnsi="宋体" w:eastAsia="宋体" w:cs="宋体"/>
          <w:sz w:val="24"/>
          <w:szCs w:val="24"/>
          <w:highlight w:val="none"/>
          <w:lang w:val="en-US" w:eastAsia="zh-CN"/>
        </w:rPr>
        <w:t>数字化运营服务增加设计</w:t>
      </w:r>
    </w:p>
    <w:p>
      <w:pPr>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textAlignment w:val="auto"/>
        <w:rPr>
          <w:rFonts w:hint="eastAsia" w:ascii="宋体" w:hAnsi="宋体" w:eastAsia="宋体" w:cs="宋体"/>
          <w:b/>
          <w:color w:val="000000"/>
          <w:sz w:val="24"/>
          <w:highlight w:val="none"/>
        </w:rPr>
      </w:pPr>
      <w:r>
        <w:rPr>
          <w:rFonts w:hint="eastAsia" w:ascii="宋体" w:hAnsi="宋体" w:eastAsia="宋体" w:cs="宋体"/>
          <w:sz w:val="24"/>
          <w:szCs w:val="24"/>
          <w:highlight w:val="none"/>
          <w:lang w:val="en-US" w:eastAsia="zh-CN"/>
        </w:rPr>
        <w:t>朝阳未来社区数字化软件、硬件清单编制及未来社区数字化设备设施点位及线路布置图</w:t>
      </w:r>
      <w:r>
        <w:rPr>
          <w:rFonts w:hint="eastAsia" w:ascii="宋体" w:hAnsi="宋体" w:cs="宋体"/>
          <w:sz w:val="24"/>
          <w:szCs w:val="24"/>
          <w:highlight w:val="none"/>
          <w:lang w:val="en-US" w:eastAsia="zh-CN"/>
        </w:rPr>
        <w:t>。</w:t>
      </w:r>
    </w:p>
    <w:p>
      <w:pPr>
        <w:pStyle w:val="13"/>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三、合同金额</w:t>
      </w:r>
    </w:p>
    <w:p>
      <w:pPr>
        <w:pStyle w:val="13"/>
        <w:snapToGrid w:val="0"/>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本合同金额为（大写）：___________________元（￥_______________元）人民币。</w:t>
      </w:r>
      <w:r>
        <w:rPr>
          <w:rFonts w:hint="eastAsia" w:hAnsi="宋体" w:cs="宋体"/>
          <w:color w:val="000000"/>
          <w:sz w:val="24"/>
          <w:highlight w:val="none"/>
          <w:lang w:eastAsia="zh-CN"/>
        </w:rPr>
        <w:t>（</w:t>
      </w:r>
      <w:r>
        <w:rPr>
          <w:rFonts w:hint="eastAsia" w:hAnsi="宋体" w:cs="宋体"/>
          <w:color w:val="000000"/>
          <w:sz w:val="24"/>
          <w:highlight w:val="none"/>
          <w:lang w:val="en-US" w:eastAsia="zh-CN"/>
        </w:rPr>
        <w:t>其中税率为6%</w:t>
      </w:r>
      <w:r>
        <w:rPr>
          <w:rFonts w:hint="eastAsia" w:hAnsi="宋体" w:cs="宋体"/>
          <w:color w:val="000000"/>
          <w:sz w:val="24"/>
          <w:highlight w:val="none"/>
          <w:lang w:eastAsia="zh-CN"/>
        </w:rPr>
        <w:t>）</w:t>
      </w:r>
    </w:p>
    <w:p>
      <w:pPr>
        <w:pStyle w:val="13"/>
        <w:snapToGrid w:val="0"/>
        <w:spacing w:line="360" w:lineRule="auto"/>
        <w:ind w:firstLine="480" w:firstLineChars="200"/>
        <w:rPr>
          <w:rFonts w:hint="eastAsia" w:ascii="宋体" w:hAnsi="宋体" w:eastAsia="宋体" w:cs="宋体"/>
          <w:color w:val="000000"/>
          <w:sz w:val="24"/>
          <w:highlight w:val="none"/>
        </w:rPr>
      </w:pPr>
      <w:r>
        <w:rPr>
          <w:rFonts w:hint="eastAsia" w:hAnsi="宋体" w:cs="宋体"/>
          <w:color w:val="000000"/>
          <w:sz w:val="24"/>
          <w:highlight w:val="none"/>
          <w:lang w:val="en-US" w:eastAsia="zh-CN"/>
        </w:rPr>
        <w:t>此价格</w:t>
      </w:r>
      <w:r>
        <w:rPr>
          <w:rFonts w:hint="eastAsia" w:ascii="宋体" w:hAnsi="宋体" w:eastAsia="宋体" w:cs="宋体"/>
          <w:color w:val="000000"/>
          <w:sz w:val="24"/>
          <w:highlight w:val="none"/>
        </w:rPr>
        <w:t>是履行合同的最终价格，包括但不限于获取相关研究资料、专家评审、办公、交通、保险、人员、差旅、税费、测试工具费用、招标代理服务费、批文申报及协调等全部费用。</w:t>
      </w:r>
    </w:p>
    <w:p>
      <w:pPr>
        <w:widowControl/>
        <w:shd w:val="clear" w:color="auto" w:fill="FFFFFF"/>
        <w:spacing w:line="360" w:lineRule="auto"/>
        <w:ind w:firstLine="482" w:firstLineChars="200"/>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四、甲乙双方责任</w:t>
      </w:r>
    </w:p>
    <w:p>
      <w:pPr>
        <w:pStyle w:val="13"/>
        <w:keepNext w:val="0"/>
        <w:keepLines w:val="0"/>
        <w:pageBreakBefore w:val="0"/>
        <w:widowControl w:val="0"/>
        <w:kinsoku/>
        <w:wordWrap/>
        <w:overflowPunct/>
        <w:topLinePunct w:val="0"/>
        <w:autoSpaceDE/>
        <w:autoSpaceDN/>
        <w:bidi w:val="0"/>
        <w:adjustRightInd/>
        <w:snapToGrid w:val="0"/>
        <w:spacing w:before="120" w:after="120" w:line="360" w:lineRule="auto"/>
        <w:ind w:left="0"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4.1</w:t>
      </w:r>
      <w:r>
        <w:rPr>
          <w:rFonts w:hint="eastAsia" w:ascii="宋体" w:hAnsi="宋体" w:eastAsia="宋体" w:cs="宋体"/>
          <w:b w:val="0"/>
          <w:bCs/>
          <w:color w:val="000000"/>
          <w:sz w:val="24"/>
          <w:highlight w:val="none"/>
        </w:rPr>
        <w:t>.甲方责任</w:t>
      </w:r>
    </w:p>
    <w:p>
      <w:pPr>
        <w:pStyle w:val="13"/>
        <w:keepNext w:val="0"/>
        <w:keepLines w:val="0"/>
        <w:pageBreakBefore w:val="0"/>
        <w:widowControl w:val="0"/>
        <w:kinsoku/>
        <w:wordWrap/>
        <w:overflowPunct/>
        <w:topLinePunct w:val="0"/>
        <w:autoSpaceDE/>
        <w:autoSpaceDN/>
        <w:bidi w:val="0"/>
        <w:adjustRightInd/>
        <w:snapToGrid w:val="0"/>
        <w:spacing w:before="120" w:after="120" w:line="360" w:lineRule="auto"/>
        <w:ind w:left="0"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4.</w:t>
      </w:r>
      <w:r>
        <w:rPr>
          <w:rFonts w:hint="eastAsia" w:ascii="宋体" w:hAnsi="宋体" w:eastAsia="宋体" w:cs="宋体"/>
          <w:b w:val="0"/>
          <w:bCs/>
          <w:color w:val="000000"/>
          <w:sz w:val="24"/>
          <w:highlight w:val="none"/>
        </w:rPr>
        <w:t>1.1甲方按乙方要求及时向乙方提供所需资料，并保证资料的正确性、真实性。</w:t>
      </w:r>
    </w:p>
    <w:p>
      <w:pPr>
        <w:pStyle w:val="13"/>
        <w:keepNext w:val="0"/>
        <w:keepLines w:val="0"/>
        <w:pageBreakBefore w:val="0"/>
        <w:widowControl w:val="0"/>
        <w:kinsoku/>
        <w:wordWrap/>
        <w:overflowPunct/>
        <w:topLinePunct w:val="0"/>
        <w:autoSpaceDE/>
        <w:autoSpaceDN/>
        <w:bidi w:val="0"/>
        <w:adjustRightInd/>
        <w:snapToGrid w:val="0"/>
        <w:spacing w:before="120" w:after="120" w:line="360" w:lineRule="auto"/>
        <w:ind w:left="0"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4.</w:t>
      </w:r>
      <w:r>
        <w:rPr>
          <w:rFonts w:hint="eastAsia" w:ascii="宋体" w:hAnsi="宋体" w:eastAsia="宋体" w:cs="宋体"/>
          <w:b w:val="0"/>
          <w:bCs/>
          <w:color w:val="000000"/>
          <w:sz w:val="24"/>
          <w:highlight w:val="none"/>
        </w:rPr>
        <w:t>1.2甲方须按照协议规定按时向乙方支付服务费。</w:t>
      </w:r>
    </w:p>
    <w:p>
      <w:pPr>
        <w:pStyle w:val="13"/>
        <w:keepNext w:val="0"/>
        <w:keepLines w:val="0"/>
        <w:pageBreakBefore w:val="0"/>
        <w:widowControl w:val="0"/>
        <w:kinsoku/>
        <w:wordWrap/>
        <w:overflowPunct/>
        <w:topLinePunct w:val="0"/>
        <w:autoSpaceDE/>
        <w:autoSpaceDN/>
        <w:bidi w:val="0"/>
        <w:adjustRightInd/>
        <w:snapToGrid w:val="0"/>
        <w:spacing w:before="120" w:after="120" w:line="360" w:lineRule="auto"/>
        <w:ind w:left="0"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4.</w:t>
      </w:r>
      <w:r>
        <w:rPr>
          <w:rFonts w:hint="eastAsia" w:ascii="宋体" w:hAnsi="宋体" w:eastAsia="宋体" w:cs="宋体"/>
          <w:b w:val="0"/>
          <w:bCs/>
          <w:color w:val="000000"/>
          <w:sz w:val="24"/>
          <w:highlight w:val="none"/>
        </w:rPr>
        <w:t>1.3甲方应保守乙方提供的商业机密。</w:t>
      </w:r>
    </w:p>
    <w:p>
      <w:pPr>
        <w:pStyle w:val="13"/>
        <w:keepNext w:val="0"/>
        <w:keepLines w:val="0"/>
        <w:pageBreakBefore w:val="0"/>
        <w:widowControl w:val="0"/>
        <w:kinsoku/>
        <w:wordWrap/>
        <w:overflowPunct/>
        <w:topLinePunct w:val="0"/>
        <w:autoSpaceDE/>
        <w:autoSpaceDN/>
        <w:bidi w:val="0"/>
        <w:adjustRightInd/>
        <w:snapToGrid w:val="0"/>
        <w:spacing w:before="219" w:beforeLines="50" w:after="219" w:afterLines="50" w:line="360" w:lineRule="auto"/>
        <w:ind w:lef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2.乙方责任</w:t>
      </w:r>
    </w:p>
    <w:p>
      <w:pPr>
        <w:pStyle w:val="13"/>
        <w:keepNext w:val="0"/>
        <w:keepLines w:val="0"/>
        <w:pageBreakBefore w:val="0"/>
        <w:widowControl w:val="0"/>
        <w:kinsoku/>
        <w:wordWrap/>
        <w:overflowPunct/>
        <w:topLinePunct w:val="0"/>
        <w:autoSpaceDE/>
        <w:autoSpaceDN/>
        <w:bidi w:val="0"/>
        <w:adjustRightInd/>
        <w:snapToGrid w:val="0"/>
        <w:spacing w:before="219" w:beforeLines="50" w:after="219" w:afterLines="50" w:line="360" w:lineRule="auto"/>
        <w:ind w:left="0"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4.</w:t>
      </w:r>
      <w:r>
        <w:rPr>
          <w:rFonts w:hint="eastAsia" w:ascii="宋体" w:hAnsi="宋体" w:eastAsia="宋体" w:cs="宋体"/>
          <w:b w:val="0"/>
          <w:bCs/>
          <w:color w:val="000000"/>
          <w:sz w:val="24"/>
          <w:highlight w:val="none"/>
        </w:rPr>
        <w:t>2.1乙方应配合甲方对工作效果进行阶段性考核评审。</w:t>
      </w:r>
    </w:p>
    <w:p>
      <w:pPr>
        <w:pStyle w:val="13"/>
        <w:keepNext w:val="0"/>
        <w:keepLines w:val="0"/>
        <w:pageBreakBefore w:val="0"/>
        <w:widowControl w:val="0"/>
        <w:kinsoku/>
        <w:wordWrap/>
        <w:overflowPunct/>
        <w:topLinePunct w:val="0"/>
        <w:autoSpaceDE/>
        <w:autoSpaceDN/>
        <w:bidi w:val="0"/>
        <w:adjustRightInd/>
        <w:snapToGrid w:val="0"/>
        <w:spacing w:before="219" w:beforeLines="50" w:after="219" w:afterLines="50" w:line="360" w:lineRule="auto"/>
        <w:ind w:left="0"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4.</w:t>
      </w:r>
      <w:r>
        <w:rPr>
          <w:rFonts w:hint="eastAsia" w:ascii="宋体" w:hAnsi="宋体" w:eastAsia="宋体" w:cs="宋体"/>
          <w:b w:val="0"/>
          <w:bCs/>
          <w:color w:val="000000"/>
          <w:sz w:val="24"/>
          <w:highlight w:val="none"/>
        </w:rPr>
        <w:t>2.2乙方所提供的所有资料与内容必须符合相关标准。</w:t>
      </w:r>
    </w:p>
    <w:p>
      <w:pPr>
        <w:pStyle w:val="13"/>
        <w:keepNext w:val="0"/>
        <w:keepLines w:val="0"/>
        <w:pageBreakBefore w:val="0"/>
        <w:widowControl w:val="0"/>
        <w:kinsoku/>
        <w:wordWrap/>
        <w:overflowPunct/>
        <w:topLinePunct w:val="0"/>
        <w:autoSpaceDE/>
        <w:autoSpaceDN/>
        <w:bidi w:val="0"/>
        <w:adjustRightInd/>
        <w:snapToGrid w:val="0"/>
        <w:spacing w:before="219" w:beforeLines="50" w:after="219" w:afterLines="50" w:line="360" w:lineRule="auto"/>
        <w:ind w:left="0"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4.</w:t>
      </w:r>
      <w:r>
        <w:rPr>
          <w:rFonts w:hint="eastAsia" w:ascii="宋体" w:hAnsi="宋体" w:eastAsia="宋体" w:cs="宋体"/>
          <w:b w:val="0"/>
          <w:bCs/>
          <w:color w:val="000000"/>
          <w:sz w:val="24"/>
          <w:highlight w:val="none"/>
        </w:rPr>
        <w:t>2.3因乙方错误而造成项目重大质量事故及造成建设直接费用提高的，乙方承担相应的费用与法律责任。</w:t>
      </w:r>
    </w:p>
    <w:p>
      <w:pPr>
        <w:pStyle w:val="13"/>
        <w:keepNext w:val="0"/>
        <w:keepLines w:val="0"/>
        <w:pageBreakBefore w:val="0"/>
        <w:widowControl w:val="0"/>
        <w:kinsoku/>
        <w:wordWrap/>
        <w:overflowPunct/>
        <w:topLinePunct w:val="0"/>
        <w:autoSpaceDE/>
        <w:autoSpaceDN/>
        <w:bidi w:val="0"/>
        <w:adjustRightInd/>
        <w:snapToGrid w:val="0"/>
        <w:spacing w:before="219" w:beforeLines="50" w:after="219" w:afterLines="50" w:line="360" w:lineRule="auto"/>
        <w:ind w:left="0"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4.</w:t>
      </w:r>
      <w:r>
        <w:rPr>
          <w:rFonts w:hint="eastAsia" w:ascii="宋体" w:hAnsi="宋体" w:eastAsia="宋体" w:cs="宋体"/>
          <w:b w:val="0"/>
          <w:bCs/>
          <w:color w:val="000000"/>
          <w:sz w:val="24"/>
          <w:highlight w:val="none"/>
        </w:rPr>
        <w:t>2.4乙方工作结束之后应将所有材料的电子文档提供给甲方。</w:t>
      </w:r>
    </w:p>
    <w:p>
      <w:pPr>
        <w:pStyle w:val="21"/>
        <w:keepNext w:val="0"/>
        <w:keepLines w:val="0"/>
        <w:pageBreakBefore w:val="0"/>
        <w:shd w:val="clear" w:color="auto" w:fill="FFFFFF"/>
        <w:kinsoku/>
        <w:wordWrap/>
        <w:overflowPunct/>
        <w:topLinePunct w:val="0"/>
        <w:autoSpaceDE/>
        <w:autoSpaceDN/>
        <w:bidi w:val="0"/>
        <w:adjustRightInd/>
        <w:spacing w:before="219" w:beforeLines="50" w:beforeAutospacing="0" w:after="219" w:afterLines="50" w:afterAutospacing="0" w:line="360" w:lineRule="auto"/>
        <w:ind w:left="0" w:firstLine="480" w:firstLineChars="200"/>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2.5乙方根据甲方要求，定期向甲方汇报项目进程。</w:t>
      </w:r>
    </w:p>
    <w:p>
      <w:pPr>
        <w:pStyle w:val="13"/>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五、技术资料</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5.1</w:t>
      </w:r>
      <w:r>
        <w:rPr>
          <w:rFonts w:hint="eastAsia" w:ascii="宋体" w:hAnsi="宋体" w:eastAsia="宋体" w:cs="宋体"/>
          <w:b w:val="0"/>
          <w:bCs/>
          <w:color w:val="000000"/>
          <w:sz w:val="24"/>
          <w:highlight w:val="none"/>
        </w:rPr>
        <w:t>乙方应按招标文件规定的时间向甲方提供有关技术资料。</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5.2</w:t>
      </w:r>
      <w:r>
        <w:rPr>
          <w:rFonts w:hint="eastAsia" w:ascii="宋体" w:hAnsi="宋体" w:eastAsia="宋体" w:cs="宋体"/>
          <w:b w:val="0"/>
          <w:bCs/>
          <w:color w:val="000000"/>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六、知识产权</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6.1</w:t>
      </w:r>
      <w:r>
        <w:rPr>
          <w:rFonts w:hint="eastAsia" w:ascii="宋体" w:hAnsi="宋体" w:eastAsia="宋体" w:cs="宋体"/>
          <w:b w:val="0"/>
          <w:bCs/>
          <w:color w:val="000000"/>
          <w:sz w:val="24"/>
          <w:highlight w:val="none"/>
        </w:rPr>
        <w:t>乙方应保证提供服务过程中不会侵犯任何第三方的知识产权。</w:t>
      </w:r>
    </w:p>
    <w:p>
      <w:pPr>
        <w:pStyle w:val="13"/>
        <w:snapToGrid w:val="0"/>
        <w:spacing w:line="360" w:lineRule="auto"/>
        <w:ind w:firstLine="480" w:firstLineChars="200"/>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lang w:val="en-US" w:eastAsia="zh-CN"/>
        </w:rPr>
        <w:t>6.2</w:t>
      </w:r>
      <w:r>
        <w:rPr>
          <w:rFonts w:hint="eastAsia" w:ascii="宋体" w:hAnsi="宋体" w:eastAsia="宋体" w:cs="宋体"/>
          <w:b w:val="0"/>
          <w:bCs/>
          <w:color w:val="000000"/>
          <w:sz w:val="24"/>
          <w:highlight w:val="none"/>
        </w:rPr>
        <w:t>若侵犯,由乙方赔偿甲方因此遭受的损失（包括但不限于</w:t>
      </w:r>
      <w:r>
        <w:rPr>
          <w:rFonts w:hint="eastAsia" w:ascii="宋体" w:hAnsi="宋体" w:eastAsia="宋体" w:cs="宋体"/>
          <w:b w:val="0"/>
          <w:bCs/>
          <w:color w:val="000000"/>
          <w:sz w:val="24"/>
          <w:highlight w:val="none"/>
          <w:lang w:eastAsia="zh-CN"/>
        </w:rPr>
        <w:t>赔偿金</w:t>
      </w:r>
      <w:r>
        <w:rPr>
          <w:rFonts w:hint="eastAsia" w:ascii="宋体" w:hAnsi="宋体" w:eastAsia="宋体" w:cs="宋体"/>
          <w:b w:val="0"/>
          <w:bCs/>
          <w:color w:val="000000"/>
          <w:sz w:val="24"/>
          <w:highlight w:val="none"/>
        </w:rPr>
        <w:t>及</w:t>
      </w:r>
      <w:r>
        <w:rPr>
          <w:rFonts w:hint="eastAsia" w:ascii="宋体" w:hAnsi="宋体" w:eastAsia="宋体" w:cs="宋体"/>
          <w:b w:val="0"/>
          <w:bCs/>
          <w:color w:val="000000"/>
          <w:sz w:val="24"/>
          <w:highlight w:val="none"/>
          <w:lang w:eastAsia="zh-CN"/>
        </w:rPr>
        <w:t>应对</w:t>
      </w:r>
      <w:r>
        <w:rPr>
          <w:rFonts w:hint="eastAsia" w:ascii="宋体" w:hAnsi="宋体" w:eastAsia="宋体" w:cs="宋体"/>
          <w:b w:val="0"/>
          <w:bCs/>
          <w:color w:val="000000"/>
          <w:sz w:val="24"/>
          <w:highlight w:val="none"/>
        </w:rPr>
        <w:t>追偿过程中所支付的律师费、差旅费、诉讼费、保全费、鉴定费、评估费等）</w:t>
      </w:r>
      <w:r>
        <w:rPr>
          <w:rFonts w:hint="eastAsia" w:ascii="宋体" w:hAnsi="宋体" w:eastAsia="宋体" w:cs="宋体"/>
          <w:b w:val="0"/>
          <w:bCs/>
          <w:color w:val="000000"/>
          <w:sz w:val="24"/>
          <w:highlight w:val="none"/>
          <w:lang w:eastAsia="zh-CN"/>
        </w:rPr>
        <w:t>。</w:t>
      </w:r>
    </w:p>
    <w:p>
      <w:pPr>
        <w:pStyle w:val="13"/>
        <w:snapToGrid w:val="0"/>
        <w:spacing w:line="360" w:lineRule="auto"/>
        <w:ind w:firstLine="480" w:firstLineChars="200"/>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6.3未经甲方事先书面同意，乙方不得将甲方提供的有关合同或任何合同条文、规格、计划、资料、技术咨询服务提供给与本项目无关的第三方。</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6.4未经甲方同意，不得将本项目技术成果提交给与本项目无关的第三方</w:t>
      </w:r>
      <w:r>
        <w:rPr>
          <w:rFonts w:hint="eastAsia" w:ascii="宋体" w:hAnsi="宋体" w:eastAsia="宋体" w:cs="宋体"/>
          <w:b w:val="0"/>
          <w:bCs/>
          <w:color w:val="000000"/>
          <w:sz w:val="24"/>
          <w:highlight w:val="none"/>
        </w:rPr>
        <w:t>。</w:t>
      </w:r>
    </w:p>
    <w:p>
      <w:pPr>
        <w:pStyle w:val="13"/>
        <w:snapToGrid w:val="0"/>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七、转包或分包</w:t>
      </w:r>
    </w:p>
    <w:p>
      <w:pPr>
        <w:snapToGri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7.1</w:t>
      </w:r>
      <w:r>
        <w:rPr>
          <w:rFonts w:hint="eastAsia" w:ascii="宋体" w:hAnsi="宋体" w:eastAsia="宋体" w:cs="宋体"/>
          <w:color w:val="000000"/>
          <w:sz w:val="24"/>
          <w:highlight w:val="none"/>
        </w:rPr>
        <w:t>本合同范围的服务，应由乙方直接供应，不得转让他人供应。</w:t>
      </w:r>
      <w:r>
        <w:rPr>
          <w:rFonts w:hint="eastAsia" w:ascii="宋体" w:hAnsi="宋体" w:cs="宋体"/>
          <w:color w:val="000000"/>
          <w:sz w:val="24"/>
          <w:highlight w:val="none"/>
          <w:lang w:val="en-US" w:eastAsia="zh-CN"/>
        </w:rPr>
        <w:t>其中</w:t>
      </w:r>
      <w:r>
        <w:rPr>
          <w:rFonts w:hint="eastAsia" w:ascii="宋体" w:hAnsi="宋体" w:cs="宋体"/>
          <w:color w:val="000000"/>
          <w:sz w:val="24"/>
          <w:highlight w:val="none"/>
          <w:lang w:val="en-US" w:eastAsia="zh-CN"/>
        </w:rPr>
        <w:t>项目涉及的施工图设计及清单编制经甲方确认后允许分包。</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7.2</w:t>
      </w:r>
      <w:r>
        <w:rPr>
          <w:rFonts w:hint="eastAsia" w:ascii="宋体" w:hAnsi="宋体" w:eastAsia="宋体" w:cs="宋体"/>
          <w:color w:val="000000"/>
          <w:sz w:val="24"/>
          <w:highlight w:val="none"/>
        </w:rPr>
        <w:t>如有转让和未经甲方同意的分包行为，甲方有权</w:t>
      </w:r>
      <w:r>
        <w:rPr>
          <w:rFonts w:hint="eastAsia" w:ascii="宋体" w:hAnsi="宋体" w:eastAsia="宋体" w:cs="宋体"/>
          <w:color w:val="000000"/>
          <w:sz w:val="24"/>
          <w:highlight w:val="none"/>
          <w:lang w:val="en-US" w:eastAsia="zh-CN"/>
        </w:rPr>
        <w:t>单方</w:t>
      </w:r>
      <w:r>
        <w:rPr>
          <w:rFonts w:hint="eastAsia" w:ascii="宋体" w:hAnsi="宋体" w:eastAsia="宋体" w:cs="宋体"/>
          <w:color w:val="000000"/>
          <w:sz w:val="24"/>
          <w:highlight w:val="none"/>
        </w:rPr>
        <w:t>解除合同并追究乙方的违约责任。</w:t>
      </w:r>
    </w:p>
    <w:p>
      <w:pPr>
        <w:pStyle w:val="13"/>
        <w:snapToGrid w:val="0"/>
        <w:spacing w:line="360" w:lineRule="auto"/>
        <w:ind w:firstLine="482" w:firstLineChars="200"/>
        <w:rPr>
          <w:rFonts w:hint="eastAsia" w:ascii="宋体" w:hAnsi="宋体" w:eastAsia="宋体" w:cs="宋体"/>
          <w:color w:val="000000"/>
          <w:sz w:val="24"/>
          <w:highlight w:val="none"/>
          <w:lang w:val="en-US" w:eastAsia="zh-CN"/>
        </w:rPr>
      </w:pPr>
      <w:r>
        <w:rPr>
          <w:rFonts w:hint="eastAsia" w:ascii="宋体" w:hAnsi="宋体" w:eastAsia="宋体" w:cs="宋体"/>
          <w:b/>
          <w:color w:val="000000"/>
          <w:sz w:val="24"/>
          <w:highlight w:val="none"/>
        </w:rPr>
        <w:t>八、</w:t>
      </w:r>
      <w:r>
        <w:rPr>
          <w:rFonts w:hint="eastAsia" w:hAnsi="宋体" w:cs="宋体"/>
          <w:b/>
          <w:color w:val="000000"/>
          <w:sz w:val="24"/>
          <w:highlight w:val="none"/>
          <w:lang w:val="en-US" w:eastAsia="zh-CN"/>
        </w:rPr>
        <w:t>项目组成员</w:t>
      </w:r>
      <w:r>
        <w:rPr>
          <w:rFonts w:hint="eastAsia" w:ascii="宋体" w:hAnsi="宋体" w:eastAsia="宋体" w:cs="宋体"/>
          <w:b/>
          <w:color w:val="000000"/>
          <w:sz w:val="24"/>
          <w:highlight w:val="none"/>
        </w:rPr>
        <w:t xml:space="preserve"> </w:t>
      </w:r>
      <w:r>
        <w:rPr>
          <w:rFonts w:hint="eastAsia" w:ascii="宋体" w:hAnsi="宋体" w:eastAsia="宋体" w:cs="宋体"/>
          <w:b/>
          <w:color w:val="000000"/>
          <w:sz w:val="24"/>
          <w:highlight w:val="none"/>
          <w:lang w:val="en-US" w:eastAsia="zh-CN"/>
        </w:rPr>
        <w:t xml:space="preserve">  </w:t>
      </w:r>
    </w:p>
    <w:p>
      <w:pPr>
        <w:spacing w:line="360" w:lineRule="auto"/>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人员一览表</w:t>
      </w:r>
    </w:p>
    <w:tbl>
      <w:tblPr>
        <w:tblStyle w:val="25"/>
        <w:tblW w:w="8596" w:type="dxa"/>
        <w:tblInd w:w="113" w:type="dxa"/>
        <w:tblLayout w:type="fixed"/>
        <w:tblCellMar>
          <w:top w:w="0" w:type="dxa"/>
          <w:left w:w="10" w:type="dxa"/>
          <w:bottom w:w="0" w:type="dxa"/>
          <w:right w:w="10" w:type="dxa"/>
        </w:tblCellMar>
      </w:tblPr>
      <w:tblGrid>
        <w:gridCol w:w="949"/>
        <w:gridCol w:w="1611"/>
        <w:gridCol w:w="2601"/>
        <w:gridCol w:w="1619"/>
        <w:gridCol w:w="1816"/>
      </w:tblGrid>
      <w:tr>
        <w:tblPrEx>
          <w:tblCellMar>
            <w:top w:w="0" w:type="dxa"/>
            <w:left w:w="10" w:type="dxa"/>
            <w:bottom w:w="0" w:type="dxa"/>
            <w:right w:w="10" w:type="dxa"/>
          </w:tblCellMar>
        </w:tblPrEx>
        <w:trPr>
          <w:trHeight w:val="654" w:hRule="atLeast"/>
        </w:trPr>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4"/>
                <w:szCs w:val="24"/>
                <w:highlight w:val="none"/>
                <w:lang w:val="zh-CN"/>
              </w:rPr>
            </w:pPr>
            <w:r>
              <w:rPr>
                <w:rFonts w:ascii="宋体"/>
                <w:color w:val="auto"/>
                <w:sz w:val="24"/>
                <w:szCs w:val="24"/>
                <w:highlight w:val="none"/>
                <w:lang w:val="zh-CN"/>
              </w:rPr>
              <w:t>序号</w:t>
            </w: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4"/>
                <w:szCs w:val="24"/>
                <w:highlight w:val="none"/>
                <w:lang w:val="zh-CN"/>
              </w:rPr>
            </w:pPr>
            <w:r>
              <w:rPr>
                <w:rFonts w:ascii="宋体"/>
                <w:color w:val="auto"/>
                <w:sz w:val="24"/>
                <w:szCs w:val="24"/>
                <w:highlight w:val="none"/>
                <w:lang w:val="zh-CN"/>
              </w:rPr>
              <w:t>姓名</w:t>
            </w:r>
          </w:p>
        </w:tc>
        <w:tc>
          <w:tcPr>
            <w:tcW w:w="26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4"/>
                <w:szCs w:val="24"/>
                <w:highlight w:val="none"/>
                <w:lang w:val="zh-CN"/>
              </w:rPr>
            </w:pPr>
            <w:r>
              <w:rPr>
                <w:rFonts w:hint="eastAsia" w:ascii="宋体"/>
                <w:color w:val="auto"/>
                <w:sz w:val="24"/>
                <w:szCs w:val="24"/>
                <w:highlight w:val="none"/>
                <w:lang w:val="zh-CN"/>
              </w:rPr>
              <w:t>专业或执业资格</w:t>
            </w:r>
          </w:p>
        </w:tc>
        <w:tc>
          <w:tcPr>
            <w:tcW w:w="1619"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color w:val="auto"/>
                <w:sz w:val="24"/>
                <w:szCs w:val="24"/>
                <w:highlight w:val="none"/>
                <w:lang w:val="zh-CN"/>
              </w:rPr>
              <w:t>从业</w:t>
            </w:r>
            <w:r>
              <w:rPr>
                <w:rFonts w:hint="eastAsia" w:ascii="宋体"/>
                <w:color w:val="auto"/>
                <w:sz w:val="24"/>
                <w:szCs w:val="24"/>
                <w:highlight w:val="none"/>
                <w:lang w:val="en-US" w:eastAsia="zh-CN"/>
              </w:rPr>
              <w:t>年限</w:t>
            </w:r>
          </w:p>
        </w:tc>
        <w:tc>
          <w:tcPr>
            <w:tcW w:w="1816" w:type="dxa"/>
            <w:tcBorders>
              <w:top w:val="single" w:color="000000" w:sz="4" w:space="0"/>
              <w:left w:val="single" w:color="000000" w:sz="4" w:space="0"/>
              <w:bottom w:val="single" w:color="000000"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担任职务</w:t>
            </w:r>
          </w:p>
        </w:tc>
      </w:tr>
      <w:tr>
        <w:tblPrEx>
          <w:tblCellMar>
            <w:top w:w="0" w:type="dxa"/>
            <w:left w:w="10" w:type="dxa"/>
            <w:bottom w:w="0" w:type="dxa"/>
            <w:right w:w="10" w:type="dxa"/>
          </w:tblCellMar>
        </w:tblPrEx>
        <w:trPr>
          <w:trHeight w:val="654" w:hRule="atLeast"/>
        </w:trPr>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highlight w:val="none"/>
              </w:rPr>
            </w:pPr>
            <w:r>
              <w:rPr>
                <w:rFonts w:ascii="Calibri" w:hAnsi="Calibri" w:eastAsia="Calibri" w:cs="Calibri"/>
                <w:color w:val="auto"/>
                <w:sz w:val="24"/>
                <w:szCs w:val="24"/>
                <w:highlight w:val="none"/>
              </w:rPr>
              <w:t>1</w:t>
            </w: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26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highlight w:val="none"/>
              </w:rPr>
            </w:pPr>
          </w:p>
        </w:tc>
        <w:tc>
          <w:tcPr>
            <w:tcW w:w="1619"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1816" w:type="dxa"/>
            <w:tcBorders>
              <w:top w:val="single" w:color="000000" w:sz="4" w:space="0"/>
              <w:left w:val="single" w:color="000000" w:sz="4" w:space="0"/>
              <w:bottom w:val="single" w:color="000000"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r>
      <w:tr>
        <w:tblPrEx>
          <w:tblCellMar>
            <w:top w:w="0" w:type="dxa"/>
            <w:left w:w="10" w:type="dxa"/>
            <w:bottom w:w="0" w:type="dxa"/>
            <w:right w:w="10" w:type="dxa"/>
          </w:tblCellMar>
        </w:tblPrEx>
        <w:trPr>
          <w:trHeight w:val="654" w:hRule="atLeast"/>
        </w:trPr>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highlight w:val="none"/>
              </w:rPr>
            </w:pPr>
            <w:r>
              <w:rPr>
                <w:rFonts w:ascii="Calibri" w:hAnsi="Calibri" w:eastAsia="Calibri" w:cs="Calibri"/>
                <w:color w:val="auto"/>
                <w:sz w:val="24"/>
                <w:szCs w:val="24"/>
                <w:highlight w:val="none"/>
              </w:rPr>
              <w:t>2</w:t>
            </w: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26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highlight w:val="none"/>
              </w:rPr>
            </w:pPr>
          </w:p>
        </w:tc>
        <w:tc>
          <w:tcPr>
            <w:tcW w:w="1619"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1816" w:type="dxa"/>
            <w:tcBorders>
              <w:top w:val="single" w:color="000000" w:sz="4" w:space="0"/>
              <w:left w:val="single" w:color="000000" w:sz="4" w:space="0"/>
              <w:bottom w:val="single" w:color="000000"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r>
      <w:tr>
        <w:tblPrEx>
          <w:tblCellMar>
            <w:top w:w="0" w:type="dxa"/>
            <w:left w:w="10" w:type="dxa"/>
            <w:bottom w:w="0" w:type="dxa"/>
            <w:right w:w="10" w:type="dxa"/>
          </w:tblCellMar>
        </w:tblPrEx>
        <w:trPr>
          <w:trHeight w:val="654" w:hRule="atLeast"/>
        </w:trPr>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highlight w:val="none"/>
              </w:rPr>
            </w:pPr>
            <w:r>
              <w:rPr>
                <w:rFonts w:ascii="Calibri" w:hAnsi="Calibri" w:eastAsia="Calibri" w:cs="Calibri"/>
                <w:color w:val="auto"/>
                <w:sz w:val="24"/>
                <w:szCs w:val="24"/>
                <w:highlight w:val="none"/>
              </w:rPr>
              <w:t>3</w:t>
            </w: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26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highlight w:val="none"/>
              </w:rPr>
            </w:pPr>
          </w:p>
        </w:tc>
        <w:tc>
          <w:tcPr>
            <w:tcW w:w="1619"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1816" w:type="dxa"/>
            <w:tcBorders>
              <w:top w:val="single" w:color="000000" w:sz="4" w:space="0"/>
              <w:left w:val="single" w:color="000000" w:sz="4" w:space="0"/>
              <w:bottom w:val="single" w:color="000000"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r>
      <w:tr>
        <w:tblPrEx>
          <w:tblCellMar>
            <w:top w:w="0" w:type="dxa"/>
            <w:left w:w="10" w:type="dxa"/>
            <w:bottom w:w="0" w:type="dxa"/>
            <w:right w:w="10" w:type="dxa"/>
          </w:tblCellMar>
        </w:tblPrEx>
        <w:trPr>
          <w:trHeight w:val="654" w:hRule="atLeast"/>
        </w:trPr>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highlight w:val="none"/>
              </w:rPr>
            </w:pPr>
            <w:r>
              <w:rPr>
                <w:rFonts w:ascii="Calibri" w:hAnsi="Calibri" w:eastAsia="Calibri" w:cs="Calibri"/>
                <w:color w:val="auto"/>
                <w:sz w:val="24"/>
                <w:szCs w:val="24"/>
                <w:highlight w:val="none"/>
              </w:rPr>
              <w:t>4</w:t>
            </w: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26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highlight w:val="none"/>
              </w:rPr>
            </w:pPr>
          </w:p>
        </w:tc>
        <w:tc>
          <w:tcPr>
            <w:tcW w:w="1619"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1816" w:type="dxa"/>
            <w:tcBorders>
              <w:top w:val="single" w:color="000000" w:sz="4" w:space="0"/>
              <w:left w:val="single" w:color="000000" w:sz="4" w:space="0"/>
              <w:bottom w:val="single" w:color="000000"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r>
      <w:tr>
        <w:tblPrEx>
          <w:tblCellMar>
            <w:top w:w="0" w:type="dxa"/>
            <w:left w:w="10" w:type="dxa"/>
            <w:bottom w:w="0" w:type="dxa"/>
            <w:right w:w="10" w:type="dxa"/>
          </w:tblCellMar>
        </w:tblPrEx>
        <w:trPr>
          <w:trHeight w:val="654" w:hRule="atLeast"/>
        </w:trPr>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szCs w:val="24"/>
                <w:highlight w:val="none"/>
              </w:rPr>
            </w:pPr>
            <w:r>
              <w:rPr>
                <w:rFonts w:ascii="Calibri" w:hAnsi="Calibri" w:eastAsia="Calibri" w:cs="Calibri"/>
                <w:color w:val="auto"/>
                <w:sz w:val="24"/>
                <w:szCs w:val="24"/>
                <w:highlight w:val="none"/>
              </w:rPr>
              <w:t>5</w:t>
            </w: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26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4"/>
                <w:szCs w:val="24"/>
                <w:highlight w:val="none"/>
              </w:rPr>
            </w:pPr>
          </w:p>
        </w:tc>
        <w:tc>
          <w:tcPr>
            <w:tcW w:w="1619"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color w:val="auto"/>
                <w:sz w:val="24"/>
                <w:szCs w:val="24"/>
                <w:highlight w:val="none"/>
              </w:rPr>
            </w:pPr>
          </w:p>
        </w:tc>
        <w:tc>
          <w:tcPr>
            <w:tcW w:w="1816" w:type="dxa"/>
            <w:tcBorders>
              <w:top w:val="single" w:color="000000" w:sz="4" w:space="0"/>
              <w:left w:val="single" w:color="000000" w:sz="4" w:space="0"/>
              <w:bottom w:val="single" w:color="000000"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color w:val="auto"/>
                <w:sz w:val="24"/>
                <w:szCs w:val="24"/>
                <w:highlight w:val="none"/>
              </w:rPr>
            </w:pPr>
          </w:p>
        </w:tc>
      </w:tr>
      <w:tr>
        <w:tblPrEx>
          <w:tblCellMar>
            <w:top w:w="0" w:type="dxa"/>
            <w:left w:w="10" w:type="dxa"/>
            <w:bottom w:w="0" w:type="dxa"/>
            <w:right w:w="10" w:type="dxa"/>
          </w:tblCellMar>
        </w:tblPrEx>
        <w:trPr>
          <w:trHeight w:val="664" w:hRule="atLeast"/>
        </w:trPr>
        <w:tc>
          <w:tcPr>
            <w:tcW w:w="9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cs="Calibri"/>
                <w:color w:val="auto"/>
                <w:sz w:val="24"/>
                <w:szCs w:val="24"/>
                <w:highlight w:val="none"/>
              </w:rPr>
            </w:pPr>
            <w:r>
              <w:rPr>
                <w:rFonts w:hint="eastAsia" w:ascii="Calibri" w:hAnsi="Calibri" w:cs="Calibri"/>
                <w:color w:val="auto"/>
                <w:sz w:val="24"/>
                <w:szCs w:val="24"/>
                <w:highlight w:val="none"/>
              </w:rPr>
              <w:t>...</w:t>
            </w: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p>
        </w:tc>
        <w:tc>
          <w:tcPr>
            <w:tcW w:w="26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4"/>
                <w:szCs w:val="24"/>
                <w:highlight w:val="none"/>
              </w:rPr>
            </w:pPr>
          </w:p>
        </w:tc>
        <w:tc>
          <w:tcPr>
            <w:tcW w:w="1619"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color w:val="auto"/>
                <w:sz w:val="24"/>
                <w:szCs w:val="24"/>
                <w:highlight w:val="none"/>
              </w:rPr>
            </w:pPr>
            <w:r>
              <w:rPr>
                <w:rFonts w:hint="eastAsia" w:ascii="Calibri" w:hAnsi="Calibri" w:cs="Calibri"/>
                <w:color w:val="auto"/>
                <w:sz w:val="24"/>
                <w:szCs w:val="24"/>
                <w:highlight w:val="none"/>
              </w:rPr>
              <w:t>...</w:t>
            </w:r>
          </w:p>
        </w:tc>
        <w:tc>
          <w:tcPr>
            <w:tcW w:w="1816" w:type="dxa"/>
            <w:tcBorders>
              <w:top w:val="single" w:color="000000" w:sz="4" w:space="0"/>
              <w:left w:val="single" w:color="000000" w:sz="4" w:space="0"/>
              <w:bottom w:val="single" w:color="000000"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color w:val="auto"/>
                <w:sz w:val="24"/>
                <w:szCs w:val="24"/>
                <w:highlight w:val="none"/>
              </w:rPr>
            </w:pPr>
            <w:r>
              <w:rPr>
                <w:rFonts w:hint="eastAsia" w:ascii="Calibri" w:hAnsi="Calibri" w:cs="Calibri"/>
                <w:color w:val="auto"/>
                <w:sz w:val="24"/>
                <w:szCs w:val="24"/>
                <w:highlight w:val="none"/>
              </w:rPr>
              <w:t>...</w:t>
            </w:r>
          </w:p>
        </w:tc>
      </w:tr>
    </w:tbl>
    <w:p>
      <w:pPr>
        <w:pStyle w:val="10"/>
        <w:ind w:firstLine="480" w:firstLineChars="200"/>
        <w:rPr>
          <w:rFonts w:hint="eastAsia" w:ascii="宋体" w:hAnsi="宋体" w:eastAsia="宋体" w:cs="宋体"/>
          <w:color w:val="000000"/>
          <w:sz w:val="24"/>
          <w:highlight w:val="none"/>
          <w:lang w:val="en-US" w:eastAsia="zh-CN"/>
        </w:rPr>
      </w:pPr>
    </w:p>
    <w:p>
      <w:pPr>
        <w:pStyle w:val="13"/>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九</w:t>
      </w:r>
      <w:r>
        <w:rPr>
          <w:rFonts w:hint="eastAsia" w:ascii="宋体" w:hAnsi="宋体" w:eastAsia="宋体" w:cs="宋体"/>
          <w:b/>
          <w:color w:val="000000"/>
          <w:sz w:val="24"/>
          <w:highlight w:val="none"/>
        </w:rPr>
        <w:t>、</w:t>
      </w:r>
      <w:r>
        <w:rPr>
          <w:rFonts w:hint="eastAsia" w:hAnsi="宋体" w:cs="宋体"/>
          <w:b/>
          <w:color w:val="000000"/>
          <w:sz w:val="24"/>
          <w:highlight w:val="none"/>
          <w:lang w:val="en-US" w:eastAsia="zh-CN"/>
        </w:rPr>
        <w:t>服务期</w:t>
      </w:r>
      <w:r>
        <w:rPr>
          <w:rFonts w:hint="eastAsia" w:ascii="宋体" w:hAnsi="宋体" w:eastAsia="宋体" w:cs="宋体"/>
          <w:b/>
          <w:color w:val="000000"/>
          <w:sz w:val="24"/>
          <w:highlight w:val="none"/>
        </w:rPr>
        <w:t>、履行方式及履行地点</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9.1</w:t>
      </w:r>
      <w:r>
        <w:rPr>
          <w:rFonts w:hint="eastAsia" w:hAnsi="宋体" w:cs="宋体"/>
          <w:b w:val="0"/>
          <w:color w:val="000000"/>
          <w:kern w:val="2"/>
          <w:sz w:val="24"/>
          <w:szCs w:val="24"/>
          <w:highlight w:val="none"/>
          <w:lang w:val="en-US" w:eastAsia="zh-CN" w:bidi="ar-SA"/>
        </w:rPr>
        <w:t>服务期</w:t>
      </w:r>
      <w:r>
        <w:rPr>
          <w:rFonts w:hint="eastAsia" w:ascii="宋体" w:hAnsi="宋体" w:eastAsia="宋体" w:cs="宋体"/>
          <w:b w:val="0"/>
          <w:color w:val="000000"/>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（1）实施方案编制完成节点要求：乙方须在2024年3月10日前，完成实施方案终稿。</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（2）创建实施方案编制：服务期自合同签订之日起至第八批未来社区实施方案备案完成。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kern w:val="2"/>
          <w:sz w:val="24"/>
          <w:szCs w:val="21"/>
          <w:highlight w:val="none"/>
          <w:lang w:val="en-US" w:eastAsia="zh-CN" w:bidi="ar-SA"/>
        </w:rPr>
        <w:t>（3）验收全过程咨询：</w:t>
      </w:r>
      <w:r>
        <w:rPr>
          <w:rFonts w:hint="eastAsia" w:ascii="宋体" w:hAnsi="宋体" w:eastAsia="宋体" w:cs="宋体"/>
          <w:kern w:val="2"/>
          <w:sz w:val="24"/>
          <w:szCs w:val="24"/>
          <w:highlight w:val="none"/>
          <w:lang w:val="en-US" w:eastAsia="zh-CN" w:bidi="ar-SA"/>
        </w:rPr>
        <w:t>服务期自合同签订之日起至2024下半年第六批</w:t>
      </w:r>
      <w:r>
        <w:rPr>
          <w:rFonts w:hint="eastAsia" w:ascii="宋体" w:hAnsi="宋体" w:eastAsia="宋体" w:cs="宋体"/>
          <w:b/>
          <w:bCs/>
          <w:kern w:val="2"/>
          <w:sz w:val="24"/>
          <w:szCs w:val="24"/>
          <w:highlight w:val="none"/>
          <w:lang w:val="en-US" w:eastAsia="zh-CN" w:bidi="ar-SA"/>
        </w:rPr>
        <w:t>（具体参加验收批次以</w:t>
      </w:r>
      <w:r>
        <w:rPr>
          <w:rFonts w:hint="eastAsia" w:ascii="宋体" w:hAnsi="宋体" w:cs="宋体"/>
          <w:b/>
          <w:bCs/>
          <w:kern w:val="2"/>
          <w:sz w:val="24"/>
          <w:szCs w:val="24"/>
          <w:highlight w:val="none"/>
          <w:lang w:val="en-US" w:eastAsia="zh-CN" w:bidi="ar-SA"/>
        </w:rPr>
        <w:t>甲方</w:t>
      </w:r>
      <w:r>
        <w:rPr>
          <w:rFonts w:hint="eastAsia" w:ascii="宋体" w:hAnsi="宋体" w:eastAsia="宋体" w:cs="宋体"/>
          <w:b/>
          <w:bCs/>
          <w:kern w:val="2"/>
          <w:sz w:val="24"/>
          <w:szCs w:val="24"/>
          <w:highlight w:val="none"/>
          <w:lang w:val="en-US" w:eastAsia="zh-CN" w:bidi="ar-SA"/>
        </w:rPr>
        <w:t>要求为准）</w:t>
      </w:r>
      <w:r>
        <w:rPr>
          <w:rFonts w:hint="eastAsia" w:ascii="宋体" w:hAnsi="宋体" w:eastAsia="宋体" w:cs="宋体"/>
          <w:kern w:val="2"/>
          <w:sz w:val="24"/>
          <w:szCs w:val="24"/>
          <w:highlight w:val="none"/>
          <w:lang w:val="en-US" w:eastAsia="zh-CN" w:bidi="ar-SA"/>
        </w:rPr>
        <w:t>未来社区验收通过为止（以省级未来社区名单为准）。</w:t>
      </w:r>
    </w:p>
    <w:p>
      <w:pPr>
        <w:pStyle w:val="21"/>
        <w:spacing w:before="75" w:beforeAutospacing="0" w:after="75" w:afterAutospacing="0" w:line="300" w:lineRule="atLeast"/>
        <w:ind w:firstLine="480" w:firstLineChars="200"/>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9.2履行方式：甲方采用委托管理模式，委托乙方提供相应服务。乙方安排团队提供服务，向甲方收取服务费。</w:t>
      </w:r>
    </w:p>
    <w:p>
      <w:pPr>
        <w:pStyle w:val="13"/>
        <w:snapToGrid w:val="0"/>
        <w:spacing w:line="360" w:lineRule="auto"/>
        <w:ind w:firstLine="480" w:firstLineChars="200"/>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9.3履行地点：在</w:t>
      </w:r>
      <w:r>
        <w:rPr>
          <w:rFonts w:hint="eastAsia" w:ascii="宋体" w:hAnsi="宋体" w:eastAsia="宋体" w:cs="宋体"/>
          <w:b w:val="0"/>
          <w:color w:val="000000"/>
          <w:kern w:val="2"/>
          <w:sz w:val="24"/>
          <w:szCs w:val="24"/>
          <w:highlight w:val="none"/>
          <w:u w:val="single"/>
          <w:lang w:val="en-US" w:eastAsia="zh-CN" w:bidi="ar-SA"/>
        </w:rPr>
        <w:t xml:space="preserve"> 台州市 </w:t>
      </w:r>
      <w:r>
        <w:rPr>
          <w:rFonts w:hint="eastAsia" w:ascii="宋体" w:hAnsi="宋体" w:eastAsia="宋体" w:cs="宋体"/>
          <w:b w:val="0"/>
          <w:color w:val="000000"/>
          <w:kern w:val="2"/>
          <w:sz w:val="24"/>
          <w:szCs w:val="24"/>
          <w:highlight w:val="none"/>
          <w:lang w:val="en-US" w:eastAsia="zh-CN" w:bidi="ar-SA"/>
        </w:rPr>
        <w:t xml:space="preserve"> 履行</w:t>
      </w:r>
    </w:p>
    <w:p>
      <w:pPr>
        <w:pStyle w:val="13"/>
        <w:snapToGrid w:val="0"/>
        <w:spacing w:line="360" w:lineRule="auto"/>
        <w:ind w:firstLine="480" w:firstLineChars="200"/>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十、履约保证金</w:t>
      </w:r>
    </w:p>
    <w:p>
      <w:pPr>
        <w:pStyle w:val="13"/>
        <w:snapToGrid w:val="0"/>
        <w:spacing w:line="360" w:lineRule="auto"/>
        <w:ind w:firstLine="480" w:firstLineChars="200"/>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10.1金额：签约合同价的2%</w:t>
      </w:r>
    </w:p>
    <w:p>
      <w:pPr>
        <w:pStyle w:val="13"/>
        <w:snapToGrid w:val="0"/>
        <w:spacing w:line="360" w:lineRule="auto"/>
        <w:ind w:firstLine="480" w:firstLineChars="200"/>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10.2收取方式：采用保函</w:t>
      </w:r>
      <w:r>
        <w:rPr>
          <w:rFonts w:hint="eastAsia" w:hAnsi="宋体" w:cs="宋体"/>
          <w:b w:val="0"/>
          <w:color w:val="000000"/>
          <w:kern w:val="2"/>
          <w:sz w:val="24"/>
          <w:szCs w:val="24"/>
          <w:highlight w:val="none"/>
          <w:lang w:val="en-US" w:eastAsia="zh-CN" w:bidi="ar-SA"/>
        </w:rPr>
        <w:t>（见索即付）</w:t>
      </w:r>
      <w:r>
        <w:rPr>
          <w:rFonts w:hint="eastAsia" w:ascii="宋体" w:hAnsi="宋体" w:eastAsia="宋体" w:cs="宋体"/>
          <w:b w:val="0"/>
          <w:color w:val="000000"/>
          <w:kern w:val="2"/>
          <w:sz w:val="24"/>
          <w:szCs w:val="24"/>
          <w:highlight w:val="none"/>
          <w:lang w:val="en-US" w:eastAsia="zh-CN" w:bidi="ar-SA"/>
        </w:rPr>
        <w:t>、现金。</w:t>
      </w:r>
    </w:p>
    <w:p>
      <w:pPr>
        <w:pStyle w:val="13"/>
        <w:snapToGrid w:val="0"/>
        <w:spacing w:line="360" w:lineRule="auto"/>
        <w:ind w:firstLine="480" w:firstLineChars="200"/>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10.3履约保证金的退还：合同履行完毕并验收合格后5日内无息退还。</w:t>
      </w:r>
    </w:p>
    <w:p>
      <w:pPr>
        <w:pStyle w:val="13"/>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十一、款项支付</w:t>
      </w:r>
    </w:p>
    <w:p>
      <w:pPr>
        <w:snapToGrid w:val="0"/>
        <w:spacing w:line="360" w:lineRule="auto"/>
        <w:ind w:firstLine="480" w:firstLineChars="200"/>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实施方案完成浙江省第八批未来社区备案后15个工作日内，</w:t>
      </w:r>
      <w:r>
        <w:rPr>
          <w:rFonts w:hint="eastAsia" w:ascii="宋体" w:hAnsi="宋体" w:cs="宋体"/>
          <w:b w:val="0"/>
          <w:bCs w:val="0"/>
          <w:color w:val="000000"/>
          <w:kern w:val="0"/>
          <w:sz w:val="24"/>
          <w:szCs w:val="24"/>
          <w:highlight w:val="none"/>
          <w:lang w:val="en-US" w:eastAsia="zh-CN" w:bidi="ar-SA"/>
        </w:rPr>
        <w:t>甲方</w:t>
      </w:r>
      <w:r>
        <w:rPr>
          <w:rFonts w:hint="eastAsia" w:ascii="宋体" w:hAnsi="宋体" w:eastAsia="宋体" w:cs="宋体"/>
          <w:b w:val="0"/>
          <w:bCs w:val="0"/>
          <w:color w:val="000000"/>
          <w:kern w:val="0"/>
          <w:sz w:val="24"/>
          <w:szCs w:val="24"/>
          <w:highlight w:val="none"/>
          <w:lang w:val="en-US" w:eastAsia="zh-CN" w:bidi="ar-SA"/>
        </w:rPr>
        <w:t>支付签约合同价的30%；项目通过2024下半年第六批（具体参加验收批次以</w:t>
      </w:r>
      <w:r>
        <w:rPr>
          <w:rFonts w:hint="eastAsia" w:ascii="宋体" w:hAnsi="宋体" w:cs="宋体"/>
          <w:b w:val="0"/>
          <w:bCs w:val="0"/>
          <w:color w:val="000000"/>
          <w:kern w:val="0"/>
          <w:sz w:val="24"/>
          <w:szCs w:val="24"/>
          <w:highlight w:val="none"/>
          <w:lang w:val="en-US" w:eastAsia="zh-CN" w:bidi="ar-SA"/>
        </w:rPr>
        <w:t>甲方</w:t>
      </w:r>
      <w:r>
        <w:rPr>
          <w:rFonts w:hint="eastAsia" w:ascii="宋体" w:hAnsi="宋体" w:eastAsia="宋体" w:cs="宋体"/>
          <w:b w:val="0"/>
          <w:bCs w:val="0"/>
          <w:color w:val="000000"/>
          <w:kern w:val="0"/>
          <w:sz w:val="24"/>
          <w:szCs w:val="24"/>
          <w:highlight w:val="none"/>
          <w:lang w:val="en-US" w:eastAsia="zh-CN" w:bidi="ar-SA"/>
        </w:rPr>
        <w:t>要求为准）未来社区验收</w:t>
      </w:r>
      <w:r>
        <w:rPr>
          <w:rFonts w:hint="eastAsia" w:ascii="宋体" w:hAnsi="宋体" w:cs="宋体"/>
          <w:b w:val="0"/>
          <w:bCs w:val="0"/>
          <w:color w:val="000000"/>
          <w:kern w:val="0"/>
          <w:sz w:val="24"/>
          <w:szCs w:val="24"/>
          <w:highlight w:val="none"/>
          <w:lang w:val="en-US" w:eastAsia="zh-CN" w:bidi="ar-SA"/>
        </w:rPr>
        <w:t>（以</w:t>
      </w:r>
      <w:r>
        <w:rPr>
          <w:rFonts w:hint="eastAsia" w:ascii="宋体" w:hAnsi="宋体" w:eastAsia="宋体" w:cs="宋体"/>
          <w:b w:val="0"/>
          <w:bCs w:val="0"/>
          <w:color w:val="000000"/>
          <w:kern w:val="0"/>
          <w:sz w:val="24"/>
          <w:szCs w:val="24"/>
          <w:highlight w:val="none"/>
          <w:lang w:val="en-US" w:eastAsia="zh-CN" w:bidi="ar-SA"/>
        </w:rPr>
        <w:t>省风貌办公布盖章文件公布</w:t>
      </w:r>
      <w:r>
        <w:rPr>
          <w:rFonts w:hint="eastAsia" w:ascii="宋体" w:hAnsi="宋体" w:cs="宋体"/>
          <w:b w:val="0"/>
          <w:bCs w:val="0"/>
          <w:color w:val="000000"/>
          <w:kern w:val="0"/>
          <w:sz w:val="24"/>
          <w:szCs w:val="24"/>
          <w:highlight w:val="none"/>
          <w:lang w:val="en-US" w:eastAsia="zh-CN" w:bidi="ar-SA"/>
        </w:rPr>
        <w:t>为准）</w:t>
      </w:r>
      <w:r>
        <w:rPr>
          <w:rFonts w:hint="eastAsia" w:ascii="宋体" w:hAnsi="宋体" w:eastAsia="宋体" w:cs="宋体"/>
          <w:b w:val="0"/>
          <w:bCs w:val="0"/>
          <w:color w:val="000000"/>
          <w:kern w:val="0"/>
          <w:sz w:val="24"/>
          <w:szCs w:val="24"/>
          <w:highlight w:val="none"/>
          <w:lang w:val="en-US" w:eastAsia="zh-CN" w:bidi="ar-SA"/>
        </w:rPr>
        <w:t>后的15个工作日内，</w:t>
      </w:r>
      <w:r>
        <w:rPr>
          <w:rFonts w:hint="eastAsia" w:ascii="宋体" w:hAnsi="宋体" w:cs="宋体"/>
          <w:b w:val="0"/>
          <w:bCs w:val="0"/>
          <w:color w:val="000000"/>
          <w:kern w:val="0"/>
          <w:sz w:val="24"/>
          <w:szCs w:val="24"/>
          <w:highlight w:val="none"/>
          <w:lang w:val="en-US" w:eastAsia="zh-CN" w:bidi="ar-SA"/>
        </w:rPr>
        <w:t>甲方</w:t>
      </w:r>
      <w:r>
        <w:rPr>
          <w:rFonts w:hint="eastAsia" w:ascii="宋体" w:hAnsi="宋体" w:eastAsia="宋体" w:cs="宋体"/>
          <w:b w:val="0"/>
          <w:bCs w:val="0"/>
          <w:color w:val="000000"/>
          <w:kern w:val="0"/>
          <w:sz w:val="24"/>
          <w:szCs w:val="24"/>
          <w:highlight w:val="none"/>
          <w:lang w:val="en-US" w:eastAsia="zh-CN" w:bidi="ar-SA"/>
        </w:rPr>
        <w:t>支付签约合同价的</w:t>
      </w:r>
      <w:r>
        <w:rPr>
          <w:rFonts w:hint="eastAsia" w:ascii="宋体" w:hAnsi="宋体" w:cs="宋体"/>
          <w:b w:val="0"/>
          <w:bCs w:val="0"/>
          <w:color w:val="000000"/>
          <w:kern w:val="0"/>
          <w:sz w:val="24"/>
          <w:szCs w:val="24"/>
          <w:highlight w:val="none"/>
          <w:lang w:val="en-US" w:eastAsia="zh-CN" w:bidi="ar-SA"/>
        </w:rPr>
        <w:t>6</w:t>
      </w:r>
      <w:r>
        <w:rPr>
          <w:rFonts w:hint="eastAsia" w:ascii="宋体" w:hAnsi="宋体" w:eastAsia="宋体" w:cs="宋体"/>
          <w:b w:val="0"/>
          <w:bCs w:val="0"/>
          <w:color w:val="000000"/>
          <w:kern w:val="0"/>
          <w:sz w:val="24"/>
          <w:szCs w:val="24"/>
          <w:highlight w:val="none"/>
          <w:lang w:val="en-US" w:eastAsia="zh-CN" w:bidi="ar-SA"/>
        </w:rPr>
        <w:t>0%；项目通过2024下半年第六批（具体参加验收批次以</w:t>
      </w:r>
      <w:r>
        <w:rPr>
          <w:rFonts w:hint="eastAsia" w:ascii="宋体" w:hAnsi="宋体" w:cs="宋体"/>
          <w:b w:val="0"/>
          <w:bCs w:val="0"/>
          <w:color w:val="000000"/>
          <w:kern w:val="0"/>
          <w:sz w:val="24"/>
          <w:szCs w:val="24"/>
          <w:highlight w:val="none"/>
          <w:lang w:val="en-US" w:eastAsia="zh-CN" w:bidi="ar-SA"/>
        </w:rPr>
        <w:t>甲方</w:t>
      </w:r>
      <w:r>
        <w:rPr>
          <w:rFonts w:hint="eastAsia" w:ascii="宋体" w:hAnsi="宋体" w:eastAsia="宋体" w:cs="宋体"/>
          <w:b w:val="0"/>
          <w:bCs w:val="0"/>
          <w:color w:val="000000"/>
          <w:kern w:val="0"/>
          <w:sz w:val="24"/>
          <w:szCs w:val="24"/>
          <w:highlight w:val="none"/>
          <w:lang w:val="en-US" w:eastAsia="zh-CN" w:bidi="ar-SA"/>
        </w:rPr>
        <w:t>要求为准）未来社区验收</w:t>
      </w:r>
      <w:r>
        <w:rPr>
          <w:rFonts w:hint="eastAsia" w:ascii="宋体" w:hAnsi="宋体" w:cs="宋体"/>
          <w:b w:val="0"/>
          <w:bCs w:val="0"/>
          <w:color w:val="000000"/>
          <w:kern w:val="0"/>
          <w:sz w:val="24"/>
          <w:szCs w:val="24"/>
          <w:highlight w:val="none"/>
          <w:lang w:val="en-US" w:eastAsia="zh-CN" w:bidi="ar-SA"/>
        </w:rPr>
        <w:t>（以</w:t>
      </w:r>
      <w:r>
        <w:rPr>
          <w:rFonts w:hint="eastAsia" w:ascii="宋体" w:hAnsi="宋体" w:eastAsia="宋体" w:cs="宋体"/>
          <w:b w:val="0"/>
          <w:bCs w:val="0"/>
          <w:color w:val="000000"/>
          <w:kern w:val="0"/>
          <w:sz w:val="24"/>
          <w:szCs w:val="24"/>
          <w:highlight w:val="none"/>
          <w:lang w:val="en-US" w:eastAsia="zh-CN" w:bidi="ar-SA"/>
        </w:rPr>
        <w:t>省风貌办公布盖章文件公布</w:t>
      </w:r>
      <w:r>
        <w:rPr>
          <w:rFonts w:hint="eastAsia" w:ascii="宋体" w:hAnsi="宋体" w:cs="宋体"/>
          <w:b w:val="0"/>
          <w:bCs w:val="0"/>
          <w:color w:val="000000"/>
          <w:kern w:val="0"/>
          <w:sz w:val="24"/>
          <w:szCs w:val="24"/>
          <w:highlight w:val="none"/>
          <w:lang w:val="en-US" w:eastAsia="zh-CN" w:bidi="ar-SA"/>
        </w:rPr>
        <w:t>为准）</w:t>
      </w:r>
      <w:r>
        <w:rPr>
          <w:rFonts w:hint="eastAsia" w:ascii="宋体" w:hAnsi="宋体" w:eastAsia="宋体" w:cs="宋体"/>
          <w:b w:val="0"/>
          <w:bCs w:val="0"/>
          <w:color w:val="000000"/>
          <w:kern w:val="0"/>
          <w:sz w:val="24"/>
          <w:szCs w:val="24"/>
          <w:highlight w:val="none"/>
          <w:lang w:val="en-US" w:eastAsia="zh-CN" w:bidi="ar-SA"/>
        </w:rPr>
        <w:t>满6个月后</w:t>
      </w:r>
      <w:r>
        <w:rPr>
          <w:rFonts w:hint="eastAsia" w:ascii="宋体" w:hAnsi="宋体" w:cs="宋体"/>
          <w:b w:val="0"/>
          <w:bCs w:val="0"/>
          <w:color w:val="000000"/>
          <w:kern w:val="0"/>
          <w:sz w:val="24"/>
          <w:szCs w:val="24"/>
          <w:highlight w:val="none"/>
          <w:lang w:val="en-US" w:eastAsia="zh-CN" w:bidi="ar-SA"/>
        </w:rPr>
        <w:t>的15个工作日内</w:t>
      </w:r>
      <w:r>
        <w:rPr>
          <w:rFonts w:hint="eastAsia" w:ascii="宋体" w:hAnsi="宋体" w:eastAsia="宋体" w:cs="宋体"/>
          <w:b w:val="0"/>
          <w:bCs w:val="0"/>
          <w:color w:val="000000"/>
          <w:kern w:val="0"/>
          <w:sz w:val="24"/>
          <w:szCs w:val="24"/>
          <w:highlight w:val="none"/>
          <w:lang w:val="en-US" w:eastAsia="zh-CN" w:bidi="ar-SA"/>
        </w:rPr>
        <w:t>，</w:t>
      </w:r>
      <w:r>
        <w:rPr>
          <w:rFonts w:hint="eastAsia" w:ascii="宋体" w:hAnsi="宋体" w:cs="宋体"/>
          <w:b w:val="0"/>
          <w:bCs w:val="0"/>
          <w:color w:val="000000"/>
          <w:kern w:val="0"/>
          <w:sz w:val="24"/>
          <w:szCs w:val="24"/>
          <w:highlight w:val="none"/>
          <w:lang w:val="en-US" w:eastAsia="zh-CN" w:bidi="ar-SA"/>
        </w:rPr>
        <w:t>甲方</w:t>
      </w:r>
      <w:r>
        <w:rPr>
          <w:rFonts w:hint="eastAsia" w:ascii="宋体" w:hAnsi="宋体" w:eastAsia="宋体" w:cs="宋体"/>
          <w:b w:val="0"/>
          <w:bCs w:val="0"/>
          <w:color w:val="000000"/>
          <w:kern w:val="0"/>
          <w:sz w:val="24"/>
          <w:szCs w:val="24"/>
          <w:highlight w:val="none"/>
          <w:lang w:val="en-US" w:eastAsia="zh-CN" w:bidi="ar-SA"/>
        </w:rPr>
        <w:t>支付签约合同价的</w:t>
      </w:r>
      <w:r>
        <w:rPr>
          <w:rFonts w:hint="eastAsia" w:ascii="宋体" w:hAnsi="宋体" w:cs="宋体"/>
          <w:b w:val="0"/>
          <w:bCs w:val="0"/>
          <w:color w:val="000000"/>
          <w:kern w:val="0"/>
          <w:sz w:val="24"/>
          <w:szCs w:val="24"/>
          <w:highlight w:val="none"/>
          <w:lang w:val="en-US" w:eastAsia="zh-CN" w:bidi="ar-SA"/>
        </w:rPr>
        <w:t>1</w:t>
      </w:r>
      <w:r>
        <w:rPr>
          <w:rFonts w:hint="eastAsia" w:ascii="宋体" w:hAnsi="宋体" w:eastAsia="宋体" w:cs="宋体"/>
          <w:b w:val="0"/>
          <w:bCs w:val="0"/>
          <w:color w:val="000000"/>
          <w:kern w:val="0"/>
          <w:sz w:val="24"/>
          <w:szCs w:val="24"/>
          <w:highlight w:val="none"/>
          <w:lang w:val="en-US" w:eastAsia="zh-CN" w:bidi="ar-SA"/>
        </w:rPr>
        <w:t>0%。</w:t>
      </w:r>
    </w:p>
    <w:p>
      <w:pPr>
        <w:snapToGrid w:val="0"/>
        <w:spacing w:line="360" w:lineRule="auto"/>
        <w:ind w:firstLine="480" w:firstLineChars="200"/>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注：</w:t>
      </w:r>
      <w:r>
        <w:rPr>
          <w:rFonts w:hint="eastAsia" w:ascii="宋体" w:hAnsi="宋体" w:eastAsia="宋体" w:cs="宋体"/>
          <w:color w:val="000000"/>
          <w:sz w:val="24"/>
          <w:highlight w:val="none"/>
        </w:rPr>
        <w:t>付款前</w:t>
      </w:r>
      <w:r>
        <w:rPr>
          <w:rFonts w:hint="eastAsia" w:ascii="宋体" w:hAnsi="宋体" w:eastAsia="宋体" w:cs="宋体"/>
          <w:color w:val="000000"/>
          <w:sz w:val="24"/>
          <w:highlight w:val="none"/>
          <w:lang w:val="en-US" w:eastAsia="zh-CN"/>
        </w:rPr>
        <w:t>乙方</w:t>
      </w:r>
      <w:r>
        <w:rPr>
          <w:rFonts w:hint="eastAsia" w:ascii="宋体" w:hAnsi="宋体" w:eastAsia="宋体" w:cs="宋体"/>
          <w:color w:val="000000"/>
          <w:sz w:val="24"/>
          <w:highlight w:val="none"/>
        </w:rPr>
        <w:t>向</w:t>
      </w:r>
      <w:r>
        <w:rPr>
          <w:rFonts w:hint="eastAsia" w:ascii="宋体" w:hAnsi="宋体" w:eastAsia="宋体" w:cs="宋体"/>
          <w:color w:val="000000"/>
          <w:sz w:val="24"/>
          <w:highlight w:val="none"/>
          <w:lang w:val="en-US" w:eastAsia="zh-CN"/>
        </w:rPr>
        <w:t>甲方</w:t>
      </w:r>
      <w:r>
        <w:rPr>
          <w:rFonts w:hint="eastAsia" w:ascii="宋体" w:hAnsi="宋体" w:eastAsia="宋体" w:cs="宋体"/>
          <w:color w:val="000000"/>
          <w:sz w:val="24"/>
          <w:highlight w:val="none"/>
        </w:rPr>
        <w:t>提供足额的增值税</w:t>
      </w:r>
      <w:r>
        <w:rPr>
          <w:rFonts w:hint="eastAsia" w:ascii="宋体" w:hAnsi="宋体" w:cs="宋体"/>
          <w:color w:val="000000"/>
          <w:sz w:val="24"/>
          <w:highlight w:val="none"/>
          <w:lang w:val="en-US" w:eastAsia="zh-CN"/>
        </w:rPr>
        <w:t>专用</w:t>
      </w:r>
      <w:r>
        <w:rPr>
          <w:rFonts w:hint="eastAsia" w:ascii="宋体" w:hAnsi="宋体" w:eastAsia="宋体" w:cs="宋体"/>
          <w:color w:val="000000"/>
          <w:sz w:val="24"/>
          <w:highlight w:val="none"/>
        </w:rPr>
        <w:t>发票,</w:t>
      </w:r>
      <w:r>
        <w:rPr>
          <w:rFonts w:hint="eastAsia" w:ascii="宋体" w:hAnsi="宋体" w:eastAsia="宋体" w:cs="宋体"/>
          <w:color w:val="000000"/>
          <w:sz w:val="24"/>
          <w:highlight w:val="none"/>
          <w:lang w:val="en-US" w:eastAsia="zh-CN"/>
        </w:rPr>
        <w:t>甲方</w:t>
      </w:r>
      <w:r>
        <w:rPr>
          <w:rFonts w:hint="eastAsia" w:ascii="宋体" w:hAnsi="宋体" w:eastAsia="宋体" w:cs="宋体"/>
          <w:color w:val="000000"/>
          <w:sz w:val="24"/>
          <w:highlight w:val="none"/>
        </w:rPr>
        <w:t>收到发票后15个工作日内支付到合同约定的</w:t>
      </w:r>
      <w:r>
        <w:rPr>
          <w:rFonts w:hint="eastAsia" w:ascii="宋体" w:hAnsi="宋体" w:eastAsia="宋体" w:cs="宋体"/>
          <w:color w:val="000000"/>
          <w:sz w:val="24"/>
          <w:highlight w:val="none"/>
          <w:lang w:val="en-US" w:eastAsia="zh-CN"/>
        </w:rPr>
        <w:t>乙方</w:t>
      </w:r>
      <w:r>
        <w:rPr>
          <w:rFonts w:hint="eastAsia" w:ascii="宋体" w:hAnsi="宋体" w:eastAsia="宋体" w:cs="宋体"/>
          <w:color w:val="000000"/>
          <w:sz w:val="24"/>
          <w:highlight w:val="none"/>
        </w:rPr>
        <w:t>账户。</w:t>
      </w:r>
    </w:p>
    <w:p>
      <w:pPr>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十二、税费</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12.1</w:t>
      </w:r>
      <w:r>
        <w:rPr>
          <w:rFonts w:hint="eastAsia" w:ascii="宋体" w:hAnsi="宋体" w:eastAsia="宋体" w:cs="宋体"/>
          <w:color w:val="000000"/>
          <w:sz w:val="24"/>
          <w:highlight w:val="none"/>
        </w:rPr>
        <w:t>本合同执行中相关的一切税费均由乙方负担。</w:t>
      </w:r>
    </w:p>
    <w:p>
      <w:pPr>
        <w:snapToGrid w:val="0"/>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12.2</w:t>
      </w:r>
      <w:r>
        <w:rPr>
          <w:rFonts w:hint="eastAsia" w:ascii="宋体" w:hAnsi="宋体" w:eastAsia="宋体" w:cs="宋体"/>
          <w:color w:val="000000"/>
          <w:sz w:val="24"/>
          <w:highlight w:val="none"/>
        </w:rPr>
        <w:t>乙方应向甲方开具税点</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%的增值税专用发票（若因国家增值税税率政策，本项目除税价不变，并按最新税率调整相应的含税价款）。</w:t>
      </w:r>
      <w:r>
        <w:rPr>
          <w:rFonts w:hint="eastAsia" w:ascii="宋体" w:hAnsi="宋体" w:cs="宋体"/>
          <w:color w:val="000000"/>
          <w:sz w:val="24"/>
          <w:highlight w:val="none"/>
          <w:lang w:val="en-US" w:eastAsia="zh-CN"/>
        </w:rPr>
        <w:t>合同价中包含6%的税金，如因乙方单位性质原因，不能开具6%税率的增值税专用发票，乙方同意甲方在第一次付款时，直接扣除乙方已缴纳税款与按6%税率计算的税款差额。</w:t>
      </w:r>
    </w:p>
    <w:p>
      <w:pPr>
        <w:pStyle w:val="13"/>
        <w:snapToGrid w:val="0"/>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十三、质量保证及后续服务</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13.1</w:t>
      </w:r>
      <w:r>
        <w:rPr>
          <w:rFonts w:hint="eastAsia" w:ascii="宋体" w:hAnsi="宋体" w:eastAsia="宋体" w:cs="宋体"/>
          <w:b w:val="0"/>
          <w:bCs/>
          <w:color w:val="000000"/>
          <w:sz w:val="24"/>
          <w:highlight w:val="none"/>
        </w:rPr>
        <w:t>乙方应按招标文件规定向甲方提供服务。</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13.2</w:t>
      </w:r>
      <w:r>
        <w:rPr>
          <w:rFonts w:hint="eastAsia" w:ascii="宋体" w:hAnsi="宋体" w:eastAsia="宋体" w:cs="宋体"/>
          <w:b w:val="0"/>
          <w:bCs/>
          <w:color w:val="000000"/>
          <w:sz w:val="24"/>
          <w:highlight w:val="none"/>
        </w:rPr>
        <w:t>乙方提供的服务达不到合同文件要求的，根据实际情况，经双方协商，可按以下办法处理：</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1.赔偿处理；</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2.解除合同。</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13.3</w:t>
      </w:r>
      <w:r>
        <w:rPr>
          <w:rFonts w:hint="eastAsia" w:ascii="宋体" w:hAnsi="宋体" w:eastAsia="宋体" w:cs="宋体"/>
          <w:b w:val="0"/>
          <w:bCs/>
          <w:color w:val="000000"/>
          <w:sz w:val="24"/>
          <w:highlight w:val="none"/>
        </w:rPr>
        <w:t>如在使用过程中发生问题，乙方在接到甲方通知后在</w:t>
      </w:r>
      <w:r>
        <w:rPr>
          <w:rFonts w:hint="eastAsia" w:ascii="宋体" w:hAnsi="宋体" w:eastAsia="宋体" w:cs="宋体"/>
          <w:b w:val="0"/>
          <w:bCs/>
          <w:color w:val="000000"/>
          <w:sz w:val="24"/>
          <w:highlight w:val="none"/>
          <w:u w:val="single"/>
        </w:rPr>
        <w:t xml:space="preserve"> 12 </w:t>
      </w:r>
      <w:r>
        <w:rPr>
          <w:rFonts w:hint="eastAsia" w:ascii="宋体" w:hAnsi="宋体" w:eastAsia="宋体" w:cs="宋体"/>
          <w:b w:val="0"/>
          <w:bCs/>
          <w:color w:val="000000"/>
          <w:sz w:val="24"/>
          <w:highlight w:val="none"/>
        </w:rPr>
        <w:t>小时内到达甲方现场。</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13.4</w:t>
      </w:r>
      <w:r>
        <w:rPr>
          <w:rFonts w:hint="eastAsia" w:ascii="宋体" w:hAnsi="宋体" w:eastAsia="宋体" w:cs="宋体"/>
          <w:b w:val="0"/>
          <w:bCs/>
          <w:color w:val="000000"/>
          <w:sz w:val="24"/>
          <w:highlight w:val="none"/>
        </w:rPr>
        <w:t>在服务期内，乙方应对出现的质量及安全问题负责处理解决并承担一切费用。</w:t>
      </w:r>
    </w:p>
    <w:p>
      <w:pPr>
        <w:pStyle w:val="13"/>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十四、违约责任</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14.1</w:t>
      </w:r>
      <w:r>
        <w:rPr>
          <w:rFonts w:hint="eastAsia" w:ascii="宋体" w:hAnsi="宋体" w:eastAsia="宋体" w:cs="宋体"/>
          <w:b w:val="0"/>
          <w:bCs/>
          <w:color w:val="000000"/>
          <w:sz w:val="24"/>
          <w:highlight w:val="none"/>
        </w:rPr>
        <w:t>甲方</w:t>
      </w:r>
      <w:r>
        <w:rPr>
          <w:rFonts w:hint="eastAsia" w:hAnsi="宋体" w:cs="宋体"/>
          <w:b w:val="0"/>
          <w:bCs/>
          <w:color w:val="000000"/>
          <w:sz w:val="24"/>
          <w:highlight w:val="none"/>
          <w:lang w:val="en-US" w:eastAsia="zh-CN"/>
        </w:rPr>
        <w:t>未</w:t>
      </w:r>
      <w:r>
        <w:rPr>
          <w:rFonts w:hint="eastAsia" w:ascii="宋体" w:hAnsi="宋体" w:eastAsia="宋体" w:cs="宋体"/>
          <w:b w:val="0"/>
          <w:bCs/>
          <w:color w:val="000000"/>
          <w:sz w:val="24"/>
          <w:highlight w:val="none"/>
          <w:lang w:val="en-US" w:eastAsia="zh-CN"/>
        </w:rPr>
        <w:t>按时履行</w:t>
      </w:r>
      <w:r>
        <w:rPr>
          <w:rFonts w:hint="eastAsia" w:ascii="宋体" w:hAnsi="宋体" w:eastAsia="宋体" w:cs="宋体"/>
          <w:b w:val="0"/>
          <w:bCs/>
          <w:color w:val="000000"/>
          <w:sz w:val="24"/>
          <w:highlight w:val="none"/>
        </w:rPr>
        <w:t>支付款项手续的,甲方应按逾期付款总额</w:t>
      </w:r>
      <w:r>
        <w:rPr>
          <w:rFonts w:hint="eastAsia" w:ascii="宋体" w:hAnsi="宋体" w:eastAsia="宋体" w:cs="宋体"/>
          <w:b w:val="0"/>
          <w:bCs/>
          <w:color w:val="000000"/>
          <w:sz w:val="24"/>
          <w:highlight w:val="none"/>
          <w:u w:val="single"/>
        </w:rPr>
        <w:t>每日万分之</w:t>
      </w:r>
      <w:r>
        <w:rPr>
          <w:rFonts w:hint="eastAsia" w:hAnsi="宋体" w:cs="宋体"/>
          <w:b w:val="0"/>
          <w:bCs/>
          <w:color w:val="000000"/>
          <w:sz w:val="24"/>
          <w:highlight w:val="none"/>
          <w:u w:val="single"/>
          <w:lang w:val="en-US" w:eastAsia="zh-CN"/>
        </w:rPr>
        <w:t>一</w:t>
      </w:r>
      <w:r>
        <w:rPr>
          <w:rFonts w:hint="eastAsia" w:ascii="宋体" w:hAnsi="宋体" w:eastAsia="宋体" w:cs="宋体"/>
          <w:b w:val="0"/>
          <w:bCs/>
          <w:color w:val="000000"/>
          <w:sz w:val="24"/>
          <w:highlight w:val="none"/>
        </w:rPr>
        <w:t>向乙方支付违约金</w:t>
      </w:r>
      <w:r>
        <w:rPr>
          <w:rFonts w:hint="eastAsia" w:ascii="宋体" w:hAnsi="宋体" w:eastAsia="宋体" w:cs="宋体"/>
          <w:b w:val="0"/>
          <w:bCs/>
          <w:color w:val="000000"/>
          <w:sz w:val="24"/>
          <w:highlight w:val="none"/>
          <w:lang w:eastAsia="zh-CN"/>
        </w:rPr>
        <w:t>，最高不超过合同总金额的</w:t>
      </w:r>
      <w:r>
        <w:rPr>
          <w:rFonts w:hint="eastAsia" w:ascii="宋体" w:hAnsi="宋体" w:eastAsia="宋体" w:cs="宋体"/>
          <w:b w:val="0"/>
          <w:bCs/>
          <w:color w:val="000000"/>
          <w:sz w:val="24"/>
          <w:highlight w:val="none"/>
          <w:lang w:val="en-US" w:eastAsia="zh-CN"/>
        </w:rPr>
        <w:t>5%</w:t>
      </w:r>
      <w:r>
        <w:rPr>
          <w:rFonts w:hint="eastAsia" w:ascii="宋体" w:hAnsi="宋体" w:eastAsia="宋体" w:cs="宋体"/>
          <w:b w:val="0"/>
          <w:bCs/>
          <w:color w:val="000000"/>
          <w:sz w:val="24"/>
          <w:highlight w:val="none"/>
        </w:rPr>
        <w:t>。</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14.2</w:t>
      </w:r>
      <w:r>
        <w:rPr>
          <w:rFonts w:hint="eastAsia" w:ascii="宋体" w:hAnsi="宋体" w:eastAsia="宋体" w:cs="宋体"/>
          <w:b w:val="0"/>
          <w:bCs/>
          <w:color w:val="000000"/>
          <w:sz w:val="24"/>
          <w:highlight w:val="none"/>
        </w:rPr>
        <w:t>乙方未能如期</w:t>
      </w:r>
      <w:r>
        <w:rPr>
          <w:rFonts w:hint="eastAsia" w:ascii="宋体" w:hAnsi="宋体" w:eastAsia="宋体" w:cs="宋体"/>
          <w:b w:val="0"/>
          <w:bCs w:val="0"/>
          <w:color w:val="000000"/>
          <w:kern w:val="0"/>
          <w:sz w:val="24"/>
          <w:szCs w:val="24"/>
          <w:highlight w:val="none"/>
          <w:lang w:val="en-US" w:eastAsia="zh-CN" w:bidi="ar-SA"/>
        </w:rPr>
        <w:t>完成浙江省第八批未来社区备案的，</w:t>
      </w:r>
      <w:r>
        <w:rPr>
          <w:rFonts w:hint="eastAsia" w:ascii="宋体" w:hAnsi="宋体" w:eastAsia="宋体" w:cs="宋体"/>
          <w:b w:val="0"/>
          <w:bCs/>
          <w:color w:val="000000"/>
          <w:sz w:val="24"/>
          <w:highlight w:val="none"/>
        </w:rPr>
        <w:t>甲方可解除本合同。乙方因未能</w:t>
      </w:r>
      <w:r>
        <w:rPr>
          <w:rFonts w:hint="eastAsia" w:ascii="宋体" w:hAnsi="宋体" w:eastAsia="宋体" w:cs="宋体"/>
          <w:b w:val="0"/>
          <w:bCs w:val="0"/>
          <w:color w:val="000000"/>
          <w:kern w:val="0"/>
          <w:sz w:val="24"/>
          <w:szCs w:val="24"/>
          <w:highlight w:val="none"/>
          <w:lang w:val="en-US" w:eastAsia="zh-CN" w:bidi="ar-SA"/>
        </w:rPr>
        <w:t>完成浙江省第八批未来社区备案</w:t>
      </w:r>
      <w:r>
        <w:rPr>
          <w:rFonts w:hint="eastAsia" w:ascii="宋体" w:hAnsi="宋体" w:eastAsia="宋体" w:cs="宋体"/>
          <w:b w:val="0"/>
          <w:bCs/>
          <w:color w:val="000000"/>
          <w:sz w:val="24"/>
          <w:highlight w:val="none"/>
        </w:rPr>
        <w:t>或因其他违约行为导致甲方解除合同的，乙方应向甲方支付合同总</w:t>
      </w:r>
      <w:r>
        <w:rPr>
          <w:rFonts w:hint="eastAsia" w:ascii="宋体" w:hAnsi="宋体" w:eastAsia="宋体" w:cs="宋体"/>
          <w:b w:val="0"/>
          <w:bCs/>
          <w:color w:val="000000"/>
          <w:sz w:val="24"/>
          <w:highlight w:val="none"/>
          <w:lang w:val="en-US" w:eastAsia="zh-CN"/>
        </w:rPr>
        <w:t>金额</w:t>
      </w:r>
      <w:r>
        <w:rPr>
          <w:rFonts w:hint="eastAsia" w:ascii="宋体" w:hAnsi="宋体" w:eastAsia="宋体" w:cs="宋体"/>
          <w:b w:val="0"/>
          <w:bCs/>
          <w:color w:val="000000"/>
          <w:sz w:val="24"/>
          <w:highlight w:val="none"/>
          <w:u w:val="single"/>
        </w:rPr>
        <w:t>5%</w:t>
      </w:r>
      <w:r>
        <w:rPr>
          <w:rFonts w:hint="eastAsia" w:ascii="宋体" w:hAnsi="宋体" w:eastAsia="宋体" w:cs="宋体"/>
          <w:b w:val="0"/>
          <w:bCs/>
          <w:color w:val="000000"/>
          <w:sz w:val="24"/>
          <w:highlight w:val="none"/>
        </w:rPr>
        <w:t xml:space="preserve">的违约金，如造成甲方损失超过违约金的，超出部分由乙方继续承担赔偿责任。 </w:t>
      </w:r>
    </w:p>
    <w:p>
      <w:pPr>
        <w:pStyle w:val="13"/>
        <w:snapToGrid w:val="0"/>
        <w:spacing w:line="360" w:lineRule="auto"/>
        <w:ind w:firstLine="480" w:firstLineChars="200"/>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 xml:space="preserve">14.3乙方擅自更换项目负责人的违约责任：项目负责人因生病住院、终止劳动 合同关系（提供相关部门或单位证明材料）、被责令停止执业、羁押或判刑情形，无法继续担任项目负责人，乙方向甲方提出申请，甲方应同意更换，更换到位的项目负责人资质不低于原项目负责人；除上述情形外项目负责人不允许更换。如承包人擅自更换，按每更换一人次扣除壹万元作为违约金（从当期合同款中扣除）；擅自更换二人次以上，甲方有权单方解除合同，履约担保金不予退还。 </w:t>
      </w:r>
    </w:p>
    <w:p>
      <w:pPr>
        <w:pStyle w:val="13"/>
        <w:snapToGrid w:val="0"/>
        <w:spacing w:line="360" w:lineRule="auto"/>
        <w:ind w:firstLine="480" w:firstLineChars="200"/>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14.4.乙方项目组成人员须报甲方备案，服务期间不得更换，如遇特殊情况必须更换的，更换人员须满足工作及工作组组成要求，经</w:t>
      </w:r>
      <w:r>
        <w:rPr>
          <w:rFonts w:hint="eastAsia" w:hAnsi="宋体" w:cs="宋体"/>
          <w:b w:val="0"/>
          <w:bCs/>
          <w:color w:val="000000"/>
          <w:sz w:val="24"/>
          <w:highlight w:val="none"/>
          <w:lang w:val="en-US" w:eastAsia="zh-CN"/>
        </w:rPr>
        <w:t>甲方</w:t>
      </w:r>
      <w:r>
        <w:rPr>
          <w:rFonts w:hint="eastAsia" w:ascii="宋体" w:hAnsi="宋体" w:eastAsia="宋体" w:cs="宋体"/>
          <w:b w:val="0"/>
          <w:bCs/>
          <w:color w:val="000000"/>
          <w:sz w:val="24"/>
          <w:highlight w:val="none"/>
          <w:lang w:val="en-US" w:eastAsia="zh-CN"/>
        </w:rPr>
        <w:t>书面同意后，方可进行，否则视同</w:t>
      </w:r>
      <w:r>
        <w:rPr>
          <w:rFonts w:hint="eastAsia" w:hAnsi="宋体" w:cs="宋体"/>
          <w:b w:val="0"/>
          <w:bCs/>
          <w:color w:val="000000"/>
          <w:sz w:val="24"/>
          <w:highlight w:val="none"/>
          <w:lang w:val="en-US" w:eastAsia="zh-CN"/>
        </w:rPr>
        <w:t>乙方</w:t>
      </w:r>
      <w:r>
        <w:rPr>
          <w:rFonts w:hint="eastAsia" w:ascii="宋体" w:hAnsi="宋体" w:eastAsia="宋体" w:cs="宋体"/>
          <w:b w:val="0"/>
          <w:bCs/>
          <w:color w:val="000000"/>
          <w:sz w:val="24"/>
          <w:highlight w:val="none"/>
          <w:lang w:val="en-US" w:eastAsia="zh-CN"/>
        </w:rPr>
        <w:t xml:space="preserve">违约。乙方须做出项目组组成人员结构及同等人员更换承诺；甲方可根据项目性质、规模和复杂情况适当调整项目组人员。 如承包人擅自更换，按每更换一人次扣除贰仟元作为违约金（从当期合同款中扣除）；擅自更换二人次以上，甲方有权单方解除合同，履约担保金不予退还。 </w:t>
      </w:r>
    </w:p>
    <w:p>
      <w:pPr>
        <w:pStyle w:val="13"/>
        <w:snapToGrid w:val="0"/>
        <w:spacing w:line="360" w:lineRule="auto"/>
        <w:ind w:firstLine="480" w:firstLineChars="200"/>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14.5.若乙方未经过甲方同意擅自减少项目组成人员的，每发现一次扣除壹万元作为违约金（从当期合同款中扣除），此事件一年内发生三次的，甲方有权单方面解除合同，履约保证金不予退还。</w:t>
      </w:r>
    </w:p>
    <w:p>
      <w:pPr>
        <w:pStyle w:val="13"/>
        <w:snapToGrid w:val="0"/>
        <w:spacing w:line="360" w:lineRule="auto"/>
        <w:ind w:firstLine="480" w:firstLineChars="200"/>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14.6乙方须委派1名项目负责人，现场服务并常驻现场</w:t>
      </w:r>
      <w:r>
        <w:rPr>
          <w:rFonts w:hint="eastAsia" w:hAnsi="宋体" w:eastAsia="宋体" w:cs="宋体"/>
          <w:b w:val="0"/>
          <w:bCs/>
          <w:color w:val="000000"/>
          <w:sz w:val="24"/>
          <w:highlight w:val="none"/>
          <w:lang w:val="en-US" w:eastAsia="zh-CN"/>
        </w:rPr>
        <w:t>。验收期需至少3名（含项目负责人）全职驻场，验收期约3个月。</w:t>
      </w:r>
      <w:r>
        <w:rPr>
          <w:rFonts w:hint="eastAsia" w:ascii="宋体" w:hAnsi="宋体" w:eastAsia="宋体" w:cs="宋体"/>
          <w:b w:val="0"/>
          <w:bCs/>
          <w:color w:val="000000"/>
          <w:sz w:val="24"/>
          <w:highlight w:val="none"/>
          <w:lang w:val="en-US" w:eastAsia="zh-CN"/>
        </w:rPr>
        <w:t>常驻人员到岗率为每月不少于22天。如常驻人员到岗率未达到上述要求，缺岗的</w:t>
      </w:r>
      <w:r>
        <w:rPr>
          <w:rFonts w:hint="eastAsia" w:hAnsi="宋体" w:eastAsia="宋体" w:cs="宋体"/>
          <w:b w:val="0"/>
          <w:bCs/>
          <w:color w:val="000000"/>
          <w:sz w:val="24"/>
          <w:highlight w:val="none"/>
          <w:lang w:val="en-US" w:eastAsia="zh-CN"/>
        </w:rPr>
        <w:t>人员按每人</w:t>
      </w:r>
      <w:r>
        <w:rPr>
          <w:rFonts w:hint="eastAsia" w:ascii="宋体" w:hAnsi="宋体" w:eastAsia="宋体" w:cs="宋体"/>
          <w:b w:val="0"/>
          <w:bCs/>
          <w:color w:val="000000"/>
          <w:sz w:val="24"/>
          <w:highlight w:val="none"/>
          <w:lang w:val="en-US" w:eastAsia="zh-CN"/>
        </w:rPr>
        <w:t>每天扣除2000元作为违约金（从当期合同款中扣除）。常驻人员产生的费用包括但不限于食宿费、交通费等全部费用，已包含在本合同总金额中，不另行结算。常驻人员须按甲方需求，在接到甲方通知的2小时内到达甲方指定地点。</w:t>
      </w:r>
    </w:p>
    <w:p>
      <w:pPr>
        <w:pStyle w:val="13"/>
        <w:snapToGrid w:val="0"/>
        <w:spacing w:line="360" w:lineRule="auto"/>
        <w:ind w:firstLine="480" w:firstLineChars="200"/>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14.7如项目中途暂停实施，甲方有权单方面终止并解除合同。如未来社区经整改后第二次未通过上级主管部门未来社区验收，甲方有权单方面终止并解除合同。</w:t>
      </w:r>
    </w:p>
    <w:p>
      <w:pPr>
        <w:pStyle w:val="13"/>
        <w:snapToGrid w:val="0"/>
        <w:spacing w:line="360" w:lineRule="auto"/>
        <w:ind w:firstLine="482" w:firstLineChars="200"/>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rPr>
        <w:t>十五、</w:t>
      </w:r>
      <w:r>
        <w:rPr>
          <w:rFonts w:hint="eastAsia" w:ascii="宋体" w:hAnsi="宋体" w:eastAsia="宋体" w:cs="宋体"/>
          <w:b/>
          <w:color w:val="000000"/>
          <w:sz w:val="24"/>
          <w:highlight w:val="none"/>
          <w:lang w:val="en-US" w:eastAsia="zh-CN"/>
        </w:rPr>
        <w:t>合同解除</w:t>
      </w:r>
    </w:p>
    <w:p>
      <w:pPr>
        <w:pStyle w:val="13"/>
        <w:snapToGrid w:val="0"/>
        <w:spacing w:line="360" w:lineRule="auto"/>
        <w:ind w:firstLine="480" w:firstLineChars="200"/>
        <w:rPr>
          <w:rFonts w:hint="eastAsia" w:ascii="宋体" w:hAnsi="宋体" w:eastAsia="宋体" w:cs="宋体"/>
          <w:b/>
          <w:color w:val="000000"/>
          <w:sz w:val="24"/>
          <w:highlight w:val="none"/>
          <w:lang w:val="en-US" w:eastAsia="zh-CN"/>
        </w:rPr>
      </w:pPr>
      <w:r>
        <w:rPr>
          <w:rFonts w:hint="eastAsia" w:ascii="宋体" w:hAnsi="宋体" w:eastAsia="宋体" w:cs="宋体"/>
          <w:b w:val="0"/>
          <w:bCs/>
          <w:color w:val="000000"/>
          <w:sz w:val="24"/>
          <w:highlight w:val="none"/>
          <w:lang w:val="en-US" w:eastAsia="zh-CN"/>
        </w:rPr>
        <w:t>乙方违反上述14.2-14.7条的相关约定，甲方通知乙方解除合同的，乙方缴纳的履约保证金归甲方。乙方收到合同解除通知后，7天内将目前已完成实施的所有成果移交甲方，甲方已支付的合同款项抵作乙方已完成实施的项目工作成果费用。</w:t>
      </w:r>
    </w:p>
    <w:p>
      <w:pPr>
        <w:pStyle w:val="13"/>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十六、</w:t>
      </w:r>
      <w:r>
        <w:rPr>
          <w:rFonts w:hint="eastAsia" w:ascii="宋体" w:hAnsi="宋体" w:eastAsia="宋体" w:cs="宋体"/>
          <w:b/>
          <w:color w:val="000000"/>
          <w:sz w:val="24"/>
          <w:highlight w:val="none"/>
        </w:rPr>
        <w:t>不可抗力事件处理</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15.1</w:t>
      </w:r>
      <w:r>
        <w:rPr>
          <w:rFonts w:hint="eastAsia" w:ascii="宋体" w:hAnsi="宋体" w:eastAsia="宋体" w:cs="宋体"/>
          <w:b w:val="0"/>
          <w:bCs/>
          <w:color w:val="000000"/>
          <w:sz w:val="24"/>
          <w:highlight w:val="none"/>
        </w:rPr>
        <w:t>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15.2</w:t>
      </w:r>
      <w:r>
        <w:rPr>
          <w:rFonts w:hint="eastAsia" w:ascii="宋体" w:hAnsi="宋体" w:eastAsia="宋体" w:cs="宋体"/>
          <w:b w:val="0"/>
          <w:bCs/>
          <w:color w:val="000000"/>
          <w:sz w:val="24"/>
          <w:highlight w:val="none"/>
        </w:rPr>
        <w:t>不可抗力事件发生后，应立即通知对方，并寄送有关权威机构出具的证明。</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15.3</w:t>
      </w:r>
      <w:r>
        <w:rPr>
          <w:rFonts w:hint="eastAsia" w:ascii="宋体" w:hAnsi="宋体" w:eastAsia="宋体" w:cs="宋体"/>
          <w:b w:val="0"/>
          <w:bCs/>
          <w:color w:val="000000"/>
          <w:sz w:val="24"/>
          <w:highlight w:val="none"/>
        </w:rPr>
        <w:t>不可抗力事件延续120天以上，双方应通过友好协商，确定是否继续履行合同。</w:t>
      </w:r>
    </w:p>
    <w:p>
      <w:pPr>
        <w:pStyle w:val="13"/>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w:t>
      </w:r>
      <w:r>
        <w:rPr>
          <w:rFonts w:hint="eastAsia" w:ascii="宋体" w:hAnsi="宋体" w:eastAsia="宋体" w:cs="宋体"/>
          <w:b/>
          <w:color w:val="000000"/>
          <w:sz w:val="24"/>
          <w:highlight w:val="none"/>
          <w:lang w:val="en-US" w:eastAsia="zh-CN"/>
        </w:rPr>
        <w:t>七</w:t>
      </w:r>
      <w:r>
        <w:rPr>
          <w:rFonts w:hint="eastAsia" w:ascii="宋体" w:hAnsi="宋体" w:eastAsia="宋体" w:cs="宋体"/>
          <w:b/>
          <w:color w:val="000000"/>
          <w:sz w:val="24"/>
          <w:highlight w:val="none"/>
        </w:rPr>
        <w:t>、解决争议的方法</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如双方在履行合同时发生纠纷，应协商解决；协商不成时，可提请政府采购管理部门调解；调解不成的通过以下第（ 二 ）方式解决：</w:t>
      </w:r>
    </w:p>
    <w:p>
      <w:pPr>
        <w:widowControl/>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（一）提交</w:t>
      </w:r>
      <w:r>
        <w:rPr>
          <w:rFonts w:hint="eastAsia" w:ascii="宋体" w:hAnsi="宋体" w:eastAsia="宋体" w:cs="宋体"/>
          <w:color w:val="000000"/>
          <w:sz w:val="24"/>
          <w:highlight w:val="none"/>
          <w:u w:val="single"/>
        </w:rPr>
        <w:t>台州</w:t>
      </w:r>
      <w:r>
        <w:rPr>
          <w:rFonts w:hint="eastAsia" w:ascii="宋体" w:hAnsi="宋体" w:eastAsia="宋体" w:cs="宋体"/>
          <w:color w:val="000000"/>
          <w:kern w:val="0"/>
          <w:sz w:val="24"/>
          <w:highlight w:val="none"/>
        </w:rPr>
        <w:t>仲裁委员会仲裁。</w:t>
      </w:r>
    </w:p>
    <w:p>
      <w:pPr>
        <w:widowControl/>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（二）依法向</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u w:val="single"/>
          <w:lang w:val="en-US" w:eastAsia="zh-CN"/>
        </w:rPr>
        <w:t>椒江区</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 xml:space="preserve"> 人民法院提起诉讼。 </w:t>
      </w:r>
    </w:p>
    <w:p>
      <w:pPr>
        <w:pStyle w:val="13"/>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w:t>
      </w:r>
      <w:r>
        <w:rPr>
          <w:rFonts w:hint="eastAsia" w:ascii="宋体" w:hAnsi="宋体" w:eastAsia="宋体" w:cs="宋体"/>
          <w:b/>
          <w:color w:val="000000"/>
          <w:sz w:val="24"/>
          <w:highlight w:val="none"/>
          <w:lang w:val="en-US" w:eastAsia="zh-CN"/>
        </w:rPr>
        <w:t>八</w:t>
      </w:r>
      <w:r>
        <w:rPr>
          <w:rFonts w:hint="eastAsia" w:ascii="宋体" w:hAnsi="宋体" w:eastAsia="宋体" w:cs="宋体"/>
          <w:b/>
          <w:color w:val="000000"/>
          <w:sz w:val="24"/>
          <w:highlight w:val="none"/>
        </w:rPr>
        <w:t>、合同生效及其它</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kern w:val="0"/>
          <w:sz w:val="24"/>
          <w:highlight w:val="none"/>
        </w:rPr>
        <w:t>（一）</w:t>
      </w:r>
      <w:r>
        <w:rPr>
          <w:rFonts w:hint="eastAsia" w:ascii="宋体" w:hAnsi="宋体" w:eastAsia="宋体" w:cs="宋体"/>
          <w:b w:val="0"/>
          <w:bCs/>
          <w:color w:val="000000"/>
          <w:sz w:val="24"/>
          <w:highlight w:val="none"/>
        </w:rPr>
        <w:t>合同经双方法定代表人或授权代表签字并加盖单位公章后生效。</w:t>
      </w:r>
    </w:p>
    <w:p>
      <w:pPr>
        <w:pStyle w:val="1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kern w:val="0"/>
          <w:sz w:val="24"/>
          <w:highlight w:val="none"/>
        </w:rPr>
        <w:t>（二）</w:t>
      </w:r>
      <w:r>
        <w:rPr>
          <w:rFonts w:hint="eastAsia" w:ascii="宋体" w:hAnsi="宋体" w:eastAsia="宋体" w:cs="宋体"/>
          <w:b w:val="0"/>
          <w:bCs/>
          <w:color w:val="000000"/>
          <w:sz w:val="24"/>
          <w:highlight w:val="none"/>
        </w:rPr>
        <w:t>本合同未尽事宜，遵照《中华人民共和国民法典》有关条文执行。</w:t>
      </w:r>
    </w:p>
    <w:p>
      <w:pPr>
        <w:widowControl/>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rPr>
        <w:t>（三）</w:t>
      </w:r>
      <w:r>
        <w:rPr>
          <w:rFonts w:hint="eastAsia" w:ascii="宋体" w:hAnsi="宋体" w:eastAsia="宋体" w:cs="宋体"/>
          <w:color w:val="000000"/>
          <w:sz w:val="24"/>
          <w:highlight w:val="none"/>
        </w:rPr>
        <w:t>本合同一式</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份。甲、乙双方各执</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份。本项目未尽事宜以招标文件、投标文件及澄清文件等为准。</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甲方（盖章）                                     乙方（盖章）</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                                     法定代表人：</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甲方代理人：                                     甲方代理人：</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                                       联系电话：</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                                       开户银行：</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账号：                                           账号：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地址及邮编：                                     地址及邮编：</w:t>
      </w:r>
    </w:p>
    <w:p>
      <w:pPr>
        <w:spacing w:line="360" w:lineRule="auto"/>
        <w:rPr>
          <w:rFonts w:hint="eastAsia" w:ascii="宋体" w:hAnsi="宋体" w:eastAsia="宋体" w:cs="宋体"/>
          <w:color w:val="000000"/>
          <w:sz w:val="24"/>
          <w:highlight w:val="none"/>
        </w:rPr>
      </w:pPr>
    </w:p>
    <w:p>
      <w:pPr>
        <w:spacing w:line="360" w:lineRule="auto"/>
        <w:ind w:firstLine="4920" w:firstLineChars="2050"/>
        <w:rPr>
          <w:rFonts w:hint="eastAsia" w:ascii="宋体" w:hAnsi="宋体" w:eastAsia="宋体" w:cs="宋体"/>
          <w:color w:val="000000"/>
          <w:highlight w:val="none"/>
        </w:rPr>
        <w:sectPr>
          <w:headerReference r:id="rId7" w:type="first"/>
          <w:footerReference r:id="rId8" w:type="default"/>
          <w:footnotePr>
            <w:numRestart w:val="eachPage"/>
          </w:footnotePr>
          <w:endnotePr>
            <w:numRestart w:val="eachSect"/>
          </w:endnotePr>
          <w:pgSz w:w="11905" w:h="16838"/>
          <w:pgMar w:top="1134" w:right="1587" w:bottom="1134" w:left="1587" w:header="851" w:footer="850" w:gutter="0"/>
          <w:cols w:space="720" w:num="1"/>
          <w:titlePg/>
          <w:docGrid w:linePitch="435" w:charSpace="0"/>
        </w:sectPr>
      </w:pPr>
      <w:r>
        <w:rPr>
          <w:rFonts w:hint="eastAsia" w:ascii="宋体" w:hAnsi="宋体" w:eastAsia="宋体" w:cs="宋体"/>
          <w:color w:val="000000"/>
          <w:sz w:val="24"/>
          <w:highlight w:val="none"/>
        </w:rPr>
        <w:t>签订时间：    年   月    日</w:t>
      </w:r>
    </w:p>
    <w:p>
      <w:pPr>
        <w:spacing w:line="360" w:lineRule="auto"/>
        <w:jc w:val="center"/>
        <w:outlineLvl w:val="0"/>
        <w:rPr>
          <w:rFonts w:asciiTheme="minorEastAsia" w:hAnsiTheme="minorEastAsia" w:eastAsiaTheme="minorEastAsia"/>
          <w:b/>
          <w:sz w:val="36"/>
          <w:szCs w:val="36"/>
          <w:highlight w:val="none"/>
        </w:rPr>
      </w:pPr>
      <w:bookmarkStart w:id="45" w:name="_Toc15009"/>
      <w:r>
        <w:rPr>
          <w:rFonts w:hint="eastAsia" w:asciiTheme="minorEastAsia" w:hAnsiTheme="minorEastAsia" w:eastAsiaTheme="minorEastAsia"/>
          <w:b/>
          <w:sz w:val="36"/>
          <w:szCs w:val="36"/>
          <w:highlight w:val="none"/>
        </w:rPr>
        <w:t>第六章 投标文件格式</w:t>
      </w:r>
      <w:bookmarkEnd w:id="45"/>
    </w:p>
    <w:p>
      <w:pPr>
        <w:rPr>
          <w:rFonts w:ascii="宋体" w:hAnsi="宋体"/>
          <w:b/>
          <w:sz w:val="30"/>
          <w:szCs w:val="30"/>
          <w:highlight w:val="none"/>
        </w:rPr>
      </w:pPr>
    </w:p>
    <w:p>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pPr>
        <w:spacing w:line="360" w:lineRule="auto"/>
        <w:rPr>
          <w:rFonts w:asciiTheme="minorEastAsia" w:hAnsiTheme="minorEastAsia" w:eastAsiaTheme="minorEastAsia"/>
          <w:b/>
          <w:sz w:val="30"/>
          <w:szCs w:val="30"/>
          <w:highlight w:val="none"/>
        </w:rPr>
      </w:pPr>
    </w:p>
    <w:p>
      <w:pPr>
        <w:jc w:val="center"/>
        <w:rPr>
          <w:rFonts w:hint="eastAsia" w:eastAsia="宋体"/>
          <w:sz w:val="44"/>
          <w:szCs w:val="44"/>
          <w:highlight w:val="none"/>
          <w:lang w:eastAsia="zh-CN"/>
        </w:rPr>
      </w:pPr>
      <w:r>
        <w:rPr>
          <w:rFonts w:hint="eastAsia"/>
          <w:sz w:val="44"/>
          <w:szCs w:val="44"/>
          <w:highlight w:val="none"/>
          <w:lang w:eastAsia="zh-CN"/>
        </w:rPr>
        <w:t>台州湾新区朝阳未来社区创建实施方案编制及验收全过程咨询服务采购项目</w:t>
      </w:r>
    </w:p>
    <w:p>
      <w:pPr>
        <w:spacing w:before="312"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p>
    <w:p>
      <w:pPr>
        <w:pStyle w:val="24"/>
        <w:rPr>
          <w:highlight w:val="none"/>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资格标）</w:t>
      </w:r>
    </w:p>
    <w:p>
      <w:pPr>
        <w:pStyle w:val="24"/>
        <w:rPr>
          <w:highlight w:val="none"/>
        </w:rPr>
      </w:pP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投标人全称（公章）：</w:t>
      </w: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时    间：</w:t>
      </w:r>
    </w:p>
    <w:p>
      <w:pPr>
        <w:snapToGrid w:val="0"/>
        <w:spacing w:before="50" w:after="50" w:line="360" w:lineRule="auto"/>
        <w:rPr>
          <w:rFonts w:ascii="仿宋_GB2312" w:hAnsi="宋体" w:eastAsia="仿宋_GB2312"/>
          <w:b/>
          <w:sz w:val="36"/>
          <w:szCs w:val="36"/>
          <w:highlight w:val="none"/>
        </w:rPr>
      </w:pPr>
    </w:p>
    <w:p>
      <w:pPr>
        <w:pStyle w:val="9"/>
        <w:rPr>
          <w:rFonts w:ascii="仿宋_GB2312" w:hAnsi="宋体" w:eastAsia="仿宋_GB2312"/>
          <w:b/>
          <w:sz w:val="36"/>
          <w:szCs w:val="36"/>
          <w:highlight w:val="none"/>
        </w:rPr>
      </w:pPr>
    </w:p>
    <w:p>
      <w:pPr>
        <w:pStyle w:val="10"/>
        <w:ind w:firstLine="480"/>
        <w:rPr>
          <w:highlight w:val="none"/>
        </w:rPr>
      </w:pPr>
    </w:p>
    <w:p>
      <w:pPr>
        <w:pStyle w:val="5"/>
        <w:rPr>
          <w:rFonts w:ascii="仿宋_GB2312" w:hAnsi="宋体" w:eastAsia="仿宋_GB2312"/>
          <w:b/>
          <w:sz w:val="36"/>
          <w:szCs w:val="36"/>
          <w:highlight w:val="none"/>
        </w:rPr>
      </w:pPr>
    </w:p>
    <w:p>
      <w:pPr>
        <w:spacing w:line="360" w:lineRule="auto"/>
        <w:jc w:val="center"/>
        <w:rPr>
          <w:b/>
          <w:bCs/>
          <w:sz w:val="36"/>
          <w:szCs w:val="36"/>
          <w:highlight w:val="none"/>
        </w:rPr>
      </w:pPr>
      <w:r>
        <w:rPr>
          <w:rFonts w:hint="eastAsia"/>
          <w:b/>
          <w:bCs/>
          <w:sz w:val="36"/>
          <w:szCs w:val="36"/>
          <w:highlight w:val="none"/>
        </w:rPr>
        <w:t>资格标目录</w:t>
      </w:r>
    </w:p>
    <w:p>
      <w:pPr>
        <w:spacing w:line="360" w:lineRule="auto"/>
        <w:ind w:firstLine="560" w:firstLineChars="200"/>
        <w:rPr>
          <w:sz w:val="28"/>
          <w:szCs w:val="36"/>
          <w:highlight w:val="none"/>
        </w:rPr>
      </w:pP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（1）投标声明书（附件1）；</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（2）授权委托书（法定代表人亲自办理投标事宜的，则无需提交；附件2）；</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（4）具有依法缴纳税收和社会保障资金证明的承诺函（附件3）；</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（5）具有良好的商业信誉和健全的财务会计制度的承诺函（附件4）；</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（6）具有履行合同所必须的设备和专业技术能力的承诺函（附件5）；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（7）需要说明的其他资料。</w:t>
      </w:r>
    </w:p>
    <w:p>
      <w:pPr>
        <w:spacing w:line="360" w:lineRule="auto"/>
        <w:rPr>
          <w:rFonts w:ascii="宋体" w:hAnsi="宋体"/>
          <w:b/>
          <w:sz w:val="28"/>
          <w:highlight w:val="none"/>
        </w:rPr>
      </w:pPr>
    </w:p>
    <w:p>
      <w:pPr>
        <w:spacing w:line="360" w:lineRule="auto"/>
        <w:ind w:left="420"/>
        <w:rPr>
          <w:rFonts w:ascii="宋体" w:hAnsi="宋体"/>
          <w:b/>
          <w:sz w:val="28"/>
          <w:highlight w:val="none"/>
        </w:rPr>
      </w:pPr>
    </w:p>
    <w:p>
      <w:pPr>
        <w:pStyle w:val="33"/>
        <w:rPr>
          <w:rFonts w:ascii="宋体" w:hAnsi="宋体"/>
          <w:b/>
          <w:sz w:val="28"/>
          <w:highlight w:val="none"/>
        </w:rPr>
      </w:pPr>
    </w:p>
    <w:p>
      <w:pPr>
        <w:pStyle w:val="33"/>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rPr>
          <w:rFonts w:ascii="宋体" w:hAnsi="宋体"/>
          <w:b/>
          <w:sz w:val="28"/>
          <w:highlight w:val="none"/>
        </w:rPr>
      </w:pPr>
    </w:p>
    <w:p>
      <w:pPr>
        <w:pStyle w:val="2"/>
        <w:numPr>
          <w:ilvl w:val="0"/>
          <w:numId w:val="0"/>
        </w:numPr>
        <w:ind w:left="425"/>
        <w:jc w:val="both"/>
        <w:outlineLvl w:val="9"/>
        <w:rPr>
          <w:highlight w:val="none"/>
        </w:rPr>
      </w:pPr>
    </w:p>
    <w:p>
      <w:pPr>
        <w:rPr>
          <w:highlight w:val="none"/>
        </w:rPr>
      </w:pPr>
    </w:p>
    <w:p>
      <w:pPr>
        <w:pStyle w:val="5"/>
        <w:rPr>
          <w:rFonts w:ascii="宋体" w:hAnsi="宋体"/>
          <w:b/>
          <w:sz w:val="28"/>
          <w:highlight w:val="none"/>
        </w:rPr>
      </w:pPr>
    </w:p>
    <w:p>
      <w:pPr>
        <w:pStyle w:val="5"/>
        <w:rPr>
          <w:rFonts w:ascii="宋体" w:hAnsi="宋体"/>
          <w:b/>
          <w:sz w:val="28"/>
          <w:highlight w:val="none"/>
        </w:rPr>
      </w:pPr>
    </w:p>
    <w:p>
      <w:pPr>
        <w:pStyle w:val="5"/>
        <w:rPr>
          <w:rFonts w:ascii="宋体" w:hAnsi="宋体"/>
          <w:b/>
          <w:sz w:val="28"/>
          <w:highlight w:val="none"/>
        </w:rPr>
      </w:pPr>
    </w:p>
    <w:p>
      <w:pPr>
        <w:spacing w:line="312" w:lineRule="auto"/>
        <w:rPr>
          <w:rFonts w:ascii="宋体" w:hAnsi="宋体"/>
          <w:b/>
          <w:sz w:val="28"/>
          <w:highlight w:val="none"/>
        </w:rPr>
      </w:pPr>
      <w:r>
        <w:rPr>
          <w:rFonts w:hint="eastAsia" w:ascii="宋体" w:hAnsi="宋体"/>
          <w:b/>
          <w:sz w:val="28"/>
          <w:highlight w:val="none"/>
        </w:rPr>
        <w:t>附件1</w:t>
      </w:r>
    </w:p>
    <w:p>
      <w:pPr>
        <w:adjustRightInd w:val="0"/>
        <w:snapToGrid w:val="0"/>
        <w:spacing w:line="312" w:lineRule="auto"/>
        <w:ind w:right="480"/>
        <w:jc w:val="center"/>
        <w:rPr>
          <w:rFonts w:ascii="宋体" w:hAnsi="宋体"/>
          <w:b/>
          <w:kern w:val="0"/>
          <w:sz w:val="32"/>
          <w:szCs w:val="32"/>
          <w:highlight w:val="none"/>
          <w:lang w:val="zh-CN"/>
        </w:rPr>
      </w:pPr>
      <w:bookmarkStart w:id="46" w:name="_Toc31708_WPSOffice_Level1"/>
      <w:bookmarkStart w:id="47" w:name="_Toc30723_WPSOffice_Level1"/>
      <w:r>
        <w:rPr>
          <w:rFonts w:hint="eastAsia" w:ascii="宋体" w:hAnsi="宋体"/>
          <w:b/>
          <w:kern w:val="0"/>
          <w:sz w:val="32"/>
          <w:szCs w:val="32"/>
          <w:highlight w:val="none"/>
          <w:lang w:val="zh-CN"/>
        </w:rPr>
        <w:t>投标声明书</w:t>
      </w:r>
      <w:bookmarkEnd w:id="46"/>
      <w:bookmarkEnd w:id="47"/>
    </w:p>
    <w:p>
      <w:pPr>
        <w:snapToGrid w:val="0"/>
        <w:spacing w:before="156" w:beforeLines="50" w:after="50" w:line="312" w:lineRule="auto"/>
        <w:rPr>
          <w:rFonts w:ascii="宋体" w:hAnsi="宋体" w:cs="宋体"/>
          <w:kern w:val="0"/>
          <w:sz w:val="24"/>
          <w:highlight w:val="none"/>
        </w:rPr>
      </w:pPr>
      <w:r>
        <w:rPr>
          <w:rFonts w:hint="eastAsia" w:ascii="宋体" w:hAnsi="宋体" w:cs="宋体"/>
          <w:kern w:val="0"/>
          <w:sz w:val="24"/>
          <w:highlight w:val="none"/>
          <w:u w:val="single"/>
          <w:lang w:eastAsia="zh-CN"/>
        </w:rPr>
        <w:t>台州市开发投资集团有限公司</w:t>
      </w:r>
      <w:r>
        <w:rPr>
          <w:rFonts w:hint="eastAsia" w:ascii="宋体" w:hAnsi="宋体" w:cs="宋体"/>
          <w:kern w:val="0"/>
          <w:sz w:val="24"/>
          <w:highlight w:val="none"/>
        </w:rPr>
        <w:t>：</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（投标人名称）</w:t>
      </w:r>
      <w:r>
        <w:rPr>
          <w:rFonts w:hint="eastAsia" w:ascii="宋体" w:hAnsi="宋体" w:cs="宋体"/>
          <w:kern w:val="0"/>
          <w:sz w:val="24"/>
          <w:highlight w:val="none"/>
        </w:rPr>
        <w:t>系中华人民共和国合法企业，经营地址。</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 xml:space="preserve">              招标项目名称                </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）的投标，为此，我公司就本次投标有关事项郑重声明如下：</w:t>
      </w:r>
    </w:p>
    <w:p>
      <w:pPr>
        <w:numPr>
          <w:ilvl w:val="0"/>
          <w:numId w:val="12"/>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2"/>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2"/>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pPr>
        <w:numPr>
          <w:ilvl w:val="0"/>
          <w:numId w:val="12"/>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numPr>
          <w:ilvl w:val="0"/>
          <w:numId w:val="12"/>
        </w:numPr>
        <w:snapToGrid w:val="0"/>
        <w:spacing w:line="360" w:lineRule="auto"/>
        <w:ind w:left="5" w:firstLine="415"/>
        <w:rPr>
          <w:rFonts w:ascii="仿宋_GB2312" w:hAnsi="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numPr>
          <w:ilvl w:val="0"/>
          <w:numId w:val="12"/>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pPr>
        <w:adjustRightInd w:val="0"/>
        <w:snapToGrid w:val="0"/>
        <w:spacing w:line="360" w:lineRule="auto"/>
        <w:ind w:firstLine="4838" w:firstLineChars="2016"/>
        <w:rPr>
          <w:rFonts w:ascii="宋体" w:hAnsi="宋体"/>
          <w:b/>
          <w:sz w:val="28"/>
          <w:highlight w:val="none"/>
        </w:rPr>
      </w:pPr>
      <w:r>
        <w:rPr>
          <w:rFonts w:hint="eastAsia" w:ascii="宋体" w:hAnsi="宋体" w:cs="仿宋_GB2312"/>
          <w:kern w:val="0"/>
          <w:sz w:val="24"/>
          <w:highlight w:val="none"/>
          <w:lang w:val="zh-CN"/>
        </w:rPr>
        <w:t>日期：    年   月   日</w:t>
      </w: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pPr>
        <w:spacing w:line="360" w:lineRule="auto"/>
        <w:ind w:firstLine="321" w:firstLineChars="100"/>
        <w:jc w:val="center"/>
        <w:rPr>
          <w:rFonts w:hAnsi="宋体"/>
          <w:b/>
          <w:sz w:val="32"/>
          <w:szCs w:val="32"/>
          <w:highlight w:val="none"/>
          <w:u w:val="single"/>
        </w:rPr>
      </w:pPr>
      <w:bookmarkStart w:id="48" w:name="_Toc6870_WPSOffice_Level1"/>
      <w:bookmarkStart w:id="49"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48"/>
      <w:bookmarkEnd w:id="49"/>
    </w:p>
    <w:p>
      <w:pPr>
        <w:snapToGrid w:val="0"/>
        <w:spacing w:before="156" w:beforeLines="50" w:after="50" w:line="360" w:lineRule="auto"/>
        <w:rPr>
          <w:rFonts w:ascii="宋体" w:hAnsi="宋体" w:cs="宋体"/>
          <w:kern w:val="0"/>
          <w:sz w:val="24"/>
          <w:highlight w:val="none"/>
        </w:rPr>
      </w:pPr>
      <w:r>
        <w:rPr>
          <w:rFonts w:hint="eastAsia" w:ascii="宋体" w:hAnsi="宋体" w:cs="宋体"/>
          <w:kern w:val="0"/>
          <w:sz w:val="24"/>
          <w:highlight w:val="none"/>
          <w:u w:val="single"/>
          <w:lang w:eastAsia="zh-CN"/>
        </w:rPr>
        <w:t>台州市开发投资集团有限公司</w:t>
      </w:r>
      <w:r>
        <w:rPr>
          <w:rFonts w:hint="eastAsia" w:ascii="宋体" w:hAnsi="宋体" w:cs="宋体"/>
          <w:kern w:val="0"/>
          <w:sz w:val="24"/>
          <w:highlight w:val="none"/>
        </w:rPr>
        <w:t>：</w:t>
      </w:r>
    </w:p>
    <w:p>
      <w:pPr>
        <w:pStyle w:val="13"/>
        <w:spacing w:line="360" w:lineRule="auto"/>
        <w:ind w:firstLine="480" w:firstLineChars="2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w:t>
      </w:r>
      <w:r>
        <w:rPr>
          <w:rFonts w:hint="eastAsia" w:hAnsi="宋体" w:cs="宋体"/>
          <w:kern w:val="0"/>
          <w:sz w:val="24"/>
          <w:highlight w:val="none"/>
        </w:rPr>
        <w:t>（编号为</w:t>
      </w:r>
      <w:r>
        <w:rPr>
          <w:rFonts w:hint="eastAsia" w:hAnsi="宋体" w:cs="宋体"/>
          <w:kern w:val="0"/>
          <w:sz w:val="24"/>
          <w:highlight w:val="none"/>
          <w:u w:val="single"/>
        </w:rPr>
        <w:t xml:space="preserve">           </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13"/>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sz w:val="24"/>
          <w:highlight w:val="none"/>
        </w:rPr>
      </w:pPr>
      <w:r>
        <w:rPr>
          <w:rFonts w:hint="eastAsia" w:ascii="宋体"/>
          <w:sz w:val="24"/>
          <w:highlight w:val="none"/>
        </w:rPr>
        <w:t>法定代表人签字或盖章：</w:t>
      </w:r>
    </w:p>
    <w:p>
      <w:pPr>
        <w:spacing w:line="360" w:lineRule="auto"/>
        <w:rPr>
          <w:sz w:val="24"/>
          <w:highlight w:val="none"/>
        </w:rPr>
      </w:pPr>
      <w:r>
        <w:rPr>
          <w:rFonts w:hint="eastAsia" w:ascii="宋体"/>
          <w:sz w:val="24"/>
          <w:highlight w:val="none"/>
        </w:rPr>
        <w:t>投标人全称（公章）：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法定代表身份证</w:t>
            </w:r>
          </w:p>
        </w:tc>
      </w:tr>
    </w:tbl>
    <w:p>
      <w:pPr>
        <w:spacing w:line="360" w:lineRule="auto"/>
        <w:rPr>
          <w:sz w:val="24"/>
          <w:highlight w:val="none"/>
        </w:rPr>
      </w:pPr>
      <w:r>
        <w:rPr>
          <w:rFonts w:hint="eastAsia" w:ascii="宋体"/>
          <w:sz w:val="24"/>
          <w:highlight w:val="none"/>
        </w:rPr>
        <w:t xml:space="preserve">法定代表人姓名：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rPr>
          <w:rFonts w:ascii="宋体" w:hAnsi="宋体"/>
          <w:b/>
          <w:sz w:val="28"/>
          <w:highlight w:val="none"/>
        </w:rPr>
      </w:pPr>
      <w:r>
        <w:rPr>
          <w:rFonts w:hint="eastAsia" w:ascii="宋体" w:hAnsi="宋体"/>
          <w:b/>
          <w:sz w:val="28"/>
          <w:highlight w:val="none"/>
        </w:rPr>
        <w:br w:type="page"/>
      </w:r>
      <w:bookmarkStart w:id="50" w:name="_Toc26389_WPSOffice_Level1"/>
      <w:bookmarkStart w:id="51" w:name="_Toc16825_WPSOffice_Level1"/>
      <w:bookmarkStart w:id="52" w:name="_Toc12331_WPSOffice_Level1"/>
    </w:p>
    <w:p>
      <w:pPr>
        <w:rPr>
          <w:rFonts w:ascii="宋体" w:hAnsi="宋体"/>
          <w:b/>
          <w:sz w:val="28"/>
          <w:highlight w:val="none"/>
        </w:rPr>
      </w:pPr>
      <w:r>
        <w:rPr>
          <w:rFonts w:hint="eastAsia" w:ascii="宋体" w:hAnsi="宋体"/>
          <w:b/>
          <w:sz w:val="28"/>
          <w:highlight w:val="none"/>
        </w:rPr>
        <w:t>附件3</w:t>
      </w:r>
    </w:p>
    <w:p>
      <w:pPr>
        <w:widowControl/>
        <w:adjustRightInd w:val="0"/>
        <w:snapToGrid w:val="0"/>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pPr>
        <w:widowControl/>
        <w:adjustRightInd w:val="0"/>
        <w:snapToGrid w:val="0"/>
        <w:jc w:val="center"/>
        <w:rPr>
          <w:rFonts w:ascii="宋体" w:hAnsi="宋体"/>
          <w:b/>
          <w:kern w:val="0"/>
          <w:sz w:val="32"/>
          <w:szCs w:val="32"/>
          <w:highlight w:val="none"/>
        </w:rPr>
      </w:pPr>
    </w:p>
    <w:p>
      <w:pPr>
        <w:widowControl/>
        <w:adjustRightInd w:val="0"/>
        <w:snapToGrid w:val="0"/>
        <w:jc w:val="left"/>
        <w:rPr>
          <w:rFonts w:ascii="宋体" w:hAnsi="宋体"/>
          <w:kern w:val="0"/>
          <w:sz w:val="28"/>
          <w:szCs w:val="32"/>
          <w:highlight w:val="none"/>
        </w:rPr>
      </w:pPr>
      <w:r>
        <w:rPr>
          <w:rFonts w:hint="eastAsia" w:ascii="宋体" w:hAnsi="宋体"/>
          <w:kern w:val="0"/>
          <w:sz w:val="28"/>
          <w:szCs w:val="32"/>
          <w:highlight w:val="none"/>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台州市开发投资集团有限公司</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日期：    年   月   日</w:t>
      </w:r>
    </w:p>
    <w:p>
      <w:pPr>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pPr>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pPr>
        <w:jc w:val="center"/>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台州市开发投资集团有限公司</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日期：    年   月   日</w:t>
      </w:r>
    </w:p>
    <w:p>
      <w:pPr>
        <w:jc w:val="center"/>
        <w:rPr>
          <w:rFonts w:ascii="宋体" w:hAnsi="宋体"/>
          <w:b/>
          <w:kern w:val="0"/>
          <w:sz w:val="32"/>
          <w:szCs w:val="32"/>
          <w:highlight w:val="none"/>
        </w:rPr>
      </w:pPr>
    </w:p>
    <w:p>
      <w:pPr>
        <w:jc w:val="center"/>
        <w:rPr>
          <w:rFonts w:ascii="宋体" w:hAnsi="宋体"/>
          <w:b/>
          <w:kern w:val="0"/>
          <w:sz w:val="32"/>
          <w:szCs w:val="32"/>
          <w:highlight w:val="none"/>
        </w:rPr>
      </w:pPr>
    </w:p>
    <w:p>
      <w:pPr>
        <w:rPr>
          <w:rFonts w:ascii="宋体" w:hAnsi="宋体"/>
          <w:b/>
          <w:kern w:val="0"/>
          <w:sz w:val="32"/>
          <w:szCs w:val="32"/>
          <w:highlight w:val="none"/>
        </w:rPr>
      </w:pPr>
      <w:r>
        <w:rPr>
          <w:rFonts w:ascii="宋体" w:hAnsi="宋体"/>
          <w:b/>
          <w:kern w:val="0"/>
          <w:sz w:val="32"/>
          <w:szCs w:val="32"/>
          <w:highlight w:val="none"/>
        </w:rPr>
        <w:br w:type="page"/>
      </w:r>
    </w:p>
    <w:p>
      <w:pPr>
        <w:jc w:val="left"/>
        <w:rPr>
          <w:rFonts w:ascii="宋体" w:hAnsi="宋体"/>
          <w:b/>
          <w:kern w:val="0"/>
          <w:sz w:val="32"/>
          <w:szCs w:val="32"/>
          <w:highlight w:val="none"/>
        </w:rPr>
      </w:pPr>
      <w:r>
        <w:rPr>
          <w:rFonts w:hint="eastAsia" w:ascii="宋体" w:hAnsi="宋体"/>
          <w:b/>
          <w:kern w:val="0"/>
          <w:sz w:val="32"/>
          <w:szCs w:val="32"/>
          <w:highlight w:val="none"/>
        </w:rPr>
        <w:t>附件5</w:t>
      </w:r>
    </w:p>
    <w:p>
      <w:pPr>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pPr>
        <w:jc w:val="center"/>
        <w:rPr>
          <w:rFonts w:ascii="宋体" w:hAnsi="宋体"/>
          <w:b/>
          <w:sz w:val="28"/>
          <w:highlight w:val="none"/>
        </w:rPr>
      </w:pPr>
    </w:p>
    <w:p>
      <w:pPr>
        <w:widowControl/>
        <w:shd w:val="clear" w:color="auto" w:fill="FFFFFF"/>
        <w:snapToGrid w:val="0"/>
        <w:spacing w:after="50" w:line="480" w:lineRule="auto"/>
        <w:jc w:val="left"/>
        <w:rPr>
          <w:rFonts w:ascii="宋体" w:hAnsi="宋体"/>
          <w:kern w:val="0"/>
          <w:sz w:val="24"/>
          <w:highlight w:val="none"/>
        </w:rPr>
      </w:pPr>
      <w:r>
        <w:rPr>
          <w:rFonts w:hint="eastAsia" w:ascii="宋体" w:hAnsi="宋体"/>
          <w:kern w:val="0"/>
          <w:sz w:val="24"/>
          <w:highlight w:val="none"/>
          <w:u w:val="single"/>
          <w:lang w:eastAsia="zh-CN"/>
        </w:rPr>
        <w:t>台州市开发投资集团有限公司</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若我单位有幸成为</w:t>
      </w:r>
      <w:r>
        <w:rPr>
          <w:rFonts w:hint="eastAsia" w:ascii="宋体" w:hAnsi="宋体"/>
          <w:sz w:val="24"/>
          <w:highlight w:val="none"/>
          <w:u w:val="single"/>
          <w:lang w:eastAsia="zh-CN"/>
        </w:rPr>
        <w:t>台州湾新区朝阳未来社区创建实施方案编制及验收全过程咨询服务采购项目</w:t>
      </w:r>
      <w:r>
        <w:rPr>
          <w:rFonts w:hint="eastAsia" w:hAnsi="宋体"/>
          <w:sz w:val="24"/>
          <w:highlight w:val="none"/>
        </w:rPr>
        <w:t>（</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hAnsi="宋体" w:cs="宋体"/>
          <w:kern w:val="0"/>
          <w:sz w:val="24"/>
          <w:highlight w:val="none"/>
        </w:rPr>
        <w:t>）</w:t>
      </w:r>
      <w:r>
        <w:rPr>
          <w:rFonts w:ascii="宋体" w:hAnsi="宋体"/>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日期：    年   月   日</w:t>
      </w:r>
    </w:p>
    <w:p>
      <w:pPr>
        <w:jc w:val="center"/>
        <w:rPr>
          <w:sz w:val="52"/>
          <w:szCs w:val="52"/>
          <w:highlight w:val="none"/>
        </w:rPr>
      </w:pPr>
    </w:p>
    <w:p>
      <w:pPr>
        <w:jc w:val="center"/>
        <w:rPr>
          <w:sz w:val="52"/>
          <w:szCs w:val="52"/>
          <w:highlight w:val="none"/>
        </w:rPr>
      </w:pPr>
    </w:p>
    <w:p>
      <w:pPr>
        <w:jc w:val="center"/>
        <w:rPr>
          <w:sz w:val="52"/>
          <w:szCs w:val="52"/>
          <w:highlight w:val="none"/>
        </w:rPr>
      </w:pPr>
    </w:p>
    <w:p>
      <w:pPr>
        <w:rPr>
          <w:sz w:val="52"/>
          <w:szCs w:val="52"/>
          <w:highlight w:val="none"/>
        </w:rPr>
      </w:pPr>
    </w:p>
    <w:p>
      <w:pPr>
        <w:pStyle w:val="2"/>
        <w:numPr>
          <w:ilvl w:val="0"/>
          <w:numId w:val="0"/>
        </w:numPr>
        <w:jc w:val="both"/>
        <w:outlineLvl w:val="9"/>
        <w:rPr>
          <w:highlight w:val="none"/>
        </w:rPr>
      </w:pPr>
    </w:p>
    <w:p>
      <w:pPr>
        <w:jc w:val="center"/>
        <w:rPr>
          <w:sz w:val="52"/>
          <w:szCs w:val="52"/>
          <w:highlight w:val="none"/>
        </w:rPr>
      </w:pPr>
    </w:p>
    <w:p>
      <w:pPr>
        <w:pStyle w:val="2"/>
        <w:numPr>
          <w:ilvl w:val="0"/>
          <w:numId w:val="0"/>
        </w:numPr>
        <w:ind w:left="425"/>
        <w:jc w:val="both"/>
        <w:outlineLvl w:val="9"/>
        <w:rPr>
          <w:highlight w:val="none"/>
        </w:rPr>
      </w:pPr>
    </w:p>
    <w:p>
      <w:pPr>
        <w:rPr>
          <w:highlight w:val="none"/>
        </w:rPr>
      </w:pPr>
    </w:p>
    <w:bookmarkEnd w:id="50"/>
    <w:bookmarkEnd w:id="51"/>
    <w:bookmarkEnd w:id="52"/>
    <w:p>
      <w:pPr>
        <w:jc w:val="center"/>
        <w:rPr>
          <w:highlight w:val="none"/>
        </w:rPr>
      </w:pPr>
    </w:p>
    <w:p>
      <w:pPr>
        <w:spacing w:before="312" w:beforeLines="100" w:line="360" w:lineRule="auto"/>
        <w:ind w:right="-108"/>
        <w:jc w:val="center"/>
        <w:rPr>
          <w:rFonts w:ascii="宋体" w:hAnsi="宋体"/>
          <w:sz w:val="44"/>
          <w:szCs w:val="44"/>
          <w:highlight w:val="none"/>
        </w:rPr>
      </w:pPr>
      <w:r>
        <w:rPr>
          <w:rFonts w:hint="eastAsia" w:ascii="宋体" w:hAnsi="宋体"/>
          <w:sz w:val="44"/>
          <w:szCs w:val="44"/>
          <w:highlight w:val="none"/>
        </w:rPr>
        <w:t>台州湾新区朝阳未来社区创建实施方案编制及验收全过程咨询服务采购项目</w:t>
      </w:r>
    </w:p>
    <w:p>
      <w:pPr>
        <w:spacing w:before="312"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pPr>
        <w:autoSpaceDE w:val="0"/>
        <w:autoSpaceDN w:val="0"/>
        <w:adjustRightInd w:val="0"/>
        <w:spacing w:line="360" w:lineRule="auto"/>
        <w:jc w:val="center"/>
        <w:rPr>
          <w:rFonts w:ascii="宋体" w:hAnsi="宋体" w:cs="宋体"/>
          <w:sz w:val="24"/>
          <w:highlight w:val="none"/>
          <w:lang w:val="zh-CN"/>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Cs/>
          <w:sz w:val="24"/>
          <w:highlight w:val="none"/>
        </w:rPr>
        <w:t>技术标</w:t>
      </w:r>
      <w:r>
        <w:rPr>
          <w:rFonts w:hint="eastAsia" w:ascii="宋体" w:hAnsi="宋体"/>
          <w:b/>
          <w:sz w:val="28"/>
          <w:szCs w:val="28"/>
          <w:highlight w:val="none"/>
        </w:rPr>
        <w:t>）</w:t>
      </w:r>
    </w:p>
    <w:p>
      <w:pPr>
        <w:pStyle w:val="24"/>
        <w:rPr>
          <w:highlight w:val="none"/>
        </w:rPr>
      </w:pP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地    址：</w:t>
      </w: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时    间：</w:t>
      </w:r>
    </w:p>
    <w:p>
      <w:pPr>
        <w:snapToGrid w:val="0"/>
        <w:spacing w:before="50" w:after="50" w:line="360" w:lineRule="auto"/>
        <w:rPr>
          <w:rFonts w:ascii="仿宋_GB2312" w:hAnsi="宋体" w:eastAsia="仿宋_GB2312"/>
          <w:b/>
          <w:sz w:val="36"/>
          <w:szCs w:val="36"/>
          <w:highlight w:val="none"/>
        </w:rPr>
      </w:pPr>
    </w:p>
    <w:p>
      <w:pPr>
        <w:pStyle w:val="5"/>
        <w:rPr>
          <w:rFonts w:ascii="仿宋_GB2312" w:hAnsi="宋体" w:eastAsia="仿宋_GB2312"/>
          <w:b/>
          <w:sz w:val="36"/>
          <w:szCs w:val="36"/>
          <w:highlight w:val="none"/>
        </w:rPr>
      </w:pPr>
    </w:p>
    <w:p>
      <w:pPr>
        <w:rPr>
          <w:b/>
          <w:bCs/>
          <w:sz w:val="32"/>
          <w:szCs w:val="32"/>
          <w:highlight w:val="none"/>
          <w:lang w:val="zh-CN"/>
        </w:rPr>
      </w:pPr>
      <w:bookmarkStart w:id="53" w:name="_Toc11308_WPSOffice_Level1"/>
      <w:bookmarkStart w:id="54" w:name="_Toc5889_WPSOffice_Level1"/>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rPr>
      </w:pPr>
      <w:r>
        <w:rPr>
          <w:rFonts w:hint="eastAsia"/>
          <w:b/>
          <w:bCs/>
          <w:sz w:val="36"/>
          <w:szCs w:val="36"/>
          <w:highlight w:val="none"/>
        </w:rPr>
        <w:t>技术标目录</w:t>
      </w:r>
      <w:bookmarkEnd w:id="53"/>
      <w:bookmarkEnd w:id="54"/>
    </w:p>
    <w:p>
      <w:pPr>
        <w:spacing w:line="360" w:lineRule="auto"/>
        <w:rPr>
          <w:sz w:val="24"/>
          <w:highlight w:val="none"/>
        </w:rPr>
      </w:pP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（1）投标人基本情况表（附件6）；</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（2）技术方案（包括</w:t>
      </w:r>
      <w:r>
        <w:rPr>
          <w:rFonts w:hint="eastAsia" w:ascii="Calibri" w:hAnsi="Calibri" w:cs="Calibri"/>
          <w:sz w:val="24"/>
          <w:highlight w:val="none"/>
        </w:rPr>
        <w:t>项目需求的理解与分析、项目实施方案、重难点分析、保障措施、进度安排等</w:t>
      </w:r>
      <w:r>
        <w:rPr>
          <w:rFonts w:hint="eastAsia" w:ascii="宋体" w:hAnsi="宋体"/>
          <w:bCs/>
          <w:sz w:val="24"/>
          <w:highlight w:val="none"/>
        </w:rPr>
        <w:t>）；</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bCs/>
          <w:sz w:val="24"/>
          <w:highlight w:val="none"/>
        </w:rPr>
        <w:t>）项目实施人员一览表（附件</w:t>
      </w:r>
      <w:r>
        <w:rPr>
          <w:rFonts w:hint="eastAsia" w:ascii="宋体" w:hAnsi="宋体"/>
          <w:bCs/>
          <w:sz w:val="24"/>
          <w:highlight w:val="none"/>
          <w:lang w:val="en-US" w:eastAsia="zh-CN"/>
        </w:rPr>
        <w:t>7</w:t>
      </w:r>
      <w:r>
        <w:rPr>
          <w:rFonts w:hint="eastAsia" w:ascii="宋体" w:hAnsi="宋体"/>
          <w:bCs/>
          <w:sz w:val="24"/>
          <w:highlight w:val="none"/>
        </w:rPr>
        <w:t>）；</w:t>
      </w:r>
    </w:p>
    <w:p>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w:t>
      </w:r>
      <w:r>
        <w:rPr>
          <w:rFonts w:hint="eastAsia" w:ascii="Calibri" w:hAnsi="Calibri" w:cs="Calibri"/>
          <w:sz w:val="24"/>
          <w:highlight w:val="none"/>
        </w:rPr>
        <w:t>服务条款响应表（附件</w:t>
      </w:r>
      <w:r>
        <w:rPr>
          <w:rFonts w:hint="eastAsia" w:ascii="Calibri" w:hAnsi="Calibri" w:cs="Calibri"/>
          <w:sz w:val="24"/>
          <w:highlight w:val="none"/>
          <w:lang w:val="en-US" w:eastAsia="zh-CN"/>
        </w:rPr>
        <w:t>8</w:t>
      </w:r>
      <w:r>
        <w:rPr>
          <w:rFonts w:hint="eastAsia" w:ascii="Calibri" w:hAnsi="Calibri" w:cs="Calibri"/>
          <w:sz w:val="24"/>
          <w:highlight w:val="none"/>
        </w:rPr>
        <w:t>）；</w:t>
      </w:r>
    </w:p>
    <w:p>
      <w:pPr>
        <w:pStyle w:val="5"/>
        <w:widowControl/>
        <w:numPr>
          <w:ilvl w:val="255"/>
          <w:numId w:val="0"/>
        </w:num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）证书一览表（与本项目相关的认证证书或文件；附件</w:t>
      </w:r>
      <w:r>
        <w:rPr>
          <w:rFonts w:hint="eastAsia" w:ascii="宋体" w:hAnsi="宋体"/>
          <w:bCs/>
          <w:sz w:val="24"/>
          <w:highlight w:val="none"/>
          <w:lang w:val="en-US" w:eastAsia="zh-CN"/>
        </w:rPr>
        <w:t>9</w:t>
      </w:r>
      <w:r>
        <w:rPr>
          <w:rFonts w:hint="eastAsia" w:ascii="宋体" w:hAnsi="宋体"/>
          <w:bCs/>
          <w:sz w:val="24"/>
          <w:highlight w:val="none"/>
        </w:rPr>
        <w:t>）；</w:t>
      </w:r>
    </w:p>
    <w:p>
      <w:pPr>
        <w:pStyle w:val="5"/>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）同类业绩证明（如有，需提供合同复印件；附件1</w:t>
      </w:r>
      <w:r>
        <w:rPr>
          <w:rFonts w:hint="eastAsia" w:ascii="宋体" w:hAnsi="宋体"/>
          <w:bCs/>
          <w:sz w:val="24"/>
          <w:highlight w:val="none"/>
          <w:lang w:val="en-US" w:eastAsia="zh-CN"/>
        </w:rPr>
        <w:t>0</w:t>
      </w:r>
      <w:r>
        <w:rPr>
          <w:rFonts w:hint="eastAsia" w:ascii="宋体" w:hAnsi="宋体"/>
          <w:bCs/>
          <w:sz w:val="24"/>
          <w:highlight w:val="none"/>
        </w:rPr>
        <w:t>）；</w:t>
      </w:r>
    </w:p>
    <w:p>
      <w:pPr>
        <w:pStyle w:val="5"/>
        <w:spacing w:line="360" w:lineRule="auto"/>
        <w:ind w:left="420" w:firstLine="0"/>
        <w:rPr>
          <w:sz w:val="28"/>
          <w:szCs w:val="28"/>
          <w:highlight w:val="none"/>
        </w:rPr>
      </w:pPr>
      <w:r>
        <w:rPr>
          <w:rFonts w:hint="eastAsia" w:ascii="宋体" w:hAnsi="宋体"/>
          <w:bCs/>
          <w:sz w:val="24"/>
          <w:highlight w:val="none"/>
        </w:rPr>
        <w:t>（</w:t>
      </w:r>
      <w:r>
        <w:rPr>
          <w:rFonts w:hint="eastAsia" w:ascii="宋体" w:hAnsi="宋体"/>
          <w:bCs/>
          <w:sz w:val="24"/>
          <w:highlight w:val="none"/>
          <w:lang w:val="en-US" w:eastAsia="zh-CN"/>
        </w:rPr>
        <w:t>7</w:t>
      </w:r>
      <w:r>
        <w:rPr>
          <w:rFonts w:hint="eastAsia" w:ascii="宋体" w:hAnsi="宋体"/>
          <w:bCs/>
          <w:sz w:val="24"/>
          <w:highlight w:val="none"/>
        </w:rPr>
        <w:t>）符合招标文件规定的其他证明文件及评分标准中涉及的其他材料。</w:t>
      </w: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rPr>
          <w:highlight w:val="none"/>
        </w:rPr>
      </w:pPr>
    </w:p>
    <w:p>
      <w:pPr>
        <w:pStyle w:val="37"/>
        <w:shd w:val="clear" w:color="auto" w:fill="FFFFFF"/>
        <w:spacing w:before="0" w:beforeAutospacing="0" w:after="0" w:afterAutospacing="0" w:line="360" w:lineRule="auto"/>
        <w:rPr>
          <w:b/>
          <w:sz w:val="28"/>
          <w:highlight w:val="none"/>
        </w:rPr>
      </w:pPr>
    </w:p>
    <w:p>
      <w:pPr>
        <w:pStyle w:val="37"/>
        <w:shd w:val="clear" w:color="auto" w:fill="FFFFFF"/>
        <w:spacing w:before="0" w:beforeAutospacing="0" w:after="0" w:afterAutospacing="0" w:line="360" w:lineRule="auto"/>
        <w:rPr>
          <w:b/>
          <w:sz w:val="28"/>
          <w:highlight w:val="none"/>
        </w:rPr>
      </w:pPr>
    </w:p>
    <w:p>
      <w:pPr>
        <w:pStyle w:val="37"/>
        <w:shd w:val="clear" w:color="auto" w:fill="FFFFFF"/>
        <w:spacing w:before="0" w:beforeAutospacing="0" w:after="0" w:afterAutospacing="0" w:line="360" w:lineRule="auto"/>
        <w:rPr>
          <w:b/>
          <w:sz w:val="28"/>
          <w:highlight w:val="none"/>
        </w:rPr>
      </w:pPr>
    </w:p>
    <w:p>
      <w:pPr>
        <w:pStyle w:val="37"/>
        <w:shd w:val="clear" w:color="auto" w:fill="FFFFFF"/>
        <w:spacing w:before="0" w:beforeAutospacing="0" w:after="0" w:afterAutospacing="0" w:line="360" w:lineRule="auto"/>
        <w:rPr>
          <w:b/>
          <w:sz w:val="28"/>
          <w:highlight w:val="none"/>
        </w:rPr>
      </w:pPr>
    </w:p>
    <w:p>
      <w:pPr>
        <w:rPr>
          <w:rFonts w:hint="eastAsia"/>
          <w:b/>
          <w:sz w:val="28"/>
          <w:highlight w:val="none"/>
        </w:rPr>
      </w:pPr>
      <w:r>
        <w:rPr>
          <w:rFonts w:hint="eastAsia"/>
          <w:b/>
          <w:sz w:val="28"/>
          <w:highlight w:val="none"/>
        </w:rPr>
        <w:br w:type="page"/>
      </w:r>
    </w:p>
    <w:p>
      <w:pPr>
        <w:pStyle w:val="37"/>
        <w:shd w:val="clear" w:color="auto" w:fill="FFFFFF"/>
        <w:spacing w:before="0" w:beforeAutospacing="0" w:after="0" w:afterAutospacing="0" w:line="360" w:lineRule="auto"/>
        <w:rPr>
          <w:b/>
          <w:sz w:val="28"/>
          <w:highlight w:val="none"/>
        </w:rPr>
      </w:pPr>
      <w:r>
        <w:rPr>
          <w:rFonts w:hint="eastAsia"/>
          <w:b/>
          <w:sz w:val="28"/>
          <w:highlight w:val="none"/>
        </w:rPr>
        <w:t>附件6</w:t>
      </w:r>
    </w:p>
    <w:p>
      <w:pPr>
        <w:pStyle w:val="37"/>
        <w:shd w:val="clear" w:color="auto" w:fill="FFFFFF"/>
        <w:spacing w:before="0" w:beforeAutospacing="0" w:after="0" w:afterAutospacing="0" w:line="360" w:lineRule="auto"/>
        <w:jc w:val="center"/>
        <w:rPr>
          <w:rFonts w:eastAsia="微软雅黑"/>
          <w:sz w:val="36"/>
          <w:szCs w:val="36"/>
          <w:highlight w:val="none"/>
        </w:rPr>
      </w:pPr>
      <w:r>
        <w:rPr>
          <w:rFonts w:hint="eastAsia"/>
          <w:b/>
          <w:sz w:val="32"/>
          <w:szCs w:val="32"/>
          <w:highlight w:val="none"/>
        </w:rPr>
        <w:t xml:space="preserve">  </w:t>
      </w:r>
      <w:bookmarkStart w:id="55" w:name="_Toc13307_WPSOffice_Level1"/>
      <w:bookmarkStart w:id="56" w:name="_Toc14261_WPSOffice_Level1"/>
      <w:r>
        <w:rPr>
          <w:rFonts w:hint="eastAsia"/>
          <w:b/>
          <w:sz w:val="32"/>
          <w:szCs w:val="32"/>
          <w:highlight w:val="none"/>
        </w:rPr>
        <w:t>投标</w:t>
      </w:r>
      <w:r>
        <w:rPr>
          <w:rFonts w:hint="eastAsia"/>
          <w:b/>
          <w:bCs/>
          <w:sz w:val="32"/>
          <w:szCs w:val="32"/>
          <w:highlight w:val="none"/>
        </w:rPr>
        <w:t>人基本情况表</w:t>
      </w:r>
      <w:bookmarkEnd w:id="55"/>
      <w:bookmarkEnd w:id="56"/>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企业名称</w:t>
            </w:r>
          </w:p>
        </w:tc>
        <w:tc>
          <w:tcPr>
            <w:tcW w:w="3979" w:type="dxa"/>
            <w:gridSpan w:val="6"/>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法人代表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企业性质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联系人姓名</w:t>
            </w:r>
          </w:p>
        </w:tc>
        <w:tc>
          <w:tcPr>
            <w:tcW w:w="701" w:type="dxa"/>
            <w:vMerge w:val="restart"/>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highlight w:val="none"/>
              </w:rPr>
            </w:pPr>
          </w:p>
          <w:p>
            <w:pPr>
              <w:pStyle w:val="37"/>
              <w:shd w:val="clear" w:color="auto" w:fill="FFFFFF"/>
              <w:spacing w:before="0" w:beforeAutospacing="0" w:after="0" w:afterAutospacing="0"/>
              <w:jc w:val="center"/>
              <w:rPr>
                <w:bCs/>
                <w:highlight w:val="none"/>
              </w:rPr>
            </w:pPr>
          </w:p>
        </w:tc>
        <w:tc>
          <w:tcPr>
            <w:tcW w:w="2001" w:type="dxa"/>
            <w:gridSpan w:val="3"/>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传真</w:t>
            </w:r>
          </w:p>
        </w:tc>
        <w:tc>
          <w:tcPr>
            <w:tcW w:w="2151" w:type="dxa"/>
            <w:gridSpan w:val="2"/>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701"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910" w:type="dxa"/>
            <w:gridSpan w:val="2"/>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2001" w:type="dxa"/>
            <w:gridSpan w:val="3"/>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2151" w:type="dxa"/>
            <w:gridSpan w:val="2"/>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bCs/>
                <w:highlight w:val="none"/>
              </w:rPr>
              <w:t>1</w:t>
            </w:r>
            <w:r>
              <w:rPr>
                <w:rFonts w:hint="eastAsia"/>
                <w:bCs/>
                <w:highlight w:val="none"/>
              </w:rPr>
              <w:t>.</w:t>
            </w:r>
          </w:p>
          <w:p>
            <w:pPr>
              <w:pStyle w:val="37"/>
              <w:shd w:val="clear" w:color="auto" w:fill="FFFFFF"/>
              <w:spacing w:before="0" w:beforeAutospacing="0" w:after="0" w:afterAutospacing="0"/>
              <w:jc w:val="center"/>
              <w:rPr>
                <w:bCs/>
                <w:highlight w:val="none"/>
              </w:rPr>
            </w:pPr>
            <w:r>
              <w:rPr>
                <w:rFonts w:hint="eastAsia"/>
                <w:bCs/>
                <w:highlight w:val="none"/>
              </w:rPr>
              <w:t>企</w:t>
            </w:r>
          </w:p>
          <w:p>
            <w:pPr>
              <w:pStyle w:val="37"/>
              <w:shd w:val="clear" w:color="auto" w:fill="FFFFFF"/>
              <w:spacing w:before="0" w:beforeAutospacing="0" w:after="0" w:afterAutospacing="0"/>
              <w:jc w:val="center"/>
              <w:rPr>
                <w:bCs/>
                <w:highlight w:val="none"/>
              </w:rPr>
            </w:pPr>
            <w:r>
              <w:rPr>
                <w:rFonts w:hint="eastAsia"/>
                <w:bCs/>
                <w:highlight w:val="none"/>
              </w:rPr>
              <w:t>业</w:t>
            </w:r>
          </w:p>
          <w:p>
            <w:pPr>
              <w:pStyle w:val="37"/>
              <w:shd w:val="clear" w:color="auto" w:fill="FFFFFF"/>
              <w:spacing w:before="0" w:beforeAutospacing="0" w:after="0" w:afterAutospacing="0"/>
              <w:jc w:val="center"/>
              <w:rPr>
                <w:bCs/>
                <w:highlight w:val="none"/>
              </w:rPr>
            </w:pPr>
            <w:r>
              <w:rPr>
                <w:rFonts w:hint="eastAsia"/>
                <w:bCs/>
                <w:highlight w:val="none"/>
              </w:rPr>
              <w:t>概</w:t>
            </w:r>
          </w:p>
          <w:p>
            <w:pPr>
              <w:pStyle w:val="37"/>
              <w:shd w:val="clear" w:color="auto" w:fill="FFFFFF"/>
              <w:spacing w:before="0" w:beforeAutospacing="0" w:after="0" w:afterAutospacing="0"/>
              <w:jc w:val="center"/>
              <w:rPr>
                <w:bCs/>
                <w:highlight w:val="none"/>
              </w:rPr>
            </w:pPr>
            <w:r>
              <w:rPr>
                <w:rFonts w:hint="eastAsia"/>
                <w:bCs/>
                <w:highlight w:val="none"/>
              </w:rPr>
              <w:t>况</w:t>
            </w:r>
          </w:p>
        </w:tc>
        <w:tc>
          <w:tcPr>
            <w:tcW w:w="701"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职工人数</w:t>
            </w:r>
          </w:p>
        </w:tc>
        <w:tc>
          <w:tcPr>
            <w:tcW w:w="910" w:type="dxa"/>
            <w:gridSpan w:val="2"/>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1163"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highlight w:val="none"/>
              </w:rPr>
            </w:pPr>
          </w:p>
          <w:p>
            <w:pPr>
              <w:widowControl/>
              <w:jc w:val="center"/>
              <w:rPr>
                <w:rFonts w:ascii="宋体" w:hAnsi="宋体" w:cs="宋体"/>
                <w:bCs/>
                <w:kern w:val="0"/>
                <w:sz w:val="24"/>
                <w:highlight w:val="none"/>
              </w:rPr>
            </w:pPr>
          </w:p>
          <w:p>
            <w:pPr>
              <w:pStyle w:val="37"/>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highlight w:val="none"/>
              </w:rPr>
            </w:pPr>
          </w:p>
          <w:p>
            <w:pPr>
              <w:pStyle w:val="37"/>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注册资金</w:t>
            </w:r>
          </w:p>
        </w:tc>
        <w:tc>
          <w:tcPr>
            <w:tcW w:w="910"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116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highlight w:val="none"/>
              </w:rPr>
            </w:pPr>
          </w:p>
          <w:p>
            <w:pPr>
              <w:pStyle w:val="37"/>
              <w:shd w:val="clear" w:color="auto" w:fill="FFFFFF"/>
              <w:spacing w:before="0" w:beforeAutospacing="0" w:after="0" w:afterAutospacing="0"/>
              <w:jc w:val="center"/>
              <w:rPr>
                <w:bCs/>
                <w:highlight w:val="none"/>
              </w:rPr>
            </w:pPr>
          </w:p>
        </w:tc>
        <w:tc>
          <w:tcPr>
            <w:tcW w:w="1218"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公司成立时间</w:t>
            </w:r>
          </w:p>
        </w:tc>
        <w:tc>
          <w:tcPr>
            <w:tcW w:w="93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核准经营范围</w:t>
            </w:r>
          </w:p>
        </w:tc>
        <w:tc>
          <w:tcPr>
            <w:tcW w:w="7430" w:type="dxa"/>
            <w:gridSpan w:val="10"/>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8131" w:type="dxa"/>
            <w:gridSpan w:val="11"/>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rFonts w:hint="eastAsia"/>
                <w:bCs/>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r>
              <w:rPr>
                <w:bCs/>
                <w:highlight w:val="none"/>
              </w:rPr>
              <w:t>2</w:t>
            </w:r>
            <w:r>
              <w:rPr>
                <w:rFonts w:hint="eastAsia"/>
                <w:bCs/>
                <w:highlight w:val="none"/>
              </w:rPr>
              <w:t>．</w:t>
            </w:r>
          </w:p>
          <w:p>
            <w:pPr>
              <w:pStyle w:val="37"/>
              <w:shd w:val="clear" w:color="auto" w:fill="FFFFFF"/>
              <w:spacing w:before="0" w:beforeAutospacing="0" w:after="0" w:afterAutospacing="0"/>
              <w:jc w:val="center"/>
              <w:rPr>
                <w:bCs/>
                <w:highlight w:val="none"/>
              </w:rPr>
            </w:pPr>
            <w:r>
              <w:rPr>
                <w:rFonts w:hint="eastAsia"/>
                <w:bCs/>
                <w:highlight w:val="none"/>
              </w:rPr>
              <w:t>企业有关资质获证情况</w:t>
            </w:r>
          </w:p>
        </w:tc>
        <w:tc>
          <w:tcPr>
            <w:tcW w:w="1553" w:type="dxa"/>
            <w:gridSpan w:val="2"/>
            <w:vMerge w:val="restart"/>
            <w:tcMar>
              <w:top w:w="57" w:type="dxa"/>
              <w:left w:w="85" w:type="dxa"/>
              <w:bottom w:w="0" w:type="dxa"/>
              <w:right w:w="85" w:type="dxa"/>
            </w:tcMar>
            <w:vAlign w:val="center"/>
          </w:tcPr>
          <w:p>
            <w:pPr>
              <w:pStyle w:val="37"/>
              <w:spacing w:before="0" w:beforeAutospacing="0" w:after="0" w:afterAutospacing="0"/>
              <w:jc w:val="center"/>
              <w:rPr>
                <w:bCs/>
                <w:highlight w:val="none"/>
              </w:rPr>
            </w:pPr>
            <w:r>
              <w:rPr>
                <w:rFonts w:hint="eastAsia"/>
                <w:bCs/>
                <w:spacing w:val="41"/>
                <w:highlight w:val="none"/>
              </w:rPr>
              <w:t>企业获得其他资质</w:t>
            </w:r>
            <w:r>
              <w:rPr>
                <w:rFonts w:hint="eastAsia"/>
                <w:bCs/>
                <w:spacing w:val="11"/>
                <w:highlight w:val="none"/>
              </w:rPr>
              <w:t>认证情况</w:t>
            </w: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highlight w:val="none"/>
              </w:rPr>
            </w:pPr>
            <w:r>
              <w:rPr>
                <w:rFonts w:hint="eastAsia"/>
                <w:bCs/>
                <w:spacing w:val="16"/>
                <w:highlight w:val="none"/>
              </w:rPr>
              <w:t>资质名称</w:t>
            </w: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highlight w:val="none"/>
              </w:rPr>
            </w:pPr>
            <w:r>
              <w:rPr>
                <w:rFonts w:hint="eastAsia"/>
                <w:bCs/>
                <w:spacing w:val="16"/>
                <w:highlight w:val="none"/>
              </w:rPr>
              <w:t>发证机关</w:t>
            </w:r>
          </w:p>
        </w:tc>
        <w:tc>
          <w:tcPr>
            <w:tcW w:w="1276" w:type="dxa"/>
            <w:tcMar>
              <w:top w:w="57" w:type="dxa"/>
              <w:left w:w="85" w:type="dxa"/>
              <w:bottom w:w="0" w:type="dxa"/>
              <w:right w:w="85" w:type="dxa"/>
            </w:tcMar>
            <w:vAlign w:val="center"/>
          </w:tcPr>
          <w:p>
            <w:pPr>
              <w:pStyle w:val="37"/>
              <w:spacing w:before="0" w:beforeAutospacing="0" w:after="0" w:afterAutospacing="0"/>
              <w:jc w:val="center"/>
              <w:rPr>
                <w:bCs/>
                <w:highlight w:val="none"/>
              </w:rPr>
            </w:pPr>
            <w:bookmarkStart w:id="76" w:name="_GoBack"/>
            <w:r>
              <w:rPr>
                <w:rFonts w:hint="eastAsia"/>
                <w:bCs/>
                <w:spacing w:val="27"/>
                <w:highlight w:val="none"/>
              </w:rPr>
              <w:t>编号</w:t>
            </w:r>
            <w:bookmarkEnd w:id="76"/>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highlight w:val="none"/>
              </w:rPr>
            </w:pPr>
            <w:r>
              <w:rPr>
                <w:rFonts w:hint="eastAsia"/>
                <w:bCs/>
                <w:spacing w:val="16"/>
                <w:highlight w:val="none"/>
              </w:rPr>
              <w:t>发证时间</w:t>
            </w:r>
          </w:p>
        </w:tc>
        <w:tc>
          <w:tcPr>
            <w:tcW w:w="933" w:type="dxa"/>
            <w:tcMar>
              <w:top w:w="57" w:type="dxa"/>
              <w:left w:w="85" w:type="dxa"/>
              <w:bottom w:w="0" w:type="dxa"/>
              <w:right w:w="85" w:type="dxa"/>
            </w:tcMar>
            <w:vAlign w:val="center"/>
          </w:tcPr>
          <w:p>
            <w:pPr>
              <w:pStyle w:val="37"/>
              <w:spacing w:before="0" w:beforeAutospacing="0" w:after="0" w:afterAutospacing="0"/>
              <w:jc w:val="center"/>
              <w:rPr>
                <w:bCs/>
                <w:highlight w:val="none"/>
              </w:rPr>
            </w:pPr>
            <w:r>
              <w:rPr>
                <w:rFonts w:hint="eastAsia"/>
                <w:bCs/>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highlight w:val="none"/>
              </w:rPr>
            </w:pPr>
          </w:p>
        </w:tc>
        <w:tc>
          <w:tcPr>
            <w:tcW w:w="1553" w:type="dxa"/>
            <w:gridSpan w:val="2"/>
            <w:vMerge w:val="continue"/>
            <w:tcMar>
              <w:top w:w="57" w:type="dxa"/>
              <w:left w:w="85" w:type="dxa"/>
              <w:bottom w:w="0" w:type="dxa"/>
              <w:right w:w="85" w:type="dxa"/>
            </w:tcMar>
            <w:vAlign w:val="center"/>
          </w:tcPr>
          <w:p>
            <w:pPr>
              <w:pStyle w:val="37"/>
              <w:spacing w:before="0" w:beforeAutospacing="0" w:after="0" w:afterAutospacing="0"/>
              <w:jc w:val="center"/>
              <w:rPr>
                <w:bCs/>
                <w:highlight w:val="none"/>
              </w:rPr>
            </w:pP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highlight w:val="none"/>
              </w:rPr>
            </w:pP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highlight w:val="none"/>
              </w:rPr>
            </w:pPr>
          </w:p>
        </w:tc>
        <w:tc>
          <w:tcPr>
            <w:tcW w:w="1276" w:type="dxa"/>
            <w:tcMar>
              <w:top w:w="57" w:type="dxa"/>
              <w:left w:w="85" w:type="dxa"/>
              <w:bottom w:w="0" w:type="dxa"/>
              <w:right w:w="85" w:type="dxa"/>
            </w:tcMar>
            <w:vAlign w:val="center"/>
          </w:tcPr>
          <w:p>
            <w:pPr>
              <w:pStyle w:val="37"/>
              <w:spacing w:before="0" w:beforeAutospacing="0" w:after="0" w:afterAutospacing="0"/>
              <w:jc w:val="center"/>
              <w:rPr>
                <w:bCs/>
                <w:highlight w:val="none"/>
              </w:rPr>
            </w:pP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highlight w:val="none"/>
              </w:rPr>
            </w:pPr>
          </w:p>
        </w:tc>
        <w:tc>
          <w:tcPr>
            <w:tcW w:w="933" w:type="dxa"/>
            <w:tcMar>
              <w:top w:w="57" w:type="dxa"/>
              <w:left w:w="85" w:type="dxa"/>
              <w:bottom w:w="0" w:type="dxa"/>
              <w:right w:w="85" w:type="dxa"/>
            </w:tcMar>
            <w:vAlign w:val="center"/>
          </w:tcPr>
          <w:p>
            <w:pPr>
              <w:pStyle w:val="37"/>
              <w:spacing w:before="0" w:beforeAutospacing="0" w:after="0" w:afterAutospacing="0"/>
              <w:jc w:val="center"/>
              <w:rPr>
                <w:highlight w:val="none"/>
              </w:rPr>
            </w:pPr>
          </w:p>
        </w:tc>
      </w:tr>
    </w:tbl>
    <w:p>
      <w:pPr>
        <w:pStyle w:val="37"/>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pPr>
        <w:pStyle w:val="37"/>
        <w:shd w:val="clear" w:color="auto" w:fill="FFFFFF"/>
        <w:spacing w:before="0" w:beforeAutospacing="0" w:after="0" w:afterAutospacing="0" w:line="360" w:lineRule="auto"/>
        <w:ind w:firstLine="424" w:firstLineChars="202"/>
        <w:rPr>
          <w:sz w:val="21"/>
          <w:szCs w:val="21"/>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pPr>
        <w:spacing w:line="360" w:lineRule="auto"/>
        <w:ind w:left="420"/>
        <w:rPr>
          <w:rFonts w:ascii="宋体" w:hAnsi="宋体"/>
          <w:sz w:val="24"/>
          <w:highlight w:val="none"/>
        </w:rPr>
      </w:pPr>
    </w:p>
    <w:p>
      <w:pPr>
        <w:spacing w:line="360" w:lineRule="auto"/>
        <w:ind w:firstLine="424" w:firstLineChars="177"/>
        <w:rPr>
          <w:rFonts w:ascii="宋体" w:hAnsi="宋体"/>
          <w:sz w:val="24"/>
          <w:highlight w:val="none"/>
        </w:rPr>
      </w:pPr>
      <w:r>
        <w:rPr>
          <w:rFonts w:hint="eastAsia" w:ascii="宋体" w:hAnsi="宋体"/>
          <w:sz w:val="24"/>
          <w:highlight w:val="none"/>
        </w:rPr>
        <w:t>投标人代表签字：</w:t>
      </w:r>
    </w:p>
    <w:p>
      <w:pPr>
        <w:spacing w:line="360" w:lineRule="auto"/>
        <w:ind w:firstLine="435"/>
        <w:rPr>
          <w:rFonts w:ascii="宋体" w:hAnsi="宋体"/>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pPr>
        <w:spacing w:line="360" w:lineRule="auto"/>
        <w:rPr>
          <w:rFonts w:ascii="宋体" w:hAnsi="宋体"/>
          <w:sz w:val="24"/>
          <w:highlight w:val="none"/>
        </w:rPr>
      </w:pPr>
    </w:p>
    <w:p>
      <w:pPr>
        <w:pStyle w:val="37"/>
        <w:shd w:val="clear" w:color="auto" w:fill="FFFFFF"/>
        <w:spacing w:before="0" w:beforeAutospacing="0" w:after="0" w:afterAutospacing="0" w:line="360" w:lineRule="auto"/>
        <w:ind w:firstLine="424" w:firstLineChars="177"/>
        <w:rPr>
          <w:b/>
          <w:bCs/>
          <w:highlight w:val="none"/>
        </w:rPr>
      </w:pPr>
      <w:r>
        <w:rPr>
          <w:rFonts w:hint="eastAsia"/>
          <w:highlight w:val="none"/>
        </w:rPr>
        <w:t>日        期：</w:t>
      </w:r>
    </w:p>
    <w:p>
      <w:pPr>
        <w:spacing w:line="360" w:lineRule="auto"/>
        <w:rPr>
          <w:rFonts w:ascii="宋体" w:hAnsi="宋体"/>
          <w:b/>
          <w:sz w:val="24"/>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rPr>
          <w:rFonts w:hint="eastAsia" w:ascii="宋体" w:hAnsi="宋体"/>
          <w:b/>
          <w:bCs/>
          <w:kern w:val="0"/>
          <w:sz w:val="32"/>
          <w:szCs w:val="32"/>
          <w:highlight w:val="none"/>
        </w:rPr>
      </w:pPr>
      <w:bookmarkStart w:id="57" w:name="_Toc12856_WPSOffice_Level1"/>
      <w:bookmarkStart w:id="58" w:name="_Toc26601_WPSOffice_Level1"/>
      <w:r>
        <w:rPr>
          <w:rFonts w:hint="eastAsia" w:ascii="宋体" w:hAnsi="宋体"/>
          <w:b/>
          <w:bCs/>
          <w:kern w:val="0"/>
          <w:sz w:val="32"/>
          <w:szCs w:val="32"/>
          <w:highlight w:val="none"/>
        </w:rPr>
        <w:br w:type="page"/>
      </w:r>
    </w:p>
    <w:p>
      <w:pPr>
        <w:jc w:val="left"/>
        <w:rPr>
          <w:rFonts w:hint="eastAsia" w:ascii="宋体" w:hAnsi="宋体" w:eastAsia="宋体"/>
          <w:b/>
          <w:bCs/>
          <w:kern w:val="0"/>
          <w:sz w:val="32"/>
          <w:szCs w:val="32"/>
          <w:highlight w:val="none"/>
          <w:lang w:eastAsia="zh-CN"/>
        </w:rPr>
      </w:pPr>
      <w:r>
        <w:rPr>
          <w:rFonts w:hint="eastAsia" w:ascii="宋体" w:hAnsi="宋体"/>
          <w:b/>
          <w:bCs/>
          <w:kern w:val="0"/>
          <w:sz w:val="32"/>
          <w:szCs w:val="32"/>
          <w:highlight w:val="none"/>
        </w:rPr>
        <w:t>附件</w:t>
      </w:r>
      <w:r>
        <w:rPr>
          <w:rFonts w:hint="eastAsia" w:ascii="宋体" w:hAnsi="宋体"/>
          <w:b/>
          <w:bCs/>
          <w:kern w:val="0"/>
          <w:sz w:val="32"/>
          <w:szCs w:val="32"/>
          <w:highlight w:val="none"/>
          <w:lang w:val="en-US" w:eastAsia="zh-CN"/>
        </w:rPr>
        <w:t>7</w:t>
      </w:r>
    </w:p>
    <w:p>
      <w:pPr>
        <w:snapToGrid w:val="0"/>
        <w:spacing w:line="360" w:lineRule="auto"/>
        <w:jc w:val="center"/>
        <w:rPr>
          <w:rFonts w:ascii="宋体" w:hAnsi="宋体"/>
          <w:b/>
          <w:sz w:val="32"/>
          <w:szCs w:val="32"/>
          <w:highlight w:val="none"/>
        </w:rPr>
      </w:pPr>
      <w:r>
        <w:rPr>
          <w:rFonts w:hint="eastAsia" w:ascii="宋体" w:hAnsi="宋体"/>
          <w:b/>
          <w:sz w:val="32"/>
          <w:szCs w:val="32"/>
          <w:highlight w:val="none"/>
        </w:rPr>
        <w:t>项目实施人员一览表</w:t>
      </w:r>
    </w:p>
    <w:p>
      <w:pPr>
        <w:snapToGrid w:val="0"/>
        <w:spacing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highlight w:val="none"/>
              </w:rPr>
            </w:pPr>
            <w:r>
              <w:rPr>
                <w:rFonts w:hint="eastAsia" w:ascii="宋体" w:hAnsi="宋体"/>
                <w:b/>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highlight w:val="none"/>
              </w:rPr>
            </w:pPr>
            <w:r>
              <w:rPr>
                <w:rFonts w:hint="eastAsia" w:ascii="宋体" w:hAnsi="宋体"/>
                <w:b/>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highlight w:val="none"/>
              </w:rPr>
            </w:pPr>
            <w:r>
              <w:rPr>
                <w:rFonts w:hint="eastAsia" w:ascii="宋体" w:hAnsi="宋体"/>
                <w:b/>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highlight w:val="none"/>
              </w:rPr>
            </w:pPr>
            <w:r>
              <w:rPr>
                <w:rFonts w:hint="eastAsia" w:ascii="宋体" w:hAnsi="宋体"/>
                <w:b/>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highlight w:val="none"/>
              </w:rPr>
            </w:pPr>
            <w:r>
              <w:rPr>
                <w:rFonts w:hint="eastAsia" w:ascii="宋体" w:hAnsi="宋体"/>
                <w:b/>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highlight w:val="none"/>
              </w:rPr>
            </w:pPr>
            <w:r>
              <w:rPr>
                <w:rFonts w:hint="eastAsia" w:ascii="宋体" w:hAnsi="宋体"/>
                <w:b/>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highlight w:val="none"/>
              </w:rPr>
            </w:pPr>
            <w:r>
              <w:rPr>
                <w:rFonts w:hint="eastAsia" w:ascii="宋体" w:hAnsi="宋体"/>
                <w:b/>
                <w:bCs/>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highlight w:val="none"/>
              </w:rPr>
            </w:pPr>
            <w:r>
              <w:rPr>
                <w:rFonts w:hint="eastAsia" w:ascii="宋体" w:hAnsi="宋体"/>
                <w:b/>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highlight w:val="none"/>
              </w:rPr>
            </w:pPr>
          </w:p>
        </w:tc>
      </w:tr>
    </w:tbl>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ind w:left="437"/>
        <w:rPr>
          <w:rFonts w:ascii="宋体" w:hAnsi="宋体"/>
          <w:szCs w:val="21"/>
          <w:highlight w:val="none"/>
        </w:rPr>
      </w:pPr>
      <w:r>
        <w:rPr>
          <w:rFonts w:hint="eastAsia" w:ascii="宋体" w:hAnsi="宋体"/>
          <w:bCs/>
          <w:szCs w:val="21"/>
          <w:highlight w:val="none"/>
        </w:rPr>
        <w:t>1.在填</w:t>
      </w:r>
      <w:r>
        <w:rPr>
          <w:rFonts w:hint="eastAsia" w:ascii="宋体" w:hAnsi="宋体"/>
          <w:szCs w:val="21"/>
          <w:highlight w:val="none"/>
        </w:rPr>
        <w:t>写时，如本表格不适合投标单位的实际情况，可根据本表格式自行划表填写。</w:t>
      </w:r>
    </w:p>
    <w:p>
      <w:pPr>
        <w:pStyle w:val="38"/>
        <w:spacing w:line="360" w:lineRule="auto"/>
        <w:ind w:left="424" w:leftChars="202"/>
        <w:rPr>
          <w:rFonts w:ascii="宋体" w:hAnsi="宋体"/>
          <w:szCs w:val="21"/>
          <w:highlight w:val="none"/>
        </w:rPr>
      </w:pPr>
      <w:r>
        <w:rPr>
          <w:rFonts w:hint="eastAsia" w:ascii="宋体" w:hAnsi="宋体"/>
          <w:szCs w:val="21"/>
          <w:highlight w:val="none"/>
        </w:rPr>
        <w:t>2.附人员证书。</w:t>
      </w:r>
    </w:p>
    <w:p>
      <w:pPr>
        <w:pStyle w:val="38"/>
        <w:spacing w:line="360" w:lineRule="auto"/>
        <w:rPr>
          <w:rFonts w:ascii="宋体" w:hAnsi="宋体"/>
          <w:szCs w:val="21"/>
          <w:highlight w:val="none"/>
        </w:rPr>
      </w:pPr>
      <w:r>
        <w:rPr>
          <w:rFonts w:hint="eastAsia" w:ascii="宋体" w:hAnsi="宋体"/>
          <w:szCs w:val="21"/>
          <w:highlight w:val="none"/>
        </w:rPr>
        <w:t>　　3.出具上述人员在本单位服务的外部证明，如：</w:t>
      </w:r>
      <w:r>
        <w:rPr>
          <w:rFonts w:ascii="宋体" w:hAnsi="宋体"/>
          <w:szCs w:val="21"/>
          <w:highlight w:val="none"/>
        </w:rPr>
        <w:t>投标截止日之前的</w:t>
      </w:r>
      <w:r>
        <w:rPr>
          <w:rFonts w:hint="eastAsia" w:ascii="宋体" w:hAnsi="宋体"/>
          <w:szCs w:val="21"/>
          <w:highlight w:val="none"/>
        </w:rPr>
        <w:t>代缴个税税单、参加社会保险的《投保单》或《社会保险参保人员证明》等。</w:t>
      </w:r>
    </w:p>
    <w:p>
      <w:pPr>
        <w:snapToGrid w:val="0"/>
        <w:spacing w:before="50" w:after="156" w:afterLines="50" w:line="360" w:lineRule="auto"/>
        <w:jc w:val="left"/>
        <w:rPr>
          <w:rFonts w:ascii="宋体" w:hAnsi="宋体"/>
          <w:sz w:val="24"/>
          <w:szCs w:val="20"/>
          <w:highlight w:val="none"/>
        </w:rPr>
      </w:pPr>
    </w:p>
    <w:p>
      <w:pPr>
        <w:spacing w:line="360" w:lineRule="auto"/>
        <w:ind w:left="420"/>
        <w:rPr>
          <w:rFonts w:ascii="宋体" w:hAnsi="宋体"/>
          <w:sz w:val="24"/>
          <w:highlight w:val="none"/>
          <w:u w:val="single"/>
        </w:rPr>
      </w:pPr>
      <w:r>
        <w:rPr>
          <w:rFonts w:hint="eastAsia" w:ascii="宋体" w:hAnsi="宋体"/>
          <w:sz w:val="24"/>
          <w:highlight w:val="none"/>
        </w:rPr>
        <w:t>投标人名称（公章）：</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投标人代表签字：</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p>
    <w:p>
      <w:pPr>
        <w:jc w:val="left"/>
        <w:rPr>
          <w:rFonts w:ascii="宋体" w:hAnsi="宋体"/>
          <w:b/>
          <w:bCs/>
          <w:kern w:val="0"/>
          <w:sz w:val="32"/>
          <w:szCs w:val="32"/>
          <w:highlight w:val="none"/>
        </w:rPr>
      </w:pPr>
    </w:p>
    <w:p>
      <w:pPr>
        <w:jc w:val="left"/>
        <w:rPr>
          <w:rFonts w:ascii="宋体" w:hAnsi="宋体"/>
          <w:b/>
          <w:bCs/>
          <w:kern w:val="0"/>
          <w:sz w:val="32"/>
          <w:szCs w:val="32"/>
          <w:highlight w:val="none"/>
        </w:rPr>
      </w:pPr>
      <w:r>
        <w:rPr>
          <w:rFonts w:ascii="宋体" w:hAnsi="宋体"/>
          <w:b/>
          <w:bCs/>
          <w:kern w:val="0"/>
          <w:sz w:val="32"/>
          <w:szCs w:val="32"/>
          <w:highlight w:val="none"/>
        </w:rPr>
        <w:br w:type="page"/>
      </w:r>
    </w:p>
    <w:p>
      <w:pPr>
        <w:spacing w:line="360" w:lineRule="auto"/>
        <w:jc w:val="left"/>
        <w:rPr>
          <w:rFonts w:hint="eastAsia" w:ascii="宋体" w:hAnsi="宋体" w:eastAsia="宋体"/>
          <w:b/>
          <w:bCs/>
          <w:kern w:val="0"/>
          <w:sz w:val="32"/>
          <w:szCs w:val="32"/>
          <w:highlight w:val="none"/>
          <w:lang w:eastAsia="zh-CN"/>
        </w:rPr>
      </w:pPr>
      <w:r>
        <w:rPr>
          <w:rFonts w:hint="eastAsia" w:ascii="宋体" w:hAnsi="宋体"/>
          <w:b/>
          <w:bCs/>
          <w:kern w:val="0"/>
          <w:sz w:val="32"/>
          <w:szCs w:val="32"/>
          <w:highlight w:val="none"/>
        </w:rPr>
        <w:t>附件</w:t>
      </w:r>
      <w:r>
        <w:rPr>
          <w:rFonts w:hint="eastAsia" w:ascii="宋体" w:hAnsi="宋体"/>
          <w:b/>
          <w:bCs/>
          <w:kern w:val="0"/>
          <w:sz w:val="32"/>
          <w:szCs w:val="32"/>
          <w:highlight w:val="none"/>
          <w:lang w:val="en-US" w:eastAsia="zh-CN"/>
        </w:rPr>
        <w:t>8</w:t>
      </w:r>
    </w:p>
    <w:p>
      <w:pPr>
        <w:adjustRightInd w:val="0"/>
        <w:snapToGrid w:val="0"/>
        <w:ind w:firstLine="1205" w:firstLineChars="375"/>
        <w:jc w:val="center"/>
        <w:rPr>
          <w:rFonts w:ascii="宋体" w:hAnsi="宋体"/>
          <w:b/>
          <w:kern w:val="0"/>
          <w:sz w:val="32"/>
          <w:szCs w:val="32"/>
          <w:highlight w:val="none"/>
        </w:rPr>
      </w:pPr>
      <w:r>
        <w:rPr>
          <w:rFonts w:ascii="宋体" w:hAnsi="宋体"/>
          <w:b/>
          <w:kern w:val="0"/>
          <w:sz w:val="32"/>
          <w:szCs w:val="32"/>
          <w:highlight w:val="none"/>
        </w:rPr>
        <w:t>服务条款响应表</w:t>
      </w:r>
    </w:p>
    <w:p>
      <w:pPr>
        <w:adjustRightInd w:val="0"/>
        <w:snapToGrid w:val="0"/>
        <w:ind w:firstLine="1205" w:firstLineChars="375"/>
        <w:jc w:val="center"/>
        <w:rPr>
          <w:rFonts w:ascii="宋体" w:hAnsi="宋体"/>
          <w:b/>
          <w:kern w:val="0"/>
          <w:sz w:val="32"/>
          <w:szCs w:val="32"/>
          <w:highlight w:val="none"/>
        </w:rPr>
      </w:pPr>
    </w:p>
    <w:tbl>
      <w:tblPr>
        <w:tblStyle w:val="25"/>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序号</w:t>
            </w:r>
          </w:p>
        </w:tc>
        <w:tc>
          <w:tcPr>
            <w:tcW w:w="3563"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u w:val="thick" w:color="FFFFFF"/>
              </w:rPr>
              <w:t>招标文件</w:t>
            </w:r>
            <w:r>
              <w:rPr>
                <w:rFonts w:ascii="宋体" w:hAnsi="宋体"/>
                <w:sz w:val="24"/>
                <w:highlight w:val="none"/>
              </w:rPr>
              <w:t>要求</w:t>
            </w:r>
          </w:p>
        </w:tc>
        <w:tc>
          <w:tcPr>
            <w:tcW w:w="2492"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投标响应内容</w:t>
            </w:r>
          </w:p>
        </w:tc>
        <w:tc>
          <w:tcPr>
            <w:tcW w:w="1242"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响应情况</w:t>
            </w:r>
          </w:p>
        </w:tc>
        <w:tc>
          <w:tcPr>
            <w:tcW w:w="710"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1</w:t>
            </w:r>
          </w:p>
        </w:tc>
        <w:tc>
          <w:tcPr>
            <w:tcW w:w="3563"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w:t>
            </w:r>
            <w:r>
              <w:rPr>
                <w:rFonts w:hint="eastAsia" w:ascii="宋体" w:hAnsi="宋体"/>
                <w:sz w:val="24"/>
                <w:highlight w:val="none"/>
              </w:rPr>
              <w:t>服务周期要求</w:t>
            </w:r>
            <w:r>
              <w:rPr>
                <w:rFonts w:ascii="宋体" w:hAnsi="宋体"/>
                <w:sz w:val="24"/>
                <w:highlight w:val="none"/>
              </w:rPr>
              <w:t>）</w:t>
            </w:r>
          </w:p>
        </w:tc>
        <w:tc>
          <w:tcPr>
            <w:tcW w:w="2492" w:type="dxa"/>
            <w:vAlign w:val="center"/>
          </w:tcPr>
          <w:p>
            <w:pPr>
              <w:adjustRightInd w:val="0"/>
              <w:snapToGrid w:val="0"/>
              <w:spacing w:before="100" w:beforeAutospacing="1" w:after="100" w:afterAutospacing="1"/>
              <w:rPr>
                <w:rFonts w:ascii="宋体" w:hAnsi="宋体"/>
                <w:sz w:val="24"/>
                <w:highlight w:val="none"/>
              </w:rPr>
            </w:pPr>
          </w:p>
        </w:tc>
        <w:tc>
          <w:tcPr>
            <w:tcW w:w="1242" w:type="dxa"/>
            <w:vAlign w:val="center"/>
          </w:tcPr>
          <w:p>
            <w:pPr>
              <w:adjustRightInd w:val="0"/>
              <w:snapToGrid w:val="0"/>
              <w:spacing w:before="100" w:beforeAutospacing="1" w:after="100" w:afterAutospacing="1"/>
              <w:jc w:val="center"/>
              <w:rPr>
                <w:rFonts w:ascii="宋体" w:hAnsi="宋体"/>
                <w:sz w:val="24"/>
                <w:highlight w:val="none"/>
              </w:rPr>
            </w:pPr>
          </w:p>
        </w:tc>
        <w:tc>
          <w:tcPr>
            <w:tcW w:w="710" w:type="dxa"/>
            <w:vAlign w:val="center"/>
          </w:tcPr>
          <w:p>
            <w:pPr>
              <w:adjustRightInd w:val="0"/>
              <w:snapToGrid w:val="0"/>
              <w:spacing w:before="100" w:beforeAutospacing="1" w:after="100" w:afterAutospacing="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2</w:t>
            </w:r>
          </w:p>
        </w:tc>
        <w:tc>
          <w:tcPr>
            <w:tcW w:w="3563"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w:t>
            </w:r>
            <w:r>
              <w:rPr>
                <w:rFonts w:hint="eastAsia" w:ascii="宋体" w:hAnsi="宋体"/>
                <w:sz w:val="24"/>
                <w:highlight w:val="none"/>
              </w:rPr>
              <w:t>验收要求</w:t>
            </w:r>
            <w:r>
              <w:rPr>
                <w:rFonts w:ascii="宋体" w:hAnsi="宋体"/>
                <w:sz w:val="24"/>
                <w:highlight w:val="none"/>
              </w:rPr>
              <w:t>）</w:t>
            </w:r>
          </w:p>
        </w:tc>
        <w:tc>
          <w:tcPr>
            <w:tcW w:w="2492" w:type="dxa"/>
            <w:vAlign w:val="center"/>
          </w:tcPr>
          <w:p>
            <w:pPr>
              <w:adjustRightInd w:val="0"/>
              <w:snapToGrid w:val="0"/>
              <w:spacing w:before="100" w:beforeAutospacing="1" w:after="100" w:afterAutospacing="1"/>
              <w:rPr>
                <w:rFonts w:ascii="宋体" w:hAnsi="宋体"/>
                <w:sz w:val="24"/>
                <w:highlight w:val="none"/>
              </w:rPr>
            </w:pPr>
          </w:p>
        </w:tc>
        <w:tc>
          <w:tcPr>
            <w:tcW w:w="1242" w:type="dxa"/>
            <w:vAlign w:val="center"/>
          </w:tcPr>
          <w:p>
            <w:pPr>
              <w:adjustRightInd w:val="0"/>
              <w:snapToGrid w:val="0"/>
              <w:spacing w:before="100" w:beforeAutospacing="1" w:after="100" w:afterAutospacing="1"/>
              <w:jc w:val="center"/>
              <w:rPr>
                <w:rFonts w:ascii="宋体" w:hAnsi="宋体"/>
                <w:sz w:val="24"/>
                <w:highlight w:val="none"/>
              </w:rPr>
            </w:pPr>
          </w:p>
        </w:tc>
        <w:tc>
          <w:tcPr>
            <w:tcW w:w="710" w:type="dxa"/>
            <w:vAlign w:val="center"/>
          </w:tcPr>
          <w:p>
            <w:pPr>
              <w:adjustRightInd w:val="0"/>
              <w:snapToGrid w:val="0"/>
              <w:spacing w:before="100" w:beforeAutospacing="1" w:after="100" w:afterAutospacing="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3</w:t>
            </w:r>
          </w:p>
        </w:tc>
        <w:tc>
          <w:tcPr>
            <w:tcW w:w="3563"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w:t>
            </w:r>
            <w:r>
              <w:rPr>
                <w:rFonts w:hint="eastAsia" w:ascii="宋体" w:hAnsi="宋体"/>
                <w:sz w:val="24"/>
                <w:highlight w:val="none"/>
              </w:rPr>
              <w:t>付款方式</w:t>
            </w:r>
            <w:r>
              <w:rPr>
                <w:rFonts w:ascii="宋体" w:hAnsi="宋体"/>
                <w:sz w:val="24"/>
                <w:highlight w:val="none"/>
              </w:rPr>
              <w:t>）</w:t>
            </w:r>
          </w:p>
        </w:tc>
        <w:tc>
          <w:tcPr>
            <w:tcW w:w="2492" w:type="dxa"/>
            <w:vAlign w:val="center"/>
          </w:tcPr>
          <w:p>
            <w:pPr>
              <w:adjustRightInd w:val="0"/>
              <w:snapToGrid w:val="0"/>
              <w:spacing w:before="100" w:beforeAutospacing="1" w:after="100" w:afterAutospacing="1"/>
              <w:rPr>
                <w:rFonts w:ascii="宋体" w:hAnsi="宋体"/>
                <w:sz w:val="24"/>
                <w:highlight w:val="none"/>
              </w:rPr>
            </w:pPr>
          </w:p>
        </w:tc>
        <w:tc>
          <w:tcPr>
            <w:tcW w:w="1242" w:type="dxa"/>
            <w:vAlign w:val="center"/>
          </w:tcPr>
          <w:p>
            <w:pPr>
              <w:adjustRightInd w:val="0"/>
              <w:snapToGrid w:val="0"/>
              <w:spacing w:before="100" w:beforeAutospacing="1" w:after="100" w:afterAutospacing="1"/>
              <w:rPr>
                <w:rFonts w:ascii="宋体" w:hAnsi="宋体"/>
                <w:sz w:val="24"/>
                <w:highlight w:val="none"/>
              </w:rPr>
            </w:pPr>
          </w:p>
        </w:tc>
        <w:tc>
          <w:tcPr>
            <w:tcW w:w="710" w:type="dxa"/>
            <w:vAlign w:val="center"/>
          </w:tcPr>
          <w:p>
            <w:pPr>
              <w:adjustRightInd w:val="0"/>
              <w:snapToGrid w:val="0"/>
              <w:spacing w:before="100" w:beforeAutospacing="1" w:after="100" w:afterAutospacing="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4</w:t>
            </w:r>
          </w:p>
        </w:tc>
        <w:tc>
          <w:tcPr>
            <w:tcW w:w="3563" w:type="dxa"/>
            <w:vAlign w:val="center"/>
          </w:tcPr>
          <w:p>
            <w:pPr>
              <w:adjustRightInd w:val="0"/>
              <w:snapToGrid w:val="0"/>
              <w:spacing w:before="100" w:beforeAutospacing="1" w:after="100" w:afterAutospacing="1"/>
              <w:jc w:val="center"/>
              <w:rPr>
                <w:rFonts w:ascii="宋体" w:hAnsi="宋体"/>
                <w:sz w:val="24"/>
                <w:highlight w:val="none"/>
              </w:rPr>
            </w:pPr>
          </w:p>
        </w:tc>
        <w:tc>
          <w:tcPr>
            <w:tcW w:w="2492" w:type="dxa"/>
            <w:vAlign w:val="center"/>
          </w:tcPr>
          <w:p>
            <w:pPr>
              <w:adjustRightInd w:val="0"/>
              <w:snapToGrid w:val="0"/>
              <w:spacing w:before="100" w:beforeAutospacing="1" w:after="100" w:afterAutospacing="1"/>
              <w:rPr>
                <w:rFonts w:ascii="宋体" w:hAnsi="宋体"/>
                <w:sz w:val="24"/>
                <w:highlight w:val="none"/>
              </w:rPr>
            </w:pPr>
          </w:p>
        </w:tc>
        <w:tc>
          <w:tcPr>
            <w:tcW w:w="1242" w:type="dxa"/>
            <w:vAlign w:val="center"/>
          </w:tcPr>
          <w:p>
            <w:pPr>
              <w:adjustRightInd w:val="0"/>
              <w:snapToGrid w:val="0"/>
              <w:spacing w:before="100" w:beforeAutospacing="1" w:after="100" w:afterAutospacing="1"/>
              <w:rPr>
                <w:rFonts w:ascii="宋体" w:hAnsi="宋体"/>
                <w:sz w:val="24"/>
                <w:highlight w:val="none"/>
              </w:rPr>
            </w:pPr>
          </w:p>
        </w:tc>
        <w:tc>
          <w:tcPr>
            <w:tcW w:w="710" w:type="dxa"/>
            <w:vAlign w:val="center"/>
          </w:tcPr>
          <w:p>
            <w:pPr>
              <w:adjustRightInd w:val="0"/>
              <w:snapToGrid w:val="0"/>
              <w:spacing w:before="100" w:beforeAutospacing="1" w:after="100" w:afterAutospacing="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5</w:t>
            </w:r>
          </w:p>
        </w:tc>
        <w:tc>
          <w:tcPr>
            <w:tcW w:w="3563" w:type="dxa"/>
            <w:vAlign w:val="center"/>
          </w:tcPr>
          <w:p>
            <w:pPr>
              <w:adjustRightInd w:val="0"/>
              <w:snapToGrid w:val="0"/>
              <w:spacing w:before="100" w:beforeAutospacing="1" w:after="100" w:afterAutospacing="1"/>
              <w:jc w:val="center"/>
              <w:rPr>
                <w:rFonts w:ascii="宋体" w:hAnsi="宋体"/>
                <w:sz w:val="24"/>
                <w:highlight w:val="none"/>
              </w:rPr>
            </w:pPr>
          </w:p>
        </w:tc>
        <w:tc>
          <w:tcPr>
            <w:tcW w:w="2492" w:type="dxa"/>
            <w:vAlign w:val="center"/>
          </w:tcPr>
          <w:p>
            <w:pPr>
              <w:adjustRightInd w:val="0"/>
              <w:snapToGrid w:val="0"/>
              <w:spacing w:before="100" w:beforeAutospacing="1" w:after="100" w:afterAutospacing="1"/>
              <w:rPr>
                <w:rFonts w:ascii="宋体" w:hAnsi="宋体"/>
                <w:sz w:val="24"/>
                <w:highlight w:val="none"/>
              </w:rPr>
            </w:pPr>
          </w:p>
        </w:tc>
        <w:tc>
          <w:tcPr>
            <w:tcW w:w="1242" w:type="dxa"/>
            <w:vAlign w:val="center"/>
          </w:tcPr>
          <w:p>
            <w:pPr>
              <w:adjustRightInd w:val="0"/>
              <w:snapToGrid w:val="0"/>
              <w:spacing w:before="100" w:beforeAutospacing="1" w:after="100" w:afterAutospacing="1"/>
              <w:rPr>
                <w:rFonts w:ascii="宋体" w:hAnsi="宋体"/>
                <w:sz w:val="24"/>
                <w:highlight w:val="none"/>
              </w:rPr>
            </w:pPr>
          </w:p>
        </w:tc>
        <w:tc>
          <w:tcPr>
            <w:tcW w:w="710" w:type="dxa"/>
            <w:vAlign w:val="center"/>
          </w:tcPr>
          <w:p>
            <w:pPr>
              <w:adjustRightInd w:val="0"/>
              <w:snapToGrid w:val="0"/>
              <w:spacing w:before="100" w:beforeAutospacing="1" w:after="100" w:afterAutospacing="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6</w:t>
            </w:r>
          </w:p>
        </w:tc>
        <w:tc>
          <w:tcPr>
            <w:tcW w:w="3563" w:type="dxa"/>
            <w:vAlign w:val="center"/>
          </w:tcPr>
          <w:p>
            <w:pPr>
              <w:adjustRightInd w:val="0"/>
              <w:snapToGrid w:val="0"/>
              <w:spacing w:before="100" w:beforeAutospacing="1" w:after="100" w:afterAutospacing="1"/>
              <w:jc w:val="center"/>
              <w:rPr>
                <w:rFonts w:ascii="宋体" w:hAnsi="宋体"/>
                <w:sz w:val="24"/>
                <w:highlight w:val="none"/>
              </w:rPr>
            </w:pPr>
          </w:p>
        </w:tc>
        <w:tc>
          <w:tcPr>
            <w:tcW w:w="2492" w:type="dxa"/>
            <w:vAlign w:val="center"/>
          </w:tcPr>
          <w:p>
            <w:pPr>
              <w:adjustRightInd w:val="0"/>
              <w:snapToGrid w:val="0"/>
              <w:spacing w:before="100" w:beforeAutospacing="1" w:after="100" w:afterAutospacing="1"/>
              <w:rPr>
                <w:rFonts w:ascii="宋体" w:hAnsi="宋体"/>
                <w:sz w:val="24"/>
                <w:highlight w:val="none"/>
              </w:rPr>
            </w:pPr>
          </w:p>
        </w:tc>
        <w:tc>
          <w:tcPr>
            <w:tcW w:w="1242" w:type="dxa"/>
            <w:vAlign w:val="center"/>
          </w:tcPr>
          <w:p>
            <w:pPr>
              <w:adjustRightInd w:val="0"/>
              <w:snapToGrid w:val="0"/>
              <w:spacing w:before="100" w:beforeAutospacing="1" w:after="100" w:afterAutospacing="1"/>
              <w:rPr>
                <w:rFonts w:ascii="宋体" w:hAnsi="宋体"/>
                <w:sz w:val="24"/>
                <w:highlight w:val="none"/>
              </w:rPr>
            </w:pPr>
          </w:p>
        </w:tc>
        <w:tc>
          <w:tcPr>
            <w:tcW w:w="710" w:type="dxa"/>
            <w:vAlign w:val="center"/>
          </w:tcPr>
          <w:p>
            <w:pPr>
              <w:adjustRightInd w:val="0"/>
              <w:snapToGrid w:val="0"/>
              <w:spacing w:before="100" w:beforeAutospacing="1" w:after="100" w:afterAutospacing="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7</w:t>
            </w:r>
          </w:p>
        </w:tc>
        <w:tc>
          <w:tcPr>
            <w:tcW w:w="3563" w:type="dxa"/>
            <w:vAlign w:val="center"/>
          </w:tcPr>
          <w:p>
            <w:pPr>
              <w:adjustRightInd w:val="0"/>
              <w:snapToGrid w:val="0"/>
              <w:spacing w:before="100" w:beforeAutospacing="1" w:after="100" w:afterAutospacing="1"/>
              <w:jc w:val="center"/>
              <w:rPr>
                <w:rFonts w:ascii="宋体" w:hAnsi="宋体"/>
                <w:sz w:val="24"/>
                <w:highlight w:val="none"/>
              </w:rPr>
            </w:pPr>
          </w:p>
        </w:tc>
        <w:tc>
          <w:tcPr>
            <w:tcW w:w="2492" w:type="dxa"/>
            <w:vAlign w:val="center"/>
          </w:tcPr>
          <w:p>
            <w:pPr>
              <w:adjustRightInd w:val="0"/>
              <w:snapToGrid w:val="0"/>
              <w:spacing w:before="100" w:beforeAutospacing="1" w:after="100" w:afterAutospacing="1"/>
              <w:rPr>
                <w:rFonts w:ascii="宋体" w:hAnsi="宋体"/>
                <w:sz w:val="24"/>
                <w:highlight w:val="none"/>
              </w:rPr>
            </w:pPr>
          </w:p>
        </w:tc>
        <w:tc>
          <w:tcPr>
            <w:tcW w:w="1242" w:type="dxa"/>
            <w:vAlign w:val="center"/>
          </w:tcPr>
          <w:p>
            <w:pPr>
              <w:adjustRightInd w:val="0"/>
              <w:snapToGrid w:val="0"/>
              <w:spacing w:before="100" w:beforeAutospacing="1" w:after="100" w:afterAutospacing="1"/>
              <w:rPr>
                <w:rFonts w:ascii="宋体" w:hAnsi="宋体"/>
                <w:sz w:val="24"/>
                <w:highlight w:val="none"/>
              </w:rPr>
            </w:pPr>
          </w:p>
        </w:tc>
        <w:tc>
          <w:tcPr>
            <w:tcW w:w="710" w:type="dxa"/>
            <w:vAlign w:val="center"/>
          </w:tcPr>
          <w:p>
            <w:pPr>
              <w:adjustRightInd w:val="0"/>
              <w:snapToGrid w:val="0"/>
              <w:spacing w:before="100" w:beforeAutospacing="1" w:after="100" w:afterAutospacing="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p>
        </w:tc>
        <w:tc>
          <w:tcPr>
            <w:tcW w:w="3563" w:type="dxa"/>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w:t>
            </w:r>
          </w:p>
        </w:tc>
        <w:tc>
          <w:tcPr>
            <w:tcW w:w="2492" w:type="dxa"/>
            <w:vAlign w:val="center"/>
          </w:tcPr>
          <w:p>
            <w:pPr>
              <w:adjustRightInd w:val="0"/>
              <w:snapToGrid w:val="0"/>
              <w:spacing w:before="100" w:beforeAutospacing="1" w:after="100" w:afterAutospacing="1"/>
              <w:rPr>
                <w:rFonts w:ascii="宋体" w:hAnsi="宋体"/>
                <w:sz w:val="24"/>
                <w:highlight w:val="none"/>
              </w:rPr>
            </w:pPr>
          </w:p>
        </w:tc>
        <w:tc>
          <w:tcPr>
            <w:tcW w:w="1242" w:type="dxa"/>
            <w:vAlign w:val="center"/>
          </w:tcPr>
          <w:p>
            <w:pPr>
              <w:adjustRightInd w:val="0"/>
              <w:snapToGrid w:val="0"/>
              <w:spacing w:before="100" w:beforeAutospacing="1" w:after="100" w:afterAutospacing="1"/>
              <w:rPr>
                <w:rFonts w:ascii="宋体" w:hAnsi="宋体"/>
                <w:sz w:val="24"/>
                <w:highlight w:val="none"/>
              </w:rPr>
            </w:pPr>
          </w:p>
        </w:tc>
        <w:tc>
          <w:tcPr>
            <w:tcW w:w="710" w:type="dxa"/>
            <w:vAlign w:val="center"/>
          </w:tcPr>
          <w:p>
            <w:pPr>
              <w:adjustRightInd w:val="0"/>
              <w:snapToGrid w:val="0"/>
              <w:spacing w:before="100" w:beforeAutospacing="1" w:after="100" w:afterAutospacing="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 w:type="dxa"/>
            <w:vAlign w:val="center"/>
          </w:tcPr>
          <w:p>
            <w:pPr>
              <w:adjustRightInd w:val="0"/>
              <w:snapToGrid w:val="0"/>
              <w:spacing w:before="100" w:beforeAutospacing="1" w:after="100" w:afterAutospacing="1"/>
              <w:jc w:val="center"/>
              <w:rPr>
                <w:rFonts w:ascii="宋体" w:hAnsi="宋体"/>
                <w:sz w:val="24"/>
                <w:highlight w:val="none"/>
              </w:rPr>
            </w:pPr>
          </w:p>
        </w:tc>
        <w:tc>
          <w:tcPr>
            <w:tcW w:w="3563" w:type="dxa"/>
            <w:vAlign w:val="center"/>
          </w:tcPr>
          <w:p>
            <w:pPr>
              <w:adjustRightInd w:val="0"/>
              <w:snapToGrid w:val="0"/>
              <w:spacing w:before="100" w:beforeAutospacing="1" w:after="100" w:afterAutospacing="1"/>
              <w:rPr>
                <w:rFonts w:ascii="宋体" w:hAnsi="宋体"/>
                <w:sz w:val="24"/>
                <w:highlight w:val="none"/>
              </w:rPr>
            </w:pPr>
          </w:p>
        </w:tc>
        <w:tc>
          <w:tcPr>
            <w:tcW w:w="2492" w:type="dxa"/>
            <w:vAlign w:val="center"/>
          </w:tcPr>
          <w:p>
            <w:pPr>
              <w:adjustRightInd w:val="0"/>
              <w:snapToGrid w:val="0"/>
              <w:spacing w:before="100" w:beforeAutospacing="1" w:after="100" w:afterAutospacing="1"/>
              <w:rPr>
                <w:rFonts w:ascii="宋体" w:hAnsi="宋体"/>
                <w:sz w:val="24"/>
                <w:highlight w:val="none"/>
              </w:rPr>
            </w:pPr>
          </w:p>
        </w:tc>
        <w:tc>
          <w:tcPr>
            <w:tcW w:w="1242" w:type="dxa"/>
            <w:vAlign w:val="center"/>
          </w:tcPr>
          <w:p>
            <w:pPr>
              <w:adjustRightInd w:val="0"/>
              <w:snapToGrid w:val="0"/>
              <w:spacing w:before="100" w:beforeAutospacing="1" w:after="100" w:afterAutospacing="1"/>
              <w:rPr>
                <w:rFonts w:ascii="宋体" w:hAnsi="宋体"/>
                <w:sz w:val="24"/>
                <w:highlight w:val="none"/>
              </w:rPr>
            </w:pPr>
          </w:p>
        </w:tc>
        <w:tc>
          <w:tcPr>
            <w:tcW w:w="710" w:type="dxa"/>
            <w:vAlign w:val="center"/>
          </w:tcPr>
          <w:p>
            <w:pPr>
              <w:adjustRightInd w:val="0"/>
              <w:snapToGrid w:val="0"/>
              <w:spacing w:before="100" w:beforeAutospacing="1" w:after="100" w:afterAutospacing="1"/>
              <w:rPr>
                <w:rFonts w:ascii="宋体" w:hAnsi="宋体"/>
                <w:sz w:val="24"/>
                <w:highlight w:val="none"/>
              </w:rPr>
            </w:pPr>
          </w:p>
        </w:tc>
      </w:tr>
    </w:tbl>
    <w:p>
      <w:pPr>
        <w:pStyle w:val="13"/>
        <w:adjustRightInd w:val="0"/>
        <w:snapToGrid w:val="0"/>
        <w:rPr>
          <w:rFonts w:hAnsi="宋体"/>
          <w:b/>
          <w:szCs w:val="21"/>
          <w:highlight w:val="none"/>
        </w:rPr>
      </w:pPr>
      <w:r>
        <w:rPr>
          <w:rFonts w:hAnsi="宋体"/>
          <w:b/>
          <w:szCs w:val="21"/>
          <w:highlight w:val="none"/>
        </w:rPr>
        <w:t>说明：1</w:t>
      </w:r>
      <w:r>
        <w:rPr>
          <w:rFonts w:hint="eastAsia" w:hAnsi="宋体"/>
          <w:b/>
          <w:szCs w:val="21"/>
          <w:highlight w:val="none"/>
        </w:rPr>
        <w:t>、</w:t>
      </w:r>
      <w:r>
        <w:rPr>
          <w:rFonts w:hAnsi="宋体"/>
          <w:b/>
          <w:szCs w:val="21"/>
          <w:highlight w:val="none"/>
        </w:rPr>
        <w:t>投标人若不填写</w:t>
      </w:r>
      <w:r>
        <w:rPr>
          <w:rFonts w:hint="eastAsia" w:hAnsi="宋体"/>
          <w:b/>
          <w:szCs w:val="21"/>
          <w:highlight w:val="none"/>
        </w:rPr>
        <w:t>此表</w:t>
      </w:r>
      <w:r>
        <w:rPr>
          <w:rFonts w:hAnsi="宋体"/>
          <w:b/>
          <w:szCs w:val="21"/>
          <w:highlight w:val="none"/>
        </w:rPr>
        <w:t>，则视为完全响应</w:t>
      </w:r>
      <w:r>
        <w:rPr>
          <w:rFonts w:hint="eastAsia" w:hAnsi="宋体"/>
          <w:b/>
          <w:szCs w:val="21"/>
          <w:highlight w:val="none"/>
        </w:rPr>
        <w:t>招标</w:t>
      </w:r>
      <w:r>
        <w:rPr>
          <w:rFonts w:hAnsi="宋体"/>
          <w:b/>
          <w:szCs w:val="21"/>
          <w:highlight w:val="none"/>
        </w:rPr>
        <w:t>文件要求</w:t>
      </w:r>
      <w:r>
        <w:rPr>
          <w:rFonts w:hint="eastAsia" w:hAnsi="宋体"/>
          <w:b/>
          <w:szCs w:val="21"/>
          <w:highlight w:val="none"/>
        </w:rPr>
        <w:t>。</w:t>
      </w:r>
    </w:p>
    <w:p>
      <w:pPr>
        <w:pStyle w:val="13"/>
        <w:adjustRightInd w:val="0"/>
        <w:snapToGrid w:val="0"/>
        <w:rPr>
          <w:rFonts w:hAnsi="宋体"/>
          <w:b/>
          <w:szCs w:val="21"/>
          <w:highlight w:val="none"/>
        </w:rPr>
      </w:pPr>
      <w:r>
        <w:rPr>
          <w:rFonts w:hint="eastAsia" w:hAnsi="宋体"/>
          <w:b/>
          <w:szCs w:val="21"/>
          <w:highlight w:val="none"/>
        </w:rPr>
        <w:t xml:space="preserve">       2、</w:t>
      </w:r>
      <w:r>
        <w:rPr>
          <w:rFonts w:hAnsi="宋体"/>
          <w:b/>
          <w:szCs w:val="21"/>
          <w:highlight w:val="none"/>
        </w:rPr>
        <w:t xml:space="preserve">投标人拟提供的服务承诺与招标文件中的要求不一致时，则必须在技术标《服务条款响应表》中予以明确。 </w:t>
      </w:r>
    </w:p>
    <w:p>
      <w:pPr>
        <w:adjustRightInd w:val="0"/>
        <w:snapToGrid w:val="0"/>
        <w:jc w:val="left"/>
        <w:rPr>
          <w:rFonts w:ascii="宋体" w:hAnsi="宋体"/>
          <w:b/>
          <w:kern w:val="0"/>
          <w:szCs w:val="21"/>
          <w:highlight w:val="none"/>
        </w:rPr>
      </w:pPr>
      <w:r>
        <w:rPr>
          <w:rFonts w:hint="eastAsia" w:ascii="宋体" w:hAnsi="宋体"/>
          <w:b/>
          <w:szCs w:val="21"/>
          <w:highlight w:val="none"/>
        </w:rPr>
        <w:t xml:space="preserve">       3</w:t>
      </w:r>
      <w:r>
        <w:rPr>
          <w:rFonts w:ascii="宋体" w:hAnsi="宋体"/>
          <w:b/>
          <w:szCs w:val="21"/>
          <w:highlight w:val="none"/>
        </w:rPr>
        <w:t>、响应情况分别为：正偏离、响应或负偏离。投标人可在备注栏内就偏离原因进行简要说明。</w:t>
      </w:r>
    </w:p>
    <w:bookmarkEnd w:id="57"/>
    <w:bookmarkEnd w:id="58"/>
    <w:p>
      <w:pPr>
        <w:spacing w:line="360" w:lineRule="auto"/>
        <w:rPr>
          <w:rFonts w:ascii="宋体" w:hAnsi="宋体"/>
          <w:sz w:val="24"/>
          <w:highlight w:val="none"/>
        </w:rPr>
      </w:pPr>
    </w:p>
    <w:p>
      <w:pPr>
        <w:pStyle w:val="24"/>
        <w:rPr>
          <w:highlight w:val="none"/>
        </w:rPr>
      </w:pPr>
    </w:p>
    <w:p>
      <w:pPr>
        <w:spacing w:line="360" w:lineRule="auto"/>
        <w:ind w:left="420"/>
        <w:rPr>
          <w:rFonts w:ascii="宋体" w:hAnsi="宋体"/>
          <w:sz w:val="24"/>
          <w:highlight w:val="none"/>
          <w:u w:val="single"/>
        </w:rPr>
      </w:pPr>
      <w:r>
        <w:rPr>
          <w:rFonts w:hint="eastAsia" w:ascii="宋体" w:hAnsi="宋体"/>
          <w:sz w:val="24"/>
          <w:highlight w:val="none"/>
        </w:rPr>
        <w:t>投标人名称（公章）：</w:t>
      </w:r>
    </w:p>
    <w:p>
      <w:pPr>
        <w:spacing w:line="360" w:lineRule="auto"/>
        <w:ind w:firstLine="435"/>
        <w:rPr>
          <w:rFonts w:ascii="宋体" w:hAnsi="宋体"/>
          <w:sz w:val="24"/>
          <w:highlight w:val="none"/>
        </w:rPr>
      </w:pPr>
      <w:r>
        <w:rPr>
          <w:rFonts w:hint="eastAsia" w:ascii="宋体" w:hAnsi="宋体"/>
          <w:sz w:val="24"/>
          <w:highlight w:val="none"/>
        </w:rPr>
        <w:t>投标人代表签字：</w:t>
      </w:r>
    </w:p>
    <w:p>
      <w:pPr>
        <w:spacing w:line="360" w:lineRule="auto"/>
        <w:ind w:firstLine="435"/>
        <w:rPr>
          <w:rFonts w:ascii="宋体" w:hAnsi="宋体"/>
          <w:sz w:val="24"/>
          <w:highlight w:val="none"/>
          <w:u w:val="single"/>
        </w:rPr>
      </w:pPr>
      <w:r>
        <w:rPr>
          <w:rFonts w:hint="eastAsia" w:ascii="宋体" w:hAnsi="宋体"/>
          <w:sz w:val="24"/>
          <w:highlight w:val="none"/>
        </w:rPr>
        <w:t>职        务：</w:t>
      </w:r>
    </w:p>
    <w:p>
      <w:pPr>
        <w:spacing w:line="360" w:lineRule="auto"/>
        <w:ind w:firstLine="435"/>
        <w:rPr>
          <w:rFonts w:ascii="宋体" w:hAnsi="宋体"/>
          <w:sz w:val="24"/>
          <w:highlight w:val="none"/>
        </w:rPr>
      </w:pPr>
      <w:r>
        <w:rPr>
          <w:rFonts w:hint="eastAsia" w:ascii="宋体" w:hAnsi="宋体"/>
          <w:sz w:val="24"/>
          <w:highlight w:val="none"/>
        </w:rPr>
        <w:t>日        期：</w:t>
      </w:r>
    </w:p>
    <w:p>
      <w:pPr>
        <w:spacing w:line="360" w:lineRule="auto"/>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pStyle w:val="40"/>
        <w:spacing w:line="360" w:lineRule="auto"/>
        <w:jc w:val="left"/>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9</w:t>
      </w:r>
    </w:p>
    <w:p>
      <w:pPr>
        <w:pStyle w:val="41"/>
        <w:spacing w:line="360" w:lineRule="auto"/>
        <w:jc w:val="center"/>
        <w:rPr>
          <w:rFonts w:ascii="宋体" w:hAnsi="宋体" w:cs="Arial"/>
          <w:sz w:val="28"/>
          <w:szCs w:val="28"/>
          <w:highlight w:val="none"/>
        </w:rPr>
      </w:pPr>
      <w:bookmarkStart w:id="59" w:name="_Toc11030_WPSOffice_Level1"/>
      <w:bookmarkStart w:id="60" w:name="_Toc17604_WPSOffice_Level1"/>
      <w:r>
        <w:rPr>
          <w:rFonts w:hint="eastAsia" w:ascii="宋体" w:hAnsi="宋体"/>
          <w:b/>
          <w:sz w:val="32"/>
          <w:szCs w:val="32"/>
          <w:highlight w:val="none"/>
        </w:rPr>
        <w:t>证书一览表</w:t>
      </w:r>
      <w:bookmarkEnd w:id="59"/>
      <w:bookmarkEnd w:id="60"/>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highlight w:val="none"/>
              </w:rPr>
            </w:pPr>
            <w:r>
              <w:rPr>
                <w:rFonts w:hint="eastAsia" w:ascii="宋体" w:hAnsi="宋体" w:cs="Arial"/>
                <w:b/>
                <w:bCs/>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highlight w:val="none"/>
              </w:rPr>
            </w:pPr>
            <w:r>
              <w:rPr>
                <w:rFonts w:hint="eastAsia" w:ascii="宋体" w:hAnsi="宋体" w:cs="Arial"/>
                <w:b/>
                <w:bCs/>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highlight w:val="none"/>
              </w:rPr>
            </w:pPr>
            <w:r>
              <w:rPr>
                <w:rFonts w:hint="eastAsia" w:ascii="宋体" w:hAnsi="宋体" w:cs="Arial"/>
                <w:b/>
                <w:bCs/>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highlight w:val="none"/>
              </w:rPr>
            </w:pPr>
            <w:r>
              <w:rPr>
                <w:rFonts w:hint="eastAsia" w:ascii="宋体" w:hAnsi="宋体" w:cs="Arial"/>
                <w:b/>
                <w:bCs/>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58"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60"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58"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60"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highlight w:val="none"/>
              </w:rPr>
            </w:pPr>
          </w:p>
        </w:tc>
      </w:tr>
    </w:tbl>
    <w:p>
      <w:pPr>
        <w:pStyle w:val="41"/>
        <w:tabs>
          <w:tab w:val="left" w:pos="1050"/>
        </w:tabs>
        <w:spacing w:line="360" w:lineRule="auto"/>
        <w:rPr>
          <w:rFonts w:ascii="宋体" w:hAnsi="宋体"/>
          <w:szCs w:val="21"/>
          <w:highlight w:val="none"/>
        </w:rPr>
      </w:pPr>
      <w:r>
        <w:rPr>
          <w:rFonts w:hint="eastAsia" w:ascii="宋体" w:hAnsi="宋体"/>
          <w:b/>
          <w:szCs w:val="21"/>
          <w:highlight w:val="none"/>
        </w:rPr>
        <w:t>要求：</w:t>
      </w:r>
    </w:p>
    <w:p>
      <w:pPr>
        <w:pStyle w:val="41"/>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1.填写投标人获得资质、认证或企业信誉证书。</w:t>
      </w:r>
    </w:p>
    <w:p>
      <w:pPr>
        <w:pStyle w:val="41"/>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2.附所列证书或其他证明材料。</w:t>
      </w:r>
    </w:p>
    <w:p>
      <w:pPr>
        <w:pStyle w:val="41"/>
        <w:tabs>
          <w:tab w:val="left" w:pos="1050"/>
        </w:tabs>
        <w:spacing w:line="360" w:lineRule="auto"/>
        <w:rPr>
          <w:rFonts w:ascii="仿宋_GB2312" w:hAnsi="宋体" w:eastAsia="仿宋_GB2312"/>
          <w:sz w:val="24"/>
          <w:highlight w:val="none"/>
        </w:rPr>
      </w:pPr>
    </w:p>
    <w:p>
      <w:pPr>
        <w:pStyle w:val="41"/>
        <w:tabs>
          <w:tab w:val="left" w:pos="1050"/>
        </w:tabs>
        <w:spacing w:line="360" w:lineRule="auto"/>
        <w:ind w:firstLine="720" w:firstLineChars="300"/>
        <w:rPr>
          <w:rFonts w:ascii="仿宋_GB2312" w:hAnsi="宋体" w:eastAsia="仿宋_GB2312"/>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pPr>
        <w:spacing w:line="360" w:lineRule="auto"/>
        <w:ind w:left="420"/>
        <w:rPr>
          <w:rFonts w:ascii="宋体" w:hAnsi="宋体"/>
          <w:sz w:val="24"/>
          <w:highlight w:val="none"/>
        </w:rPr>
      </w:pPr>
    </w:p>
    <w:p>
      <w:pPr>
        <w:spacing w:line="360" w:lineRule="auto"/>
        <w:ind w:firstLine="424" w:firstLineChars="177"/>
        <w:rPr>
          <w:rFonts w:ascii="宋体" w:hAnsi="宋体"/>
          <w:sz w:val="24"/>
          <w:highlight w:val="none"/>
        </w:rPr>
      </w:pPr>
      <w:r>
        <w:rPr>
          <w:rFonts w:hint="eastAsia" w:ascii="宋体" w:hAnsi="宋体"/>
          <w:sz w:val="24"/>
          <w:highlight w:val="none"/>
        </w:rPr>
        <w:t>投标人代表签字：</w:t>
      </w:r>
    </w:p>
    <w:p>
      <w:pPr>
        <w:spacing w:line="360" w:lineRule="auto"/>
        <w:ind w:firstLine="435"/>
        <w:rPr>
          <w:rFonts w:ascii="宋体" w:hAnsi="宋体"/>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pPr>
        <w:spacing w:line="360" w:lineRule="auto"/>
        <w:rPr>
          <w:rFonts w:ascii="宋体" w:hAnsi="宋体"/>
          <w:sz w:val="24"/>
          <w:highlight w:val="none"/>
        </w:rPr>
      </w:pPr>
    </w:p>
    <w:p>
      <w:pPr>
        <w:pStyle w:val="37"/>
        <w:shd w:val="clear" w:color="auto" w:fill="FFFFFF"/>
        <w:spacing w:before="0" w:beforeAutospacing="0" w:after="0" w:afterAutospacing="0" w:line="360" w:lineRule="auto"/>
        <w:ind w:firstLine="424" w:firstLineChars="177"/>
        <w:rPr>
          <w:b/>
          <w:bCs/>
          <w:highlight w:val="none"/>
        </w:rPr>
      </w:pPr>
      <w:r>
        <w:rPr>
          <w:rFonts w:hint="eastAsia"/>
          <w:highlight w:val="none"/>
        </w:rPr>
        <w:t>日        期：：</w:t>
      </w: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pStyle w:val="24"/>
        <w:ind w:left="0" w:leftChars="0" w:firstLine="0"/>
        <w:rPr>
          <w:rFonts w:ascii="宋体" w:hAnsi="宋体"/>
          <w:b/>
          <w:sz w:val="28"/>
          <w:highlight w:val="none"/>
        </w:rPr>
      </w:pPr>
    </w:p>
    <w:p>
      <w:pPr>
        <w:spacing w:line="360" w:lineRule="auto"/>
        <w:rPr>
          <w:rFonts w:hint="eastAsia" w:ascii="宋体" w:hAnsi="宋体" w:eastAsia="宋体"/>
          <w:b/>
          <w:sz w:val="28"/>
          <w:highlight w:val="none"/>
          <w:lang w:eastAsia="zh-CN"/>
        </w:rPr>
      </w:pPr>
      <w:r>
        <w:rPr>
          <w:rFonts w:hint="eastAsia" w:ascii="宋体" w:hAnsi="宋体"/>
          <w:b/>
          <w:sz w:val="28"/>
          <w:highlight w:val="none"/>
        </w:rPr>
        <w:t>附件1</w:t>
      </w:r>
      <w:r>
        <w:rPr>
          <w:rFonts w:hint="eastAsia" w:ascii="宋体" w:hAnsi="宋体"/>
          <w:b/>
          <w:sz w:val="28"/>
          <w:highlight w:val="none"/>
          <w:lang w:val="en-US" w:eastAsia="zh-CN"/>
        </w:rPr>
        <w:t>0</w:t>
      </w:r>
    </w:p>
    <w:p>
      <w:pPr>
        <w:spacing w:line="360" w:lineRule="auto"/>
        <w:jc w:val="center"/>
        <w:rPr>
          <w:rFonts w:ascii="宋体" w:hAnsi="宋体"/>
          <w:b/>
          <w:bCs/>
          <w:kern w:val="0"/>
          <w:sz w:val="32"/>
          <w:szCs w:val="32"/>
          <w:highlight w:val="none"/>
        </w:rPr>
      </w:pPr>
      <w:r>
        <w:rPr>
          <w:rFonts w:hint="eastAsia" w:ascii="宋体" w:hAnsi="宋体"/>
          <w:b/>
          <w:bCs/>
          <w:kern w:val="0"/>
          <w:sz w:val="32"/>
          <w:szCs w:val="32"/>
          <w:highlight w:val="none"/>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highlight w:val="none"/>
              </w:rPr>
            </w:pPr>
          </w:p>
        </w:tc>
      </w:tr>
    </w:tbl>
    <w:p>
      <w:pPr>
        <w:autoSpaceDE w:val="0"/>
        <w:autoSpaceDN w:val="0"/>
        <w:adjustRightInd w:val="0"/>
        <w:spacing w:before="156"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pPr>
        <w:autoSpaceDE w:val="0"/>
        <w:autoSpaceDN w:val="0"/>
        <w:adjustRightInd w:val="0"/>
        <w:spacing w:before="156" w:beforeLines="50" w:line="360" w:lineRule="auto"/>
        <w:ind w:firstLine="420" w:firstLineChars="200"/>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可只提供首页、含金额页、盖章页并加盖投标人公章</w:t>
      </w:r>
      <w:r>
        <w:rPr>
          <w:rFonts w:ascii="宋体" w:hAnsi="宋体" w:cs="Arial"/>
          <w:szCs w:val="21"/>
          <w:highlight w:val="none"/>
        </w:rPr>
        <w:t>）</w:t>
      </w:r>
      <w:r>
        <w:rPr>
          <w:rFonts w:hint="eastAsia" w:ascii="宋体" w:hAnsi="宋体" w:cs="Arial"/>
          <w:szCs w:val="21"/>
          <w:highlight w:val="none"/>
        </w:rPr>
        <w:t>。</w:t>
      </w:r>
    </w:p>
    <w:p>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.投标人</w:t>
      </w:r>
      <w:r>
        <w:rPr>
          <w:rFonts w:ascii="宋体" w:hAnsi="宋体" w:cs="Arial"/>
          <w:szCs w:val="21"/>
          <w:highlight w:val="none"/>
        </w:rPr>
        <w:t>可按此表格式复制</w:t>
      </w:r>
      <w:r>
        <w:rPr>
          <w:rFonts w:hint="eastAsia" w:ascii="宋体" w:hAnsi="宋体" w:cs="Arial"/>
          <w:szCs w:val="21"/>
          <w:highlight w:val="none"/>
        </w:rPr>
        <w:t>。</w:t>
      </w:r>
    </w:p>
    <w:p>
      <w:pPr>
        <w:spacing w:line="360" w:lineRule="auto"/>
        <w:rPr>
          <w:rFonts w:ascii="宋体" w:hAnsi="宋体"/>
          <w:sz w:val="22"/>
          <w:szCs w:val="22"/>
          <w:highlight w:val="none"/>
        </w:rPr>
      </w:pPr>
    </w:p>
    <w:p>
      <w:pPr>
        <w:pStyle w:val="24"/>
        <w:rPr>
          <w:highlight w:val="none"/>
        </w:rPr>
      </w:pPr>
    </w:p>
    <w:p>
      <w:pPr>
        <w:spacing w:line="360" w:lineRule="auto"/>
        <w:ind w:left="420"/>
        <w:rPr>
          <w:rFonts w:ascii="宋体" w:hAnsi="宋体"/>
          <w:sz w:val="24"/>
          <w:highlight w:val="none"/>
          <w:u w:val="single"/>
        </w:rPr>
      </w:pPr>
      <w:r>
        <w:rPr>
          <w:rFonts w:hint="eastAsia" w:ascii="宋体" w:hAnsi="宋体"/>
          <w:sz w:val="24"/>
          <w:highlight w:val="none"/>
        </w:rPr>
        <w:t>投标人名称（公章）：</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投标人代表签字：</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职        务：</w:t>
      </w:r>
    </w:p>
    <w:p>
      <w:pPr>
        <w:spacing w:line="360" w:lineRule="auto"/>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p>
    <w:p>
      <w:pPr>
        <w:rPr>
          <w:sz w:val="52"/>
          <w:szCs w:val="52"/>
          <w:highlight w:val="none"/>
        </w:rPr>
      </w:pPr>
      <w:bookmarkStart w:id="61" w:name="_Toc21322_WPSOffice_Level1"/>
      <w:bookmarkStart w:id="62" w:name="_Toc4615_WPSOffice_Level1"/>
      <w:bookmarkStart w:id="63" w:name="_Toc30468_WPSOffice_Level1"/>
    </w:p>
    <w:bookmarkEnd w:id="61"/>
    <w:bookmarkEnd w:id="62"/>
    <w:bookmarkEnd w:id="63"/>
    <w:p>
      <w:pPr>
        <w:jc w:val="center"/>
        <w:rPr>
          <w:sz w:val="44"/>
          <w:szCs w:val="44"/>
          <w:highlight w:val="none"/>
        </w:rPr>
      </w:pPr>
    </w:p>
    <w:p>
      <w:pPr>
        <w:jc w:val="center"/>
        <w:rPr>
          <w:rFonts w:hint="eastAsia" w:eastAsia="宋体"/>
          <w:sz w:val="44"/>
          <w:szCs w:val="44"/>
          <w:highlight w:val="none"/>
          <w:lang w:eastAsia="zh-CN"/>
        </w:rPr>
      </w:pPr>
      <w:r>
        <w:rPr>
          <w:rFonts w:hint="eastAsia"/>
          <w:sz w:val="44"/>
          <w:szCs w:val="44"/>
          <w:highlight w:val="none"/>
          <w:lang w:eastAsia="zh-CN"/>
        </w:rPr>
        <w:t>台州湾新区朝阳未来社区创建实施方案编制及验收全过程咨询服务采购项目</w:t>
      </w:r>
    </w:p>
    <w:p>
      <w:pPr>
        <w:spacing w:before="312"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pPr>
        <w:pStyle w:val="24"/>
        <w:rPr>
          <w:highlight w:val="none"/>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jc w:val="center"/>
        <w:rPr>
          <w:rFonts w:hint="eastAsia" w:eastAsia="宋体"/>
          <w:sz w:val="84"/>
          <w:szCs w:val="84"/>
          <w:highlight w:val="none"/>
          <w:lang w:eastAsia="zh-CN"/>
        </w:rPr>
      </w:pPr>
      <w:r>
        <w:rPr>
          <w:rFonts w:hint="eastAsia" w:ascii="宋体" w:hAnsi="宋体" w:cs="宋体"/>
          <w:sz w:val="28"/>
          <w:szCs w:val="28"/>
          <w:highlight w:val="none"/>
          <w:lang w:val="zh-CN"/>
        </w:rPr>
        <w:t>（</w:t>
      </w:r>
      <w:r>
        <w:rPr>
          <w:rFonts w:hint="eastAsia" w:ascii="宋体" w:hAnsi="宋体"/>
          <w:bCs/>
          <w:sz w:val="24"/>
          <w:highlight w:val="none"/>
          <w:lang w:val="en-US" w:eastAsia="zh-CN"/>
        </w:rPr>
        <w:t>商务</w:t>
      </w:r>
      <w:r>
        <w:rPr>
          <w:rFonts w:hint="eastAsia" w:ascii="宋体" w:hAnsi="宋体"/>
          <w:bCs/>
          <w:sz w:val="24"/>
          <w:highlight w:val="none"/>
        </w:rPr>
        <w:t>标</w:t>
      </w:r>
      <w:r>
        <w:rPr>
          <w:rFonts w:hint="eastAsia" w:ascii="宋体" w:hAnsi="宋体"/>
          <w:b/>
          <w:sz w:val="28"/>
          <w:szCs w:val="28"/>
          <w:highlight w:val="none"/>
        </w:rPr>
        <w:t>）</w:t>
      </w:r>
    </w:p>
    <w:p>
      <w:pPr>
        <w:spacing w:line="360" w:lineRule="auto"/>
        <w:ind w:right="532"/>
        <w:rPr>
          <w:rFonts w:ascii="宋体" w:hAnsi="宋体"/>
          <w:sz w:val="36"/>
          <w:szCs w:val="36"/>
          <w:highlight w:val="none"/>
        </w:rPr>
      </w:pPr>
    </w:p>
    <w:p>
      <w:pPr>
        <w:spacing w:line="360" w:lineRule="auto"/>
        <w:ind w:right="532"/>
        <w:jc w:val="center"/>
        <w:rPr>
          <w:rFonts w:ascii="宋体" w:hAnsi="宋体"/>
          <w:sz w:val="36"/>
          <w:szCs w:val="36"/>
          <w:highlight w:val="none"/>
        </w:rPr>
      </w:pPr>
    </w:p>
    <w:p>
      <w:pPr>
        <w:spacing w:line="360" w:lineRule="auto"/>
        <w:ind w:right="532" w:firstLine="720" w:firstLineChars="200"/>
        <w:rPr>
          <w:rFonts w:ascii="宋体" w:hAnsi="宋体"/>
          <w:sz w:val="36"/>
          <w:szCs w:val="36"/>
          <w:highlight w:val="none"/>
        </w:rPr>
      </w:pPr>
      <w:bookmarkStart w:id="64" w:name="_Toc4603_WPSOffice_Level1"/>
      <w:bookmarkStart w:id="65" w:name="_Toc26700_WPSOffice_Level1"/>
      <w:r>
        <w:rPr>
          <w:rFonts w:hint="eastAsia" w:ascii="宋体" w:hAnsi="宋体"/>
          <w:sz w:val="36"/>
          <w:szCs w:val="36"/>
          <w:highlight w:val="none"/>
        </w:rPr>
        <w:t>投标人全称（公章）：</w:t>
      </w:r>
      <w:bookmarkEnd w:id="64"/>
      <w:bookmarkEnd w:id="65"/>
    </w:p>
    <w:p>
      <w:pPr>
        <w:spacing w:line="360" w:lineRule="auto"/>
        <w:ind w:right="-108" w:firstLine="720" w:firstLineChars="200"/>
        <w:rPr>
          <w:rFonts w:ascii="宋体" w:hAnsi="宋体"/>
          <w:sz w:val="36"/>
          <w:szCs w:val="36"/>
          <w:highlight w:val="none"/>
        </w:rPr>
      </w:pPr>
      <w:bookmarkStart w:id="66" w:name="_Toc32593_WPSOffice_Level1"/>
      <w:bookmarkStart w:id="67" w:name="_Toc1391_WPSOffice_Level1"/>
      <w:r>
        <w:rPr>
          <w:rFonts w:hint="eastAsia" w:ascii="宋体" w:hAnsi="宋体"/>
          <w:sz w:val="36"/>
          <w:szCs w:val="36"/>
          <w:highlight w:val="none"/>
        </w:rPr>
        <w:t>地    址：</w:t>
      </w:r>
      <w:bookmarkEnd w:id="66"/>
      <w:bookmarkEnd w:id="67"/>
    </w:p>
    <w:p>
      <w:pPr>
        <w:spacing w:line="360" w:lineRule="auto"/>
        <w:ind w:right="-108" w:firstLine="720" w:firstLineChars="200"/>
        <w:rPr>
          <w:rFonts w:ascii="宋体" w:hAnsi="宋体"/>
          <w:sz w:val="36"/>
          <w:szCs w:val="36"/>
          <w:highlight w:val="none"/>
        </w:rPr>
      </w:pPr>
      <w:bookmarkStart w:id="68" w:name="_Toc20938_WPSOffice_Level1"/>
      <w:bookmarkStart w:id="69" w:name="_Toc3791_WPSOffice_Level1"/>
      <w:r>
        <w:rPr>
          <w:rFonts w:hint="eastAsia" w:ascii="宋体" w:hAnsi="宋体"/>
          <w:sz w:val="36"/>
          <w:szCs w:val="36"/>
          <w:highlight w:val="none"/>
        </w:rPr>
        <w:t>时    间：</w:t>
      </w:r>
      <w:bookmarkEnd w:id="68"/>
      <w:bookmarkEnd w:id="69"/>
    </w:p>
    <w:p>
      <w:pPr>
        <w:spacing w:line="360" w:lineRule="auto"/>
        <w:ind w:right="-108"/>
        <w:jc w:val="center"/>
        <w:rPr>
          <w:rFonts w:ascii="仿宋_GB2312" w:hAnsi="宋体" w:eastAsia="仿宋_GB2312"/>
          <w:b/>
          <w:sz w:val="36"/>
          <w:szCs w:val="36"/>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5"/>
        <w:rPr>
          <w:rFonts w:ascii="仿宋_GB2312" w:hAnsi="宋体" w:eastAsia="仿宋_GB2312"/>
          <w:b/>
          <w:sz w:val="36"/>
          <w:szCs w:val="36"/>
          <w:highlight w:val="none"/>
        </w:rPr>
      </w:pPr>
    </w:p>
    <w:p>
      <w:pPr>
        <w:spacing w:line="480" w:lineRule="auto"/>
        <w:jc w:val="center"/>
        <w:rPr>
          <w:highlight w:val="none"/>
        </w:rPr>
      </w:pPr>
      <w:bookmarkStart w:id="70" w:name="_Toc29537_WPSOffice_Level1"/>
      <w:bookmarkStart w:id="71" w:name="_Toc19972_WPSOffice_Level1"/>
      <w:r>
        <w:rPr>
          <w:rFonts w:hint="eastAsia" w:ascii="宋体" w:hAnsi="宋体"/>
          <w:b/>
          <w:bCs/>
          <w:sz w:val="36"/>
          <w:szCs w:val="36"/>
          <w:highlight w:val="none"/>
        </w:rPr>
        <w:t>商务标目录</w:t>
      </w:r>
      <w:bookmarkEnd w:id="70"/>
      <w:bookmarkEnd w:id="71"/>
    </w:p>
    <w:p>
      <w:pPr>
        <w:rPr>
          <w:rFonts w:asciiTheme="minorEastAsia" w:hAnsiTheme="minorEastAsia" w:eastAsiaTheme="minorEastAsia" w:cstheme="minorEastAsia"/>
          <w:sz w:val="28"/>
          <w:szCs w:val="28"/>
          <w:highlight w:val="none"/>
        </w:rPr>
      </w:pPr>
    </w:p>
    <w:p>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bookmarkStart w:id="72" w:name="_Toc6778_WPSOffice_Level1"/>
      <w:bookmarkStart w:id="73" w:name="_Toc29988_WPSOffice_Level1"/>
      <w:r>
        <w:rPr>
          <w:rFonts w:hint="eastAsia" w:asciiTheme="minorEastAsia" w:hAnsiTheme="minorEastAsia" w:eastAsiaTheme="minorEastAsia"/>
          <w:kern w:val="0"/>
          <w:sz w:val="24"/>
          <w:highlight w:val="none"/>
        </w:rPr>
        <w:t>（1）开标一览表（附件1</w:t>
      </w:r>
      <w:r>
        <w:rPr>
          <w:rFonts w:hint="eastAsia" w:asciiTheme="minorEastAsia" w:hAnsiTheme="minorEastAsia" w:eastAsiaTheme="minorEastAsia"/>
          <w:kern w:val="0"/>
          <w:sz w:val="24"/>
          <w:highlight w:val="none"/>
          <w:lang w:val="en-US" w:eastAsia="zh-CN"/>
        </w:rPr>
        <w:t>1</w:t>
      </w:r>
      <w:r>
        <w:rPr>
          <w:rFonts w:hint="eastAsia" w:asciiTheme="minorEastAsia" w:hAnsiTheme="minorEastAsia" w:eastAsiaTheme="minorEastAsia"/>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（2）针对报价投标人认为其他需要说明的。</w:t>
      </w:r>
    </w:p>
    <w:bookmarkEnd w:id="72"/>
    <w:bookmarkEnd w:id="73"/>
    <w:p>
      <w:pPr>
        <w:spacing w:line="360" w:lineRule="auto"/>
        <w:ind w:firstLine="480" w:firstLineChars="200"/>
        <w:rPr>
          <w:sz w:val="24"/>
          <w:highlight w:val="none"/>
        </w:rPr>
      </w:pPr>
    </w:p>
    <w:p>
      <w:pPr>
        <w:spacing w:line="360" w:lineRule="auto"/>
        <w:ind w:firstLine="482" w:firstLineChars="200"/>
        <w:rPr>
          <w:rFonts w:ascii="宋体" w:hAnsi="宋体"/>
          <w:b/>
          <w:sz w:val="24"/>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spacing w:line="360" w:lineRule="auto"/>
        <w:rPr>
          <w:rFonts w:hint="eastAsia" w:ascii="宋体" w:hAnsi="宋体" w:eastAsia="宋体"/>
          <w:b/>
          <w:sz w:val="28"/>
          <w:highlight w:val="none"/>
          <w:lang w:eastAsia="zh-CN"/>
        </w:rPr>
      </w:pPr>
      <w:r>
        <w:rPr>
          <w:rFonts w:hint="eastAsia" w:ascii="宋体" w:hAnsi="宋体"/>
          <w:b/>
          <w:sz w:val="28"/>
          <w:highlight w:val="none"/>
        </w:rPr>
        <w:t>附件1</w:t>
      </w:r>
      <w:r>
        <w:rPr>
          <w:rFonts w:hint="eastAsia" w:ascii="宋体" w:hAnsi="宋体"/>
          <w:b/>
          <w:sz w:val="28"/>
          <w:highlight w:val="none"/>
          <w:lang w:val="en-US" w:eastAsia="zh-CN"/>
        </w:rPr>
        <w:t>1</w:t>
      </w:r>
    </w:p>
    <w:p>
      <w:pPr>
        <w:spacing w:line="360" w:lineRule="auto"/>
        <w:ind w:left="-2" w:hanging="2"/>
        <w:jc w:val="center"/>
        <w:rPr>
          <w:rFonts w:ascii="宋体" w:hAnsi="宋体"/>
          <w:b/>
          <w:sz w:val="32"/>
          <w:szCs w:val="32"/>
          <w:highlight w:val="none"/>
        </w:rPr>
      </w:pPr>
      <w:bookmarkStart w:id="74" w:name="_Toc30363_WPSOffice_Level1"/>
      <w:bookmarkStart w:id="75" w:name="_Toc16144_WPSOffice_Level1"/>
      <w:r>
        <w:rPr>
          <w:rFonts w:hint="eastAsia" w:ascii="宋体" w:hAnsi="宋体"/>
          <w:b/>
          <w:sz w:val="32"/>
          <w:szCs w:val="32"/>
          <w:highlight w:val="none"/>
        </w:rPr>
        <w:t xml:space="preserve">开标一览表（标项  ） </w:t>
      </w:r>
      <w:bookmarkEnd w:id="74"/>
      <w:bookmarkEnd w:id="75"/>
    </w:p>
    <w:p>
      <w:pPr>
        <w:pStyle w:val="13"/>
        <w:spacing w:line="360" w:lineRule="auto"/>
        <w:ind w:firstLine="482" w:firstLineChars="200"/>
        <w:rPr>
          <w:rFonts w:hAnsi="宋体"/>
          <w:b/>
          <w:sz w:val="24"/>
          <w:highlight w:val="none"/>
        </w:rPr>
      </w:pPr>
      <w:r>
        <w:rPr>
          <w:rFonts w:hAnsi="宋体"/>
          <w:b/>
          <w:sz w:val="24"/>
          <w:highlight w:val="none"/>
        </w:rPr>
        <w:t>项目编号：</w:t>
      </w:r>
    </w:p>
    <w:p>
      <w:pPr>
        <w:pStyle w:val="46"/>
        <w:spacing w:line="360" w:lineRule="auto"/>
        <w:ind w:right="480" w:firstLine="482" w:firstLineChars="200"/>
        <w:jc w:val="left"/>
        <w:rPr>
          <w:rFonts w:hAnsi="宋体"/>
          <w:sz w:val="24"/>
          <w:highlight w:val="none"/>
        </w:rPr>
      </w:pPr>
      <w:r>
        <w:rPr>
          <w:rFonts w:hAnsi="宋体"/>
          <w:b/>
          <w:sz w:val="24"/>
          <w:highlight w:val="none"/>
        </w:rPr>
        <w:t>项目名称：</w:t>
      </w:r>
      <w:r>
        <w:rPr>
          <w:rFonts w:hint="eastAsia" w:ascii="宋体" w:hAnsi="宋体"/>
          <w:sz w:val="24"/>
          <w:highlight w:val="none"/>
        </w:rPr>
        <w:t xml:space="preserve">                                 [货币单位：人民币元]</w:t>
      </w:r>
    </w:p>
    <w:p>
      <w:pPr>
        <w:snapToGrid w:val="0"/>
        <w:spacing w:before="50" w:after="50"/>
        <w:jc w:val="left"/>
        <w:rPr>
          <w:rFonts w:hint="eastAsia" w:ascii="Arial" w:hAnsi="Arial" w:eastAsia="宋体" w:cs="Arial"/>
          <w:sz w:val="22"/>
          <w:szCs w:val="22"/>
          <w:highlight w:val="none"/>
          <w:lang w:eastAsia="zh-CN"/>
        </w:rPr>
      </w:pPr>
      <w:r>
        <w:rPr>
          <w:rFonts w:hint="eastAsia" w:ascii="Arial" w:hAnsi="Arial" w:cs="宋体"/>
          <w:sz w:val="22"/>
          <w:szCs w:val="22"/>
          <w:highlight w:val="none"/>
        </w:rPr>
        <w:t>致：</w:t>
      </w:r>
      <w:r>
        <w:rPr>
          <w:rFonts w:hint="eastAsia" w:ascii="Arial" w:hAnsi="Arial" w:cs="宋体"/>
          <w:sz w:val="22"/>
          <w:szCs w:val="22"/>
          <w:highlight w:val="none"/>
          <w:lang w:eastAsia="zh-CN"/>
        </w:rPr>
        <w:t>台州市开发投资集团有限公司</w:t>
      </w:r>
    </w:p>
    <w:p>
      <w:pPr>
        <w:snapToGrid w:val="0"/>
        <w:ind w:firstLine="440" w:firstLineChars="200"/>
        <w:jc w:val="left"/>
        <w:rPr>
          <w:rFonts w:ascii="新宋体" w:hAnsi="新宋体" w:eastAsia="新宋体"/>
          <w:szCs w:val="21"/>
          <w:highlight w:val="none"/>
        </w:rPr>
      </w:pPr>
      <w:r>
        <w:rPr>
          <w:rFonts w:ascii="Arial" w:hAnsi="Arial" w:cs="Arial"/>
          <w:sz w:val="22"/>
          <w:szCs w:val="22"/>
          <w:highlight w:val="none"/>
        </w:rPr>
        <w:t>经研究，我们决定参加</w:t>
      </w:r>
      <w:r>
        <w:rPr>
          <w:rFonts w:hint="eastAsia" w:ascii="Arial" w:hAnsi="Arial" w:cs="Arial"/>
          <w:sz w:val="22"/>
          <w:szCs w:val="22"/>
          <w:highlight w:val="none"/>
        </w:rPr>
        <w:t>你单位的</w:t>
      </w:r>
      <w:r>
        <w:rPr>
          <w:rFonts w:hint="eastAsia" w:ascii="宋体" w:hAnsi="宋体"/>
          <w:sz w:val="22"/>
          <w:szCs w:val="22"/>
          <w:highlight w:val="none"/>
          <w:u w:val="single"/>
          <w:lang w:eastAsia="zh-CN"/>
        </w:rPr>
        <w:t>台州湾新区朝阳未来社区创建实施方案编制及验收全过程咨询服务采购项目</w:t>
      </w:r>
      <w:r>
        <w:rPr>
          <w:rFonts w:ascii="Arial" w:hAnsi="Arial" w:cs="Arial"/>
          <w:sz w:val="22"/>
          <w:szCs w:val="22"/>
          <w:highlight w:val="none"/>
        </w:rPr>
        <w:t>的</w:t>
      </w:r>
      <w:r>
        <w:rPr>
          <w:rFonts w:hint="eastAsia" w:ascii="Arial" w:hAnsi="Arial" w:cs="Arial"/>
          <w:sz w:val="22"/>
          <w:highlight w:val="none"/>
        </w:rPr>
        <w:t>招标</w:t>
      </w:r>
      <w:r>
        <w:rPr>
          <w:rFonts w:ascii="Arial" w:hAnsi="Arial" w:cs="Arial"/>
          <w:sz w:val="22"/>
          <w:highlight w:val="none"/>
        </w:rPr>
        <w:t>采购活动并提交</w:t>
      </w:r>
      <w:r>
        <w:rPr>
          <w:rFonts w:hint="eastAsia" w:ascii="Arial" w:hAnsi="Arial" w:cs="Arial"/>
          <w:sz w:val="22"/>
          <w:highlight w:val="none"/>
        </w:rPr>
        <w:t>投标</w:t>
      </w:r>
      <w:r>
        <w:rPr>
          <w:rFonts w:ascii="Arial" w:hAnsi="Arial" w:cs="Arial"/>
          <w:sz w:val="22"/>
          <w:highlight w:val="none"/>
        </w:rPr>
        <w:t>文件。为此，我方郑重声明以下诸点，并负法律责任。</w:t>
      </w:r>
    </w:p>
    <w:p>
      <w:pPr>
        <w:pStyle w:val="11"/>
        <w:adjustRightInd w:val="0"/>
        <w:snapToGrid w:val="0"/>
        <w:rPr>
          <w:rFonts w:ascii="Arial" w:hAnsi="Arial" w:cs="Arial"/>
          <w:sz w:val="22"/>
          <w:szCs w:val="22"/>
          <w:highlight w:val="none"/>
        </w:rPr>
      </w:pPr>
      <w:r>
        <w:rPr>
          <w:rFonts w:ascii="Arial" w:hAnsi="Arial" w:cs="Arial"/>
          <w:sz w:val="22"/>
          <w:szCs w:val="22"/>
          <w:highlight w:val="none"/>
        </w:rPr>
        <w:t>1、如果我们的招标文件被接受，我们将履行招标文件中规定的每一项要求，并按我们投标文件中的承诺按期、按质、按量提供服务。</w:t>
      </w:r>
    </w:p>
    <w:p>
      <w:pPr>
        <w:pStyle w:val="11"/>
        <w:adjustRightInd w:val="0"/>
        <w:snapToGrid w:val="0"/>
        <w:rPr>
          <w:rFonts w:ascii="Arial" w:hAnsi="Arial" w:cs="Arial"/>
          <w:sz w:val="22"/>
          <w:szCs w:val="22"/>
          <w:highlight w:val="none"/>
        </w:rPr>
      </w:pPr>
      <w:r>
        <w:rPr>
          <w:rFonts w:ascii="Arial" w:hAnsi="Arial" w:cs="Arial"/>
          <w:sz w:val="22"/>
          <w:szCs w:val="22"/>
          <w:highlight w:val="none"/>
        </w:rPr>
        <w:t>2、我们同意按采购文件规定遵守采购人有关采购的各项规定。</w:t>
      </w:r>
    </w:p>
    <w:p>
      <w:pPr>
        <w:pStyle w:val="11"/>
        <w:adjustRightInd w:val="0"/>
        <w:snapToGrid w:val="0"/>
        <w:rPr>
          <w:rFonts w:ascii="Arial" w:hAnsi="Arial" w:cs="Arial"/>
          <w:sz w:val="22"/>
          <w:szCs w:val="22"/>
          <w:highlight w:val="none"/>
        </w:rPr>
      </w:pPr>
      <w:r>
        <w:rPr>
          <w:rFonts w:ascii="Arial" w:hAnsi="Arial" w:cs="Arial"/>
          <w:sz w:val="22"/>
          <w:szCs w:val="22"/>
          <w:highlight w:val="none"/>
        </w:rPr>
        <w:t>3、我方同意提供按照贵方可能要求的与投标有关的一切数据或资料，我方若未成为成交投标人，采购人有权不做任何解释。</w:t>
      </w:r>
    </w:p>
    <w:p>
      <w:pPr>
        <w:ind w:firstLine="330" w:firstLineChars="150"/>
        <w:rPr>
          <w:rFonts w:ascii="宋体" w:hAnsi="宋体"/>
          <w:sz w:val="22"/>
          <w:szCs w:val="22"/>
          <w:highlight w:val="none"/>
        </w:rPr>
      </w:pPr>
      <w:r>
        <w:rPr>
          <w:rFonts w:hint="eastAsia" w:ascii="Arial" w:hAnsi="Arial" w:cs="Arial"/>
          <w:sz w:val="22"/>
          <w:szCs w:val="22"/>
          <w:highlight w:val="none"/>
        </w:rPr>
        <w:t>4、我方如果中标，将保证履行招标文件以及招标文件修改书（如有）中的全部责任和义务，按质、按量、按期完成《民法典》中的全部任务。</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highlight w:val="none"/>
              </w:rPr>
            </w:pPr>
          </w:p>
        </w:tc>
      </w:tr>
    </w:tbl>
    <w:p>
      <w:pPr>
        <w:spacing w:line="360" w:lineRule="auto"/>
        <w:rPr>
          <w:rFonts w:ascii="宋体" w:hAnsi="宋体"/>
          <w:sz w:val="22"/>
          <w:szCs w:val="22"/>
          <w:highlight w:val="none"/>
        </w:rPr>
      </w:pPr>
      <w:r>
        <w:rPr>
          <w:rFonts w:hint="eastAsia" w:ascii="宋体" w:hAnsi="宋体"/>
          <w:b/>
          <w:sz w:val="22"/>
          <w:szCs w:val="22"/>
          <w:highlight w:val="none"/>
        </w:rPr>
        <w:t>填报要求：</w:t>
      </w:r>
      <w:r>
        <w:rPr>
          <w:rFonts w:hint="eastAsia" w:ascii="宋体" w:hAnsi="宋体"/>
          <w:sz w:val="22"/>
          <w:szCs w:val="22"/>
          <w:highlight w:val="none"/>
        </w:rPr>
        <w:t>投标报价是履行合同的最终价格，包括</w:t>
      </w:r>
      <w:r>
        <w:rPr>
          <w:rFonts w:hint="eastAsia" w:ascii="宋体" w:hAnsi="宋体"/>
          <w:sz w:val="22"/>
          <w:szCs w:val="22"/>
          <w:highlight w:val="none"/>
          <w:lang w:val="en-US" w:eastAsia="zh-CN"/>
        </w:rPr>
        <w:t>但不限于</w:t>
      </w:r>
      <w:r>
        <w:rPr>
          <w:rFonts w:hint="eastAsia" w:ascii="宋体" w:hAnsi="宋体"/>
          <w:sz w:val="22"/>
          <w:szCs w:val="22"/>
          <w:highlight w:val="none"/>
        </w:rPr>
        <w:t>获取相关研究资料、专家评审、办公、交通、保险、人员、差旅、税费、测试工具费用、</w:t>
      </w:r>
      <w:r>
        <w:rPr>
          <w:rFonts w:hint="eastAsia" w:ascii="宋体" w:hAnsi="宋体"/>
          <w:sz w:val="22"/>
          <w:szCs w:val="22"/>
          <w:highlight w:val="none"/>
          <w:lang w:val="en-US" w:eastAsia="zh-CN"/>
        </w:rPr>
        <w:t>招标代理服务费、</w:t>
      </w:r>
      <w:r>
        <w:rPr>
          <w:rFonts w:hint="eastAsia" w:ascii="宋体" w:hAnsi="宋体"/>
          <w:sz w:val="22"/>
          <w:szCs w:val="22"/>
          <w:highlight w:val="none"/>
        </w:rPr>
        <w:t>批文申报及协调等全部费用。</w:t>
      </w:r>
      <w:r>
        <w:rPr>
          <w:rFonts w:hint="eastAsia" w:ascii="宋体" w:hAnsi="宋体"/>
          <w:sz w:val="22"/>
          <w:szCs w:val="22"/>
          <w:highlight w:val="none"/>
          <w:lang w:eastAsia="zh-CN"/>
        </w:rPr>
        <w:t>投标人</w:t>
      </w:r>
      <w:r>
        <w:rPr>
          <w:rFonts w:hint="eastAsia" w:ascii="宋体" w:hAnsi="宋体"/>
          <w:sz w:val="22"/>
          <w:szCs w:val="22"/>
          <w:highlight w:val="none"/>
        </w:rPr>
        <w:t>须充分考虑实际服务内容和需求，针对自身实际情况，核算所需的成本及合理的利润，自行报价，结算时由</w:t>
      </w:r>
      <w:r>
        <w:rPr>
          <w:rFonts w:hint="eastAsia" w:ascii="宋体" w:hAnsi="宋体"/>
          <w:sz w:val="22"/>
          <w:szCs w:val="22"/>
          <w:highlight w:val="none"/>
          <w:lang w:eastAsia="zh-CN"/>
        </w:rPr>
        <w:t>投标人</w:t>
      </w:r>
      <w:r>
        <w:rPr>
          <w:rFonts w:hint="eastAsia" w:ascii="宋体" w:hAnsi="宋体"/>
          <w:sz w:val="22"/>
          <w:szCs w:val="22"/>
          <w:highlight w:val="none"/>
        </w:rPr>
        <w:t>开具正式发票。各投标人应根据招标人提供的技术资料、工程量清单，以及本工程实际情况和自身的综合实力，竞报投标报价。总报价以人民币元计。知识产权等由投标人在投标报价时综合考虑，以后不作任何调整。</w:t>
      </w:r>
    </w:p>
    <w:p>
      <w:pPr>
        <w:spacing w:line="360" w:lineRule="auto"/>
        <w:ind w:left="420"/>
        <w:rPr>
          <w:rFonts w:ascii="宋体" w:hAnsi="宋体"/>
          <w:sz w:val="22"/>
          <w:szCs w:val="22"/>
          <w:highlight w:val="none"/>
        </w:rPr>
      </w:pPr>
      <w:r>
        <w:rPr>
          <w:rFonts w:hint="eastAsia" w:ascii="宋体" w:hAnsi="宋体"/>
          <w:sz w:val="22"/>
          <w:szCs w:val="22"/>
          <w:highlight w:val="none"/>
        </w:rPr>
        <w:t>投标人名称（公章）：</w:t>
      </w:r>
    </w:p>
    <w:p>
      <w:pPr>
        <w:spacing w:line="360" w:lineRule="auto"/>
        <w:ind w:firstLine="435"/>
        <w:rPr>
          <w:rFonts w:ascii="宋体" w:hAnsi="宋体"/>
          <w:sz w:val="22"/>
          <w:szCs w:val="22"/>
          <w:highlight w:val="none"/>
        </w:rPr>
      </w:pPr>
      <w:r>
        <w:rPr>
          <w:rFonts w:hint="eastAsia" w:ascii="宋体" w:hAnsi="宋体"/>
          <w:sz w:val="22"/>
          <w:szCs w:val="22"/>
          <w:highlight w:val="none"/>
        </w:rPr>
        <w:t>投标人代表签字：</w:t>
      </w:r>
    </w:p>
    <w:p>
      <w:pPr>
        <w:spacing w:line="360" w:lineRule="auto"/>
        <w:ind w:firstLine="435"/>
        <w:rPr>
          <w:rFonts w:ascii="宋体" w:hAnsi="宋体"/>
          <w:sz w:val="22"/>
          <w:szCs w:val="22"/>
          <w:highlight w:val="none"/>
        </w:rPr>
      </w:pPr>
      <w:r>
        <w:rPr>
          <w:rFonts w:hint="eastAsia" w:ascii="宋体" w:hAnsi="宋体"/>
          <w:sz w:val="22"/>
          <w:szCs w:val="22"/>
          <w:highlight w:val="none"/>
        </w:rPr>
        <w:t>职        务：</w:t>
      </w:r>
    </w:p>
    <w:p>
      <w:pPr>
        <w:spacing w:line="360" w:lineRule="auto"/>
        <w:ind w:firstLine="435"/>
        <w:rPr>
          <w:highlight w:val="none"/>
        </w:rPr>
      </w:pPr>
      <w:r>
        <w:rPr>
          <w:rFonts w:hint="eastAsia" w:ascii="宋体" w:hAnsi="宋体"/>
          <w:sz w:val="22"/>
          <w:szCs w:val="22"/>
          <w:highlight w:val="none"/>
        </w:rPr>
        <w:t>日        期：</w:t>
      </w: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pPr>
      <w:pStyle w:val="6"/>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7"/>
      <w:lvlText w:val=""/>
      <w:lvlJc w:val="left"/>
      <w:pPr>
        <w:tabs>
          <w:tab w:val="left" w:pos="360"/>
        </w:tabs>
        <w:ind w:left="360" w:hanging="360"/>
      </w:pPr>
      <w:rPr>
        <w:rFonts w:hint="default" w:ascii="Wingdings" w:hAnsi="Wingdings"/>
      </w:rPr>
    </w:lvl>
  </w:abstractNum>
  <w:abstractNum w:abstractNumId="3">
    <w:nsid w:val="F7696839"/>
    <w:multiLevelType w:val="singleLevel"/>
    <w:tmpl w:val="F7696839"/>
    <w:lvl w:ilvl="0" w:tentative="0">
      <w:start w:val="3"/>
      <w:numFmt w:val="decimal"/>
      <w:suff w:val="nothing"/>
      <w:lvlText w:val="（%1）"/>
      <w:lvlJc w:val="left"/>
    </w:lvl>
  </w:abstractNum>
  <w:abstractNum w:abstractNumId="4">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5">
    <w:nsid w:val="1ED04797"/>
    <w:multiLevelType w:val="singleLevel"/>
    <w:tmpl w:val="1ED04797"/>
    <w:lvl w:ilvl="0" w:tentative="0">
      <w:start w:val="1"/>
      <w:numFmt w:val="decimal"/>
      <w:suff w:val="nothing"/>
      <w:lvlText w:val="（%1）"/>
      <w:lvlJc w:val="left"/>
      <w:rPr>
        <w:rFonts w:hint="default"/>
        <w:b w:val="0"/>
        <w:bCs w:val="0"/>
        <w:sz w:val="24"/>
        <w:szCs w:val="24"/>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55BA460E"/>
    <w:multiLevelType w:val="singleLevel"/>
    <w:tmpl w:val="55BA460E"/>
    <w:lvl w:ilvl="0" w:tentative="0">
      <w:start w:val="1"/>
      <w:numFmt w:val="decimal"/>
      <w:suff w:val="nothing"/>
      <w:lvlText w:val="%1、"/>
      <w:lvlJc w:val="left"/>
    </w:lvl>
  </w:abstractNum>
  <w:abstractNum w:abstractNumId="8">
    <w:nsid w:val="5BE338C7"/>
    <w:multiLevelType w:val="singleLevel"/>
    <w:tmpl w:val="5BE338C7"/>
    <w:lvl w:ilvl="0" w:tentative="0">
      <w:start w:val="1"/>
      <w:numFmt w:val="decimal"/>
      <w:lvlText w:val="%1."/>
      <w:lvlJc w:val="left"/>
      <w:pPr>
        <w:ind w:left="425" w:hanging="425"/>
      </w:pPr>
      <w:rPr>
        <w:rFonts w:hint="default"/>
      </w:rPr>
    </w:lvl>
  </w:abstractNum>
  <w:abstractNum w:abstractNumId="9">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0">
    <w:nsid w:val="66DDD653"/>
    <w:multiLevelType w:val="singleLevel"/>
    <w:tmpl w:val="66DDD653"/>
    <w:lvl w:ilvl="0" w:tentative="0">
      <w:start w:val="1"/>
      <w:numFmt w:val="chineseCounting"/>
      <w:suff w:val="space"/>
      <w:lvlText w:val="第%1章"/>
      <w:lvlJc w:val="left"/>
      <w:rPr>
        <w:rFonts w:hint="eastAsia"/>
      </w:rPr>
    </w:lvl>
  </w:abstractNum>
  <w:abstractNum w:abstractNumId="11">
    <w:nsid w:val="678CFB24"/>
    <w:multiLevelType w:val="singleLevel"/>
    <w:tmpl w:val="678CFB24"/>
    <w:lvl w:ilvl="0" w:tentative="0">
      <w:start w:val="1"/>
      <w:numFmt w:val="chineseCounting"/>
      <w:suff w:val="nothing"/>
      <w:lvlText w:val="%1、"/>
      <w:lvlJc w:val="left"/>
      <w:rPr>
        <w:rFonts w:hint="eastAsia"/>
      </w:rPr>
    </w:lvl>
  </w:abstractNum>
  <w:num w:numId="1">
    <w:abstractNumId w:val="9"/>
  </w:num>
  <w:num w:numId="2">
    <w:abstractNumId w:val="4"/>
  </w:num>
  <w:num w:numId="3">
    <w:abstractNumId w:val="2"/>
  </w:num>
  <w:num w:numId="4">
    <w:abstractNumId w:val="0"/>
  </w:num>
  <w:num w:numId="5">
    <w:abstractNumId w:val="10"/>
  </w:num>
  <w:num w:numId="6">
    <w:abstractNumId w:val="6"/>
  </w:num>
  <w:num w:numId="7">
    <w:abstractNumId w:val="11"/>
  </w:num>
  <w:num w:numId="8">
    <w:abstractNumId w:val="1"/>
  </w:num>
  <w:num w:numId="9">
    <w:abstractNumId w:val="7"/>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ZTUxYTJhNjFjMjU2ZjM0MjZkMjBlZWZlOGJhZmYifQ=="/>
  </w:docVars>
  <w:rsids>
    <w:rsidRoot w:val="685F2B0C"/>
    <w:rsid w:val="00001822"/>
    <w:rsid w:val="0000676C"/>
    <w:rsid w:val="000154B2"/>
    <w:rsid w:val="000220D4"/>
    <w:rsid w:val="000221EE"/>
    <w:rsid w:val="00030D77"/>
    <w:rsid w:val="00047C71"/>
    <w:rsid w:val="00060468"/>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26131"/>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126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D5A78"/>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3EB3"/>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84DC5"/>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21D14"/>
    <w:rsid w:val="01851778"/>
    <w:rsid w:val="01A729ED"/>
    <w:rsid w:val="01AE11E6"/>
    <w:rsid w:val="01B729F0"/>
    <w:rsid w:val="01E96BCD"/>
    <w:rsid w:val="01F53A09"/>
    <w:rsid w:val="01FC105B"/>
    <w:rsid w:val="020A3DE7"/>
    <w:rsid w:val="020B511D"/>
    <w:rsid w:val="02145E01"/>
    <w:rsid w:val="0218037F"/>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9E2534"/>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581E7C"/>
    <w:rsid w:val="086230FE"/>
    <w:rsid w:val="08696EDC"/>
    <w:rsid w:val="08705B4A"/>
    <w:rsid w:val="087A7753"/>
    <w:rsid w:val="08814CE3"/>
    <w:rsid w:val="088811CB"/>
    <w:rsid w:val="08884C10"/>
    <w:rsid w:val="08986544"/>
    <w:rsid w:val="08BB6846"/>
    <w:rsid w:val="08D55A74"/>
    <w:rsid w:val="08DC3175"/>
    <w:rsid w:val="08E052CE"/>
    <w:rsid w:val="08FA5053"/>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BE52C0"/>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BE1E60"/>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DA1413"/>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6F1294"/>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6C2C45"/>
    <w:rsid w:val="217039C6"/>
    <w:rsid w:val="21754AF5"/>
    <w:rsid w:val="217E7700"/>
    <w:rsid w:val="218158E0"/>
    <w:rsid w:val="2186485F"/>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2630A"/>
    <w:rsid w:val="2BC41873"/>
    <w:rsid w:val="2BEE5A9C"/>
    <w:rsid w:val="2C275720"/>
    <w:rsid w:val="2C610C8B"/>
    <w:rsid w:val="2C64232C"/>
    <w:rsid w:val="2C6B41B7"/>
    <w:rsid w:val="2CAF7AE9"/>
    <w:rsid w:val="2CB550EC"/>
    <w:rsid w:val="2CBB7012"/>
    <w:rsid w:val="2CDD6C94"/>
    <w:rsid w:val="2CF947D9"/>
    <w:rsid w:val="2CFA06CC"/>
    <w:rsid w:val="2D3F090C"/>
    <w:rsid w:val="2D473273"/>
    <w:rsid w:val="2D814A75"/>
    <w:rsid w:val="2D8167C0"/>
    <w:rsid w:val="2D971F4F"/>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1F3F65"/>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BC7B02"/>
    <w:rsid w:val="42D50618"/>
    <w:rsid w:val="42F1595A"/>
    <w:rsid w:val="42F45676"/>
    <w:rsid w:val="430B7DA4"/>
    <w:rsid w:val="430D4AC0"/>
    <w:rsid w:val="43121ED0"/>
    <w:rsid w:val="431E047F"/>
    <w:rsid w:val="431E65EF"/>
    <w:rsid w:val="43416FE9"/>
    <w:rsid w:val="434807F2"/>
    <w:rsid w:val="435A4BBF"/>
    <w:rsid w:val="436A6565"/>
    <w:rsid w:val="437A019F"/>
    <w:rsid w:val="43891F34"/>
    <w:rsid w:val="43B21221"/>
    <w:rsid w:val="43C63987"/>
    <w:rsid w:val="43FB7AE7"/>
    <w:rsid w:val="4400649E"/>
    <w:rsid w:val="441426C6"/>
    <w:rsid w:val="441466E5"/>
    <w:rsid w:val="44150479"/>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4208EB"/>
    <w:rsid w:val="4A64259A"/>
    <w:rsid w:val="4AA4128B"/>
    <w:rsid w:val="4AA658AC"/>
    <w:rsid w:val="4AAA7028"/>
    <w:rsid w:val="4AD50D4A"/>
    <w:rsid w:val="4ADC75C4"/>
    <w:rsid w:val="4B1A7BB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DB618E"/>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76297D"/>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187CEE"/>
    <w:rsid w:val="5A886394"/>
    <w:rsid w:val="5A9F6060"/>
    <w:rsid w:val="5ACF7403"/>
    <w:rsid w:val="5B0F4E22"/>
    <w:rsid w:val="5B46719F"/>
    <w:rsid w:val="5B5437AD"/>
    <w:rsid w:val="5B737DCF"/>
    <w:rsid w:val="5BA42A14"/>
    <w:rsid w:val="5BB47CCC"/>
    <w:rsid w:val="5BC06DE9"/>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3136A0"/>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E33158"/>
    <w:rsid w:val="63FC0611"/>
    <w:rsid w:val="64010633"/>
    <w:rsid w:val="641222ED"/>
    <w:rsid w:val="642B5582"/>
    <w:rsid w:val="644878A5"/>
    <w:rsid w:val="64516BFF"/>
    <w:rsid w:val="64643953"/>
    <w:rsid w:val="64963CFA"/>
    <w:rsid w:val="649A62D1"/>
    <w:rsid w:val="64B31A3E"/>
    <w:rsid w:val="64BB7086"/>
    <w:rsid w:val="64BE585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832600"/>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54D2B"/>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42479"/>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C43FF"/>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2E0635"/>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List Number"/>
    <w:basedOn w:val="1"/>
    <w:autoRedefine/>
    <w:qFormat/>
    <w:uiPriority w:val="0"/>
    <w:pPr>
      <w:numPr>
        <w:ilvl w:val="0"/>
        <w:numId w:val="2"/>
      </w:numPr>
    </w:pPr>
  </w:style>
  <w:style w:type="paragraph" w:styleId="7">
    <w:name w:val="List Bullet"/>
    <w:basedOn w:val="1"/>
    <w:next w:val="1"/>
    <w:autoRedefine/>
    <w:qFormat/>
    <w:uiPriority w:val="0"/>
    <w:pPr>
      <w:numPr>
        <w:ilvl w:val="0"/>
        <w:numId w:val="3"/>
      </w:numPr>
    </w:pPr>
  </w:style>
  <w:style w:type="paragraph" w:styleId="8">
    <w:name w:val="annotation text"/>
    <w:basedOn w:val="1"/>
    <w:link w:val="74"/>
    <w:autoRedefine/>
    <w:qFormat/>
    <w:uiPriority w:val="0"/>
    <w:pPr>
      <w:jc w:val="left"/>
    </w:pPr>
  </w:style>
  <w:style w:type="paragraph" w:styleId="9">
    <w:name w:val="Body Text"/>
    <w:basedOn w:val="1"/>
    <w:next w:val="10"/>
    <w:autoRedefine/>
    <w:qFormat/>
    <w:uiPriority w:val="0"/>
    <w:pPr>
      <w:spacing w:line="360" w:lineRule="exact"/>
    </w:pPr>
    <w:rPr>
      <w:sz w:val="24"/>
    </w:rPr>
  </w:style>
  <w:style w:type="paragraph" w:styleId="10">
    <w:name w:val="Body Text First Indent"/>
    <w:basedOn w:val="9"/>
    <w:next w:val="1"/>
    <w:link w:val="76"/>
    <w:autoRedefine/>
    <w:qFormat/>
    <w:uiPriority w:val="0"/>
    <w:pPr>
      <w:ind w:firstLine="200" w:firstLineChars="200"/>
    </w:pPr>
  </w:style>
  <w:style w:type="paragraph" w:styleId="11">
    <w:name w:val="Body Text Indent"/>
    <w:basedOn w:val="1"/>
    <w:next w:val="1"/>
    <w:autoRedefine/>
    <w:qFormat/>
    <w:uiPriority w:val="0"/>
    <w:pPr>
      <w:spacing w:after="120"/>
      <w:ind w:left="420" w:leftChars="200"/>
    </w:pPr>
  </w:style>
  <w:style w:type="paragraph" w:styleId="12">
    <w:name w:val="List Bullet 2"/>
    <w:basedOn w:val="1"/>
    <w:next w:val="7"/>
    <w:autoRedefine/>
    <w:qFormat/>
    <w:uiPriority w:val="0"/>
    <w:pPr>
      <w:numPr>
        <w:ilvl w:val="0"/>
        <w:numId w:val="4"/>
      </w:numPr>
    </w:pPr>
  </w:style>
  <w:style w:type="paragraph" w:styleId="13">
    <w:name w:val="Plain Text"/>
    <w:basedOn w:val="1"/>
    <w:next w:val="14"/>
    <w:link w:val="66"/>
    <w:autoRedefine/>
    <w:qFormat/>
    <w:uiPriority w:val="0"/>
    <w:rPr>
      <w:rFonts w:ascii="宋体" w:hAnsi="Courier New" w:cstheme="minorBidi"/>
    </w:rPr>
  </w:style>
  <w:style w:type="paragraph" w:styleId="14">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6"/>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autoRedefine/>
    <w:unhideWhenUsed/>
    <w:qFormat/>
    <w:uiPriority w:val="39"/>
    <w:pPr>
      <w:ind w:left="2100" w:leftChars="1000"/>
    </w:pPr>
    <w:rPr>
      <w:rFonts w:ascii="Calibri" w:hAnsi="Calibri"/>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3">
    <w:name w:val="annotation subject"/>
    <w:basedOn w:val="8"/>
    <w:next w:val="8"/>
    <w:link w:val="75"/>
    <w:autoRedefine/>
    <w:qFormat/>
    <w:uiPriority w:val="0"/>
    <w:rPr>
      <w:b/>
      <w:bCs/>
    </w:rPr>
  </w:style>
  <w:style w:type="paragraph" w:styleId="24">
    <w:name w:val="Body Text First Indent 2"/>
    <w:basedOn w:val="11"/>
    <w:autoRedefine/>
    <w:qFormat/>
    <w:uiPriority w:val="0"/>
    <w:pPr>
      <w:ind w:firstLine="420"/>
    </w:pPr>
  </w:style>
  <w:style w:type="table" w:styleId="26">
    <w:name w:val="Table Grid"/>
    <w:basedOn w:val="25"/>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autoRedefine/>
    <w:qFormat/>
    <w:uiPriority w:val="0"/>
    <w:rPr>
      <w:color w:val="0000FF"/>
      <w:u w:val="single"/>
    </w:rPr>
  </w:style>
  <w:style w:type="character" w:styleId="29">
    <w:name w:val="annotation reference"/>
    <w:basedOn w:val="27"/>
    <w:autoRedefine/>
    <w:qFormat/>
    <w:uiPriority w:val="0"/>
    <w:rPr>
      <w:sz w:val="21"/>
      <w:szCs w:val="21"/>
    </w:rPr>
  </w:style>
  <w:style w:type="paragraph" w:customStyle="1" w:styleId="30">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4、正文"/>
    <w:basedOn w:val="1"/>
    <w:autoRedefine/>
    <w:qFormat/>
    <w:uiPriority w:val="0"/>
    <w:pPr>
      <w:ind w:firstLine="200" w:firstLineChars="200"/>
    </w:pPr>
    <w:rPr>
      <w:rFonts w:ascii="宋体"/>
      <w:sz w:val="24"/>
      <w:szCs w:val="28"/>
    </w:rPr>
  </w:style>
  <w:style w:type="paragraph" w:customStyle="1" w:styleId="32">
    <w:name w:val="表格文字"/>
    <w:basedOn w:val="1"/>
    <w:next w:val="9"/>
    <w:autoRedefine/>
    <w:qFormat/>
    <w:uiPriority w:val="0"/>
    <w:pPr>
      <w:jc w:val="left"/>
      <w:textAlignment w:val="top"/>
    </w:pPr>
    <w:rPr>
      <w:sz w:val="18"/>
    </w:rPr>
  </w:style>
  <w:style w:type="paragraph" w:customStyle="1" w:styleId="33">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autoRedefine/>
    <w:qFormat/>
    <w:uiPriority w:val="0"/>
    <w:pPr>
      <w:ind w:firstLine="420" w:firstLineChars="200"/>
    </w:pPr>
    <w:rPr>
      <w:rFonts w:ascii="Calibri" w:hAnsi="Calibri"/>
      <w:szCs w:val="22"/>
    </w:rPr>
  </w:style>
  <w:style w:type="paragraph" w:customStyle="1" w:styleId="35">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autoRedefine/>
    <w:qFormat/>
    <w:uiPriority w:val="0"/>
    <w:rPr>
      <w:rFonts w:ascii="Times New Roman" w:hAnsi="Times New Roman" w:eastAsia="宋体" w:cs="Times New Roman"/>
      <w:sz w:val="21"/>
      <w:szCs w:val="22"/>
      <w:lang w:val="en-US" w:eastAsia="zh-CN" w:bidi="ar-SA"/>
    </w:rPr>
  </w:style>
  <w:style w:type="paragraph" w:customStyle="1" w:styleId="4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autoRedefine/>
    <w:qFormat/>
    <w:uiPriority w:val="0"/>
    <w:pPr>
      <w:widowControl/>
      <w:jc w:val="left"/>
    </w:pPr>
    <w:rPr>
      <w:rFonts w:ascii="宋体" w:hAnsi="Courier New" w:eastAsiaTheme="minorEastAsia" w:cstheme="minorBidi"/>
      <w:szCs w:val="21"/>
    </w:rPr>
  </w:style>
  <w:style w:type="paragraph" w:customStyle="1" w:styleId="44">
    <w:name w:val="纯文本_0_1"/>
    <w:basedOn w:val="1"/>
    <w:autoRedefine/>
    <w:qFormat/>
    <w:uiPriority w:val="0"/>
    <w:pPr>
      <w:widowControl/>
      <w:jc w:val="left"/>
    </w:pPr>
    <w:rPr>
      <w:rFonts w:ascii="宋体" w:hAnsi="Courier New" w:eastAsiaTheme="minorEastAsia" w:cstheme="minorBidi"/>
      <w:szCs w:val="21"/>
    </w:rPr>
  </w:style>
  <w:style w:type="paragraph" w:customStyle="1" w:styleId="4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7"/>
    <w:autoRedefine/>
    <w:qFormat/>
    <w:uiPriority w:val="0"/>
    <w:rPr>
      <w:rFonts w:hint="default" w:ascii="Arial" w:hAnsi="Arial" w:cs="Arial"/>
      <w:color w:val="000000"/>
      <w:sz w:val="20"/>
      <w:szCs w:val="20"/>
      <w:u w:val="none"/>
    </w:rPr>
  </w:style>
  <w:style w:type="character" w:customStyle="1" w:styleId="50">
    <w:name w:val="font01"/>
    <w:basedOn w:val="27"/>
    <w:autoRedefine/>
    <w:qFormat/>
    <w:uiPriority w:val="0"/>
    <w:rPr>
      <w:rFonts w:hint="eastAsia" w:ascii="宋体" w:hAnsi="宋体" w:eastAsia="宋体" w:cs="宋体"/>
      <w:color w:val="000000"/>
      <w:sz w:val="20"/>
      <w:szCs w:val="20"/>
      <w:u w:val="none"/>
    </w:rPr>
  </w:style>
  <w:style w:type="paragraph" w:customStyle="1" w:styleId="51">
    <w:name w:val="纯文本1"/>
    <w:basedOn w:val="52"/>
    <w:autoRedefine/>
    <w:qFormat/>
    <w:uiPriority w:val="0"/>
    <w:pPr>
      <w:widowControl/>
      <w:jc w:val="left"/>
    </w:pPr>
    <w:rPr>
      <w:rFonts w:ascii="宋体" w:hAnsi="Courier New"/>
    </w:rPr>
  </w:style>
  <w:style w:type="paragraph" w:customStyle="1" w:styleId="5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autoRedefine/>
    <w:qFormat/>
    <w:uiPriority w:val="1"/>
    <w:rPr>
      <w:rFonts w:ascii="宋体" w:hAnsi="宋体" w:cs="宋体"/>
    </w:r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autoRedefine/>
    <w:qFormat/>
    <w:uiPriority w:val="0"/>
    <w:rPr>
      <w:rFonts w:ascii="Tahoma" w:hAnsi="Tahoma"/>
      <w:sz w:val="24"/>
      <w:szCs w:val="20"/>
    </w:rPr>
  </w:style>
  <w:style w:type="character" w:customStyle="1" w:styleId="56">
    <w:name w:val="批注框文本 字符"/>
    <w:basedOn w:val="27"/>
    <w:link w:val="15"/>
    <w:autoRedefine/>
    <w:qFormat/>
    <w:uiPriority w:val="0"/>
    <w:rPr>
      <w:kern w:val="2"/>
      <w:sz w:val="18"/>
      <w:szCs w:val="18"/>
    </w:rPr>
  </w:style>
  <w:style w:type="paragraph" w:customStyle="1" w:styleId="57">
    <w:name w:val="英文"/>
    <w:basedOn w:val="1"/>
    <w:link w:val="59"/>
    <w:autoRedefine/>
    <w:qFormat/>
    <w:uiPriority w:val="0"/>
    <w:pPr>
      <w:adjustRightInd w:val="0"/>
      <w:snapToGrid w:val="0"/>
      <w:spacing w:line="360" w:lineRule="auto"/>
      <w:ind w:firstLine="480" w:firstLineChars="200"/>
    </w:pPr>
    <w:rPr>
      <w:rFonts w:ascii="Arial" w:hAnsi="Arial" w:cs="Arial"/>
      <w:sz w:val="24"/>
    </w:rPr>
  </w:style>
  <w:style w:type="paragraph" w:customStyle="1" w:styleId="58">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59">
    <w:name w:val="英文 Char"/>
    <w:link w:val="57"/>
    <w:autoRedefine/>
    <w:qFormat/>
    <w:uiPriority w:val="0"/>
    <w:rPr>
      <w:rFonts w:ascii="Arial" w:hAnsi="Arial" w:cs="Arial"/>
      <w:sz w:val="24"/>
    </w:rPr>
  </w:style>
  <w:style w:type="paragraph" w:customStyle="1" w:styleId="60">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1">
    <w:name w:val="正文段落"/>
    <w:basedOn w:val="1"/>
    <w:autoRedefine/>
    <w:qFormat/>
    <w:uiPriority w:val="0"/>
    <w:pPr>
      <w:spacing w:line="360" w:lineRule="auto"/>
      <w:ind w:firstLine="200" w:firstLineChars="200"/>
    </w:pPr>
    <w:rPr>
      <w:rFonts w:eastAsia="仿宋"/>
      <w:sz w:val="28"/>
    </w:rPr>
  </w:style>
  <w:style w:type="paragraph" w:customStyle="1" w:styleId="62">
    <w:name w:val="Normal Indent1"/>
    <w:basedOn w:val="1"/>
    <w:autoRedefine/>
    <w:qFormat/>
    <w:uiPriority w:val="0"/>
    <w:pPr>
      <w:ind w:firstLine="420" w:firstLineChars="200"/>
    </w:pPr>
  </w:style>
  <w:style w:type="paragraph" w:customStyle="1" w:styleId="63">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列表段落1"/>
    <w:basedOn w:val="1"/>
    <w:autoRedefine/>
    <w:qFormat/>
    <w:uiPriority w:val="0"/>
    <w:pPr>
      <w:ind w:firstLine="420" w:firstLineChars="200"/>
    </w:pPr>
  </w:style>
  <w:style w:type="character" w:customStyle="1" w:styleId="66">
    <w:name w:val="纯文本 字符"/>
    <w:link w:val="13"/>
    <w:autoRedefine/>
    <w:qFormat/>
    <w:uiPriority w:val="0"/>
    <w:rPr>
      <w:rFonts w:ascii="宋体" w:hAnsi="Courier New" w:cstheme="minorBidi"/>
      <w:kern w:val="2"/>
      <w:sz w:val="21"/>
      <w:szCs w:val="24"/>
    </w:rPr>
  </w:style>
  <w:style w:type="character" w:customStyle="1" w:styleId="67">
    <w:name w:val="NormalCharacter"/>
    <w:autoRedefine/>
    <w:qFormat/>
    <w:uiPriority w:val="0"/>
  </w:style>
  <w:style w:type="paragraph" w:customStyle="1" w:styleId="68">
    <w:name w:val="UserStyle_4"/>
    <w:basedOn w:val="1"/>
    <w:autoRedefine/>
    <w:qFormat/>
    <w:uiPriority w:val="0"/>
    <w:pPr>
      <w:ind w:firstLine="420" w:firstLineChars="200"/>
    </w:pPr>
    <w:rPr>
      <w:sz w:val="24"/>
    </w:rPr>
  </w:style>
  <w:style w:type="paragraph" w:customStyle="1" w:styleId="69">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0">
    <w:name w:val="UserStyle_48"/>
    <w:basedOn w:val="1"/>
    <w:autoRedefine/>
    <w:qFormat/>
    <w:uiPriority w:val="0"/>
    <w:pPr>
      <w:ind w:firstLine="420" w:firstLineChars="200"/>
    </w:pPr>
    <w:rPr>
      <w:szCs w:val="21"/>
    </w:rPr>
  </w:style>
  <w:style w:type="paragraph" w:customStyle="1" w:styleId="71">
    <w:name w:val="PlainText"/>
    <w:basedOn w:val="1"/>
    <w:autoRedefine/>
    <w:qFormat/>
    <w:uiPriority w:val="0"/>
    <w:pPr>
      <w:spacing w:before="156" w:after="156" w:line="400" w:lineRule="atLeast"/>
    </w:pPr>
    <w:rPr>
      <w:rFonts w:ascii="宋体" w:hAnsi="Courier New"/>
      <w:sz w:val="24"/>
    </w:rPr>
  </w:style>
  <w:style w:type="paragraph" w:customStyle="1" w:styleId="72">
    <w:name w:val="UserStyle_29"/>
    <w:basedOn w:val="1"/>
    <w:autoRedefine/>
    <w:qFormat/>
    <w:uiPriority w:val="0"/>
    <w:pPr>
      <w:ind w:firstLine="420" w:firstLineChars="200"/>
    </w:pPr>
    <w:rPr>
      <w:szCs w:val="22"/>
    </w:rPr>
  </w:style>
  <w:style w:type="table" w:customStyle="1" w:styleId="73">
    <w:name w:val="Table Normal"/>
    <w:autoRedefine/>
    <w:unhideWhenUsed/>
    <w:qFormat/>
    <w:uiPriority w:val="0"/>
    <w:tblPr>
      <w:tblCellMar>
        <w:top w:w="0" w:type="dxa"/>
        <w:left w:w="0" w:type="dxa"/>
        <w:bottom w:w="0" w:type="dxa"/>
        <w:right w:w="0" w:type="dxa"/>
      </w:tblCellMar>
    </w:tblPr>
  </w:style>
  <w:style w:type="character" w:customStyle="1" w:styleId="74">
    <w:name w:val="批注文字 字符"/>
    <w:basedOn w:val="27"/>
    <w:link w:val="8"/>
    <w:autoRedefine/>
    <w:qFormat/>
    <w:uiPriority w:val="0"/>
    <w:rPr>
      <w:kern w:val="2"/>
      <w:sz w:val="21"/>
      <w:szCs w:val="24"/>
    </w:rPr>
  </w:style>
  <w:style w:type="character" w:customStyle="1" w:styleId="75">
    <w:name w:val="批注主题 字符"/>
    <w:basedOn w:val="74"/>
    <w:link w:val="23"/>
    <w:autoRedefine/>
    <w:qFormat/>
    <w:uiPriority w:val="0"/>
    <w:rPr>
      <w:b/>
      <w:bCs/>
      <w:kern w:val="2"/>
      <w:sz w:val="21"/>
      <w:szCs w:val="24"/>
    </w:rPr>
  </w:style>
  <w:style w:type="character" w:customStyle="1" w:styleId="76">
    <w:name w:val="正文文本首行缩进 字符"/>
    <w:basedOn w:val="27"/>
    <w:link w:val="10"/>
    <w:autoRedefine/>
    <w:qFormat/>
    <w:uiPriority w:val="0"/>
    <w:rPr>
      <w:kern w:val="2"/>
      <w:sz w:val="24"/>
      <w:szCs w:val="24"/>
    </w:rPr>
  </w:style>
  <w:style w:type="paragraph" w:customStyle="1" w:styleId="77">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Unresolved Mention"/>
    <w:basedOn w:val="2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50</Pages>
  <Words>3564</Words>
  <Characters>20317</Characters>
  <Lines>169</Lines>
  <Paragraphs>47</Paragraphs>
  <TotalTime>0</TotalTime>
  <ScaleCrop>false</ScaleCrop>
  <LinksUpToDate>false</LinksUpToDate>
  <CharactersWithSpaces>23834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洗尽铅华</cp:lastModifiedBy>
  <cp:lastPrinted>2024-02-04T01:20:00Z</cp:lastPrinted>
  <dcterms:modified xsi:type="dcterms:W3CDTF">2024-02-05T08:32:25Z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900F96B29CEF44DDADCE351D39C9D14C_13</vt:lpwstr>
  </property>
  <property fmtid="{D5CDD505-2E9C-101B-9397-08002B2CF9AE}" pid="4" name="commondata">
    <vt:lpwstr>eyJoZGlkIjoiZWM5NTczMTg4N2ExZWZmMDU0MmIxMDc2NTJiZjIxOTMifQ==</vt:lpwstr>
  </property>
</Properties>
</file>