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78"/>
        <w:jc w:val="center"/>
        <w:rPr>
          <w:rFonts w:hint="eastAsia" w:eastAsia="宋体"/>
          <w:b/>
          <w:bCs/>
          <w:sz w:val="36"/>
          <w:szCs w:val="40"/>
          <w:lang w:eastAsia="zh-CN"/>
        </w:rPr>
      </w:pPr>
      <w:r>
        <w:rPr>
          <w:rFonts w:hint="eastAsia" w:ascii="Times New Roman" w:hAnsi="Times New Roman"/>
          <w:b/>
          <w:bCs/>
          <w:sz w:val="36"/>
          <w:szCs w:val="40"/>
          <w:lang w:eastAsia="zh-CN"/>
        </w:rPr>
        <w:t>2024年台州湾新区森林病虫检测监测技术服务项目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1260"/>
        </w:tabs>
        <w:spacing w:line="640" w:lineRule="exact"/>
        <w:jc w:val="center"/>
        <w:outlineLvl w:val="0"/>
        <w:rPr>
          <w:rFonts w:ascii="宋体" w:hAnsi="宋体"/>
          <w:spacing w:val="20"/>
          <w:kern w:val="21"/>
          <w:sz w:val="30"/>
          <w:szCs w:val="30"/>
        </w:rPr>
      </w:pPr>
      <w:r>
        <w:rPr>
          <w:rFonts w:hint="eastAsia" w:ascii="宋体" w:hAnsi="宋体" w:cs="Calibri Light"/>
          <w:kern w:val="0"/>
          <w:sz w:val="24"/>
        </w:rPr>
        <w:t>采购编号：[</w:t>
      </w:r>
      <w:r>
        <w:rPr>
          <w:rFonts w:hint="eastAsia" w:ascii="宋体" w:hAnsi="宋体" w:cs="Calibri Light"/>
          <w:kern w:val="0"/>
          <w:sz w:val="24"/>
          <w:lang w:val="en-US" w:eastAsia="zh-CN"/>
        </w:rPr>
        <w:t>Q</w:t>
      </w:r>
      <w:r>
        <w:rPr>
          <w:rFonts w:hint="eastAsia" w:ascii="宋体" w:hAnsi="宋体" w:cs="Calibri Light"/>
          <w:kern w:val="0"/>
          <w:sz w:val="24"/>
        </w:rPr>
        <w:t>B</w:t>
      </w:r>
      <w:r>
        <w:rPr>
          <w:rFonts w:hint="eastAsia" w:ascii="宋体" w:hAnsi="宋体" w:cs="Calibri Light"/>
          <w:kern w:val="0"/>
          <w:sz w:val="24"/>
          <w:lang w:val="en-US" w:eastAsia="zh-CN"/>
        </w:rPr>
        <w:t>J</w:t>
      </w:r>
      <w:r>
        <w:rPr>
          <w:rFonts w:hint="eastAsia" w:ascii="宋体" w:hAnsi="宋体" w:cs="Calibri Light"/>
          <w:kern w:val="0"/>
          <w:sz w:val="24"/>
        </w:rPr>
        <w:t>]2024040</w:t>
      </w:r>
    </w:p>
    <w:p>
      <w:pPr>
        <w:spacing w:line="640" w:lineRule="exact"/>
        <w:ind w:firstLine="1020" w:firstLineChars="300"/>
        <w:outlineLvl w:val="0"/>
        <w:rPr>
          <w:rFonts w:hint="eastAsia" w:ascii="宋体" w:hAnsi="宋体" w:eastAsia="宋体" w:cs="Times New Roman"/>
          <w:spacing w:val="20"/>
          <w:kern w:val="21"/>
          <w:sz w:val="30"/>
          <w:szCs w:val="30"/>
        </w:rPr>
      </w:pPr>
      <w:r>
        <w:rPr>
          <w:rFonts w:hint="eastAsia" w:ascii="宋体" w:hAnsi="宋体" w:eastAsia="宋体" w:cs="Times New Roman"/>
          <w:spacing w:val="20"/>
          <w:kern w:val="21"/>
          <w:sz w:val="30"/>
          <w:szCs w:val="30"/>
        </w:rPr>
        <w:t>采购人：台州市自然资源和规划局台州湾新区（高新区）分局（盖章）</w:t>
      </w:r>
    </w:p>
    <w:p>
      <w:pPr>
        <w:spacing w:line="640" w:lineRule="exact"/>
        <w:ind w:firstLine="1020" w:firstLineChars="300"/>
        <w:outlineLvl w:val="0"/>
        <w:rPr>
          <w:rFonts w:hint="default" w:ascii="宋体" w:hAnsi="宋体" w:eastAsia="宋体" w:cs="Times New Roman"/>
          <w:spacing w:val="20"/>
          <w:kern w:val="21"/>
          <w:sz w:val="30"/>
          <w:szCs w:val="30"/>
          <w:lang w:val="en-US" w:eastAsia="zh-CN"/>
        </w:rPr>
      </w:pPr>
      <w:r>
        <w:rPr>
          <w:rFonts w:hint="eastAsia" w:ascii="宋体" w:hAnsi="宋体" w:eastAsia="宋体" w:cs="Times New Roman"/>
          <w:spacing w:val="20"/>
          <w:kern w:val="21"/>
          <w:sz w:val="30"/>
          <w:szCs w:val="30"/>
        </w:rPr>
        <w:t>联 系 人：</w:t>
      </w:r>
      <w:r>
        <w:rPr>
          <w:rFonts w:hint="eastAsia" w:ascii="宋体" w:hAnsi="宋体" w:eastAsia="宋体" w:cs="Times New Roman"/>
          <w:spacing w:val="20"/>
          <w:kern w:val="21"/>
          <w:sz w:val="30"/>
          <w:szCs w:val="30"/>
          <w:lang w:eastAsia="zh-CN"/>
        </w:rPr>
        <w:t>冯工</w:t>
      </w:r>
      <w:r>
        <w:rPr>
          <w:rFonts w:hint="eastAsia" w:ascii="宋体" w:hAnsi="宋体" w:eastAsia="宋体" w:cs="Times New Roman"/>
          <w:spacing w:val="20"/>
          <w:kern w:val="21"/>
          <w:sz w:val="30"/>
          <w:szCs w:val="30"/>
          <w:lang w:val="en-US" w:eastAsia="zh-CN"/>
        </w:rPr>
        <w:t xml:space="preserve"> </w:t>
      </w:r>
    </w:p>
    <w:p>
      <w:pPr>
        <w:spacing w:line="640" w:lineRule="exact"/>
        <w:ind w:firstLine="1020" w:firstLineChars="300"/>
        <w:outlineLvl w:val="0"/>
        <w:rPr>
          <w:rFonts w:hint="eastAsia" w:ascii="宋体" w:hAnsi="宋体" w:eastAsia="宋体" w:cs="Times New Roman"/>
          <w:spacing w:val="20"/>
          <w:kern w:val="21"/>
          <w:sz w:val="30"/>
          <w:szCs w:val="30"/>
        </w:rPr>
      </w:pPr>
      <w:r>
        <w:rPr>
          <w:rFonts w:hint="eastAsia" w:ascii="宋体" w:hAnsi="宋体" w:eastAsia="宋体" w:cs="Times New Roman"/>
          <w:spacing w:val="20"/>
          <w:kern w:val="21"/>
          <w:sz w:val="30"/>
          <w:szCs w:val="30"/>
        </w:rPr>
        <w:t>联系电话：0576-88851357</w:t>
      </w:r>
    </w:p>
    <w:p>
      <w:pPr>
        <w:spacing w:line="640" w:lineRule="exact"/>
        <w:ind w:firstLine="1020" w:firstLineChars="300"/>
        <w:outlineLvl w:val="0"/>
        <w:rPr>
          <w:rFonts w:hint="eastAsia" w:ascii="宋体" w:hAnsi="宋体" w:eastAsia="宋体" w:cs="Times New Roman"/>
          <w:spacing w:val="20"/>
          <w:kern w:val="21"/>
          <w:sz w:val="30"/>
          <w:szCs w:val="30"/>
        </w:rPr>
      </w:pPr>
    </w:p>
    <w:p>
      <w:pPr>
        <w:spacing w:line="640" w:lineRule="exact"/>
        <w:ind w:firstLine="1020" w:firstLineChars="300"/>
        <w:outlineLvl w:val="0"/>
        <w:rPr>
          <w:rFonts w:hint="eastAsia" w:ascii="宋体" w:hAnsi="宋体" w:eastAsia="宋体" w:cs="Times New Roman"/>
          <w:spacing w:val="20"/>
          <w:kern w:val="21"/>
          <w:sz w:val="30"/>
          <w:szCs w:val="30"/>
        </w:rPr>
      </w:pPr>
      <w:r>
        <w:rPr>
          <w:rFonts w:hint="eastAsia" w:ascii="宋体" w:hAnsi="宋体" w:eastAsia="宋体" w:cs="Times New Roman"/>
          <w:spacing w:val="20"/>
          <w:kern w:val="21"/>
          <w:sz w:val="30"/>
          <w:szCs w:val="30"/>
        </w:rPr>
        <w:t>招标代理：台州市建设咨询有限公司（盖章）</w:t>
      </w:r>
    </w:p>
    <w:p>
      <w:pPr>
        <w:spacing w:line="640" w:lineRule="exact"/>
        <w:ind w:firstLine="1020" w:firstLineChars="300"/>
        <w:outlineLvl w:val="0"/>
        <w:rPr>
          <w:rFonts w:hint="eastAsia" w:ascii="宋体" w:hAnsi="宋体" w:eastAsia="宋体" w:cs="Times New Roman"/>
          <w:spacing w:val="20"/>
          <w:kern w:val="21"/>
          <w:sz w:val="30"/>
          <w:szCs w:val="30"/>
          <w:lang w:eastAsia="zh-CN"/>
        </w:rPr>
      </w:pPr>
      <w:r>
        <w:rPr>
          <w:rFonts w:hint="eastAsia" w:ascii="宋体" w:hAnsi="宋体" w:eastAsia="宋体" w:cs="Times New Roman"/>
          <w:spacing w:val="20"/>
          <w:kern w:val="21"/>
          <w:sz w:val="30"/>
          <w:szCs w:val="30"/>
        </w:rPr>
        <w:t>联 系 人：</w:t>
      </w:r>
      <w:r>
        <w:rPr>
          <w:rFonts w:hint="eastAsia" w:ascii="宋体" w:hAnsi="宋体" w:eastAsia="宋体" w:cs="Times New Roman"/>
          <w:spacing w:val="20"/>
          <w:kern w:val="21"/>
          <w:sz w:val="30"/>
          <w:szCs w:val="30"/>
          <w:lang w:eastAsia="zh-CN"/>
        </w:rPr>
        <w:t>许先生</w:t>
      </w:r>
    </w:p>
    <w:p>
      <w:pPr>
        <w:spacing w:line="640" w:lineRule="exact"/>
        <w:ind w:firstLine="1020" w:firstLineChars="300"/>
        <w:outlineLvl w:val="0"/>
        <w:rPr>
          <w:rFonts w:hint="default" w:ascii="宋体" w:hAnsi="宋体" w:eastAsia="宋体" w:cs="Times New Roman"/>
          <w:spacing w:val="20"/>
          <w:kern w:val="21"/>
          <w:sz w:val="30"/>
          <w:szCs w:val="30"/>
          <w:lang w:val="en-US" w:eastAsia="zh-CN"/>
        </w:rPr>
      </w:pPr>
      <w:r>
        <w:rPr>
          <w:rFonts w:hint="eastAsia" w:ascii="宋体" w:hAnsi="宋体" w:eastAsia="宋体" w:cs="Times New Roman"/>
          <w:spacing w:val="20"/>
          <w:kern w:val="21"/>
          <w:sz w:val="30"/>
          <w:szCs w:val="30"/>
        </w:rPr>
        <w:t>联系电话：0576-</w:t>
      </w:r>
      <w:r>
        <w:rPr>
          <w:rFonts w:hint="eastAsia" w:ascii="宋体" w:hAnsi="宋体" w:eastAsia="宋体" w:cs="Times New Roman"/>
          <w:spacing w:val="20"/>
          <w:kern w:val="21"/>
          <w:sz w:val="30"/>
          <w:szCs w:val="30"/>
          <w:lang w:val="en-US" w:eastAsia="zh-CN"/>
        </w:rPr>
        <w:t>88519890</w:t>
      </w:r>
    </w:p>
    <w:p>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eastAsia="宋体" w:cs="Times New Roman"/>
          <w:spacing w:val="20"/>
          <w:kern w:val="21"/>
          <w:sz w:val="30"/>
          <w:szCs w:val="30"/>
        </w:rPr>
        <w:t>日    期：202</w:t>
      </w:r>
      <w:r>
        <w:rPr>
          <w:rFonts w:hint="eastAsia" w:ascii="宋体" w:hAnsi="宋体" w:cs="Times New Roman"/>
          <w:spacing w:val="20"/>
          <w:kern w:val="21"/>
          <w:sz w:val="30"/>
          <w:szCs w:val="30"/>
          <w:lang w:val="en-US" w:eastAsia="zh-CN"/>
        </w:rPr>
        <w:t>4</w:t>
      </w:r>
      <w:r>
        <w:rPr>
          <w:rFonts w:hint="eastAsia" w:ascii="宋体" w:hAnsi="宋体" w:eastAsia="宋体" w:cs="Times New Roman"/>
          <w:spacing w:val="20"/>
          <w:kern w:val="21"/>
          <w:sz w:val="30"/>
          <w:szCs w:val="30"/>
        </w:rPr>
        <w:t>年</w:t>
      </w:r>
      <w:r>
        <w:rPr>
          <w:rFonts w:hint="eastAsia" w:ascii="宋体" w:hAnsi="宋体" w:cs="Times New Roman"/>
          <w:spacing w:val="20"/>
          <w:kern w:val="21"/>
          <w:sz w:val="30"/>
          <w:szCs w:val="30"/>
          <w:lang w:val="en-US" w:eastAsia="zh-CN"/>
        </w:rPr>
        <w:t>3</w:t>
      </w:r>
      <w:r>
        <w:rPr>
          <w:rFonts w:hint="eastAsia" w:ascii="宋体" w:hAnsi="宋体" w:eastAsia="宋体" w:cs="Times New Roman"/>
          <w:spacing w:val="20"/>
          <w:kern w:val="21"/>
          <w:sz w:val="30"/>
          <w:szCs w:val="30"/>
        </w:rPr>
        <w:t>月</w:t>
      </w:r>
    </w:p>
    <w:p>
      <w:pPr>
        <w:pStyle w:val="34"/>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lang w:val="en-US" w:eastAsia="zh-CN"/>
            </w:rPr>
            <w:t>7</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pPr>
            <w:pStyle w:val="19"/>
            <w:tabs>
              <w:tab w:val="right" w:leader="dot" w:pos="8620"/>
            </w:tabs>
            <w:rPr>
              <w:rFonts w:hint="eastAsia" w:eastAsiaTheme="minorEastAsia" w:cstheme="minorBidi"/>
              <w:sz w:val="28"/>
              <w:szCs w:val="28"/>
              <w:lang w:val="en-US" w:eastAsia="zh-CN"/>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1</w:t>
          </w:r>
          <w:r>
            <w:rPr>
              <w:rFonts w:eastAsiaTheme="minorEastAsia" w:cstheme="minorBidi"/>
              <w:sz w:val="28"/>
              <w:szCs w:val="28"/>
            </w:rPr>
            <w:fldChar w:fldCharType="end"/>
          </w:r>
          <w:r>
            <w:rPr>
              <w:rFonts w:hint="eastAsia" w:eastAsiaTheme="minorEastAsia" w:cstheme="minorBidi"/>
              <w:sz w:val="28"/>
              <w:szCs w:val="28"/>
              <w:lang w:val="en-US" w:eastAsia="zh-CN"/>
            </w:rPr>
            <w:t>8</w:t>
          </w:r>
        </w:p>
        <w:p>
          <w:pPr>
            <w:pStyle w:val="19"/>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2" w:name="_Toc27944_WPSOffice_Level1Page"/>
          <w:r>
            <w:rPr>
              <w:rFonts w:hint="eastAsia" w:eastAsiaTheme="minorEastAsia" w:cstheme="minorBidi"/>
              <w:sz w:val="28"/>
              <w:szCs w:val="28"/>
              <w:lang w:val="en-US" w:eastAsia="zh-CN"/>
            </w:rPr>
            <w:t>2</w:t>
          </w:r>
          <w:r>
            <w:rPr>
              <w:rFonts w:eastAsiaTheme="minorEastAsia" w:cstheme="minorBidi"/>
              <w:sz w:val="28"/>
              <w:szCs w:val="28"/>
            </w:rPr>
            <w:t>5</w:t>
          </w:r>
          <w:bookmarkEnd w:id="2"/>
          <w:r>
            <w:rPr>
              <w:rFonts w:eastAsiaTheme="minorEastAsia" w:cstheme="minorBidi"/>
              <w:sz w:val="28"/>
              <w:szCs w:val="28"/>
            </w:rPr>
            <w:fldChar w:fldCharType="end"/>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2</w:t>
          </w:r>
          <w:r>
            <w:rPr>
              <w:rFonts w:eastAsiaTheme="minorEastAsia" w:cstheme="minorBidi"/>
              <w:sz w:val="28"/>
              <w:szCs w:val="28"/>
            </w:rPr>
            <w:fldChar w:fldCharType="end"/>
          </w:r>
          <w:r>
            <w:rPr>
              <w:rFonts w:hint="eastAsia" w:eastAsiaTheme="minorEastAsia" w:cstheme="minorBidi"/>
              <w:sz w:val="28"/>
              <w:szCs w:val="28"/>
              <w:lang w:val="en-US" w:eastAsia="zh-CN"/>
            </w:rPr>
            <w:t>9</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hint="eastAsia" w:ascii="宋体" w:hAnsi="宋体" w:cs="宋体"/>
          <w:b/>
          <w:kern w:val="0"/>
          <w:sz w:val="36"/>
          <w:szCs w:val="36"/>
        </w:rPr>
        <w:t>投标邀请</w:t>
      </w:r>
      <w:bookmarkEnd w:id="3"/>
    </w:p>
    <w:p>
      <w:pPr>
        <w:pStyle w:val="4"/>
        <w:ind w:firstLine="480" w:firstLineChars="200"/>
        <w:rPr>
          <w:rFonts w:cs="宋体"/>
          <w:b w:val="0"/>
          <w:sz w:val="24"/>
          <w:szCs w:val="24"/>
        </w:rPr>
      </w:pPr>
      <w:bookmarkStart w:id="4" w:name="_Toc28359002"/>
      <w:bookmarkStart w:id="5" w:name="_Toc28359079"/>
      <w:bookmarkStart w:id="6" w:name="_Toc35393621"/>
      <w:bookmarkStart w:id="7" w:name="_Toc35393790"/>
      <w:bookmarkStart w:id="8" w:name="_Hlk24379207"/>
      <w:r>
        <w:rPr>
          <w:rFonts w:hint="eastAsia" w:cs="宋体"/>
          <w:b w:val="0"/>
          <w:sz w:val="24"/>
          <w:szCs w:val="24"/>
          <w:u w:val="single"/>
        </w:rPr>
        <w:t>台州市建设咨询有限公司</w:t>
      </w:r>
      <w:r>
        <w:rPr>
          <w:rFonts w:hint="eastAsia" w:cs="宋体"/>
          <w:b w:val="0"/>
          <w:sz w:val="24"/>
          <w:szCs w:val="24"/>
        </w:rPr>
        <w:t>受</w:t>
      </w:r>
      <w:r>
        <w:rPr>
          <w:rFonts w:hint="eastAsia" w:cs="宋体"/>
          <w:b w:val="0"/>
          <w:sz w:val="24"/>
          <w:szCs w:val="24"/>
          <w:u w:val="single"/>
        </w:rPr>
        <w:t>台州市自然资源和规划局台州湾新区（高新区）分局</w:t>
      </w:r>
      <w:r>
        <w:rPr>
          <w:rFonts w:hint="eastAsia" w:cs="宋体"/>
          <w:b w:val="0"/>
          <w:sz w:val="24"/>
          <w:szCs w:val="24"/>
        </w:rPr>
        <w:t>委托，就</w:t>
      </w:r>
      <w:r>
        <w:rPr>
          <w:rFonts w:hint="eastAsia" w:cs="宋体"/>
          <w:b w:val="0"/>
          <w:sz w:val="24"/>
          <w:szCs w:val="24"/>
          <w:u w:val="single"/>
          <w:lang w:eastAsia="zh-CN"/>
        </w:rPr>
        <w:t>2024年台州湾新区森林病虫检测监测技术服务项目</w:t>
      </w:r>
      <w:r>
        <w:rPr>
          <w:rFonts w:hint="eastAsia" w:cs="宋体"/>
          <w:b w:val="0"/>
          <w:sz w:val="24"/>
          <w:szCs w:val="24"/>
        </w:rPr>
        <w:t>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pPr>
        <w:spacing w:line="360" w:lineRule="auto"/>
        <w:ind w:firstLine="480" w:firstLineChars="200"/>
        <w:rPr>
          <w:rFonts w:hint="eastAsia" w:ascii="宋体" w:hAnsi="宋体" w:cs="宋体"/>
          <w:sz w:val="24"/>
        </w:rPr>
      </w:pPr>
      <w:r>
        <w:rPr>
          <w:rFonts w:hint="eastAsia" w:ascii="宋体" w:hAnsi="宋体" w:cs="宋体"/>
          <w:sz w:val="24"/>
        </w:rPr>
        <w:t>项目编号：</w:t>
      </w:r>
      <w:bookmarkEnd w:id="8"/>
      <w:r>
        <w:rPr>
          <w:rFonts w:hint="eastAsia" w:ascii="宋体" w:hAnsi="宋体" w:cs="宋体"/>
          <w:sz w:val="24"/>
        </w:rPr>
        <w:t>[</w:t>
      </w:r>
      <w:r>
        <w:rPr>
          <w:rFonts w:hint="eastAsia" w:ascii="宋体" w:hAnsi="宋体" w:cs="宋体"/>
          <w:sz w:val="24"/>
          <w:lang w:val="en-US" w:eastAsia="zh-CN"/>
        </w:rPr>
        <w:t>Q</w:t>
      </w:r>
      <w:r>
        <w:rPr>
          <w:rFonts w:hint="eastAsia" w:ascii="宋体" w:hAnsi="宋体" w:cs="宋体"/>
          <w:sz w:val="24"/>
        </w:rPr>
        <w:t>B</w:t>
      </w:r>
      <w:r>
        <w:rPr>
          <w:rFonts w:hint="eastAsia" w:ascii="宋体" w:hAnsi="宋体" w:cs="宋体"/>
          <w:sz w:val="24"/>
          <w:lang w:val="en-US" w:eastAsia="zh-CN"/>
        </w:rPr>
        <w:t>J</w:t>
      </w:r>
      <w:r>
        <w:rPr>
          <w:rFonts w:hint="eastAsia" w:ascii="宋体" w:hAnsi="宋体" w:cs="宋体"/>
          <w:sz w:val="24"/>
        </w:rPr>
        <w:t>]2024040</w:t>
      </w:r>
    </w:p>
    <w:p>
      <w:pPr>
        <w:spacing w:line="360" w:lineRule="auto"/>
        <w:ind w:firstLine="480" w:firstLineChars="200"/>
        <w:rPr>
          <w:rFonts w:hint="eastAsia" w:ascii="宋体" w:hAnsi="宋体" w:eastAsia="宋体" w:cs="宋体"/>
          <w:b w:val="0"/>
          <w:kern w:val="2"/>
          <w:sz w:val="24"/>
          <w:szCs w:val="24"/>
          <w:lang w:val="en-US" w:eastAsia="zh-CN" w:bidi="ar-SA"/>
        </w:rPr>
      </w:pPr>
      <w:r>
        <w:rPr>
          <w:rFonts w:hint="eastAsia" w:ascii="宋体" w:hAnsi="宋体" w:cs="宋体"/>
          <w:sz w:val="24"/>
        </w:rPr>
        <w:t>项目名称：</w:t>
      </w:r>
      <w:r>
        <w:rPr>
          <w:rFonts w:hint="eastAsia" w:ascii="宋体" w:hAnsi="宋体" w:cs="宋体"/>
          <w:b w:val="0"/>
          <w:kern w:val="2"/>
          <w:sz w:val="24"/>
          <w:szCs w:val="24"/>
          <w:lang w:val="en-US" w:eastAsia="zh-CN" w:bidi="ar-SA"/>
        </w:rPr>
        <w:t>2024年台州湾新区森林病虫检测监测技术服务项目</w:t>
      </w:r>
    </w:p>
    <w:tbl>
      <w:tblPr>
        <w:tblStyle w:val="26"/>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19"/>
        <w:gridCol w:w="2974"/>
        <w:gridCol w:w="1192"/>
        <w:gridCol w:w="1553"/>
        <w:gridCol w:w="1457"/>
        <w:gridCol w:w="1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3" w:hRule="atLeast"/>
          <w:tblHeader/>
          <w:jc w:val="center"/>
        </w:trPr>
        <w:tc>
          <w:tcPr>
            <w:tcW w:w="819"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bookmarkStart w:id="9" w:name="EBc3c9f0bc06b6413d849824fe98ba274c"/>
            <w:r>
              <w:rPr>
                <w:rFonts w:hint="eastAsia" w:ascii="宋体" w:hAnsi="宋体" w:cs="宋体"/>
                <w:sz w:val="24"/>
              </w:rPr>
              <w:t>标段</w:t>
            </w:r>
          </w:p>
        </w:tc>
        <w:tc>
          <w:tcPr>
            <w:tcW w:w="2974"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1192"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1553"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预算金额</w:t>
            </w:r>
          </w:p>
        </w:tc>
        <w:tc>
          <w:tcPr>
            <w:tcW w:w="1457"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1645"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简要内容描述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21" w:hRule="atLeast"/>
          <w:jc w:val="center"/>
        </w:trPr>
        <w:tc>
          <w:tcPr>
            <w:tcW w:w="819"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974"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lang w:eastAsia="zh-CN"/>
              </w:rPr>
              <w:t>台州湾新区</w:t>
            </w:r>
            <w:r>
              <w:rPr>
                <w:rFonts w:hint="eastAsia" w:ascii="宋体" w:hAnsi="宋体" w:cs="宋体"/>
                <w:sz w:val="24"/>
              </w:rPr>
              <w:t>森林病虫检测监测技术服务项目</w:t>
            </w:r>
          </w:p>
        </w:tc>
        <w:tc>
          <w:tcPr>
            <w:tcW w:w="1192"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rPr>
              <w:t>1项</w:t>
            </w:r>
          </w:p>
        </w:tc>
        <w:tc>
          <w:tcPr>
            <w:tcW w:w="1553" w:type="dxa"/>
            <w:shd w:val="clear" w:color="auto" w:fill="auto"/>
            <w:tcMar>
              <w:top w:w="75" w:type="dxa"/>
              <w:left w:w="75" w:type="dxa"/>
              <w:bottom w:w="75" w:type="dxa"/>
              <w:right w:w="75" w:type="dxa"/>
            </w:tcMar>
            <w:vAlign w:val="center"/>
          </w:tcPr>
          <w:p>
            <w:pPr>
              <w:spacing w:line="360" w:lineRule="auto"/>
              <w:jc w:val="center"/>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万元/年</w:t>
            </w:r>
          </w:p>
        </w:tc>
        <w:tc>
          <w:tcPr>
            <w:tcW w:w="1457" w:type="dxa"/>
            <w:shd w:val="clear" w:color="auto" w:fill="auto"/>
            <w:vAlign w:val="center"/>
          </w:tcPr>
          <w:p>
            <w:pPr>
              <w:spacing w:line="360" w:lineRule="auto"/>
              <w:jc w:val="center"/>
              <w:rPr>
                <w:rFonts w:hint="eastAsia" w:ascii="宋体" w:hAnsi="宋体" w:cs="宋体"/>
                <w:sz w:val="24"/>
              </w:rPr>
            </w:pPr>
            <w:r>
              <w:rPr>
                <w:rFonts w:hint="eastAsia" w:ascii="宋体" w:hAnsi="宋体" w:cs="宋体"/>
                <w:sz w:val="24"/>
              </w:rPr>
              <w:t>服务期限</w:t>
            </w:r>
            <w:r>
              <w:rPr>
                <w:rFonts w:hint="eastAsia" w:ascii="宋体" w:hAnsi="宋体" w:cs="宋体"/>
                <w:sz w:val="24"/>
                <w:lang w:eastAsia="zh-CN"/>
              </w:rPr>
              <w:t>一</w:t>
            </w:r>
            <w:r>
              <w:rPr>
                <w:rFonts w:hint="eastAsia" w:ascii="宋体" w:hAnsi="宋体" w:cs="宋体"/>
                <w:sz w:val="24"/>
              </w:rPr>
              <w:t>年</w:t>
            </w:r>
          </w:p>
        </w:tc>
        <w:tc>
          <w:tcPr>
            <w:tcW w:w="1645" w:type="dxa"/>
            <w:shd w:val="clear" w:color="auto" w:fill="auto"/>
            <w:vAlign w:val="center"/>
          </w:tcPr>
          <w:p>
            <w:pPr>
              <w:spacing w:line="360" w:lineRule="auto"/>
              <w:jc w:val="center"/>
              <w:rPr>
                <w:rFonts w:hint="eastAsia" w:ascii="宋体" w:hAnsi="宋体" w:cs="宋体"/>
                <w:sz w:val="24"/>
              </w:rPr>
            </w:pPr>
            <w:r>
              <w:rPr>
                <w:rFonts w:hint="eastAsia" w:ascii="宋体" w:hAnsi="宋体" w:cs="宋体"/>
                <w:sz w:val="24"/>
              </w:rPr>
              <w:t>详见招标文件</w:t>
            </w:r>
          </w:p>
        </w:tc>
      </w:tr>
      <w:bookmarkEnd w:id="9"/>
    </w:tbl>
    <w:p>
      <w:pPr>
        <w:pStyle w:val="13"/>
        <w:numPr>
          <w:ilvl w:val="0"/>
          <w:numId w:val="0"/>
        </w:numPr>
      </w:pPr>
    </w:p>
    <w:p>
      <w:pPr>
        <w:pStyle w:val="4"/>
        <w:tabs>
          <w:tab w:val="left" w:pos="9660"/>
          <w:tab w:val="clear" w:pos="8280"/>
        </w:tabs>
        <w:ind w:right="23" w:firstLine="482" w:firstLineChars="200"/>
        <w:jc w:val="left"/>
        <w:rPr>
          <w:rFonts w:cs="宋体"/>
          <w:bCs/>
          <w:sz w:val="24"/>
          <w:szCs w:val="24"/>
        </w:rPr>
      </w:pPr>
      <w:bookmarkStart w:id="10" w:name="_Toc28359003"/>
      <w:bookmarkStart w:id="11" w:name="_Toc28359080"/>
      <w:bookmarkStart w:id="12" w:name="_Toc35393791"/>
      <w:bookmarkStart w:id="13" w:name="_Toc35393622"/>
      <w:r>
        <w:rPr>
          <w:rFonts w:hint="eastAsia" w:cs="宋体"/>
          <w:bCs/>
          <w:sz w:val="24"/>
          <w:szCs w:val="24"/>
        </w:rPr>
        <w:t>二、投标人的资格要求</w:t>
      </w:r>
      <w:bookmarkEnd w:id="10"/>
      <w:bookmarkEnd w:id="11"/>
      <w:bookmarkEnd w:id="12"/>
      <w:bookmarkEnd w:id="13"/>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bookmarkStart w:id="14" w:name="_Toc28359081"/>
      <w:bookmarkStart w:id="15" w:name="_Toc35393623"/>
      <w:bookmarkStart w:id="16" w:name="_Toc28359004"/>
      <w:bookmarkStart w:id="17" w:name="_Toc35393792"/>
      <w:r>
        <w:rPr>
          <w:rFonts w:hint="eastAsia" w:ascii="宋体" w:hAnsi="宋体" w:cs="宋体"/>
          <w:sz w:val="24"/>
        </w:rPr>
        <w:t>（二）本项目的特定资格要求：</w:t>
      </w:r>
      <w:r>
        <w:rPr>
          <w:rFonts w:hint="eastAsia" w:ascii="宋体" w:hAnsi="宋体" w:cs="宋体"/>
          <w:sz w:val="24"/>
          <w:lang w:eastAsia="zh-CN"/>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（三）本项目不接受联合体投标。</w:t>
      </w:r>
    </w:p>
    <w:p>
      <w:pPr>
        <w:spacing w:line="360" w:lineRule="auto"/>
        <w:ind w:firstLine="480" w:firstLineChars="200"/>
        <w:jc w:val="left"/>
        <w:rPr>
          <w:rFonts w:ascii="宋体" w:hAnsi="宋体" w:cs="宋体"/>
          <w:sz w:val="24"/>
        </w:rPr>
      </w:pPr>
      <w:r>
        <w:rPr>
          <w:rFonts w:hint="eastAsia" w:ascii="宋体" w:hAnsi="宋体" w:cs="宋体"/>
          <w:sz w:val="24"/>
        </w:rPr>
        <w:t>（四）信用记录：未被列入“信用中国”失信被执行人或重大税收违法案件当事人名单；未处于“中国政府采购网”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ascii="宋体" w:hAnsi="宋体" w:cs="宋体"/>
          <w:sz w:val="24"/>
        </w:rPr>
        <w:fldChar w:fldCharType="end"/>
      </w:r>
    </w:p>
    <w:p>
      <w:pPr>
        <w:spacing w:line="360" w:lineRule="auto"/>
        <w:ind w:firstLine="480" w:firstLineChars="200"/>
        <w:jc w:val="left"/>
        <w:rPr>
          <w:rFonts w:ascii="宋体" w:hAnsi="宋体"/>
          <w:sz w:val="24"/>
        </w:rPr>
      </w:pPr>
      <w:r>
        <w:rPr>
          <w:rFonts w:hint="eastAsia" w:ascii="宋体" w:hAnsi="宋体" w:cs="宋体"/>
          <w:sz w:val="24"/>
        </w:rPr>
        <w:t>（五）</w:t>
      </w:r>
      <w:r>
        <w:rPr>
          <w:rFonts w:hint="eastAsia" w:ascii="宋体" w:hAnsi="宋体"/>
          <w:sz w:val="24"/>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sz w:val="24"/>
        </w:rPr>
      </w:pPr>
      <w:r>
        <w:rPr>
          <w:rFonts w:hint="eastAsia" w:ascii="宋体" w:hAnsi="宋体"/>
          <w:sz w:val="24"/>
        </w:rPr>
        <w:t>（六）</w:t>
      </w:r>
      <w:r>
        <w:rPr>
          <w:rFonts w:hint="eastAsia" w:ascii="宋体" w:hAnsi="宋体" w:cs="宋体"/>
          <w:sz w:val="24"/>
        </w:rPr>
        <w:t>法律、行政法规规定的其他条件：单位负责人为同一人或者存在直接控股、管理关系的不同供应商，不得同时参加同一项目投标，不得再参与本项目投标。</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4"/>
      <w:bookmarkEnd w:id="15"/>
      <w:bookmarkEnd w:id="16"/>
      <w:bookmarkEnd w:id="17"/>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http://www.tzwztb.com/</w:t>
      </w:r>
      <w:r>
        <w:rPr>
          <w:rFonts w:hint="eastAsia" w:ascii="宋体" w:hAnsi="宋体" w:cs="宋体"/>
          <w:b/>
          <w:kern w:val="0"/>
          <w:sz w:val="24"/>
        </w:rPr>
        <w:t>)</w:t>
      </w:r>
    </w:p>
    <w:p>
      <w:pPr>
        <w:pStyle w:val="4"/>
        <w:ind w:right="0" w:firstLine="482" w:firstLineChars="200"/>
        <w:rPr>
          <w:rFonts w:cs="宋体"/>
          <w:bCs/>
          <w:sz w:val="24"/>
          <w:szCs w:val="24"/>
        </w:rPr>
      </w:pPr>
      <w:bookmarkStart w:id="18" w:name="_Toc35393793"/>
      <w:bookmarkStart w:id="19" w:name="_Toc28359082"/>
      <w:bookmarkStart w:id="20" w:name="_Toc28359005"/>
      <w:bookmarkStart w:id="21" w:name="_Toc35393624"/>
      <w:r>
        <w:rPr>
          <w:rFonts w:hint="eastAsia" w:cs="宋体"/>
          <w:bCs/>
          <w:sz w:val="24"/>
          <w:szCs w:val="24"/>
        </w:rPr>
        <w:t>四、提交投标文件</w:t>
      </w:r>
      <w:bookmarkEnd w:id="18"/>
      <w:bookmarkEnd w:id="19"/>
      <w:bookmarkEnd w:id="20"/>
      <w:bookmarkEnd w:id="21"/>
    </w:p>
    <w:p>
      <w:pPr>
        <w:spacing w:line="360" w:lineRule="auto"/>
        <w:ind w:firstLine="480" w:firstLineChars="200"/>
        <w:jc w:val="left"/>
        <w:rPr>
          <w:rFonts w:ascii="宋体" w:hAnsi="宋体" w:cs="宋体"/>
          <w:sz w:val="24"/>
        </w:rPr>
      </w:pPr>
      <w:bookmarkStart w:id="22" w:name="_Toc28359007"/>
      <w:bookmarkStart w:id="23" w:name="_Toc35393625"/>
      <w:bookmarkStart w:id="24" w:name="_Toc35393794"/>
      <w:bookmarkStart w:id="25" w:name="_Toc28359084"/>
      <w:r>
        <w:rPr>
          <w:rFonts w:hint="eastAsia" w:ascii="宋体" w:hAnsi="宋体" w:cs="宋体"/>
          <w:sz w:val="24"/>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29</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2"/>
    <w:bookmarkEnd w:id="23"/>
    <w:bookmarkEnd w:id="24"/>
    <w:bookmarkEnd w:id="25"/>
    <w:p>
      <w:pPr>
        <w:pStyle w:val="25"/>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5"/>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5"/>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lang w:val="en-US" w:eastAsia="zh-CN"/>
        </w:rPr>
        <w:t>3000</w:t>
      </w:r>
      <w:r>
        <w:rPr>
          <w:rFonts w:hint="eastAsia" w:ascii="宋体" w:hAnsi="宋体" w:cs="宋体"/>
          <w:bCs/>
          <w:kern w:val="0"/>
          <w:sz w:val="24"/>
        </w:rPr>
        <w:t>元。</w:t>
      </w:r>
    </w:p>
    <w:p>
      <w:pPr>
        <w:pStyle w:val="25"/>
        <w:ind w:left="0" w:leftChars="0" w:firstLine="480"/>
        <w:jc w:val="left"/>
        <w:rPr>
          <w:rFonts w:ascii="宋体" w:hAnsi="宋体" w:cs="宋体"/>
          <w:bCs/>
          <w:kern w:val="0"/>
          <w:sz w:val="24"/>
        </w:rPr>
      </w:pPr>
      <w:r>
        <w:rPr>
          <w:rFonts w:hint="eastAsia" w:ascii="宋体" w:hAnsi="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ascii="宋体" w:hAnsi="宋体" w:cs="宋体"/>
          <w:bCs/>
          <w:kern w:val="0"/>
          <w:sz w:val="24"/>
        </w:rPr>
        <w:t>_________________________________</w:t>
      </w: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（2）若是投标人委托代理人递交工程保函的，应持针对本工程的法定代表人授权委托书原件（投标文件格式十三）及身份证原件，否则工程保函不予签收。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3</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29</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w:t>
      </w:r>
      <w:r>
        <w:rPr>
          <w:rFonts w:hint="eastAsia" w:ascii="宋体" w:hAnsi="宋体" w:cs="宋体"/>
          <w:bCs/>
          <w:kern w:val="0"/>
          <w:sz w:val="24"/>
          <w:highlight w:val="none"/>
          <w:u w:val="single"/>
        </w:rPr>
        <w:t>0-</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w:t>
      </w:r>
      <w:r>
        <w:rPr>
          <w:rFonts w:hint="eastAsia" w:ascii="宋体" w:hAnsi="宋体" w:cs="宋体"/>
          <w:bCs/>
          <w:kern w:val="0"/>
          <w:sz w:val="24"/>
          <w:highlight w:val="none"/>
          <w:u w:val="single"/>
        </w:rPr>
        <w:t>0</w:t>
      </w:r>
      <w:bookmarkStart w:id="79" w:name="_GoBack"/>
      <w:bookmarkEnd w:id="79"/>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88519890</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pStyle w:val="4"/>
        <w:ind w:firstLine="480" w:firstLineChars="200"/>
        <w:rPr>
          <w:rFonts w:cs="宋体"/>
          <w:b w:val="0"/>
          <w:bCs/>
          <w:kern w:val="0"/>
          <w:sz w:val="24"/>
          <w:szCs w:val="24"/>
        </w:rPr>
      </w:pPr>
      <w:r>
        <w:rPr>
          <w:rFonts w:hint="eastAsia" w:cs="宋体"/>
          <w:b w:val="0"/>
          <w:bCs/>
          <w:kern w:val="0"/>
          <w:sz w:val="24"/>
          <w:szCs w:val="24"/>
        </w:rPr>
        <w:t>① 若招标文件允许联合体投标且投标人以联合体身份投标的，由联合体牵头人提交投标保证金；</w:t>
      </w:r>
    </w:p>
    <w:p>
      <w:pPr>
        <w:pStyle w:val="4"/>
        <w:ind w:firstLine="480" w:firstLineChars="200"/>
        <w:rPr>
          <w:rFonts w:cs="宋体"/>
          <w:b w:val="0"/>
          <w:bCs/>
          <w:kern w:val="0"/>
          <w:sz w:val="24"/>
          <w:szCs w:val="24"/>
        </w:rPr>
      </w:pPr>
      <w:r>
        <w:rPr>
          <w:rFonts w:hint="eastAsia" w:cs="宋体"/>
          <w:b w:val="0"/>
          <w:bCs/>
          <w:kern w:val="0"/>
          <w:sz w:val="24"/>
          <w:szCs w:val="24"/>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kern w:val="0"/>
          <w:sz w:val="24"/>
          <w:szCs w:val="24"/>
        </w:rPr>
      </w:pPr>
      <w:r>
        <w:rPr>
          <w:rFonts w:hint="eastAsia" w:cs="宋体"/>
          <w:kern w:val="0"/>
          <w:sz w:val="24"/>
          <w:szCs w:val="24"/>
        </w:rPr>
        <w:t>③ 以现金转账形式提交的投标保证金应当从投标人或其上级公司基本账户支付，购买工程保函的费用应当从投标人或其上级公司基本账户支付；</w:t>
      </w:r>
    </w:p>
    <w:p>
      <w:pPr>
        <w:pStyle w:val="4"/>
        <w:ind w:firstLine="482" w:firstLineChars="200"/>
        <w:rPr>
          <w:rFonts w:hint="eastAsia" w:cs="宋体"/>
          <w:b w:val="0"/>
          <w:bCs/>
          <w:kern w:val="0"/>
          <w:sz w:val="24"/>
          <w:szCs w:val="24"/>
        </w:rPr>
      </w:pPr>
      <w:r>
        <w:rPr>
          <w:rFonts w:hint="eastAsia" w:cs="宋体"/>
          <w:kern w:val="0"/>
          <w:sz w:val="24"/>
          <w:szCs w:val="24"/>
        </w:rPr>
        <w:t xml:space="preserve">④ </w:t>
      </w:r>
      <w:r>
        <w:rPr>
          <w:rFonts w:hint="eastAsia" w:cs="宋体"/>
          <w:b w:val="0"/>
          <w:bCs/>
          <w:kern w:val="0"/>
          <w:sz w:val="24"/>
          <w:szCs w:val="24"/>
        </w:rPr>
        <w:t>若有疑问，请咨询技术服务热线：0576-88865501</w:t>
      </w:r>
    </w:p>
    <w:p>
      <w:pPr>
        <w:pStyle w:val="4"/>
        <w:ind w:firstLine="480" w:firstLineChars="200"/>
        <w:rPr>
          <w:rFonts w:hint="eastAsia" w:cs="宋体"/>
          <w:b w:val="0"/>
          <w:bCs/>
          <w:kern w:val="0"/>
          <w:sz w:val="24"/>
          <w:szCs w:val="24"/>
        </w:rPr>
      </w:pPr>
      <w:r>
        <w:rPr>
          <w:rFonts w:hint="eastAsia" w:cs="宋体"/>
          <w:b w:val="0"/>
          <w:bCs/>
          <w:kern w:val="0"/>
          <w:sz w:val="24"/>
          <w:szCs w:val="24"/>
        </w:rPr>
        <w:t>⑤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3</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28日</w:t>
      </w:r>
      <w:r>
        <w:rPr>
          <w:rFonts w:hint="eastAsia" w:ascii="宋体" w:hAnsi="宋体" w:cs="宋体"/>
          <w:b/>
          <w:bCs/>
          <w:color w:val="000000"/>
          <w:kern w:val="0"/>
          <w:sz w:val="24"/>
          <w:highlight w:val="none"/>
        </w:rPr>
        <w:t>下午16点前</w:t>
      </w:r>
    </w:p>
    <w:p>
      <w:pPr>
        <w:pStyle w:val="4"/>
        <w:ind w:right="0" w:firstLine="482" w:firstLineChars="200"/>
        <w:rPr>
          <w:rFonts w:cs="宋体"/>
          <w:bCs/>
          <w:sz w:val="24"/>
          <w:szCs w:val="24"/>
        </w:rPr>
      </w:pPr>
      <w:bookmarkStart w:id="28" w:name="_Toc28359085"/>
      <w:bookmarkStart w:id="29" w:name="_Toc28359008"/>
      <w:bookmarkStart w:id="30" w:name="_Toc35393627"/>
      <w:bookmarkStart w:id="31" w:name="_Toc35393796"/>
      <w:r>
        <w:rPr>
          <w:rFonts w:hint="eastAsia" w:cs="宋体"/>
          <w:bCs/>
          <w:sz w:val="24"/>
          <w:szCs w:val="24"/>
        </w:rPr>
        <w:t>八、</w:t>
      </w:r>
      <w:bookmarkEnd w:id="28"/>
      <w:bookmarkEnd w:id="29"/>
      <w:bookmarkEnd w:id="30"/>
      <w:bookmarkEnd w:id="31"/>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cs="宋体"/>
          <w:sz w:val="24"/>
          <w:u w:val="single"/>
        </w:rPr>
        <w:t xml:space="preserve">台州市自然资源和规划局台州湾新区（高新区）分局 </w:t>
      </w:r>
    </w:p>
    <w:p>
      <w:pPr>
        <w:spacing w:line="360" w:lineRule="auto"/>
        <w:ind w:firstLine="480" w:firstLineChars="200"/>
        <w:rPr>
          <w:rFonts w:ascii="宋体" w:hAnsi="宋体" w:cs="宋体"/>
          <w:sz w:val="24"/>
          <w:u w:val="single"/>
        </w:rPr>
      </w:pPr>
      <w:r>
        <w:rPr>
          <w:rFonts w:hint="eastAsia" w:ascii="宋体" w:hAnsi="宋体" w:cs="宋体"/>
          <w:sz w:val="24"/>
        </w:rPr>
        <w:t>地 址：台州市台州湾新区甲南大道东段9号台州湾新区管委会</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联系人：</w:t>
      </w:r>
      <w:bookmarkStart w:id="32" w:name="_Toc28359086"/>
      <w:bookmarkStart w:id="33" w:name="_Toc28359009"/>
      <w:r>
        <w:rPr>
          <w:rFonts w:hint="eastAsia" w:ascii="宋体" w:hAnsi="宋体" w:cs="宋体"/>
          <w:sz w:val="24"/>
          <w:lang w:eastAsia="zh-CN"/>
        </w:rPr>
        <w:t>冯工</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highlight w:val="none"/>
          <w:u w:val="single"/>
        </w:rPr>
        <w:t>0576-88851357</w:t>
      </w:r>
    </w:p>
    <w:bookmarkEnd w:id="32"/>
    <w:bookmarkEnd w:id="33"/>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hint="eastAsia" w:ascii="宋体" w:hAnsi="宋体" w:eastAsia="宋体" w:cs="宋体"/>
          <w:sz w:val="24"/>
          <w:u w:val="single"/>
          <w:lang w:eastAsia="zh-CN"/>
        </w:rPr>
      </w:pPr>
      <w:bookmarkStart w:id="34" w:name="_Toc28359010"/>
      <w:bookmarkStart w:id="35" w:name="_Toc28359087"/>
      <w:r>
        <w:rPr>
          <w:rFonts w:hint="eastAsia" w:ascii="宋体" w:hAnsi="宋体" w:cs="宋体"/>
          <w:sz w:val="24"/>
        </w:rPr>
        <w:t>名 称：</w:t>
      </w:r>
      <w:r>
        <w:rPr>
          <w:rFonts w:hint="eastAsia" w:ascii="宋体" w:hAnsi="宋体" w:cs="宋体"/>
          <w:sz w:val="24"/>
          <w:lang w:eastAsia="zh-CN"/>
        </w:rPr>
        <w:t>台州市建设咨询有限公司</w:t>
      </w:r>
    </w:p>
    <w:p>
      <w:pPr>
        <w:spacing w:line="360" w:lineRule="auto"/>
        <w:ind w:firstLine="480" w:firstLineChars="200"/>
        <w:rPr>
          <w:rFonts w:ascii="宋体" w:hAnsi="宋体" w:cs="宋体"/>
          <w:sz w:val="24"/>
          <w:u w:val="single"/>
        </w:rPr>
      </w:pPr>
      <w:r>
        <w:rPr>
          <w:rFonts w:hint="eastAsia" w:ascii="宋体" w:hAnsi="宋体" w:cs="宋体"/>
          <w:sz w:val="24"/>
        </w:rPr>
        <w:t>地 址：台州市椒江区葭沚街道工人西路425号</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u w:val="single"/>
          <w:lang w:eastAsia="zh-CN"/>
        </w:rPr>
        <w:t>许先生</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88519890</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Theme="minorEastAsia" w:hAnsiTheme="minorEastAsia" w:eastAsiaTheme="minorEastAsia" w:cstheme="minorEastAsia"/>
          <w:sz w:val="24"/>
          <w:u w:val="single"/>
        </w:rPr>
        <w:t>台州湾新区司法审计局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台州市建设咨询有限公司</w:t>
      </w:r>
      <w:r>
        <w:rPr>
          <w:rFonts w:hint="eastAsia" w:ascii="宋体" w:hAnsi="宋体" w:cs="宋体"/>
          <w:kern w:val="0"/>
          <w:sz w:val="24"/>
        </w:rPr>
        <w:t xml:space="preserve">  </w:t>
      </w:r>
    </w:p>
    <w:p>
      <w:pPr>
        <w:widowControl/>
        <w:spacing w:line="360" w:lineRule="auto"/>
        <w:ind w:firstLine="200"/>
        <w:jc w:val="right"/>
        <w:rPr>
          <w:rFonts w:hint="eastAsia"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kern w:val="0"/>
          <w:sz w:val="24"/>
        </w:rPr>
        <w:t>月</w:t>
      </w:r>
    </w:p>
    <w:p>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24"/>
        </w:rPr>
        <w:br w:type="page"/>
      </w:r>
    </w:p>
    <w:bookmarkEnd w:id="34"/>
    <w:bookmarkEnd w:id="35"/>
    <w:p>
      <w:pPr>
        <w:numPr>
          <w:ilvl w:val="0"/>
          <w:numId w:val="6"/>
        </w:numPr>
        <w:spacing w:line="360" w:lineRule="auto"/>
        <w:jc w:val="center"/>
        <w:rPr>
          <w:rFonts w:asciiTheme="minorEastAsia" w:hAnsiTheme="minorEastAsia" w:eastAsiaTheme="minorEastAsia"/>
          <w:b/>
          <w:sz w:val="36"/>
          <w:szCs w:val="36"/>
        </w:rPr>
      </w:pPr>
      <w:bookmarkStart w:id="36" w:name="_Toc25017_WPSOffice_Level1"/>
      <w:r>
        <w:rPr>
          <w:rFonts w:hint="eastAsia" w:asciiTheme="minorEastAsia" w:hAnsiTheme="minorEastAsia" w:eastAsiaTheme="minorEastAsia"/>
          <w:b/>
          <w:sz w:val="36"/>
          <w:szCs w:val="36"/>
        </w:rPr>
        <w:t>投标人须知</w:t>
      </w:r>
      <w:bookmarkEnd w:id="36"/>
    </w:p>
    <w:p>
      <w:pPr>
        <w:numPr>
          <w:ilvl w:val="0"/>
          <w:numId w:val="7"/>
        </w:numPr>
        <w:ind w:firstLine="482" w:firstLineChars="200"/>
      </w:pPr>
      <w:r>
        <w:rPr>
          <w:rFonts w:hint="eastAsia" w:asciiTheme="minorEastAsia" w:hAnsiTheme="minorEastAsia" w:eastAsiaTheme="minorEastAsia"/>
          <w:b/>
          <w:sz w:val="24"/>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eastAsia="宋体" w:cs="宋体"/>
                <w:lang w:eastAsia="zh-CN"/>
              </w:rPr>
            </w:pPr>
            <w:r>
              <w:rPr>
                <w:rFonts w:hint="eastAsia" w:ascii="宋体" w:hAnsi="宋体" w:cs="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rPr>
              <w:t>不论投标结果如何，投标人均应自行承担所有与投标有关的全部费用。</w:t>
            </w:r>
            <w:r>
              <w:rPr>
                <w:rFonts w:hint="eastAsia" w:ascii="宋体" w:hAnsi="宋体" w:cs="宋体"/>
                <w:szCs w:val="21"/>
              </w:rPr>
              <w:t>本项目招标代理服务费</w:t>
            </w:r>
            <w:r>
              <w:rPr>
                <w:rFonts w:hint="eastAsia" w:ascii="宋体" w:hAnsi="宋体" w:cs="宋体"/>
                <w:szCs w:val="21"/>
                <w:highlight w:val="none"/>
                <w:lang w:val="en-US" w:eastAsia="zh-CN"/>
              </w:rPr>
              <w:t>6000</w:t>
            </w:r>
            <w:r>
              <w:rPr>
                <w:rFonts w:hint="eastAsia" w:ascii="宋体" w:hAnsi="宋体" w:cs="宋体"/>
                <w:szCs w:val="21"/>
                <w:highlight w:val="none"/>
              </w:rPr>
              <w:t>元</w:t>
            </w:r>
            <w:r>
              <w:rPr>
                <w:rFonts w:hint="eastAsia" w:ascii="宋体" w:hAnsi="宋体" w:cs="宋体"/>
                <w:szCs w:val="21"/>
              </w:rPr>
              <w:t>，由中标单位支付，请各投标人报价时综合考虑。</w:t>
            </w:r>
          </w:p>
        </w:tc>
      </w:tr>
    </w:tbl>
    <w:p>
      <w:pPr>
        <w:pStyle w:val="14"/>
        <w:snapToGrid w:val="0"/>
        <w:spacing w:line="360" w:lineRule="auto"/>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5"/>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rPr>
        <w:t>台州市建设咨询有限公司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5"/>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（4）具有依法缴纳税收和社会保障资金证明的承诺函（附件3）；</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（5）具有良好的商业信誉和健全的财务会计制度的承诺函（附件4）；</w:t>
      </w:r>
    </w:p>
    <w:p>
      <w:pPr>
        <w:snapToGrid w:val="0"/>
        <w:spacing w:line="360" w:lineRule="auto"/>
        <w:ind w:firstLine="480" w:firstLineChars="200"/>
        <w:rPr>
          <w:rFonts w:ascii="宋体" w:hAnsi="宋体" w:cs="宋体"/>
          <w:sz w:val="24"/>
        </w:rPr>
      </w:pPr>
      <w:r>
        <w:rPr>
          <w:rFonts w:hint="eastAsia" w:ascii="宋体" w:hAnsi="宋体" w:cs="宋体"/>
          <w:sz w:val="24"/>
        </w:rPr>
        <w:t>（6）具有履行合同所必须的设备和专业技术能力的承诺函（附件5）；</w:t>
      </w:r>
    </w:p>
    <w:p>
      <w:pPr>
        <w:snapToGrid w:val="0"/>
        <w:spacing w:line="360" w:lineRule="auto"/>
        <w:ind w:firstLine="480" w:firstLineChars="200"/>
        <w:rPr>
          <w:rFonts w:ascii="宋体" w:hAnsi="宋体" w:cs="宋体"/>
          <w:sz w:val="24"/>
        </w:rPr>
      </w:pPr>
      <w:r>
        <w:rPr>
          <w:rFonts w:hint="eastAsia" w:ascii="宋体" w:hAnsi="宋体" w:cs="宋体"/>
          <w:sz w:val="24"/>
        </w:rPr>
        <w:t>（7）需要说明的其他资料。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（2）技术方案（包括</w:t>
      </w:r>
      <w:r>
        <w:rPr>
          <w:rFonts w:hint="eastAsia" w:ascii="Calibri" w:hAnsi="Calibri" w:cs="Calibri"/>
          <w:sz w:val="24"/>
        </w:rPr>
        <w:t>项目需求的理解与分析、项目实施方案、重难点分析、保障措施、进度安排等</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6"/>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w:t>
      </w:r>
      <w:r>
        <w:rPr>
          <w:rFonts w:hint="eastAsia" w:ascii="宋体" w:hAnsi="宋体"/>
          <w:bCs/>
          <w:sz w:val="24"/>
          <w:lang w:eastAsia="zh-CN"/>
        </w:rPr>
        <w:t>如有，</w:t>
      </w:r>
      <w:r>
        <w:rPr>
          <w:rFonts w:hint="eastAsia" w:ascii="宋体" w:hAnsi="宋体"/>
          <w:bCs/>
          <w:sz w:val="24"/>
        </w:rPr>
        <w:t>与本项目相关的认证证书或文件；附件10）；</w:t>
      </w:r>
    </w:p>
    <w:p>
      <w:pPr>
        <w:pStyle w:val="6"/>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6"/>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（1）开标一览表（附件12）；</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w:t>
      </w:r>
      <w:r>
        <w:rPr>
          <w:rFonts w:hint="eastAsia" w:asciiTheme="minorEastAsia" w:hAnsiTheme="minorEastAsia" w:eastAsiaTheme="minorEastAsia"/>
          <w:bCs/>
          <w:kern w:val="0"/>
          <w:sz w:val="24"/>
          <w:highlight w:val="none"/>
          <w:lang w:val="zh-CN"/>
        </w:rPr>
        <w:t>投标报价是包括设备费、外业调查费、成果编制费、资料费、技术咨询服务费、利润、税金等与本项目工作相关的一切费用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。供应商须充分考虑实际服务内容和需求，针对自身实际情况，核算所需的成本及合理的利润，自行报价，结算时由供应商开具正式发票。各投标人应根据招标人提供的技术资料、清单，以及本</w:t>
      </w:r>
      <w:r>
        <w:rPr>
          <w:rFonts w:hint="eastAsia" w:asciiTheme="minorEastAsia" w:hAnsiTheme="minorEastAsia" w:eastAsiaTheme="minorEastAsia"/>
          <w:bCs/>
          <w:kern w:val="0"/>
          <w:sz w:val="24"/>
          <w:highlight w:val="none"/>
          <w:lang w:eastAsia="zh-CN"/>
        </w:rPr>
        <w:t>项目</w:t>
      </w:r>
      <w:r>
        <w:rPr>
          <w:rFonts w:hint="eastAsia" w:asciiTheme="minorEastAsia" w:hAnsiTheme="minorEastAsia" w:eastAsiaTheme="minorEastAsia"/>
          <w:bCs/>
          <w:kern w:val="0"/>
          <w:sz w:val="24"/>
          <w:highlight w:val="none"/>
        </w:rPr>
        <w:t>实际情况和自身的综合实力，竞报投标报价</w:t>
      </w:r>
      <w:r>
        <w:rPr>
          <w:rFonts w:hint="eastAsia" w:asciiTheme="minorEastAsia" w:hAnsiTheme="minorEastAsia" w:eastAsiaTheme="minorEastAsia"/>
          <w:bCs/>
          <w:kern w:val="0"/>
          <w:sz w:val="24"/>
        </w:rPr>
        <w:t>。总报价以人民币元计。知识产权等由投标人在投标报价时综合考虑，以后不作任何调整。</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4"/>
        <w:snapToGrid w:val="0"/>
        <w:spacing w:line="360" w:lineRule="auto"/>
        <w:ind w:firstLine="413" w:firstLineChars="196"/>
        <w:rPr>
          <w:rFonts w:hAnsi="宋体"/>
          <w:b/>
          <w:bCs/>
        </w:rPr>
      </w:pPr>
      <w:r>
        <w:rPr>
          <w:rFonts w:hAnsi="宋体"/>
          <w:b/>
          <w:bCs/>
        </w:rPr>
        <w:t>（一）开标</w:t>
      </w:r>
    </w:p>
    <w:p>
      <w:pPr>
        <w:pStyle w:val="22"/>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9"/>
        </w:rPr>
        <w:t>http://www.tzwztb.com/live/</w:t>
      </w:r>
      <w:r>
        <w:rPr>
          <w:rStyle w:val="29"/>
        </w:rPr>
        <w:fldChar w:fldCharType="end"/>
      </w:r>
      <w:r>
        <w:rPr>
          <w:rFonts w:hint="default"/>
        </w:rPr>
        <w:t xml:space="preserve"> </w:t>
      </w:r>
      <w:r>
        <w:t>。</w:t>
      </w:r>
    </w:p>
    <w:p>
      <w:pPr>
        <w:pStyle w:val="14"/>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6"/>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rPr>
      </w:pPr>
      <w:r>
        <w:rPr>
          <w:rFonts w:hint="eastAsia"/>
          <w:b/>
          <w:bCs/>
          <w:sz w:val="24"/>
          <w:szCs w:val="22"/>
        </w:rPr>
        <w:t>（四）开标异议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sz w:val="24"/>
          <w:szCs w:val="22"/>
        </w:rPr>
      </w:pPr>
      <w:r>
        <w:rPr>
          <w:rFonts w:hint="eastAsia"/>
          <w:b/>
          <w:bCs/>
          <w:sz w:val="24"/>
          <w:szCs w:val="22"/>
        </w:rPr>
        <w:t>（五）</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spacing w:before="0" w:beforeAutospacing="0" w:after="0" w:afterAutospacing="0" w:line="360" w:lineRule="auto"/>
        <w:jc w:val="both"/>
        <w:rPr>
          <w:rFonts w:hint="default"/>
        </w:rPr>
      </w:pPr>
      <w:r>
        <w:t>采购组织机构自中标候选人确定之日起3个工作日内，在浙江省政府采购网和</w:t>
      </w:r>
      <w:r>
        <w:rPr>
          <w:rFonts w:cs="宋体"/>
        </w:rPr>
        <w:t>台州湾新区小额工程电子交易平台</w:t>
      </w:r>
      <w:r>
        <w:t>公告中标结果，中标结果公示期为3日。</w:t>
      </w:r>
    </w:p>
    <w:p>
      <w:pPr>
        <w:pStyle w:val="22"/>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本项目确定一名中标人，公示期满后，采购人应确定本项目第一中标候选人为本项目中标人。</w:t>
      </w:r>
    </w:p>
    <w:p>
      <w:pPr>
        <w:pStyle w:val="9"/>
        <w:numPr>
          <w:ilvl w:val="0"/>
          <w:numId w:val="8"/>
        </w:numPr>
        <w:spacing w:line="360" w:lineRule="auto"/>
        <w:ind w:firstLine="482" w:firstLineChars="200"/>
        <w:jc w:val="both"/>
        <w:rPr>
          <w:b/>
          <w:bCs/>
          <w:sz w:val="24"/>
        </w:rPr>
      </w:pPr>
      <w:r>
        <w:rPr>
          <w:rFonts w:hint="eastAsia"/>
          <w:b/>
          <w:bCs/>
          <w:sz w:val="24"/>
        </w:rPr>
        <w:t>发放中标通知书</w:t>
      </w:r>
    </w:p>
    <w:p>
      <w:pPr>
        <w:pStyle w:val="10"/>
        <w:tabs>
          <w:tab w:val="left" w:pos="574"/>
        </w:tabs>
        <w:spacing w:line="400" w:lineRule="exact"/>
        <w:ind w:firstLine="480" w:firstLineChars="200"/>
      </w:pPr>
      <w:r>
        <w:rPr>
          <w:rFonts w:hint="eastAsia"/>
          <w:szCs w:val="32"/>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pPr>
      <w:r>
        <w:rPr>
          <w:rFonts w:hint="eastAsia"/>
          <w:szCs w:val="32"/>
        </w:rPr>
        <w:t>中标人确定后，采购人应当向中标人发出《中标通知书》。</w:t>
      </w:r>
    </w:p>
    <w:p>
      <w:pPr>
        <w:pStyle w:val="10"/>
        <w:tabs>
          <w:tab w:val="left" w:pos="574"/>
        </w:tabs>
        <w:spacing w:line="400" w:lineRule="exact"/>
        <w:ind w:firstLine="480" w:firstLineChars="200"/>
        <w:rPr>
          <w:szCs w:val="32"/>
        </w:rPr>
      </w:pPr>
      <w:r>
        <w:rPr>
          <w:rFonts w:hint="eastAsia"/>
          <w:szCs w:val="32"/>
        </w:rPr>
        <w:t>采购人在发出《中标通知书》的同时，应当将中标结果在交易场所（发布招标公告的媒体上）通知所有未中标的投标人。</w:t>
      </w:r>
    </w:p>
    <w:p>
      <w:pPr>
        <w:pStyle w:val="10"/>
        <w:tabs>
          <w:tab w:val="left" w:pos="574"/>
        </w:tabs>
        <w:spacing w:line="400" w:lineRule="exact"/>
        <w:ind w:firstLine="480" w:firstLineChars="20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7" w:name="_Toc13072_WPSOffice_Level1"/>
      <w:r>
        <w:rPr>
          <w:rFonts w:hint="eastAsia" w:asciiTheme="minorEastAsia" w:hAnsiTheme="minorEastAsia" w:eastAsiaTheme="minorEastAsia"/>
          <w:b/>
          <w:sz w:val="36"/>
          <w:szCs w:val="36"/>
        </w:rPr>
        <w:t>招标需求</w:t>
      </w:r>
      <w:bookmarkEnd w:id="37"/>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6"/>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19"/>
        <w:gridCol w:w="2974"/>
        <w:gridCol w:w="1192"/>
        <w:gridCol w:w="1553"/>
        <w:gridCol w:w="1457"/>
        <w:gridCol w:w="1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3" w:hRule="atLeast"/>
          <w:tblHeader/>
          <w:jc w:val="center"/>
        </w:trPr>
        <w:tc>
          <w:tcPr>
            <w:tcW w:w="819"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标段</w:t>
            </w:r>
          </w:p>
        </w:tc>
        <w:tc>
          <w:tcPr>
            <w:tcW w:w="2974"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项目名称</w:t>
            </w:r>
          </w:p>
        </w:tc>
        <w:tc>
          <w:tcPr>
            <w:tcW w:w="1192"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数量</w:t>
            </w:r>
          </w:p>
        </w:tc>
        <w:tc>
          <w:tcPr>
            <w:tcW w:w="1553"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预算金额</w:t>
            </w:r>
          </w:p>
        </w:tc>
        <w:tc>
          <w:tcPr>
            <w:tcW w:w="1457"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备注</w:t>
            </w:r>
          </w:p>
        </w:tc>
        <w:tc>
          <w:tcPr>
            <w:tcW w:w="1645"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简要内容描述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21" w:hRule="atLeast"/>
          <w:jc w:val="center"/>
        </w:trPr>
        <w:tc>
          <w:tcPr>
            <w:tcW w:w="819"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1</w:t>
            </w:r>
          </w:p>
        </w:tc>
        <w:tc>
          <w:tcPr>
            <w:tcW w:w="2974"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lang w:val="en-US" w:eastAsia="zh-CN"/>
              </w:rPr>
              <w:t>2024年台州湾新区森林病虫检测监测技术服务项目</w:t>
            </w:r>
          </w:p>
        </w:tc>
        <w:tc>
          <w:tcPr>
            <w:tcW w:w="1192"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rPr>
              <w:t>1项</w:t>
            </w:r>
          </w:p>
        </w:tc>
        <w:tc>
          <w:tcPr>
            <w:tcW w:w="1553"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sz w:val="24"/>
                <w:szCs w:val="32"/>
              </w:rPr>
            </w:pPr>
            <w:r>
              <w:rPr>
                <w:rFonts w:hint="eastAsia" w:ascii="宋体" w:hAnsi="宋体" w:cs="宋体"/>
                <w:b/>
                <w:bCs/>
                <w:sz w:val="24"/>
                <w:szCs w:val="32"/>
                <w:lang w:val="en-US" w:eastAsia="zh-CN"/>
              </w:rPr>
              <w:t>19</w:t>
            </w:r>
            <w:r>
              <w:rPr>
                <w:rFonts w:hint="eastAsia" w:ascii="宋体" w:hAnsi="宋体" w:cs="宋体"/>
                <w:b/>
                <w:bCs/>
                <w:sz w:val="24"/>
                <w:szCs w:val="32"/>
              </w:rPr>
              <w:t>万元/年</w:t>
            </w:r>
          </w:p>
        </w:tc>
        <w:tc>
          <w:tcPr>
            <w:tcW w:w="1457" w:type="dxa"/>
            <w:shd w:val="clear" w:color="auto" w:fill="auto"/>
            <w:vAlign w:val="center"/>
          </w:tcPr>
          <w:p>
            <w:pPr>
              <w:spacing w:line="360" w:lineRule="auto"/>
              <w:jc w:val="center"/>
              <w:rPr>
                <w:rFonts w:ascii="宋体" w:hAnsi="宋体" w:cs="宋体"/>
                <w:b/>
                <w:bCs/>
                <w:sz w:val="24"/>
                <w:szCs w:val="32"/>
              </w:rPr>
            </w:pPr>
            <w:r>
              <w:rPr>
                <w:rFonts w:hint="eastAsia" w:ascii="宋体" w:hAnsi="宋体" w:cs="宋体"/>
                <w:b/>
                <w:bCs/>
                <w:sz w:val="24"/>
                <w:szCs w:val="32"/>
              </w:rPr>
              <w:t>服务期限</w:t>
            </w:r>
            <w:r>
              <w:rPr>
                <w:rFonts w:hint="eastAsia" w:ascii="宋体" w:hAnsi="宋体" w:cs="宋体"/>
                <w:b/>
                <w:bCs/>
                <w:sz w:val="24"/>
                <w:szCs w:val="32"/>
                <w:lang w:eastAsia="zh-CN"/>
              </w:rPr>
              <w:t>一</w:t>
            </w:r>
            <w:r>
              <w:rPr>
                <w:rFonts w:hint="eastAsia" w:ascii="宋体" w:hAnsi="宋体" w:cs="宋体"/>
                <w:b/>
                <w:bCs/>
                <w:sz w:val="24"/>
                <w:szCs w:val="32"/>
              </w:rPr>
              <w:t>年</w:t>
            </w:r>
          </w:p>
        </w:tc>
        <w:tc>
          <w:tcPr>
            <w:tcW w:w="1645" w:type="dxa"/>
            <w:shd w:val="clear" w:color="auto" w:fill="auto"/>
            <w:vAlign w:val="center"/>
          </w:tcPr>
          <w:p>
            <w:pPr>
              <w:spacing w:line="360" w:lineRule="auto"/>
              <w:jc w:val="center"/>
              <w:rPr>
                <w:rFonts w:ascii="宋体" w:hAnsi="宋体" w:cs="宋体"/>
                <w:b/>
                <w:bCs/>
                <w:sz w:val="24"/>
                <w:szCs w:val="32"/>
              </w:rPr>
            </w:pPr>
            <w:r>
              <w:rPr>
                <w:rFonts w:hint="eastAsia" w:ascii="宋体" w:hAnsi="宋体" w:cs="宋体"/>
                <w:b/>
                <w:bCs/>
                <w:sz w:val="24"/>
                <w:szCs w:val="32"/>
              </w:rPr>
              <w:t>详见招标文件</w:t>
            </w:r>
          </w:p>
        </w:tc>
      </w:tr>
    </w:tbl>
    <w:p>
      <w:pPr>
        <w:rPr>
          <w:sz w:val="24"/>
        </w:rPr>
      </w:pPr>
    </w:p>
    <w:p>
      <w:pPr>
        <w:tabs>
          <w:tab w:val="left" w:pos="8280"/>
        </w:tabs>
        <w:autoSpaceDE w:val="0"/>
        <w:autoSpaceDN w:val="0"/>
        <w:adjustRightInd w:val="0"/>
        <w:spacing w:line="360" w:lineRule="auto"/>
        <w:ind w:right="25"/>
        <w:rPr>
          <w:b/>
          <w:sz w:val="24"/>
          <w:highlight w:val="none"/>
        </w:rPr>
      </w:pPr>
      <w:r>
        <w:rPr>
          <w:rFonts w:hint="eastAsia"/>
          <w:b/>
          <w:sz w:val="24"/>
          <w:highlight w:val="none"/>
        </w:rPr>
        <w:t>二、项目背景</w:t>
      </w:r>
    </w:p>
    <w:p>
      <w:pPr>
        <w:spacing w:line="360" w:lineRule="auto"/>
        <w:ind w:firstLine="480" w:firstLineChars="200"/>
        <w:rPr>
          <w:rFonts w:ascii="宋体" w:hAnsi="宋体" w:cs="宋体"/>
          <w:sz w:val="24"/>
          <w:highlight w:val="none"/>
        </w:rPr>
      </w:pPr>
      <w:bookmarkStart w:id="38" w:name="_Toc37599085"/>
      <w:r>
        <w:rPr>
          <w:rFonts w:hint="eastAsia" w:ascii="宋体" w:hAnsi="宋体" w:cs="宋体"/>
          <w:sz w:val="24"/>
          <w:highlight w:val="none"/>
        </w:rPr>
        <w:t>为保护我区林业的生产安全，切实加强林业植物检疫执法工作，营造我区林业有害生物防治良好社会环境，对检疫法规所规定的森林植物及其产品，必须要通过一定的技术手段检查、检验是否带有害生物，尤其是对松材线虫病的检测监测。我区中小企业数量众多且分布各处，企业的加工、生产、运输等过程涉及大量木材，通过购买服务，借助社会力量加强市场监管，可有效了解全区涉木涉松企业的形势，服务我区的检疫工作，进而防止检疫事件发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年采购预算人民币</w:t>
      </w:r>
      <w:r>
        <w:rPr>
          <w:rFonts w:hint="eastAsia" w:ascii="宋体" w:hAnsi="宋体" w:cs="宋体"/>
          <w:sz w:val="24"/>
          <w:highlight w:val="none"/>
          <w:lang w:eastAsia="zh-CN"/>
        </w:rPr>
        <w:t>壹</w:t>
      </w:r>
      <w:r>
        <w:rPr>
          <w:rFonts w:hint="eastAsia" w:ascii="宋体" w:hAnsi="宋体" w:cs="宋体"/>
          <w:sz w:val="24"/>
          <w:highlight w:val="none"/>
        </w:rPr>
        <w:t>拾</w:t>
      </w:r>
      <w:r>
        <w:rPr>
          <w:rFonts w:hint="eastAsia" w:ascii="宋体" w:hAnsi="宋体" w:cs="宋体"/>
          <w:sz w:val="24"/>
          <w:highlight w:val="none"/>
          <w:lang w:eastAsia="zh-CN"/>
        </w:rPr>
        <w:t>玖</w:t>
      </w:r>
      <w:r>
        <w:rPr>
          <w:rFonts w:hint="eastAsia" w:ascii="宋体" w:hAnsi="宋体" w:cs="宋体"/>
          <w:sz w:val="24"/>
          <w:highlight w:val="none"/>
        </w:rPr>
        <w:t>万元整（</w:t>
      </w:r>
      <w:r>
        <w:rPr>
          <w:rFonts w:hint="eastAsia" w:ascii="宋体" w:hAnsi="宋体" w:cs="宋体"/>
          <w:sz w:val="24"/>
          <w:highlight w:val="none"/>
          <w:lang w:val="en-US" w:eastAsia="zh-CN"/>
        </w:rPr>
        <w:t>19</w:t>
      </w:r>
      <w:r>
        <w:rPr>
          <w:rFonts w:hint="eastAsia" w:ascii="宋体" w:hAnsi="宋体" w:cs="宋体"/>
          <w:sz w:val="24"/>
          <w:highlight w:val="none"/>
        </w:rPr>
        <w:t>0000元）。</w:t>
      </w:r>
    </w:p>
    <w:p>
      <w:pPr>
        <w:tabs>
          <w:tab w:val="left" w:pos="8280"/>
        </w:tabs>
        <w:autoSpaceDE w:val="0"/>
        <w:autoSpaceDN w:val="0"/>
        <w:adjustRightInd w:val="0"/>
        <w:spacing w:line="360" w:lineRule="auto"/>
        <w:ind w:right="25"/>
        <w:rPr>
          <w:b/>
          <w:sz w:val="24"/>
          <w:highlight w:val="none"/>
        </w:rPr>
      </w:pPr>
      <w:r>
        <w:rPr>
          <w:rFonts w:hint="eastAsia"/>
          <w:b/>
          <w:sz w:val="24"/>
          <w:highlight w:val="none"/>
        </w:rPr>
        <w:t>三、项目需求</w:t>
      </w:r>
    </w:p>
    <w:bookmarkEnd w:id="38"/>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kern w:val="2"/>
          <w:sz w:val="24"/>
          <w:szCs w:val="24"/>
          <w:highlight w:val="none"/>
          <w:lang w:val="en-US" w:eastAsia="zh-CN" w:bidi="ar-SA"/>
        </w:rPr>
        <w:t>主要服务内容如下：建立台州湾新区涉木、涉松企业、苗圃、木材市场经营户等基本名单；监测松科植物及其制品调入调出的松材线虫；使用木质包装的企业材料是否涉及松木的日常巡查。</w:t>
      </w:r>
    </w:p>
    <w:p>
      <w:pPr>
        <w:rPr>
          <w:rFonts w:hint="eastAsia" w:ascii="宋体" w:hAnsi="宋体" w:eastAsia="宋体" w:cs="宋体"/>
          <w:kern w:val="2"/>
          <w:sz w:val="24"/>
          <w:szCs w:val="24"/>
          <w:highlight w:val="none"/>
          <w:lang w:val="en-US" w:eastAsia="zh-CN" w:bidi="ar-SA"/>
        </w:rPr>
      </w:pPr>
      <w:r>
        <w:rPr>
          <w:rFonts w:hint="eastAsia" w:ascii="宋体" w:hAnsi="宋体" w:cs="宋体"/>
          <w:b/>
          <w:kern w:val="0"/>
          <w:sz w:val="24"/>
          <w:highlight w:val="none"/>
          <w:lang w:eastAsia="zh-CN" w:bidi="ar"/>
        </w:rPr>
        <w:t>四</w:t>
      </w:r>
      <w:r>
        <w:rPr>
          <w:rFonts w:hint="eastAsia" w:ascii="宋体" w:hAnsi="宋体" w:cs="宋体"/>
          <w:b/>
          <w:kern w:val="0"/>
          <w:sz w:val="24"/>
          <w:highlight w:val="none"/>
          <w:lang w:bidi="ar"/>
        </w:rPr>
        <w:t>、质量要求</w:t>
      </w:r>
    </w:p>
    <w:p>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1、每周提交巡查记录及照片；每月所有涉木企业至少巡查一遍，更新涉木企业清单；每月、每季度提交巡查小结，年度提交报告。</w:t>
      </w:r>
    </w:p>
    <w:p>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2、若因监管工作不到位，被上级有关部门通报批评，同时采购方有权终止合同。实施服务过程中，承接主体弄虚作假，隐瞒实情的，采购方有权终止合同，并追究相关责任。</w:t>
      </w:r>
    </w:p>
    <w:p>
      <w:pPr>
        <w:rPr>
          <w:rFonts w:hint="eastAsia" w:ascii="宋体" w:hAnsi="宋体" w:eastAsia="宋体" w:cs="宋体"/>
          <w:b/>
          <w:kern w:val="0"/>
          <w:sz w:val="24"/>
          <w:highlight w:val="none"/>
          <w:lang w:val="en-US" w:eastAsia="zh-CN" w:bidi="ar"/>
        </w:rPr>
      </w:pPr>
      <w:bookmarkStart w:id="39" w:name="_Toc525049748"/>
      <w:r>
        <w:rPr>
          <w:rFonts w:hint="eastAsia" w:ascii="宋体" w:hAnsi="宋体" w:eastAsia="宋体" w:cs="宋体"/>
          <w:b/>
          <w:kern w:val="0"/>
          <w:sz w:val="24"/>
          <w:highlight w:val="none"/>
          <w:lang w:val="en-US" w:eastAsia="zh-CN" w:bidi="ar"/>
        </w:rPr>
        <w:t>五、</w:t>
      </w:r>
      <w:bookmarkEnd w:id="39"/>
      <w:r>
        <w:rPr>
          <w:rFonts w:hint="eastAsia" w:ascii="宋体" w:hAnsi="宋体" w:eastAsia="宋体" w:cs="宋体"/>
          <w:b/>
          <w:kern w:val="0"/>
          <w:sz w:val="24"/>
          <w:highlight w:val="none"/>
          <w:lang w:val="en-US" w:eastAsia="zh-CN" w:bidi="ar"/>
        </w:rPr>
        <w:t>工期要求</w:t>
      </w:r>
    </w:p>
    <w:p>
      <w:pPr>
        <w:spacing w:line="360" w:lineRule="auto"/>
        <w:ind w:firstLine="480" w:firstLineChars="200"/>
        <w:rPr>
          <w:rFonts w:hint="eastAsia" w:ascii="宋体" w:hAnsi="宋体" w:eastAsia="宋体" w:cs="宋体"/>
          <w:kern w:val="2"/>
          <w:sz w:val="24"/>
          <w:szCs w:val="24"/>
          <w:highlight w:val="none"/>
          <w:lang w:val="en-US" w:eastAsia="zh-CN" w:bidi="ar-SA"/>
        </w:rPr>
      </w:pPr>
      <w:bookmarkStart w:id="40" w:name="_Toc525049753"/>
      <w:r>
        <w:rPr>
          <w:rFonts w:hint="eastAsia" w:ascii="宋体" w:hAnsi="宋体" w:eastAsia="宋体" w:cs="宋体"/>
          <w:kern w:val="2"/>
          <w:sz w:val="24"/>
          <w:szCs w:val="24"/>
          <w:highlight w:val="none"/>
          <w:lang w:val="en-US" w:eastAsia="zh-CN" w:bidi="ar-SA"/>
        </w:rPr>
        <w:t>服务期限：1年，具体签订日期以合同为准。</w:t>
      </w:r>
    </w:p>
    <w:p>
      <w:pPr>
        <w:pStyle w:val="11"/>
        <w:spacing w:line="360" w:lineRule="auto"/>
        <w:ind w:firstLine="0" w:firstLineChars="0"/>
        <w:rPr>
          <w:rFonts w:ascii="宋体" w:hAnsi="宋体" w:cs="宋体"/>
          <w:b/>
          <w:kern w:val="0"/>
          <w:highlight w:val="none"/>
          <w:lang w:bidi="ar"/>
        </w:rPr>
      </w:pPr>
      <w:r>
        <w:rPr>
          <w:rFonts w:hint="eastAsia" w:ascii="宋体" w:hAnsi="宋体" w:cs="宋体"/>
          <w:b/>
          <w:kern w:val="0"/>
          <w:highlight w:val="none"/>
          <w:lang w:eastAsia="zh-CN" w:bidi="ar"/>
        </w:rPr>
        <w:t>六</w:t>
      </w:r>
      <w:r>
        <w:rPr>
          <w:rFonts w:hint="eastAsia" w:ascii="宋体" w:hAnsi="宋体" w:cs="宋体"/>
          <w:b/>
          <w:kern w:val="0"/>
          <w:highlight w:val="none"/>
          <w:lang w:bidi="ar"/>
        </w:rPr>
        <w:t>、</w:t>
      </w:r>
      <w:r>
        <w:rPr>
          <w:rFonts w:hint="eastAsia" w:ascii="宋体" w:hAnsi="宋体" w:cs="宋体"/>
          <w:b/>
          <w:kern w:val="0"/>
          <w:highlight w:val="none"/>
          <w:lang w:eastAsia="zh-CN" w:bidi="ar"/>
        </w:rPr>
        <w:t>应提交</w:t>
      </w:r>
      <w:r>
        <w:rPr>
          <w:rFonts w:hint="eastAsia" w:ascii="宋体" w:hAnsi="宋体" w:cs="宋体"/>
          <w:b/>
          <w:kern w:val="0"/>
          <w:highlight w:val="none"/>
          <w:lang w:bidi="ar"/>
        </w:rPr>
        <w:t>项目成果要求</w:t>
      </w:r>
    </w:p>
    <w:p>
      <w:pPr>
        <w:pStyle w:val="11"/>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建立台州湾新区涉木、涉松企业、苗圃、木材市场经营户等基本名单；</w:t>
      </w:r>
    </w:p>
    <w:p>
      <w:pPr>
        <w:pStyle w:val="11"/>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监测松科植物及其制品调入调出的松材线虫；</w:t>
      </w:r>
    </w:p>
    <w:p>
      <w:pPr>
        <w:pStyle w:val="11"/>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使用木质包装的企业材料是否涉及松木的日常巡查；</w:t>
      </w:r>
    </w:p>
    <w:p>
      <w:pPr>
        <w:pStyle w:val="11"/>
        <w:spacing w:line="360" w:lineRule="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4、每月提交巡查报告。</w:t>
      </w:r>
    </w:p>
    <w:p>
      <w:pPr>
        <w:rPr>
          <w:rFonts w:ascii="宋体" w:hAnsi="宋体" w:cs="宋体"/>
          <w:b/>
          <w:kern w:val="0"/>
          <w:sz w:val="24"/>
          <w:highlight w:val="none"/>
        </w:rPr>
      </w:pPr>
      <w:r>
        <w:rPr>
          <w:rFonts w:hint="eastAsia" w:ascii="宋体" w:hAnsi="宋体" w:cs="宋体"/>
          <w:b/>
          <w:kern w:val="0"/>
          <w:sz w:val="24"/>
          <w:highlight w:val="none"/>
          <w:lang w:eastAsia="zh-CN" w:bidi="ar"/>
        </w:rPr>
        <w:t>七</w:t>
      </w:r>
      <w:r>
        <w:rPr>
          <w:rFonts w:hint="eastAsia" w:ascii="宋体" w:hAnsi="宋体" w:cs="宋体"/>
          <w:b/>
          <w:kern w:val="0"/>
          <w:sz w:val="24"/>
          <w:highlight w:val="none"/>
          <w:lang w:bidi="ar"/>
        </w:rPr>
        <w:t>、付款方式</w:t>
      </w:r>
      <w:bookmarkEnd w:id="40"/>
    </w:p>
    <w:p>
      <w:pPr>
        <w:pStyle w:val="14"/>
        <w:spacing w:before="50"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签订合同后支付20%合同款，合同履行半年后再支付30%合同款，经甲方验收后支付剩余合同款。</w:t>
      </w:r>
    </w:p>
    <w:p>
      <w:pPr>
        <w:pStyle w:val="14"/>
        <w:spacing w:before="50" w:line="460" w:lineRule="exact"/>
        <w:rPr>
          <w:rFonts w:hAnsi="宋体"/>
          <w:sz w:val="24"/>
          <w:highlight w:val="none"/>
        </w:rPr>
      </w:pPr>
      <w:r>
        <w:rPr>
          <w:rFonts w:hint="eastAsia" w:hAnsi="宋体"/>
          <w:b/>
          <w:sz w:val="24"/>
          <w:highlight w:val="none"/>
          <w:lang w:eastAsia="zh-CN"/>
        </w:rPr>
        <w:t>八</w:t>
      </w:r>
      <w:r>
        <w:rPr>
          <w:rFonts w:hint="eastAsia" w:hAnsi="宋体"/>
          <w:b/>
          <w:sz w:val="24"/>
          <w:highlight w:val="none"/>
        </w:rPr>
        <w:t>、其它</w:t>
      </w:r>
    </w:p>
    <w:p>
      <w:pPr>
        <w:pStyle w:val="14"/>
        <w:spacing w:line="460" w:lineRule="exact"/>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hint="eastAsia" w:ascii="宋体" w:hAnsi="宋体" w:eastAsia="宋体"/>
          <w:sz w:val="24"/>
          <w:highlight w:val="none"/>
          <w:lang w:val="en-US" w:eastAsia="zh-CN"/>
        </w:rPr>
        <w:t>投标人须具备森林病虫害防治检疫检测能力，配备至少5名林业相关技术人员（要求年龄50周岁以下，并具有2年及以上的专业工作经验，提供高中以上学历证明），配备相关检测设备以及必要的交通工具；</w:t>
      </w:r>
    </w:p>
    <w:p>
      <w:pPr>
        <w:pStyle w:val="14"/>
        <w:spacing w:line="460" w:lineRule="exact"/>
        <w:ind w:firstLine="480" w:firstLineChars="200"/>
        <w:rPr>
          <w:rFonts w:hint="eastAsia" w:ascii="宋体" w:hAnsi="宋体" w:eastAsia="宋体"/>
          <w:sz w:val="24"/>
          <w:highlight w:val="none"/>
        </w:rPr>
      </w:pPr>
      <w:r>
        <w:rPr>
          <w:rFonts w:hint="eastAsia" w:ascii="宋体" w:hAnsi="宋体" w:eastAsia="宋体"/>
          <w:sz w:val="24"/>
          <w:highlight w:val="none"/>
        </w:rPr>
        <w:t>2、中标方外业调查期间发生的人身意外等事故由其自行负责；</w:t>
      </w:r>
    </w:p>
    <w:p>
      <w:pPr>
        <w:shd w:val="clear" w:color="auto" w:fill="FFFFFF"/>
        <w:spacing w:line="460" w:lineRule="exact"/>
        <w:ind w:left="959" w:leftChars="228" w:hanging="480" w:hangingChars="200"/>
        <w:rPr>
          <w:rFonts w:ascii="宋体" w:hAnsi="宋体"/>
          <w:sz w:val="24"/>
          <w:highlight w:val="none"/>
        </w:rPr>
      </w:pPr>
      <w:r>
        <w:rPr>
          <w:rFonts w:hint="eastAsia" w:ascii="宋体" w:hAnsi="宋体"/>
          <w:sz w:val="24"/>
          <w:highlight w:val="none"/>
        </w:rPr>
        <w:t>3、合同生效后合同期内，采购人向中标方提供项目</w:t>
      </w:r>
      <w:r>
        <w:rPr>
          <w:rFonts w:hint="eastAsia" w:ascii="宋体" w:hAnsi="宋体" w:eastAsia="宋体" w:cs="宋体"/>
          <w:kern w:val="2"/>
          <w:sz w:val="24"/>
          <w:szCs w:val="24"/>
          <w:highlight w:val="none"/>
          <w:lang w:val="en-US" w:eastAsia="zh-CN" w:bidi="ar-SA"/>
        </w:rPr>
        <w:t>涉木、涉松企业、苗圃、木材市场经营户等基本名单</w:t>
      </w:r>
      <w:r>
        <w:rPr>
          <w:rFonts w:hint="eastAsia" w:ascii="宋体" w:hAnsi="宋体"/>
          <w:sz w:val="24"/>
          <w:highlight w:val="none"/>
        </w:rPr>
        <w:t>；</w:t>
      </w:r>
    </w:p>
    <w:p>
      <w:pPr>
        <w:shd w:val="clear" w:color="auto" w:fill="FFFFFF"/>
        <w:spacing w:line="460" w:lineRule="exact"/>
        <w:ind w:firstLine="480" w:firstLineChars="200"/>
        <w:rPr>
          <w:rFonts w:ascii="宋体" w:hAnsi="宋体"/>
          <w:sz w:val="24"/>
          <w:highlight w:val="none"/>
        </w:rPr>
      </w:pPr>
      <w:r>
        <w:rPr>
          <w:rFonts w:hint="eastAsia" w:ascii="宋体" w:hAnsi="宋体"/>
          <w:sz w:val="24"/>
          <w:highlight w:val="none"/>
        </w:rPr>
        <w:t>4、本次规划报告文件的署名权归承接单位所有，版权归采购方所有；</w:t>
      </w:r>
    </w:p>
    <w:p>
      <w:pPr>
        <w:shd w:val="clear" w:color="auto" w:fill="FFFFFF"/>
        <w:spacing w:line="460" w:lineRule="exact"/>
        <w:ind w:firstLine="480" w:firstLineChars="200"/>
        <w:rPr>
          <w:rFonts w:ascii="宋体" w:hAnsi="宋体"/>
          <w:sz w:val="24"/>
          <w:highlight w:val="none"/>
        </w:rPr>
      </w:pPr>
      <w:r>
        <w:rPr>
          <w:rFonts w:hint="eastAsia" w:ascii="宋体" w:hAnsi="宋体"/>
          <w:sz w:val="24"/>
          <w:highlight w:val="none"/>
        </w:rPr>
        <w:t>5、未经采购人同意，任何单位和个人都无权以任何形式向社会公开展示检测结果；</w:t>
      </w:r>
    </w:p>
    <w:p>
      <w:pPr>
        <w:pStyle w:val="14"/>
        <w:spacing w:line="460" w:lineRule="exact"/>
        <w:ind w:firstLine="480" w:firstLineChars="200"/>
        <w:rPr>
          <w:rFonts w:hAnsi="宋体"/>
          <w:sz w:val="24"/>
          <w:highlight w:val="none"/>
        </w:rPr>
      </w:pPr>
      <w:r>
        <w:rPr>
          <w:rFonts w:hint="eastAsia" w:hAnsi="宋体"/>
          <w:sz w:val="24"/>
          <w:highlight w:val="none"/>
        </w:rPr>
        <w:t>6、中标方除上报的技术人员外，不得擅自更改巡查检测人员；</w:t>
      </w:r>
    </w:p>
    <w:p>
      <w:pPr>
        <w:pStyle w:val="8"/>
        <w:numPr>
          <w:ilvl w:val="0"/>
          <w:numId w:val="0"/>
        </w:numPr>
        <w:ind w:leftChars="0" w:firstLine="480" w:firstLineChars="200"/>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7、中标单位办公场所由采购方指定（费用包含在内)</w:t>
      </w:r>
      <w:r>
        <w:rPr>
          <w:rFonts w:hint="eastAsia" w:hAnsi="宋体"/>
          <w:sz w:val="24"/>
          <w:highlight w:val="none"/>
        </w:rPr>
        <w:t>；</w:t>
      </w:r>
    </w:p>
    <w:p>
      <w:pPr>
        <w:rPr>
          <w:highlight w:val="none"/>
        </w:rPr>
      </w:pPr>
      <w:r>
        <w:rPr>
          <w:highlight w:val="none"/>
        </w:rPr>
        <w:br w:type="page"/>
      </w:r>
    </w:p>
    <w:p>
      <w:pPr>
        <w:numPr>
          <w:ilvl w:val="0"/>
          <w:numId w:val="6"/>
        </w:numPr>
        <w:spacing w:line="360" w:lineRule="auto"/>
        <w:jc w:val="center"/>
        <w:rPr>
          <w:rFonts w:asciiTheme="minorEastAsia" w:hAnsiTheme="minorEastAsia" w:eastAsiaTheme="minorEastAsia"/>
          <w:b/>
          <w:sz w:val="36"/>
          <w:szCs w:val="36"/>
        </w:rPr>
      </w:pPr>
      <w:bookmarkStart w:id="41" w:name="_Toc31173_WPSOffice_Level1"/>
      <w:r>
        <w:rPr>
          <w:rFonts w:hint="eastAsia" w:asciiTheme="minorEastAsia" w:hAnsiTheme="minorEastAsia" w:eastAsiaTheme="minorEastAsia"/>
          <w:b/>
          <w:sz w:val="36"/>
          <w:szCs w:val="36"/>
        </w:rPr>
        <w:t>评标</w:t>
      </w:r>
      <w:bookmarkEnd w:id="41"/>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5"/>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（一）在资格标或技术标中出现投标报价的，或者报价文件中报价的服务跟商务与技术文件中的投标服务出现重大偏差的；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（十三）两家或两家以上投标单位上传投标文件的ip地址（或工程清单锁地址）相同，视为串标行为，取消评标资格。</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（十四）被拒绝的投标文件为无效。</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（十五）其他不符合法律法规相关规定的。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六、投标人有下列情形之一的，投标保证金将不予退还：</w:t>
      </w:r>
    </w:p>
    <w:p>
      <w:pPr>
        <w:snapToGrid w:val="0"/>
        <w:spacing w:line="400" w:lineRule="exact"/>
        <w:ind w:firstLine="470" w:firstLineChars="196"/>
        <w:jc w:val="left"/>
        <w:rPr>
          <w:rFonts w:ascii="宋体" w:hAnsi="宋体"/>
          <w:sz w:val="24"/>
        </w:rPr>
      </w:pPr>
      <w:r>
        <w:rPr>
          <w:rFonts w:hint="eastAsia" w:ascii="宋体" w:hAnsi="宋体"/>
          <w:sz w:val="24"/>
        </w:rPr>
        <w:t>（一）投标人在投标有效期内撤回投标文件的；</w:t>
      </w:r>
    </w:p>
    <w:p>
      <w:pPr>
        <w:snapToGrid w:val="0"/>
        <w:spacing w:line="400" w:lineRule="exact"/>
        <w:ind w:firstLine="470" w:firstLineChars="196"/>
        <w:jc w:val="left"/>
        <w:rPr>
          <w:rFonts w:ascii="宋体" w:hAnsi="宋体"/>
          <w:sz w:val="24"/>
        </w:rPr>
      </w:pPr>
      <w:r>
        <w:rPr>
          <w:rFonts w:hint="eastAsia" w:ascii="宋体" w:hAnsi="宋体"/>
          <w:sz w:val="24"/>
        </w:rPr>
        <w:t>（二）未按规定提交履约保证金的；</w:t>
      </w:r>
    </w:p>
    <w:p>
      <w:pPr>
        <w:snapToGrid w:val="0"/>
        <w:spacing w:line="400" w:lineRule="exact"/>
        <w:ind w:firstLine="470" w:firstLineChars="196"/>
        <w:jc w:val="left"/>
        <w:rPr>
          <w:rFonts w:ascii="宋体" w:hAnsi="宋体"/>
          <w:sz w:val="24"/>
        </w:rPr>
      </w:pPr>
      <w:r>
        <w:rPr>
          <w:rFonts w:hint="eastAsia" w:ascii="宋体" w:hAnsi="宋体"/>
          <w:sz w:val="24"/>
        </w:rPr>
        <w:t>（三）投标人在投标过程中弄虚作假，提供虚假材料的；</w:t>
      </w:r>
    </w:p>
    <w:p>
      <w:pPr>
        <w:snapToGrid w:val="0"/>
        <w:spacing w:line="400" w:lineRule="exact"/>
        <w:ind w:firstLine="470" w:firstLineChars="196"/>
        <w:rPr>
          <w:rFonts w:ascii="宋体" w:hAnsi="宋体"/>
          <w:sz w:val="24"/>
        </w:rPr>
      </w:pPr>
      <w:r>
        <w:rPr>
          <w:rFonts w:hint="eastAsia" w:ascii="宋体" w:hAnsi="宋体"/>
          <w:sz w:val="24"/>
        </w:rPr>
        <w:t>（四）中标人无正当理由不与采购单位签订合同的；</w:t>
      </w:r>
    </w:p>
    <w:p>
      <w:pPr>
        <w:snapToGrid w:val="0"/>
        <w:spacing w:line="400" w:lineRule="exact"/>
        <w:ind w:firstLine="470" w:firstLineChars="196"/>
        <w:rPr>
          <w:rFonts w:ascii="宋体" w:hAnsi="宋体"/>
          <w:sz w:val="24"/>
        </w:rPr>
      </w:pPr>
      <w:r>
        <w:rPr>
          <w:rFonts w:hint="eastAsia" w:ascii="宋体" w:hAnsi="宋体"/>
          <w:sz w:val="24"/>
        </w:rPr>
        <w:t>（五）</w:t>
      </w:r>
      <w:r>
        <w:rPr>
          <w:rFonts w:hint="eastAsia" w:ascii="宋体" w:hAnsi="宋体"/>
          <w:bCs/>
          <w:sz w:val="24"/>
        </w:rPr>
        <w:t>将中标项目转让给他人或者在投标文件中未说明且未经招标人同意，将中标项目分包给他人的；</w:t>
      </w:r>
    </w:p>
    <w:p>
      <w:pPr>
        <w:snapToGrid w:val="0"/>
        <w:spacing w:line="400" w:lineRule="exact"/>
        <w:ind w:firstLine="470" w:firstLineChars="196"/>
        <w:jc w:val="left"/>
        <w:rPr>
          <w:rFonts w:ascii="宋体" w:hAnsi="宋体"/>
          <w:sz w:val="24"/>
        </w:rPr>
      </w:pPr>
      <w:r>
        <w:rPr>
          <w:rFonts w:hint="eastAsia" w:ascii="宋体" w:hAnsi="宋体"/>
          <w:sz w:val="24"/>
        </w:rPr>
        <w:t>（六）拒绝履行合同义务的；</w:t>
      </w:r>
    </w:p>
    <w:p>
      <w:pPr>
        <w:snapToGrid w:val="0"/>
        <w:spacing w:line="400" w:lineRule="exact"/>
        <w:ind w:firstLine="470" w:firstLineChars="196"/>
        <w:jc w:val="left"/>
        <w:rPr>
          <w:rFonts w:ascii="宋体" w:hAnsi="宋体"/>
          <w:sz w:val="24"/>
        </w:rPr>
      </w:pPr>
      <w:r>
        <w:rPr>
          <w:rFonts w:hint="eastAsia" w:ascii="宋体" w:hAnsi="宋体"/>
          <w:sz w:val="24"/>
        </w:rPr>
        <w:t>（七）两家或两家以上投标单位上传投标文件的ip地址（或工程清单锁地址）相同的。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七、评标过程的监控</w:t>
      </w:r>
    </w:p>
    <w:p>
      <w:pPr>
        <w:pStyle w:val="22"/>
        <w:spacing w:before="0" w:beforeAutospacing="0" w:after="0" w:afterAutospacing="0" w:line="360" w:lineRule="auto"/>
        <w:ind w:firstLine="480" w:firstLineChars="200"/>
        <w:jc w:val="both"/>
        <w:rPr>
          <w:rFonts w:hint="default"/>
        </w:rPr>
      </w:pPr>
      <w:r>
        <w:t>本项目评标过程实行全程录音、录像监控，投标人在评标过程中所进行的试图影响评标结果的不公正活动，可能导致其投标被拒绝。</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sz w:val="24"/>
        </w:rPr>
        <w:t>询问</w:t>
      </w:r>
      <w:r>
        <w:rPr>
          <w:rFonts w:asciiTheme="minorEastAsia" w:hAnsiTheme="minorEastAsia" w:eastAsiaTheme="minorEastAsia"/>
          <w:sz w:val="24"/>
        </w:rPr>
        <w:t>，</w:t>
      </w:r>
      <w:r>
        <w:rPr>
          <w:rFonts w:hint="eastAsia"/>
          <w:sz w:val="24"/>
        </w:rPr>
        <w:t>在</w:t>
      </w:r>
      <w:r>
        <w:rPr>
          <w:rFonts w:hint="eastAsia" w:ascii="宋体" w:hAnsi="宋体" w:cs="宋体"/>
          <w:sz w:val="24"/>
        </w:rPr>
        <w:t>台州湾新区小额工程电子交易平台</w:t>
      </w:r>
      <w:r>
        <w:rPr>
          <w:rFonts w:hint="eastAsia"/>
          <w:sz w:val="24"/>
        </w:rPr>
        <w:t>公布</w:t>
      </w:r>
      <w:r>
        <w:rPr>
          <w:rFonts w:asciiTheme="minorEastAsia" w:hAnsiTheme="minorEastAsia" w:eastAsiaTheme="minorEastAsia"/>
          <w:sz w:val="24"/>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4"/>
              <w:spacing w:line="300" w:lineRule="auto"/>
              <w:ind w:left="15" w:leftChars="7" w:right="-17" w:rightChars="-8" w:firstLine="403" w:firstLineChars="192"/>
              <w:rPr>
                <w:szCs w:val="21"/>
              </w:rPr>
            </w:pPr>
            <w:r>
              <w:rPr>
                <w:rFonts w:hint="eastAsia"/>
                <w:szCs w:val="21"/>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54"/>
              <w:spacing w:before="117" w:line="300" w:lineRule="auto"/>
              <w:ind w:left="15" w:leftChars="7" w:right="-17" w:rightChars="-8" w:firstLine="403" w:firstLineChars="192"/>
              <w:rPr>
                <w:szCs w:val="21"/>
              </w:rPr>
            </w:pPr>
            <w:r>
              <w:rPr>
                <w:rFonts w:hint="eastAsia"/>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4"/>
              <w:spacing w:before="1" w:line="300" w:lineRule="auto"/>
              <w:ind w:left="15" w:leftChars="7" w:right="-17" w:rightChars="-8" w:firstLine="403" w:firstLineChars="192"/>
              <w:rPr>
                <w:szCs w:val="21"/>
              </w:rPr>
            </w:pPr>
            <w:r>
              <w:rPr>
                <w:rFonts w:hint="eastAsia"/>
                <w:szCs w:val="21"/>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ascii="宋体" w:hAnsi="宋体" w:cs="宋体"/>
              </w:rPr>
              <w:t>1.截止时点：开标后评标前。</w:t>
            </w:r>
          </w:p>
          <w:p>
            <w:pPr>
              <w:spacing w:line="300" w:lineRule="auto"/>
              <w:ind w:left="15" w:leftChars="7" w:right="-17" w:rightChars="-8" w:firstLine="403" w:firstLineChars="192"/>
              <w:rPr>
                <w:rFonts w:ascii="宋体" w:hAnsi="宋体" w:cs="宋体"/>
                <w:szCs w:val="21"/>
              </w:rPr>
            </w:pPr>
            <w:r>
              <w:rPr>
                <w:rFonts w:hint="eastAsia" w:ascii="宋体" w:hAnsi="宋体" w:cs="宋体"/>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54"/>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szCs w:val="21"/>
              </w:rPr>
            </w:pPr>
            <w:r>
              <w:rPr>
                <w:rFonts w:hint="eastAsia"/>
                <w:szCs w:val="21"/>
              </w:rPr>
              <w:t>无</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在台州湾新区小额工程电子交易平台公布无效投标的投标人名单、投标无效的原因</w:t>
      </w:r>
      <w:r>
        <w:rPr>
          <w:rFonts w:hint="eastAsia" w:asciiTheme="minorEastAsia" w:hAnsiTheme="minorEastAsia" w:eastAsiaTheme="minorEastAsia"/>
          <w:sz w:val="24"/>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bl>
    <w:p>
      <w:pPr>
        <w:pStyle w:val="22"/>
        <w:spacing w:before="0" w:beforeAutospacing="0" w:after="0" w:afterAutospacing="0" w:line="360" w:lineRule="auto"/>
        <w:jc w:val="both"/>
        <w:rPr>
          <w:rFonts w:hint="default" w:asciiTheme="minorEastAsia" w:hAnsiTheme="minorEastAsia" w:eastAsiaTheme="minorEastAsia"/>
          <w:b/>
          <w:bCs/>
        </w:rPr>
      </w:pPr>
    </w:p>
    <w:p>
      <w:pPr>
        <w:pStyle w:val="22"/>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22"/>
        <w:spacing w:before="0" w:beforeAutospacing="0" w:after="0" w:afterAutospacing="0" w:line="360" w:lineRule="auto"/>
        <w:jc w:val="both"/>
        <w:rPr>
          <w:rFonts w:hint="default" w:asciiTheme="minorEastAsia" w:hAnsiTheme="minorEastAsia" w:eastAsiaTheme="minorEastAsia"/>
          <w:b/>
          <w:bCs/>
        </w:rPr>
      </w:pPr>
    </w:p>
    <w:p>
      <w:pPr>
        <w:pStyle w:val="22"/>
        <w:spacing w:before="0" w:beforeAutospacing="0" w:after="0" w:afterAutospacing="0" w:line="360" w:lineRule="auto"/>
        <w:jc w:val="both"/>
        <w:rPr>
          <w:rFonts w:hint="default" w:asciiTheme="minorEastAsia" w:hAnsiTheme="minorEastAsia" w:eastAsiaTheme="minorEastAsia"/>
          <w:b/>
          <w:bCs/>
        </w:rPr>
      </w:pPr>
    </w:p>
    <w:p>
      <w:pPr>
        <w:pStyle w:val="22"/>
        <w:spacing w:before="0" w:beforeAutospacing="0" w:after="0" w:afterAutospacing="0" w:line="360" w:lineRule="auto"/>
        <w:jc w:val="both"/>
        <w:rPr>
          <w:rFonts w:hint="default" w:asciiTheme="minorEastAsia" w:hAnsiTheme="minorEastAsia" w:eastAsiaTheme="minorEastAsia"/>
          <w:b/>
          <w:bCs/>
        </w:rPr>
      </w:pPr>
    </w:p>
    <w:p>
      <w:pPr>
        <w:pStyle w:val="22"/>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技术标及商务标评审</w:t>
      </w:r>
    </w:p>
    <w:p>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pPr>
        <w:autoSpaceDE w:val="0"/>
        <w:autoSpaceDN w:val="0"/>
        <w:adjustRightInd w:val="0"/>
        <w:spacing w:line="360" w:lineRule="auto"/>
        <w:ind w:right="85" w:firstLine="241" w:firstLineChars="100"/>
        <w:rPr>
          <w:rFonts w:ascii="宋体"/>
          <w:b/>
          <w:bCs/>
          <w:sz w:val="24"/>
        </w:rPr>
      </w:pPr>
      <w:r>
        <w:rPr>
          <w:rFonts w:hint="eastAsia" w:ascii="宋体"/>
          <w:b/>
          <w:bCs/>
          <w:sz w:val="24"/>
        </w:rPr>
        <w:t>1、评分标准</w:t>
      </w:r>
    </w:p>
    <w:tbl>
      <w:tblPr>
        <w:tblStyle w:val="26"/>
        <w:tblpPr w:leftFromText="180" w:rightFromText="180" w:vertAnchor="text" w:horzAnchor="page" w:tblpX="1211" w:tblpY="466"/>
        <w:tblOverlap w:val="never"/>
        <w:tblW w:w="96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7742"/>
        <w:gridCol w:w="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top w:val="single" w:color="auto" w:sz="12" w:space="0"/>
              <w:bottom w:val="single" w:color="auto" w:sz="4" w:space="0"/>
            </w:tcBorders>
            <w:shd w:val="pct20" w:color="auto" w:fill="auto"/>
            <w:vAlign w:val="center"/>
          </w:tcPr>
          <w:p>
            <w:pPr>
              <w:widowControl/>
              <w:spacing w:line="360" w:lineRule="auto"/>
              <w:jc w:val="left"/>
              <w:rPr>
                <w:rFonts w:ascii="Arial" w:hAnsi="Arial" w:cs="Arial"/>
                <w:b/>
                <w:bCs/>
                <w:szCs w:val="21"/>
              </w:rPr>
            </w:pPr>
            <w:r>
              <w:rPr>
                <w:rFonts w:hint="eastAsia"/>
                <w:b/>
                <w:szCs w:val="21"/>
              </w:rPr>
              <w:t>评分项目</w:t>
            </w:r>
          </w:p>
        </w:tc>
        <w:tc>
          <w:tcPr>
            <w:tcW w:w="7742" w:type="dxa"/>
            <w:tcBorders>
              <w:top w:val="single" w:color="auto" w:sz="12" w:space="0"/>
              <w:bottom w:val="single" w:color="auto" w:sz="4" w:space="0"/>
            </w:tcBorders>
            <w:shd w:val="pct20" w:color="auto" w:fill="auto"/>
            <w:vAlign w:val="center"/>
          </w:tcPr>
          <w:p>
            <w:pPr>
              <w:widowControl/>
              <w:spacing w:line="360" w:lineRule="auto"/>
              <w:jc w:val="center"/>
              <w:rPr>
                <w:rFonts w:ascii="宋体"/>
                <w:szCs w:val="21"/>
              </w:rPr>
            </w:pPr>
            <w:r>
              <w:rPr>
                <w:rFonts w:hint="eastAsia"/>
                <w:b/>
                <w:szCs w:val="21"/>
              </w:rPr>
              <w:t>评分细则</w:t>
            </w:r>
          </w:p>
        </w:tc>
        <w:tc>
          <w:tcPr>
            <w:tcW w:w="667" w:type="dxa"/>
            <w:tcBorders>
              <w:top w:val="single" w:color="auto" w:sz="12" w:space="0"/>
              <w:bottom w:val="single" w:color="auto" w:sz="4" w:space="0"/>
            </w:tcBorders>
            <w:shd w:val="pct20" w:color="auto" w:fill="auto"/>
            <w:vAlign w:val="center"/>
          </w:tcPr>
          <w:p>
            <w:pPr>
              <w:widowControl/>
              <w:spacing w:line="360" w:lineRule="auto"/>
              <w:jc w:val="center"/>
              <w:rPr>
                <w:rFonts w:ascii="Arial" w:hAnsi="Arial" w:cs="Arial"/>
                <w:bCs/>
                <w:szCs w:val="21"/>
              </w:rPr>
            </w:pPr>
            <w:r>
              <w:rPr>
                <w:rFonts w:hint="eastAsia" w:ascii="Arial" w:hAnsi="Arial" w:cs="Arial"/>
                <w:bCs/>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37" w:type="dxa"/>
            <w:vMerge w:val="restart"/>
            <w:vAlign w:val="center"/>
          </w:tcPr>
          <w:p>
            <w:pPr>
              <w:spacing w:line="360" w:lineRule="auto"/>
              <w:textAlignment w:val="baseline"/>
              <w:rPr>
                <w:szCs w:val="21"/>
              </w:rPr>
            </w:pPr>
            <w:r>
              <w:rPr>
                <w:rFonts w:hint="eastAsia"/>
                <w:szCs w:val="21"/>
              </w:rPr>
              <w:t>技术性能</w:t>
            </w:r>
          </w:p>
          <w:p>
            <w:pPr>
              <w:spacing w:line="360" w:lineRule="auto"/>
              <w:textAlignment w:val="baseline"/>
              <w:rPr>
                <w:szCs w:val="21"/>
              </w:rPr>
            </w:pPr>
            <w:r>
              <w:rPr>
                <w:rFonts w:hint="eastAsia"/>
                <w:szCs w:val="21"/>
                <w:lang w:val="en-US" w:eastAsia="zh-CN"/>
              </w:rPr>
              <w:t>60</w:t>
            </w:r>
            <w:r>
              <w:rPr>
                <w:rFonts w:hint="eastAsia"/>
                <w:szCs w:val="21"/>
              </w:rPr>
              <w:t>分</w:t>
            </w:r>
          </w:p>
        </w:tc>
        <w:tc>
          <w:tcPr>
            <w:tcW w:w="7742" w:type="dxa"/>
            <w:tcBorders>
              <w:top w:val="single" w:color="auto" w:sz="4" w:space="0"/>
            </w:tcBorders>
            <w:vAlign w:val="center"/>
          </w:tcPr>
          <w:p>
            <w:pPr>
              <w:pStyle w:val="21"/>
              <w:spacing w:line="360" w:lineRule="auto"/>
              <w:ind w:left="0" w:leftChars="0"/>
              <w:textAlignment w:val="baseline"/>
              <w:rPr>
                <w:rFonts w:hint="eastAsia"/>
                <w:szCs w:val="21"/>
                <w:lang w:val="zh-CN"/>
              </w:rPr>
            </w:pPr>
            <w:r>
              <w:rPr>
                <w:rFonts w:hint="eastAsia"/>
                <w:szCs w:val="21"/>
                <w:lang w:val="zh-CN"/>
              </w:rPr>
              <w:t>根据投标人对本项目的理解与认识是否准确有深度；提供的整体方案是否明确、有针对性等方面进行打分：</w:t>
            </w:r>
          </w:p>
          <w:p>
            <w:pPr>
              <w:pStyle w:val="21"/>
              <w:spacing w:line="360" w:lineRule="auto"/>
              <w:ind w:left="0" w:leftChars="0"/>
              <w:textAlignment w:val="baseline"/>
              <w:rPr>
                <w:rFonts w:hint="eastAsia"/>
                <w:szCs w:val="21"/>
                <w:lang w:val="en-US" w:eastAsia="zh-CN"/>
              </w:rPr>
            </w:pPr>
            <w:r>
              <w:rPr>
                <w:rFonts w:hint="eastAsia"/>
                <w:szCs w:val="21"/>
                <w:lang w:val="en-US" w:eastAsia="zh-CN"/>
              </w:rPr>
              <w:t>对本项目</w:t>
            </w:r>
            <w:r>
              <w:rPr>
                <w:rFonts w:hint="eastAsia"/>
                <w:szCs w:val="21"/>
                <w:lang w:val="zh-CN"/>
              </w:rPr>
              <w:t>理解与认识是否准确有深度，</w:t>
            </w:r>
            <w:r>
              <w:rPr>
                <w:rFonts w:hint="eastAsia"/>
                <w:szCs w:val="21"/>
                <w:lang w:val="en-US" w:eastAsia="zh-CN"/>
              </w:rPr>
              <w:t>与</w:t>
            </w:r>
            <w:r>
              <w:rPr>
                <w:rFonts w:hint="eastAsia"/>
                <w:szCs w:val="21"/>
                <w:lang w:val="zh-CN"/>
              </w:rPr>
              <w:t>提供的整体方案</w:t>
            </w:r>
            <w:r>
              <w:rPr>
                <w:rFonts w:hint="eastAsia"/>
                <w:szCs w:val="21"/>
                <w:lang w:val="en-US" w:eastAsia="zh-CN"/>
              </w:rPr>
              <w:t>符合实际情况，并针对此现状提出的分析方案有针对性的得 10-6分，</w:t>
            </w:r>
          </w:p>
          <w:p>
            <w:pPr>
              <w:pStyle w:val="21"/>
              <w:spacing w:line="360" w:lineRule="auto"/>
              <w:ind w:left="0" w:leftChars="0"/>
              <w:textAlignment w:val="baseline"/>
              <w:rPr>
                <w:szCs w:val="21"/>
              </w:rPr>
            </w:pPr>
            <w:r>
              <w:rPr>
                <w:rFonts w:hint="eastAsia"/>
                <w:szCs w:val="21"/>
                <w:lang w:val="en-US" w:eastAsia="zh-CN"/>
              </w:rPr>
              <w:t>对本项目</w:t>
            </w:r>
            <w:r>
              <w:rPr>
                <w:rFonts w:hint="eastAsia"/>
                <w:szCs w:val="21"/>
                <w:lang w:val="zh-CN"/>
              </w:rPr>
              <w:t>理解与认识准确深度不够，</w:t>
            </w:r>
            <w:r>
              <w:rPr>
                <w:rFonts w:hint="eastAsia"/>
                <w:szCs w:val="21"/>
                <w:lang w:val="en-US" w:eastAsia="zh-CN"/>
              </w:rPr>
              <w:t>与</w:t>
            </w:r>
            <w:r>
              <w:rPr>
                <w:rFonts w:hint="eastAsia"/>
                <w:szCs w:val="21"/>
                <w:lang w:val="zh-CN"/>
              </w:rPr>
              <w:t>提供的整体方案稍微</w:t>
            </w:r>
            <w:r>
              <w:rPr>
                <w:rFonts w:hint="eastAsia"/>
                <w:szCs w:val="21"/>
                <w:lang w:val="en-US" w:eastAsia="zh-CN"/>
              </w:rPr>
              <w:t>符合实际情况，并针对此现状提出的分析方案有针对性不强的得 5.9-3.1分，</w:t>
            </w:r>
          </w:p>
          <w:p>
            <w:pPr>
              <w:pStyle w:val="21"/>
              <w:spacing w:line="360" w:lineRule="auto"/>
              <w:ind w:left="0" w:leftChars="0"/>
              <w:textAlignment w:val="baseline"/>
              <w:rPr>
                <w:szCs w:val="21"/>
              </w:rPr>
            </w:pPr>
            <w:r>
              <w:rPr>
                <w:rFonts w:hint="eastAsia"/>
                <w:szCs w:val="21"/>
                <w:lang w:val="en-US" w:eastAsia="zh-CN"/>
              </w:rPr>
              <w:t>对本项目</w:t>
            </w:r>
            <w:r>
              <w:rPr>
                <w:rFonts w:hint="eastAsia"/>
                <w:szCs w:val="21"/>
                <w:lang w:val="zh-CN"/>
              </w:rPr>
              <w:t>理解与认识准确深度不够，</w:t>
            </w:r>
            <w:r>
              <w:rPr>
                <w:rFonts w:hint="eastAsia"/>
                <w:szCs w:val="21"/>
                <w:lang w:val="en-US" w:eastAsia="zh-CN"/>
              </w:rPr>
              <w:t>与</w:t>
            </w:r>
            <w:r>
              <w:rPr>
                <w:rFonts w:hint="eastAsia"/>
                <w:szCs w:val="21"/>
                <w:lang w:val="zh-CN"/>
              </w:rPr>
              <w:t>提供的整体方案不</w:t>
            </w:r>
            <w:r>
              <w:rPr>
                <w:rFonts w:hint="eastAsia"/>
                <w:szCs w:val="21"/>
                <w:lang w:val="en-US" w:eastAsia="zh-CN"/>
              </w:rPr>
              <w:t>符合实际情况，并针对此现状提出的分析方案没有有针对性的得 3-0分。</w:t>
            </w:r>
          </w:p>
        </w:tc>
        <w:tc>
          <w:tcPr>
            <w:tcW w:w="667" w:type="dxa"/>
            <w:tcBorders>
              <w:top w:val="single" w:color="auto" w:sz="4" w:space="0"/>
            </w:tcBorders>
            <w:vAlign w:val="center"/>
          </w:tcPr>
          <w:p>
            <w:pPr>
              <w:spacing w:line="360" w:lineRule="auto"/>
              <w:jc w:val="center"/>
              <w:rPr>
                <w:rFonts w:hint="default" w:ascii="宋体" w:eastAsia="宋体"/>
                <w:szCs w:val="21"/>
                <w:lang w:val="en-US" w:eastAsia="zh-CN"/>
              </w:rPr>
            </w:pPr>
            <w:r>
              <w:rPr>
                <w:rFonts w:hint="eastAsia"/>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3" w:hRule="atLeast"/>
        </w:trPr>
        <w:tc>
          <w:tcPr>
            <w:tcW w:w="1237" w:type="dxa"/>
            <w:vMerge w:val="continue"/>
            <w:vAlign w:val="center"/>
          </w:tcPr>
          <w:p>
            <w:pPr>
              <w:spacing w:line="360" w:lineRule="auto"/>
              <w:textAlignment w:val="baseline"/>
              <w:rPr>
                <w:szCs w:val="21"/>
              </w:rPr>
            </w:pPr>
          </w:p>
        </w:tc>
        <w:tc>
          <w:tcPr>
            <w:tcW w:w="7742" w:type="dxa"/>
            <w:tcBorders>
              <w:top w:val="single" w:color="auto" w:sz="4" w:space="0"/>
              <w:bottom w:val="single" w:color="auto" w:sz="4" w:space="0"/>
            </w:tcBorders>
            <w:vAlign w:val="center"/>
          </w:tcPr>
          <w:p>
            <w:pPr>
              <w:pStyle w:val="11"/>
              <w:ind w:firstLine="0" w:firstLineChars="0"/>
              <w:rPr>
                <w:rFonts w:hint="eastAsia"/>
                <w:lang w:val="zh-CN"/>
              </w:rPr>
            </w:pPr>
            <w:r>
              <w:rPr>
                <w:rFonts w:hint="eastAsia"/>
                <w:lang w:val="zh-CN"/>
              </w:rPr>
              <w:t>根据投标人对本项目的重点、难点分析及解决措施情况，进行打分。</w:t>
            </w:r>
          </w:p>
          <w:p>
            <w:pPr>
              <w:pStyle w:val="11"/>
              <w:ind w:firstLine="0" w:firstLineChars="0"/>
            </w:pPr>
            <w:r>
              <w:rPr>
                <w:rFonts w:hint="eastAsia"/>
                <w:lang w:val="en-US" w:eastAsia="zh-CN"/>
              </w:rPr>
              <w:t>针对本项目</w:t>
            </w:r>
            <w:r>
              <w:rPr>
                <w:rFonts w:hint="eastAsia"/>
                <w:lang w:val="zh-CN"/>
              </w:rPr>
              <w:t>的重点、难点分析及解决措施方案全面，切合实际，具有必要的针对性和必要性，能很好的解决问题得1</w:t>
            </w:r>
            <w:r>
              <w:rPr>
                <w:rFonts w:hint="eastAsia"/>
                <w:lang w:val="en-US" w:eastAsia="zh-CN"/>
              </w:rPr>
              <w:t>0</w:t>
            </w:r>
            <w:r>
              <w:rPr>
                <w:rFonts w:hint="eastAsia"/>
                <w:lang w:val="zh-CN"/>
              </w:rPr>
              <w:t>-</w:t>
            </w:r>
            <w:r>
              <w:rPr>
                <w:rFonts w:hint="eastAsia"/>
                <w:lang w:val="en-US" w:eastAsia="zh-CN"/>
              </w:rPr>
              <w:t>8</w:t>
            </w:r>
            <w:r>
              <w:rPr>
                <w:rFonts w:hint="eastAsia"/>
                <w:lang w:val="zh-CN"/>
              </w:rPr>
              <w:t>分，</w:t>
            </w:r>
            <w:r>
              <w:rPr>
                <w:rFonts w:hint="eastAsia"/>
                <w:lang w:val="en-US" w:eastAsia="zh-CN"/>
              </w:rPr>
              <w:t>针对本项目</w:t>
            </w:r>
            <w:r>
              <w:rPr>
                <w:rFonts w:hint="eastAsia"/>
                <w:lang w:val="zh-CN"/>
              </w:rPr>
              <w:t>的重点、难点分析及解决措施方案完善但有欠缺能解决部分问题的得</w:t>
            </w:r>
            <w:r>
              <w:rPr>
                <w:rFonts w:hint="eastAsia"/>
                <w:lang w:val="en-US" w:eastAsia="zh-CN"/>
              </w:rPr>
              <w:t>7</w:t>
            </w:r>
            <w:r>
              <w:rPr>
                <w:rFonts w:hint="eastAsia"/>
                <w:lang w:val="zh-CN"/>
              </w:rPr>
              <w:t>.9-</w:t>
            </w:r>
            <w:r>
              <w:rPr>
                <w:rFonts w:hint="eastAsia"/>
                <w:lang w:val="en-US" w:eastAsia="zh-CN"/>
              </w:rPr>
              <w:t>5</w:t>
            </w:r>
            <w:r>
              <w:rPr>
                <w:rFonts w:hint="eastAsia"/>
                <w:lang w:val="zh-CN"/>
              </w:rPr>
              <w:t>分，</w:t>
            </w:r>
            <w:r>
              <w:rPr>
                <w:rFonts w:hint="eastAsia"/>
                <w:lang w:val="en-US" w:eastAsia="zh-CN"/>
              </w:rPr>
              <w:t>针对本项目</w:t>
            </w:r>
            <w:r>
              <w:rPr>
                <w:rFonts w:hint="eastAsia"/>
                <w:lang w:val="zh-CN"/>
              </w:rPr>
              <w:t>的重点、难点分析及解决措施方案简单，对本项目基本没有啥帮助的得</w:t>
            </w:r>
            <w:r>
              <w:rPr>
                <w:rFonts w:hint="eastAsia"/>
                <w:lang w:val="en-US" w:eastAsia="zh-CN"/>
              </w:rPr>
              <w:t>4.9-0分</w:t>
            </w:r>
            <w:r>
              <w:rPr>
                <w:rFonts w:hint="eastAsia"/>
                <w:szCs w:val="21"/>
                <w:lang w:val="zh-CN"/>
              </w:rPr>
              <w:t>。</w:t>
            </w:r>
          </w:p>
        </w:tc>
        <w:tc>
          <w:tcPr>
            <w:tcW w:w="667" w:type="dxa"/>
            <w:tcBorders>
              <w:top w:val="single" w:color="auto" w:sz="4" w:space="0"/>
              <w:bottom w:val="single" w:color="auto" w:sz="4" w:space="0"/>
            </w:tcBorders>
            <w:vAlign w:val="center"/>
          </w:tcPr>
          <w:p>
            <w:pPr>
              <w:spacing w:line="360" w:lineRule="auto"/>
              <w:jc w:val="center"/>
              <w:rPr>
                <w:rFonts w:hint="default" w:eastAsia="宋体"/>
                <w:szCs w:val="21"/>
                <w:lang w:val="en-US" w:eastAsia="zh-CN"/>
              </w:rPr>
            </w:pPr>
            <w:r>
              <w:rPr>
                <w:rFonts w:hint="eastAsia"/>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7" w:hRule="atLeast"/>
        </w:trPr>
        <w:tc>
          <w:tcPr>
            <w:tcW w:w="1237" w:type="dxa"/>
            <w:vMerge w:val="continue"/>
            <w:vAlign w:val="center"/>
          </w:tcPr>
          <w:p>
            <w:pPr>
              <w:spacing w:line="360" w:lineRule="auto"/>
              <w:textAlignment w:val="baseline"/>
              <w:rPr>
                <w:szCs w:val="21"/>
              </w:rPr>
            </w:pPr>
          </w:p>
        </w:tc>
        <w:tc>
          <w:tcPr>
            <w:tcW w:w="7742" w:type="dxa"/>
            <w:tcBorders>
              <w:top w:val="single" w:color="auto" w:sz="4" w:space="0"/>
              <w:bottom w:val="single" w:color="auto" w:sz="4" w:space="0"/>
            </w:tcBorders>
            <w:vAlign w:val="center"/>
          </w:tcPr>
          <w:p>
            <w:pPr>
              <w:pStyle w:val="21"/>
              <w:spacing w:line="360" w:lineRule="auto"/>
              <w:ind w:left="0" w:leftChars="0"/>
              <w:textAlignment w:val="baseline"/>
              <w:rPr>
                <w:rFonts w:hint="eastAsia"/>
                <w:szCs w:val="21"/>
              </w:rPr>
            </w:pPr>
            <w:r>
              <w:rPr>
                <w:rFonts w:hint="eastAsia"/>
                <w:szCs w:val="21"/>
              </w:rPr>
              <w:t>工期安排：根据项目实施工期进度计划及施工方案的进行评分。</w:t>
            </w:r>
          </w:p>
          <w:p>
            <w:pPr>
              <w:pStyle w:val="21"/>
              <w:spacing w:line="360" w:lineRule="auto"/>
              <w:ind w:left="0" w:leftChars="0"/>
              <w:textAlignment w:val="baseline"/>
              <w:rPr>
                <w:szCs w:val="21"/>
              </w:rPr>
            </w:pPr>
            <w:r>
              <w:rPr>
                <w:rFonts w:hint="eastAsia"/>
                <w:szCs w:val="21"/>
              </w:rPr>
              <w:t>根据项目实施工期进度计划及施工方案安排合理、</w:t>
            </w:r>
            <w:r>
              <w:rPr>
                <w:rFonts w:hint="eastAsia"/>
                <w:szCs w:val="21"/>
                <w:lang w:eastAsia="zh-CN"/>
              </w:rPr>
              <w:t>具有</w:t>
            </w:r>
            <w:r>
              <w:rPr>
                <w:rFonts w:hint="eastAsia"/>
                <w:szCs w:val="21"/>
              </w:rPr>
              <w:t>科学性</w:t>
            </w:r>
            <w:r>
              <w:rPr>
                <w:rFonts w:hint="eastAsia"/>
                <w:szCs w:val="21"/>
                <w:lang w:val="zh-CN"/>
              </w:rPr>
              <w:t>得</w:t>
            </w:r>
            <w:r>
              <w:rPr>
                <w:rFonts w:hint="eastAsia"/>
                <w:szCs w:val="21"/>
                <w:lang w:val="en-US" w:eastAsia="zh-CN"/>
              </w:rPr>
              <w:t>8-6</w:t>
            </w:r>
            <w:r>
              <w:rPr>
                <w:rFonts w:hint="eastAsia"/>
                <w:szCs w:val="21"/>
                <w:lang w:val="zh-CN"/>
              </w:rPr>
              <w:t>分</w:t>
            </w:r>
            <w:r>
              <w:rPr>
                <w:rFonts w:hint="eastAsia"/>
                <w:szCs w:val="21"/>
              </w:rPr>
              <w:t>，根据项目实施工期进度计划及施工方案安排</w:t>
            </w:r>
            <w:r>
              <w:rPr>
                <w:rFonts w:hint="eastAsia"/>
                <w:szCs w:val="21"/>
                <w:lang w:eastAsia="zh-CN"/>
              </w:rPr>
              <w:t>合理，层次不够清晰</w:t>
            </w:r>
            <w:r>
              <w:rPr>
                <w:rFonts w:hint="eastAsia"/>
                <w:szCs w:val="21"/>
                <w:lang w:val="zh-CN"/>
              </w:rPr>
              <w:t>得</w:t>
            </w:r>
            <w:r>
              <w:rPr>
                <w:rFonts w:hint="eastAsia"/>
                <w:szCs w:val="21"/>
                <w:lang w:val="en-US" w:eastAsia="zh-CN"/>
              </w:rPr>
              <w:t>5.9-3.1</w:t>
            </w:r>
            <w:r>
              <w:rPr>
                <w:rFonts w:hint="eastAsia"/>
                <w:szCs w:val="21"/>
                <w:lang w:val="zh-CN"/>
              </w:rPr>
              <w:t>分</w:t>
            </w:r>
            <w:r>
              <w:rPr>
                <w:rFonts w:hint="eastAsia"/>
                <w:szCs w:val="21"/>
              </w:rPr>
              <w:t>，根据项目实施工期进度计划及施工方案安排</w:t>
            </w:r>
            <w:r>
              <w:rPr>
                <w:rFonts w:hint="eastAsia"/>
                <w:szCs w:val="21"/>
                <w:lang w:eastAsia="zh-CN"/>
              </w:rPr>
              <w:t>不合理，层次不够清晰</w:t>
            </w:r>
            <w:r>
              <w:rPr>
                <w:rFonts w:hint="eastAsia"/>
                <w:szCs w:val="21"/>
                <w:lang w:val="zh-CN"/>
              </w:rPr>
              <w:t>得</w:t>
            </w:r>
            <w:r>
              <w:rPr>
                <w:rFonts w:hint="eastAsia"/>
                <w:szCs w:val="21"/>
                <w:lang w:val="en-US" w:eastAsia="zh-CN"/>
              </w:rPr>
              <w:t>3-0</w:t>
            </w:r>
            <w:r>
              <w:rPr>
                <w:rFonts w:hint="eastAsia"/>
                <w:szCs w:val="21"/>
                <w:lang w:val="zh-CN"/>
              </w:rPr>
              <w:t>分。</w:t>
            </w:r>
          </w:p>
        </w:tc>
        <w:tc>
          <w:tcPr>
            <w:tcW w:w="667" w:type="dxa"/>
            <w:tcBorders>
              <w:top w:val="single" w:color="auto" w:sz="4" w:space="0"/>
              <w:bottom w:val="single" w:color="auto" w:sz="4" w:space="0"/>
            </w:tcBorders>
            <w:vAlign w:val="center"/>
          </w:tcPr>
          <w:p>
            <w:pPr>
              <w:spacing w:line="360" w:lineRule="auto"/>
              <w:jc w:val="center"/>
              <w:rPr>
                <w:rFonts w:hint="default" w:eastAsia="宋体"/>
                <w:szCs w:val="21"/>
                <w:lang w:val="en-US" w:eastAsia="zh-CN"/>
              </w:rPr>
            </w:pPr>
            <w:r>
              <w:rPr>
                <w:rFonts w:hint="eastAsia"/>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vAlign w:val="center"/>
          </w:tcPr>
          <w:p>
            <w:pPr>
              <w:spacing w:line="360" w:lineRule="auto"/>
              <w:textAlignment w:val="baseline"/>
              <w:rPr>
                <w:szCs w:val="21"/>
              </w:rPr>
            </w:pPr>
          </w:p>
        </w:tc>
        <w:tc>
          <w:tcPr>
            <w:tcW w:w="7742" w:type="dxa"/>
            <w:tcBorders>
              <w:top w:val="single" w:color="auto" w:sz="4" w:space="0"/>
              <w:bottom w:val="single" w:color="auto" w:sz="4" w:space="0"/>
            </w:tcBorders>
            <w:vAlign w:val="center"/>
          </w:tcPr>
          <w:p>
            <w:pPr>
              <w:spacing w:line="360" w:lineRule="auto"/>
              <w:textAlignment w:val="baseline"/>
              <w:rPr>
                <w:szCs w:val="21"/>
              </w:rPr>
            </w:pPr>
            <w:r>
              <w:rPr>
                <w:rFonts w:hint="eastAsia" w:ascii="宋体" w:hAnsi="宋体" w:cs="宋体"/>
                <w:szCs w:val="21"/>
              </w:rPr>
              <w:t>管理制度：应具制定的管理制度，包括质量管理、设备管理、保密管理、档案管理等进行评分</w:t>
            </w:r>
            <w:r>
              <w:rPr>
                <w:rFonts w:hint="eastAsia" w:ascii="宋体" w:hAnsi="宋体" w:cs="宋体"/>
                <w:szCs w:val="21"/>
                <w:lang w:eastAsia="zh-CN"/>
              </w:rPr>
              <w:t>，</w:t>
            </w:r>
            <w:r>
              <w:rPr>
                <w:rFonts w:hint="eastAsia"/>
                <w:szCs w:val="21"/>
                <w:lang w:val="zh-CN"/>
              </w:rPr>
              <w:t>好的得</w:t>
            </w:r>
            <w:r>
              <w:rPr>
                <w:rFonts w:hint="eastAsia"/>
                <w:szCs w:val="21"/>
                <w:lang w:val="en-US" w:eastAsia="zh-CN"/>
              </w:rPr>
              <w:t>7</w:t>
            </w:r>
            <w:r>
              <w:rPr>
                <w:rFonts w:hint="eastAsia"/>
                <w:szCs w:val="21"/>
                <w:lang w:val="zh-CN"/>
              </w:rPr>
              <w:t>-</w:t>
            </w:r>
            <w:r>
              <w:rPr>
                <w:rFonts w:hint="eastAsia"/>
                <w:szCs w:val="21"/>
                <w:lang w:val="en-US" w:eastAsia="zh-CN"/>
              </w:rPr>
              <w:t>4</w:t>
            </w:r>
            <w:r>
              <w:rPr>
                <w:rFonts w:hint="eastAsia"/>
                <w:szCs w:val="21"/>
                <w:lang w:val="zh-CN"/>
              </w:rPr>
              <w:t>分，一般的得</w:t>
            </w:r>
            <w:r>
              <w:rPr>
                <w:rFonts w:hint="eastAsia"/>
                <w:szCs w:val="21"/>
                <w:lang w:val="en-US" w:eastAsia="zh-CN"/>
              </w:rPr>
              <w:t>3</w:t>
            </w:r>
            <w:r>
              <w:rPr>
                <w:rFonts w:hint="eastAsia"/>
                <w:szCs w:val="21"/>
                <w:lang w:val="zh-CN"/>
              </w:rPr>
              <w:t>.9-</w:t>
            </w:r>
            <w:r>
              <w:rPr>
                <w:rFonts w:hint="eastAsia"/>
                <w:szCs w:val="21"/>
                <w:lang w:val="en-US" w:eastAsia="zh-CN"/>
              </w:rPr>
              <w:t>2</w:t>
            </w:r>
            <w:r>
              <w:rPr>
                <w:rFonts w:hint="eastAsia"/>
                <w:szCs w:val="21"/>
                <w:lang w:val="zh-CN"/>
              </w:rPr>
              <w:t>分，差的得</w:t>
            </w:r>
            <w:r>
              <w:rPr>
                <w:rFonts w:hint="eastAsia"/>
                <w:szCs w:val="21"/>
                <w:lang w:val="en-US" w:eastAsia="zh-CN"/>
              </w:rPr>
              <w:t>0-1.9</w:t>
            </w:r>
            <w:r>
              <w:rPr>
                <w:rFonts w:hint="eastAsia"/>
                <w:szCs w:val="21"/>
                <w:lang w:val="zh-CN"/>
              </w:rPr>
              <w:t>分</w:t>
            </w:r>
            <w:r>
              <w:rPr>
                <w:rFonts w:hint="eastAsia" w:ascii="宋体" w:hAnsi="宋体" w:cs="宋体"/>
                <w:szCs w:val="21"/>
              </w:rPr>
              <w:t>。</w:t>
            </w:r>
          </w:p>
        </w:tc>
        <w:tc>
          <w:tcPr>
            <w:tcW w:w="667" w:type="dxa"/>
            <w:tcBorders>
              <w:top w:val="single" w:color="auto" w:sz="4" w:space="0"/>
              <w:bottom w:val="single" w:color="auto" w:sz="4" w:space="0"/>
            </w:tcBorders>
            <w:vAlign w:val="center"/>
          </w:tcPr>
          <w:p>
            <w:pPr>
              <w:spacing w:line="360" w:lineRule="auto"/>
              <w:jc w:val="center"/>
              <w:rPr>
                <w:rFonts w:hint="eastAsia" w:eastAsia="宋体"/>
                <w:szCs w:val="21"/>
                <w:lang w:eastAsia="zh-CN"/>
              </w:rPr>
            </w:pPr>
            <w:r>
              <w:rPr>
                <w:rFonts w:hint="eastAsia"/>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1237" w:type="dxa"/>
            <w:vMerge w:val="continue"/>
            <w:vAlign w:val="center"/>
          </w:tcPr>
          <w:p>
            <w:pPr>
              <w:spacing w:line="360" w:lineRule="auto"/>
              <w:textAlignment w:val="baseline"/>
              <w:rPr>
                <w:szCs w:val="21"/>
              </w:rPr>
            </w:pPr>
          </w:p>
        </w:tc>
        <w:tc>
          <w:tcPr>
            <w:tcW w:w="7742" w:type="dxa"/>
            <w:tcBorders>
              <w:top w:val="single" w:color="auto" w:sz="4" w:space="0"/>
            </w:tcBorders>
            <w:vAlign w:val="center"/>
          </w:tcPr>
          <w:p>
            <w:pPr>
              <w:spacing w:line="360" w:lineRule="auto"/>
              <w:textAlignment w:val="baseline"/>
              <w:rPr>
                <w:szCs w:val="21"/>
              </w:rPr>
            </w:pPr>
            <w:r>
              <w:rPr>
                <w:rFonts w:hint="eastAsia"/>
                <w:szCs w:val="21"/>
              </w:rPr>
              <w:t>仪器设备：根据投入本项目的仪器设备规格、型号、数量及合理性、优劣情况酌情评分</w:t>
            </w:r>
            <w:r>
              <w:rPr>
                <w:rFonts w:hint="eastAsia"/>
                <w:szCs w:val="21"/>
                <w:lang w:eastAsia="zh-CN"/>
              </w:rPr>
              <w:t>，</w:t>
            </w:r>
            <w:r>
              <w:rPr>
                <w:rFonts w:hint="eastAsia"/>
                <w:szCs w:val="21"/>
                <w:lang w:val="zh-CN"/>
              </w:rPr>
              <w:t>好的得</w:t>
            </w:r>
            <w:r>
              <w:rPr>
                <w:rFonts w:hint="eastAsia"/>
                <w:szCs w:val="21"/>
                <w:lang w:val="en-US" w:eastAsia="zh-CN"/>
              </w:rPr>
              <w:t>5</w:t>
            </w:r>
            <w:r>
              <w:rPr>
                <w:rFonts w:hint="eastAsia"/>
                <w:szCs w:val="21"/>
                <w:lang w:val="zh-CN"/>
              </w:rPr>
              <w:t>-</w:t>
            </w:r>
            <w:r>
              <w:rPr>
                <w:rFonts w:hint="eastAsia"/>
                <w:szCs w:val="21"/>
                <w:lang w:val="en-US" w:eastAsia="zh-CN"/>
              </w:rPr>
              <w:t>4</w:t>
            </w:r>
            <w:r>
              <w:rPr>
                <w:rFonts w:hint="eastAsia"/>
                <w:szCs w:val="21"/>
                <w:lang w:val="zh-CN"/>
              </w:rPr>
              <w:t>分，一般的得</w:t>
            </w:r>
            <w:r>
              <w:rPr>
                <w:rFonts w:hint="eastAsia"/>
                <w:szCs w:val="21"/>
                <w:lang w:val="en-US" w:eastAsia="zh-CN"/>
              </w:rPr>
              <w:t>3</w:t>
            </w:r>
            <w:r>
              <w:rPr>
                <w:rFonts w:hint="eastAsia"/>
                <w:szCs w:val="21"/>
                <w:lang w:val="zh-CN"/>
              </w:rPr>
              <w:t>.9-</w:t>
            </w:r>
            <w:r>
              <w:rPr>
                <w:rFonts w:hint="eastAsia"/>
                <w:szCs w:val="21"/>
                <w:lang w:val="en-US" w:eastAsia="zh-CN"/>
              </w:rPr>
              <w:t>2</w:t>
            </w:r>
            <w:r>
              <w:rPr>
                <w:rFonts w:hint="eastAsia"/>
                <w:szCs w:val="21"/>
                <w:lang w:val="zh-CN"/>
              </w:rPr>
              <w:t>分，差的得</w:t>
            </w:r>
            <w:r>
              <w:rPr>
                <w:rFonts w:hint="eastAsia"/>
                <w:szCs w:val="21"/>
                <w:lang w:val="en-US" w:eastAsia="zh-CN"/>
              </w:rPr>
              <w:t>0-1.9</w:t>
            </w:r>
            <w:r>
              <w:rPr>
                <w:rFonts w:hint="eastAsia"/>
                <w:szCs w:val="21"/>
                <w:lang w:val="zh-CN"/>
              </w:rPr>
              <w:t>分</w:t>
            </w:r>
            <w:r>
              <w:rPr>
                <w:rFonts w:hint="eastAsia"/>
                <w:szCs w:val="21"/>
              </w:rPr>
              <w:t>。</w:t>
            </w:r>
          </w:p>
        </w:tc>
        <w:tc>
          <w:tcPr>
            <w:tcW w:w="667" w:type="dxa"/>
            <w:tcBorders>
              <w:top w:val="single" w:color="auto" w:sz="4" w:space="0"/>
            </w:tcBorders>
            <w:vAlign w:val="center"/>
          </w:tcPr>
          <w:p>
            <w:pPr>
              <w:widowControl/>
              <w:spacing w:line="360" w:lineRule="auto"/>
              <w:jc w:val="center"/>
              <w:rPr>
                <w:rFonts w:hint="eastAsia" w:ascii="宋体" w:eastAsia="宋体"/>
                <w:szCs w:val="21"/>
                <w:lang w:eastAsia="zh-CN"/>
              </w:rPr>
            </w:pPr>
            <w:r>
              <w:rPr>
                <w:rFonts w:hint="eastAsia"/>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1237" w:type="dxa"/>
            <w:vMerge w:val="continue"/>
            <w:vAlign w:val="center"/>
          </w:tcPr>
          <w:p>
            <w:pPr>
              <w:spacing w:line="360" w:lineRule="auto"/>
              <w:textAlignment w:val="baseline"/>
              <w:rPr>
                <w:szCs w:val="21"/>
              </w:rPr>
            </w:pPr>
          </w:p>
        </w:tc>
        <w:tc>
          <w:tcPr>
            <w:tcW w:w="7742" w:type="dxa"/>
            <w:tcBorders>
              <w:top w:val="single" w:color="auto" w:sz="4" w:space="0"/>
            </w:tcBorders>
            <w:vAlign w:val="center"/>
          </w:tcPr>
          <w:p>
            <w:pPr>
              <w:spacing w:line="360" w:lineRule="auto"/>
              <w:textAlignment w:val="baseline"/>
              <w:rPr>
                <w:rFonts w:hint="eastAsia"/>
                <w:szCs w:val="21"/>
              </w:rPr>
            </w:pPr>
            <w:r>
              <w:rPr>
                <w:rFonts w:hint="eastAsia" w:ascii="宋体" w:hAnsi="宋体" w:cs="宋体"/>
                <w:szCs w:val="21"/>
              </w:rPr>
              <w:t>投标人至少配备林学相关技术人员</w:t>
            </w:r>
            <w:r>
              <w:rPr>
                <w:rFonts w:hint="eastAsia" w:ascii="宋体" w:hAnsi="宋体" w:cs="宋体"/>
                <w:szCs w:val="21"/>
                <w:lang w:val="en-US" w:eastAsia="zh-CN"/>
              </w:rPr>
              <w:t>3</w:t>
            </w:r>
            <w:r>
              <w:rPr>
                <w:rFonts w:hint="eastAsia" w:ascii="宋体" w:hAnsi="宋体" w:cs="宋体"/>
                <w:szCs w:val="21"/>
              </w:rPr>
              <w:t>名，年龄50周岁以下，并具有2年及以上的相关工作经验、提供高中以上学历证明</w:t>
            </w:r>
            <w:r>
              <w:rPr>
                <w:rFonts w:hint="eastAsia" w:ascii="宋体" w:hAnsi="宋体" w:cs="宋体"/>
                <w:szCs w:val="21"/>
                <w:lang w:eastAsia="zh-CN"/>
              </w:rPr>
              <w:t>得</w:t>
            </w:r>
            <w:r>
              <w:rPr>
                <w:rFonts w:hint="eastAsia" w:ascii="宋体" w:hAnsi="宋体" w:cs="宋体"/>
                <w:szCs w:val="21"/>
                <w:lang w:val="en-US" w:eastAsia="zh-CN"/>
              </w:rPr>
              <w:t>4分</w:t>
            </w:r>
            <w:r>
              <w:rPr>
                <w:rFonts w:hint="eastAsia" w:ascii="宋体" w:hAnsi="宋体" w:cs="宋体"/>
                <w:szCs w:val="21"/>
              </w:rPr>
              <w:t>。如配备</w:t>
            </w:r>
            <w:r>
              <w:rPr>
                <w:rFonts w:hint="eastAsia" w:ascii="宋体" w:hAnsi="宋体" w:cs="宋体"/>
                <w:szCs w:val="21"/>
                <w:lang w:val="en-US" w:eastAsia="zh-CN"/>
              </w:rPr>
              <w:t>3</w:t>
            </w:r>
            <w:r>
              <w:rPr>
                <w:rFonts w:hint="eastAsia" w:ascii="宋体" w:hAnsi="宋体" w:cs="宋体"/>
                <w:szCs w:val="21"/>
              </w:rPr>
              <w:t>名以上，每增加一名得2分，最高不超过8分。</w:t>
            </w:r>
            <w:r>
              <w:rPr>
                <w:rFonts w:hint="eastAsia" w:ascii="宋体" w:hAnsi="宋体" w:cs="宋体"/>
                <w:szCs w:val="21"/>
                <w:lang w:eastAsia="zh-CN"/>
              </w:rPr>
              <w:t>（无相关证明的不得分）</w:t>
            </w:r>
          </w:p>
        </w:tc>
        <w:tc>
          <w:tcPr>
            <w:tcW w:w="667" w:type="dxa"/>
            <w:tcBorders>
              <w:top w:val="single" w:color="auto" w:sz="4" w:space="0"/>
            </w:tcBorders>
            <w:vAlign w:val="center"/>
          </w:tcPr>
          <w:p>
            <w:pPr>
              <w:widowControl/>
              <w:spacing w:line="360" w:lineRule="auto"/>
              <w:jc w:val="center"/>
              <w:rPr>
                <w:rFonts w:hint="default"/>
                <w:szCs w:val="21"/>
                <w:lang w:val="en-US" w:eastAsia="zh-CN"/>
              </w:rPr>
            </w:pPr>
            <w:r>
              <w:rPr>
                <w:rFonts w:hint="eastAsia"/>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7" w:hRule="atLeast"/>
        </w:trPr>
        <w:tc>
          <w:tcPr>
            <w:tcW w:w="1237" w:type="dxa"/>
            <w:vMerge w:val="continue"/>
            <w:vAlign w:val="center"/>
          </w:tcPr>
          <w:p>
            <w:pPr>
              <w:widowControl/>
              <w:spacing w:line="360" w:lineRule="auto"/>
              <w:ind w:firstLine="480"/>
              <w:jc w:val="left"/>
              <w:rPr>
                <w:rFonts w:ascii="Arial" w:hAnsi="Arial" w:cs="Arial"/>
                <w:bCs/>
                <w:szCs w:val="21"/>
              </w:rPr>
            </w:pPr>
          </w:p>
        </w:tc>
        <w:tc>
          <w:tcPr>
            <w:tcW w:w="7742" w:type="dxa"/>
            <w:tcBorders>
              <w:top w:val="single" w:color="auto" w:sz="4" w:space="0"/>
              <w:bottom w:val="single" w:color="auto" w:sz="4" w:space="0"/>
            </w:tcBorders>
            <w:vAlign w:val="center"/>
          </w:tcPr>
          <w:p>
            <w:pPr>
              <w:spacing w:line="360" w:lineRule="auto"/>
              <w:textAlignment w:val="baseline"/>
            </w:pPr>
            <w:r>
              <w:rPr>
                <w:rFonts w:hint="eastAsia"/>
              </w:rPr>
              <w:t>自 2018 年 1 月1日以来承接过类似项目业绩的。每提供一个得1分，最多得4分（须提供合同复印件并加盖公章）。</w:t>
            </w:r>
          </w:p>
        </w:tc>
        <w:tc>
          <w:tcPr>
            <w:tcW w:w="667" w:type="dxa"/>
            <w:tcBorders>
              <w:top w:val="single" w:color="auto" w:sz="4" w:space="0"/>
              <w:bottom w:val="single" w:color="auto" w:sz="4" w:space="0"/>
            </w:tcBorders>
            <w:vAlign w:val="center"/>
          </w:tcPr>
          <w:p>
            <w:pPr>
              <w:spacing w:line="360" w:lineRule="auto"/>
              <w:jc w:val="center"/>
              <w:rPr>
                <w:rFonts w:hint="default" w:eastAsia="宋体"/>
                <w:szCs w:val="21"/>
                <w:lang w:val="en-US" w:eastAsia="zh-CN"/>
              </w:rPr>
            </w:pPr>
            <w:r>
              <w:rPr>
                <w:rFonts w:hint="eastAsia"/>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237" w:type="dxa"/>
            <w:vMerge w:val="continue"/>
            <w:vAlign w:val="center"/>
          </w:tcPr>
          <w:p>
            <w:pPr>
              <w:widowControl/>
              <w:spacing w:line="360" w:lineRule="auto"/>
              <w:ind w:firstLine="480"/>
              <w:jc w:val="left"/>
              <w:rPr>
                <w:rFonts w:ascii="Arial" w:hAnsi="Arial" w:cs="Arial"/>
                <w:bCs/>
                <w:szCs w:val="21"/>
              </w:rPr>
            </w:pPr>
          </w:p>
        </w:tc>
        <w:tc>
          <w:tcPr>
            <w:tcW w:w="7742" w:type="dxa"/>
            <w:tcBorders>
              <w:top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szCs w:val="21"/>
              </w:rPr>
              <w:t>根据可实现程度提供优惠等情况综合评定对比打分</w:t>
            </w:r>
            <w:r>
              <w:rPr>
                <w:rFonts w:hint="eastAsia" w:ascii="宋体" w:hAnsi="宋体"/>
                <w:szCs w:val="21"/>
                <w:lang w:eastAsia="zh-CN"/>
              </w:rPr>
              <w:t>，最高的</w:t>
            </w:r>
            <w:r>
              <w:rPr>
                <w:rFonts w:hint="eastAsia" w:ascii="宋体" w:hAnsi="宋体"/>
                <w:szCs w:val="21"/>
                <w:lang w:val="en-US" w:eastAsia="zh-CN"/>
              </w:rPr>
              <w:t>2分。</w:t>
            </w:r>
          </w:p>
        </w:tc>
        <w:tc>
          <w:tcPr>
            <w:tcW w:w="667" w:type="dxa"/>
            <w:tcBorders>
              <w:top w:val="single" w:color="auto" w:sz="4" w:space="0"/>
            </w:tcBorders>
            <w:vAlign w:val="center"/>
          </w:tcPr>
          <w:p>
            <w:pPr>
              <w:spacing w:line="360" w:lineRule="auto"/>
              <w:jc w:val="center"/>
              <w:rPr>
                <w:rFonts w:hint="eastAsia" w:ascii="宋体" w:eastAsia="宋体"/>
                <w:szCs w:val="21"/>
                <w:lang w:eastAsia="zh-CN"/>
              </w:rPr>
            </w:pPr>
            <w:r>
              <w:rPr>
                <w:rFonts w:hint="eastAsia"/>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237" w:type="dxa"/>
            <w:vMerge w:val="continue"/>
            <w:vAlign w:val="center"/>
          </w:tcPr>
          <w:p>
            <w:pPr>
              <w:widowControl/>
              <w:spacing w:line="360" w:lineRule="auto"/>
              <w:ind w:firstLine="480"/>
              <w:jc w:val="left"/>
              <w:rPr>
                <w:rFonts w:ascii="Arial" w:hAnsi="Arial" w:cs="Arial"/>
                <w:bCs/>
                <w:szCs w:val="21"/>
              </w:rPr>
            </w:pPr>
          </w:p>
        </w:tc>
        <w:tc>
          <w:tcPr>
            <w:tcW w:w="7742" w:type="dxa"/>
            <w:tcBorders>
              <w:top w:val="single" w:color="auto" w:sz="4" w:space="0"/>
              <w:bottom w:val="single" w:color="auto" w:sz="4" w:space="0"/>
            </w:tcBorders>
            <w:vAlign w:val="center"/>
          </w:tcPr>
          <w:p>
            <w:pPr>
              <w:spacing w:line="360" w:lineRule="auto"/>
              <w:jc w:val="left"/>
              <w:textAlignment w:val="baseline"/>
              <w:rPr>
                <w:szCs w:val="21"/>
              </w:rPr>
            </w:pPr>
            <w:r>
              <w:rPr>
                <w:rFonts w:hint="eastAsia"/>
                <w:szCs w:val="21"/>
              </w:rPr>
              <w:t>根据售后服务方案、措施、响应及本地化服务能力等情况综合评定对比打分</w:t>
            </w:r>
            <w:r>
              <w:rPr>
                <w:rFonts w:hint="eastAsia"/>
                <w:szCs w:val="21"/>
                <w:lang w:eastAsia="zh-CN"/>
              </w:rPr>
              <w:t>，</w:t>
            </w:r>
            <w:r>
              <w:rPr>
                <w:rFonts w:hint="eastAsia"/>
                <w:szCs w:val="21"/>
                <w:lang w:val="zh-CN"/>
              </w:rPr>
              <w:t>好的得</w:t>
            </w:r>
            <w:r>
              <w:rPr>
                <w:rFonts w:hint="eastAsia"/>
                <w:szCs w:val="21"/>
                <w:lang w:val="en-US" w:eastAsia="zh-CN"/>
              </w:rPr>
              <w:t>6</w:t>
            </w:r>
            <w:r>
              <w:rPr>
                <w:rFonts w:hint="eastAsia"/>
                <w:szCs w:val="21"/>
                <w:lang w:val="zh-CN"/>
              </w:rPr>
              <w:t>-</w:t>
            </w:r>
            <w:r>
              <w:rPr>
                <w:rFonts w:hint="eastAsia"/>
                <w:szCs w:val="21"/>
                <w:lang w:val="en-US" w:eastAsia="zh-CN"/>
              </w:rPr>
              <w:t>4</w:t>
            </w:r>
            <w:r>
              <w:rPr>
                <w:rFonts w:hint="eastAsia"/>
                <w:szCs w:val="21"/>
                <w:lang w:val="zh-CN"/>
              </w:rPr>
              <w:t>分，一般的得</w:t>
            </w:r>
            <w:r>
              <w:rPr>
                <w:rFonts w:hint="eastAsia"/>
                <w:szCs w:val="21"/>
                <w:lang w:val="en-US" w:eastAsia="zh-CN"/>
              </w:rPr>
              <w:t>3</w:t>
            </w:r>
            <w:r>
              <w:rPr>
                <w:rFonts w:hint="eastAsia"/>
                <w:szCs w:val="21"/>
                <w:lang w:val="zh-CN"/>
              </w:rPr>
              <w:t>.9-</w:t>
            </w:r>
            <w:r>
              <w:rPr>
                <w:rFonts w:hint="eastAsia"/>
                <w:szCs w:val="21"/>
                <w:lang w:val="en-US" w:eastAsia="zh-CN"/>
              </w:rPr>
              <w:t>2</w:t>
            </w:r>
            <w:r>
              <w:rPr>
                <w:rFonts w:hint="eastAsia"/>
                <w:szCs w:val="21"/>
                <w:lang w:val="zh-CN"/>
              </w:rPr>
              <w:t>分，差的得</w:t>
            </w:r>
            <w:r>
              <w:rPr>
                <w:rFonts w:hint="eastAsia"/>
                <w:szCs w:val="21"/>
                <w:lang w:val="en-US" w:eastAsia="zh-CN"/>
              </w:rPr>
              <w:t>0-1.9</w:t>
            </w:r>
            <w:r>
              <w:rPr>
                <w:rFonts w:hint="eastAsia"/>
                <w:szCs w:val="21"/>
                <w:lang w:val="zh-CN"/>
              </w:rPr>
              <w:t>分。</w:t>
            </w:r>
          </w:p>
        </w:tc>
        <w:tc>
          <w:tcPr>
            <w:tcW w:w="667" w:type="dxa"/>
            <w:tcBorders>
              <w:top w:val="single" w:color="auto" w:sz="4" w:space="0"/>
            </w:tcBorders>
            <w:vAlign w:val="center"/>
          </w:tcPr>
          <w:p>
            <w:pPr>
              <w:spacing w:line="360" w:lineRule="auto"/>
              <w:jc w:val="center"/>
              <w:rPr>
                <w:rFonts w:hint="eastAsia" w:eastAsia="宋体"/>
                <w:szCs w:val="21"/>
                <w:lang w:eastAsia="zh-CN"/>
              </w:rPr>
            </w:pPr>
            <w:r>
              <w:rPr>
                <w:rFonts w:hint="eastAsia"/>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1237" w:type="dxa"/>
            <w:tcBorders>
              <w:left w:val="single" w:color="auto" w:sz="12" w:space="0"/>
              <w:bottom w:val="single" w:color="auto" w:sz="12" w:space="0"/>
              <w:right w:val="single" w:color="auto" w:sz="6" w:space="0"/>
            </w:tcBorders>
            <w:vAlign w:val="center"/>
          </w:tcPr>
          <w:p>
            <w:pPr>
              <w:widowControl/>
              <w:spacing w:line="360" w:lineRule="auto"/>
              <w:jc w:val="left"/>
              <w:rPr>
                <w:rFonts w:ascii="Arial" w:hAnsi="Arial" w:cs="Arial"/>
                <w:b/>
                <w:bCs/>
                <w:szCs w:val="21"/>
              </w:rPr>
            </w:pPr>
            <w:r>
              <w:rPr>
                <w:rFonts w:hint="eastAsia" w:ascii="Arial" w:hAnsi="Arial" w:cs="Arial"/>
                <w:b/>
                <w:bCs/>
                <w:szCs w:val="21"/>
              </w:rPr>
              <w:t>商务得分</w:t>
            </w:r>
          </w:p>
          <w:p>
            <w:pPr>
              <w:pStyle w:val="21"/>
              <w:ind w:left="0" w:leftChars="0" w:firstLine="482"/>
              <w:rPr>
                <w:szCs w:val="21"/>
              </w:rPr>
            </w:pPr>
            <w:r>
              <w:rPr>
                <w:rFonts w:hint="eastAsia" w:ascii="Arial" w:hAnsi="Arial" w:cs="Arial"/>
                <w:b/>
                <w:bCs/>
                <w:szCs w:val="21"/>
                <w:lang w:val="en-US" w:eastAsia="zh-CN"/>
              </w:rPr>
              <w:t>40</w:t>
            </w:r>
            <w:r>
              <w:rPr>
                <w:rFonts w:hint="eastAsia" w:ascii="Arial" w:hAnsi="Arial" w:cs="Arial"/>
                <w:b/>
                <w:bCs/>
                <w:szCs w:val="21"/>
              </w:rPr>
              <w:t>分</w:t>
            </w:r>
          </w:p>
        </w:tc>
        <w:tc>
          <w:tcPr>
            <w:tcW w:w="7742" w:type="dxa"/>
            <w:tcBorders>
              <w:top w:val="single" w:color="auto" w:sz="4" w:space="0"/>
              <w:left w:val="single" w:color="auto" w:sz="6" w:space="0"/>
              <w:bottom w:val="single" w:color="auto" w:sz="12" w:space="0"/>
              <w:right w:val="single" w:color="auto" w:sz="6" w:space="0"/>
            </w:tcBorders>
            <w:vAlign w:val="center"/>
          </w:tcPr>
          <w:p>
            <w:pPr>
              <w:spacing w:line="360" w:lineRule="auto"/>
              <w:rPr>
                <w:szCs w:val="21"/>
              </w:rPr>
            </w:pPr>
            <w:r>
              <w:rPr>
                <w:rFonts w:hint="eastAsia" w:asciiTheme="minorEastAsia" w:hAnsiTheme="minorEastAsia" w:eastAsiaTheme="minorEastAsia" w:cstheme="minorEastAsia"/>
                <w:szCs w:val="21"/>
              </w:rPr>
              <w:t>以合格投标人有效投标总报价中的最低价为基准价，基准价为</w:t>
            </w:r>
            <w:r>
              <w:rPr>
                <w:rFonts w:hint="eastAsia" w:asciiTheme="minorEastAsia" w:hAnsiTheme="minorEastAsia" w:eastAsiaTheme="minorEastAsia" w:cstheme="minorEastAsia"/>
                <w:szCs w:val="21"/>
                <w:lang w:val="en-US" w:eastAsia="zh-CN"/>
              </w:rPr>
              <w:t>40</w:t>
            </w:r>
            <w:r>
              <w:rPr>
                <w:rFonts w:hint="eastAsia" w:asciiTheme="minorEastAsia" w:hAnsiTheme="minorEastAsia" w:eastAsiaTheme="minorEastAsia" w:cstheme="minorEastAsia"/>
                <w:szCs w:val="21"/>
              </w:rPr>
              <w:t>分。投标报价得分＝（评标基准价/投标报价）×</w:t>
            </w:r>
            <w:r>
              <w:rPr>
                <w:rFonts w:hint="eastAsia" w:asciiTheme="minorEastAsia" w:hAnsiTheme="minorEastAsia" w:eastAsiaTheme="minorEastAsia" w:cstheme="minorEastAsia"/>
                <w:kern w:val="0"/>
                <w:szCs w:val="21"/>
                <w:lang w:val="en-US" w:eastAsia="zh-CN"/>
              </w:rPr>
              <w:t>40</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100</w:t>
            </w:r>
            <w:r>
              <w:rPr>
                <w:rFonts w:hint="eastAsia" w:asciiTheme="minorEastAsia" w:hAnsiTheme="minorEastAsia" w:eastAsiaTheme="minorEastAsia" w:cstheme="minorEastAsia"/>
                <w:szCs w:val="21"/>
              </w:rPr>
              <w:t>（小数点后保留2位小数）。</w:t>
            </w:r>
          </w:p>
        </w:tc>
        <w:tc>
          <w:tcPr>
            <w:tcW w:w="667" w:type="dxa"/>
            <w:tcBorders>
              <w:top w:val="single" w:color="auto" w:sz="4" w:space="0"/>
              <w:left w:val="single" w:color="auto" w:sz="6" w:space="0"/>
              <w:bottom w:val="single" w:color="auto" w:sz="12" w:space="0"/>
              <w:right w:val="single" w:color="auto" w:sz="12" w:space="0"/>
            </w:tcBorders>
            <w:vAlign w:val="center"/>
          </w:tcPr>
          <w:p>
            <w:pPr>
              <w:widowControl/>
              <w:spacing w:line="360" w:lineRule="auto"/>
              <w:jc w:val="center"/>
              <w:rPr>
                <w:rFonts w:hint="default" w:ascii="宋体" w:eastAsia="宋体"/>
                <w:szCs w:val="21"/>
                <w:lang w:val="en-US" w:eastAsia="zh-CN"/>
              </w:rPr>
            </w:pPr>
            <w:r>
              <w:rPr>
                <w:rFonts w:hint="eastAsia" w:ascii="宋体"/>
                <w:szCs w:val="21"/>
                <w:lang w:val="en-US" w:eastAsia="zh-CN"/>
              </w:rPr>
              <w:t>40</w:t>
            </w:r>
          </w:p>
        </w:tc>
      </w:tr>
    </w:tbl>
    <w:p>
      <w:pPr>
        <w:pStyle w:val="11"/>
        <w:ind w:firstLine="0" w:firstLineChars="0"/>
      </w:pPr>
    </w:p>
    <w:p>
      <w:pPr>
        <w:spacing w:line="360" w:lineRule="auto"/>
      </w:pPr>
      <w:r>
        <w:rPr>
          <w:rFonts w:hint="eastAsia"/>
          <w:b/>
          <w:bCs/>
        </w:rPr>
        <w:t>注</w:t>
      </w:r>
      <w:r>
        <w:rPr>
          <w:rFonts w:hint="eastAsia"/>
        </w:rPr>
        <w:t>：①请扫描上传合同、证书、报告及其他相关证明材料的原件至投标文件，并加盖公章。</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投标文件满足招标文件全部实质性要求，且按照评审因素的量化指标评审得分最高的投标人为排名第一的为第一中标候选人，排名第二的为第二中标后选人。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42" w:name="_Toc27944_WPSOffice_Level1"/>
    </w:p>
    <w:bookmarkEnd w:id="42"/>
    <w:p>
      <w:pPr>
        <w:rPr>
          <w:rFonts w:ascii="仿宋" w:hAnsi="仿宋" w:eastAsia="仿宋" w:cs="仿宋"/>
          <w:b/>
          <w:sz w:val="36"/>
          <w:szCs w:val="36"/>
        </w:rPr>
      </w:pPr>
      <w:r>
        <w:rPr>
          <w:rFonts w:ascii="仿宋" w:hAnsi="仿宋" w:eastAsia="仿宋" w:cs="仿宋"/>
          <w:b/>
          <w:sz w:val="36"/>
          <w:szCs w:val="36"/>
        </w:rPr>
        <w:br w:type="page"/>
      </w:r>
    </w:p>
    <w:p>
      <w:pPr>
        <w:pStyle w:val="11"/>
        <w:ind w:firstLine="723"/>
        <w:rPr>
          <w:rFonts w:ascii="仿宋" w:hAnsi="仿宋" w:eastAsia="仿宋" w:cs="仿宋"/>
          <w:b/>
          <w:sz w:val="36"/>
          <w:szCs w:val="36"/>
        </w:rPr>
      </w:pP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jc w:val="center"/>
        <w:rPr>
          <w:b/>
          <w:bCs/>
          <w:sz w:val="52"/>
          <w:szCs w:val="52"/>
        </w:rPr>
      </w:pPr>
      <w:r>
        <w:rPr>
          <w:rFonts w:hint="eastAsia"/>
          <w:b/>
          <w:bCs/>
          <w:sz w:val="52"/>
          <w:szCs w:val="52"/>
          <w:lang w:eastAsia="zh-CN"/>
        </w:rPr>
        <w:t>2024年台州湾新区森林病虫检测监测技术服务项目</w:t>
      </w:r>
      <w:r>
        <w:rPr>
          <w:rFonts w:hint="eastAsia"/>
          <w:b/>
          <w:bCs/>
          <w:sz w:val="52"/>
          <w:szCs w:val="52"/>
        </w:rPr>
        <w:t>合同</w:t>
      </w:r>
    </w:p>
    <w:p>
      <w:pPr>
        <w:rPr>
          <w:b/>
          <w:bCs/>
        </w:rPr>
      </w:pP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u w:val="single"/>
          <w:lang w:eastAsia="zh-CN"/>
        </w:rPr>
      </w:pPr>
      <w:r>
        <w:rPr>
          <w:rFonts w:hint="eastAsia" w:ascii="宋体" w:hAnsi="宋体" w:cs="宋体"/>
          <w:kern w:val="0"/>
          <w:sz w:val="28"/>
          <w:szCs w:val="28"/>
        </w:rPr>
        <w:t>项  目 名  称：</w:t>
      </w:r>
      <w:r>
        <w:rPr>
          <w:rFonts w:hint="eastAsia" w:ascii="宋体" w:hAnsi="宋体" w:cs="宋体"/>
          <w:kern w:val="0"/>
          <w:sz w:val="28"/>
          <w:szCs w:val="28"/>
          <w:u w:val="single"/>
          <w:lang w:eastAsia="zh-CN"/>
        </w:rPr>
        <w:t>2024年台州湾新区森林病虫检测监测技术服务项目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cs="宋体"/>
          <w:kern w:val="0"/>
          <w:sz w:val="28"/>
          <w:szCs w:val="28"/>
          <w:u w:val="single"/>
        </w:rPr>
        <w:t xml:space="preserve"> </w:t>
      </w:r>
      <w:r>
        <w:rPr>
          <w:rFonts w:hint="eastAsia" w:ascii="宋体" w:hAnsi="宋体"/>
          <w:sz w:val="28"/>
          <w:u w:val="single"/>
        </w:rPr>
        <w:t xml:space="preserve">台州市自然资源和规划局台州湾新区（高新区）分局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pStyle w:val="23"/>
      </w:pPr>
    </w:p>
    <w:p>
      <w:pPr>
        <w:rPr>
          <w:b/>
          <w:bCs/>
          <w:sz w:val="30"/>
          <w:szCs w:val="30"/>
        </w:rPr>
      </w:pPr>
    </w:p>
    <w:p>
      <w:pPr>
        <w:rPr>
          <w:b/>
          <w:bCs/>
        </w:rPr>
      </w:pPr>
    </w:p>
    <w:p>
      <w:pPr>
        <w:rPr>
          <w:b/>
          <w:bCs/>
        </w:rPr>
      </w:pPr>
    </w:p>
    <w:p>
      <w:pPr>
        <w:rPr>
          <w:b/>
          <w:bCs/>
        </w:rPr>
      </w:pPr>
    </w:p>
    <w:p>
      <w:pPr>
        <w:adjustRightInd w:val="0"/>
        <w:snapToGrid w:val="0"/>
        <w:spacing w:line="324" w:lineRule="auto"/>
        <w:jc w:val="center"/>
        <w:outlineLvl w:val="0"/>
        <w:rPr>
          <w:rFonts w:hint="eastAsia" w:ascii="黑体"/>
          <w:b/>
          <w:sz w:val="30"/>
          <w:szCs w:val="30"/>
        </w:rPr>
      </w:pPr>
      <w:bookmarkStart w:id="43" w:name="_Toc5209"/>
    </w:p>
    <w:p>
      <w:pPr>
        <w:adjustRightInd w:val="0"/>
        <w:snapToGrid w:val="0"/>
        <w:spacing w:line="324" w:lineRule="auto"/>
        <w:jc w:val="center"/>
        <w:outlineLvl w:val="0"/>
        <w:rPr>
          <w:rFonts w:hint="eastAsia" w:ascii="黑体"/>
          <w:b/>
          <w:sz w:val="30"/>
          <w:szCs w:val="30"/>
        </w:rPr>
      </w:pPr>
    </w:p>
    <w:p>
      <w:pPr>
        <w:adjustRightInd w:val="0"/>
        <w:snapToGrid w:val="0"/>
        <w:spacing w:line="324" w:lineRule="auto"/>
        <w:jc w:val="center"/>
        <w:outlineLvl w:val="0"/>
        <w:rPr>
          <w:rFonts w:ascii="黑体"/>
          <w:b/>
          <w:sz w:val="30"/>
          <w:szCs w:val="30"/>
        </w:rPr>
      </w:pPr>
      <w:r>
        <w:rPr>
          <w:rFonts w:hint="eastAsia" w:ascii="黑体"/>
          <w:b/>
          <w:sz w:val="30"/>
          <w:szCs w:val="30"/>
        </w:rPr>
        <w:t>合同条款</w:t>
      </w:r>
      <w:bookmarkEnd w:id="43"/>
    </w:p>
    <w:p>
      <w:pPr>
        <w:spacing w:line="360" w:lineRule="auto"/>
        <w:jc w:val="center"/>
        <w:rPr>
          <w:rFonts w:ascii="宋体" w:hAnsi="宋体" w:cs="宋体"/>
          <w:sz w:val="24"/>
          <w:szCs w:val="32"/>
        </w:rPr>
      </w:pPr>
      <w:r>
        <w:rPr>
          <w:rFonts w:hint="eastAsia" w:ascii="宋体" w:hAnsi="宋体" w:cs="宋体"/>
          <w:sz w:val="24"/>
          <w:szCs w:val="32"/>
        </w:rPr>
        <w:t>（此稿为合同样本，最终定稿待双方协商后定）</w:t>
      </w:r>
    </w:p>
    <w:p>
      <w:pPr>
        <w:pStyle w:val="14"/>
        <w:snapToGrid w:val="0"/>
        <w:spacing w:line="440" w:lineRule="exact"/>
        <w:rPr>
          <w:rFonts w:hAnsi="宋体"/>
          <w:b/>
          <w:sz w:val="24"/>
        </w:rPr>
      </w:pPr>
      <w:r>
        <w:rPr>
          <w:rFonts w:hint="eastAsia" w:hAnsi="宋体"/>
          <w:b/>
          <w:sz w:val="24"/>
        </w:rPr>
        <w:t>甲方:</w:t>
      </w:r>
    </w:p>
    <w:p>
      <w:pPr>
        <w:pStyle w:val="14"/>
        <w:snapToGrid w:val="0"/>
        <w:spacing w:line="440" w:lineRule="exact"/>
        <w:rPr>
          <w:rFonts w:hAnsi="宋体"/>
          <w:b/>
          <w:sz w:val="24"/>
        </w:rPr>
      </w:pPr>
      <w:r>
        <w:rPr>
          <w:rFonts w:hint="eastAsia" w:hAnsi="宋体"/>
          <w:b/>
          <w:sz w:val="24"/>
        </w:rPr>
        <w:t>乙方:</w:t>
      </w:r>
    </w:p>
    <w:p>
      <w:pPr>
        <w:numPr>
          <w:ilvl w:val="0"/>
          <w:numId w:val="0"/>
        </w:numPr>
        <w:spacing w:line="460" w:lineRule="exac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一、</w:t>
      </w:r>
      <w:r>
        <w:rPr>
          <w:rFonts w:ascii="宋体" w:hAnsi="宋体" w:eastAsia="宋体" w:cstheme="minorBidi"/>
          <w:kern w:val="2"/>
          <w:sz w:val="24"/>
          <w:szCs w:val="24"/>
          <w:lang w:val="en-US" w:eastAsia="zh-CN" w:bidi="ar-SA"/>
        </w:rPr>
        <w:t>服务内容</w:t>
      </w:r>
      <w:r>
        <w:rPr>
          <w:rFonts w:hint="eastAsia" w:ascii="宋体" w:hAnsi="宋体" w:eastAsia="宋体" w:cstheme="minorBidi"/>
          <w:kern w:val="2"/>
          <w:sz w:val="24"/>
          <w:szCs w:val="24"/>
          <w:lang w:val="en-US" w:eastAsia="zh-CN" w:bidi="ar-SA"/>
        </w:rPr>
        <w:t>：</w:t>
      </w:r>
    </w:p>
    <w:p>
      <w:pPr>
        <w:pStyle w:val="14"/>
        <w:snapToGrid w:val="0"/>
        <w:spacing w:line="44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1、建立台州湾新区涉木、涉松企业、苗圃、木材市场经营户等基本名单；监测松科植物及其制品调入调出的松材线虫；使用木质包装的企业材料是否涉及松木的日常巡查。</w:t>
      </w:r>
    </w:p>
    <w:p>
      <w:pPr>
        <w:pStyle w:val="14"/>
        <w:snapToGrid w:val="0"/>
        <w:spacing w:line="440" w:lineRule="exact"/>
        <w:ind w:firstLine="480" w:firstLineChars="200"/>
        <w:rPr>
          <w:rFonts w:hint="default" w:ascii="宋体" w:hAnsi="宋体" w:eastAsia="宋体"/>
          <w:sz w:val="24"/>
          <w:lang w:val="en-US" w:eastAsia="zh-CN"/>
        </w:rPr>
      </w:pPr>
      <w:r>
        <w:rPr>
          <w:rFonts w:hint="eastAsia" w:ascii="宋体" w:hAnsi="宋体" w:eastAsia="宋体"/>
          <w:sz w:val="24"/>
          <w:lang w:val="en-US" w:eastAsia="zh-CN"/>
        </w:rPr>
        <w:t>2、每周提交巡查记录及照片；每月所有涉木企业至少巡查一遍，更新涉木企业清单；每月、每季度提交巡查小结，年度提交报告。</w:t>
      </w:r>
    </w:p>
    <w:p>
      <w:pPr>
        <w:pStyle w:val="14"/>
        <w:snapToGrid w:val="0"/>
        <w:spacing w:line="440" w:lineRule="exact"/>
        <w:rPr>
          <w:rFonts w:hAnsi="宋体"/>
          <w:b/>
          <w:sz w:val="24"/>
        </w:rPr>
      </w:pPr>
      <w:r>
        <w:rPr>
          <w:rFonts w:hAnsi="宋体"/>
          <w:b/>
          <w:sz w:val="24"/>
        </w:rPr>
        <w:t>二、合同金额</w:t>
      </w:r>
    </w:p>
    <w:p>
      <w:pPr>
        <w:pStyle w:val="14"/>
        <w:snapToGrid w:val="0"/>
        <w:spacing w:line="440" w:lineRule="exact"/>
        <w:ind w:left="410" w:hanging="410" w:hangingChars="171"/>
        <w:rPr>
          <w:rFonts w:hAnsi="宋体"/>
          <w:sz w:val="24"/>
        </w:rPr>
      </w:pPr>
      <w:r>
        <w:rPr>
          <w:rFonts w:hAnsi="宋体"/>
          <w:sz w:val="24"/>
        </w:rPr>
        <w:t>本合同金额为</w:t>
      </w:r>
      <w:r>
        <w:rPr>
          <w:rFonts w:hint="eastAsia" w:hAnsi="宋体"/>
          <w:sz w:val="24"/>
        </w:rPr>
        <w:t>（大写）</w:t>
      </w:r>
      <w:r>
        <w:rPr>
          <w:rFonts w:hAnsi="宋体"/>
          <w:sz w:val="24"/>
        </w:rPr>
        <w:t>：_______</w:t>
      </w:r>
      <w:r>
        <w:rPr>
          <w:rFonts w:hint="eastAsia" w:hAnsi="宋体"/>
          <w:sz w:val="24"/>
          <w:u w:val="single"/>
        </w:rPr>
        <w:t xml:space="preserve">       </w:t>
      </w:r>
      <w:r>
        <w:rPr>
          <w:rFonts w:hAnsi="宋体"/>
          <w:sz w:val="24"/>
        </w:rPr>
        <w:t>__________元（￥__________元）人民币。</w:t>
      </w:r>
    </w:p>
    <w:p>
      <w:pPr>
        <w:pStyle w:val="14"/>
        <w:snapToGrid w:val="0"/>
        <w:spacing w:line="440" w:lineRule="exact"/>
        <w:rPr>
          <w:rFonts w:hAnsi="宋体"/>
          <w:b/>
          <w:sz w:val="24"/>
        </w:rPr>
      </w:pPr>
      <w:r>
        <w:rPr>
          <w:rFonts w:hAnsi="宋体"/>
          <w:b/>
          <w:sz w:val="24"/>
        </w:rPr>
        <w:t>三、技术资料</w:t>
      </w:r>
    </w:p>
    <w:p>
      <w:pPr>
        <w:pStyle w:val="14"/>
        <w:snapToGrid w:val="0"/>
        <w:spacing w:line="440" w:lineRule="exact"/>
        <w:ind w:left="410" w:hanging="410" w:hangingChars="171"/>
        <w:rPr>
          <w:rFonts w:hAnsi="宋体"/>
          <w:sz w:val="24"/>
        </w:rPr>
      </w:pPr>
      <w:r>
        <w:rPr>
          <w:rFonts w:hAnsi="宋体"/>
          <w:sz w:val="24"/>
        </w:rPr>
        <w:t>1</w:t>
      </w:r>
      <w:r>
        <w:rPr>
          <w:rFonts w:hint="eastAsia" w:hAnsi="宋体"/>
          <w:sz w:val="24"/>
        </w:rPr>
        <w:t>.</w:t>
      </w:r>
      <w:r>
        <w:rPr>
          <w:rFonts w:hAnsi="宋体"/>
          <w:sz w:val="24"/>
        </w:rPr>
        <w:t>乙方应按招标文件规定的时间向甲方提供有关技术资料。</w:t>
      </w:r>
    </w:p>
    <w:p>
      <w:pPr>
        <w:pStyle w:val="14"/>
        <w:snapToGrid w:val="0"/>
        <w:spacing w:line="440" w:lineRule="exact"/>
        <w:ind w:left="410" w:hanging="410" w:hangingChars="171"/>
        <w:rPr>
          <w:rFonts w:hAnsi="宋体"/>
          <w:sz w:val="24"/>
        </w:rPr>
      </w:pPr>
      <w:r>
        <w:rPr>
          <w:rFonts w:hAnsi="宋体"/>
          <w:sz w:val="24"/>
        </w:rPr>
        <w:t>2</w:t>
      </w:r>
      <w:r>
        <w:rPr>
          <w:rFonts w:hint="eastAsia" w:hAnsi="宋体"/>
          <w:sz w:val="24"/>
        </w:rPr>
        <w:t>.</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440" w:lineRule="exact"/>
        <w:ind w:left="412" w:hanging="412" w:hangingChars="171"/>
        <w:rPr>
          <w:rFonts w:hAnsi="宋体"/>
          <w:b/>
          <w:sz w:val="24"/>
        </w:rPr>
      </w:pPr>
      <w:r>
        <w:rPr>
          <w:rFonts w:hAnsi="宋体"/>
          <w:b/>
          <w:sz w:val="24"/>
        </w:rPr>
        <w:t>四、知识产权</w:t>
      </w:r>
    </w:p>
    <w:p>
      <w:pPr>
        <w:pStyle w:val="14"/>
        <w:snapToGrid w:val="0"/>
        <w:spacing w:line="440" w:lineRule="exact"/>
        <w:ind w:left="410" w:hanging="410" w:hangingChars="171"/>
        <w:rPr>
          <w:rFonts w:hAnsi="宋体"/>
          <w:b/>
          <w:bCs/>
          <w:sz w:val="24"/>
        </w:rPr>
      </w:pPr>
      <w:r>
        <w:rPr>
          <w:rFonts w:hAnsi="宋体"/>
          <w:sz w:val="24"/>
        </w:rPr>
        <w:t>乙方应保证提供服务过程中不会侵犯任何第三方的</w:t>
      </w:r>
      <w:r>
        <w:rPr>
          <w:rFonts w:hAnsi="宋体"/>
          <w:b/>
          <w:sz w:val="24"/>
        </w:rPr>
        <w:t>知识产权</w:t>
      </w:r>
      <w:r>
        <w:rPr>
          <w:rFonts w:hAnsi="宋体"/>
          <w:b/>
          <w:bCs/>
          <w:sz w:val="24"/>
        </w:rPr>
        <w:t>。</w:t>
      </w:r>
    </w:p>
    <w:p>
      <w:pPr>
        <w:pStyle w:val="14"/>
        <w:snapToGrid w:val="0"/>
        <w:spacing w:line="440" w:lineRule="exact"/>
        <w:ind w:left="410" w:hanging="410" w:hangingChars="170"/>
        <w:rPr>
          <w:rFonts w:hAnsi="宋体"/>
          <w:b/>
          <w:sz w:val="24"/>
        </w:rPr>
      </w:pPr>
      <w:r>
        <w:rPr>
          <w:rFonts w:hint="eastAsia" w:hAnsi="宋体"/>
          <w:b/>
          <w:sz w:val="24"/>
        </w:rPr>
        <w:t>五</w:t>
      </w:r>
      <w:r>
        <w:rPr>
          <w:rFonts w:hAnsi="宋体"/>
          <w:b/>
          <w:sz w:val="24"/>
        </w:rPr>
        <w:t>、履约保证金</w:t>
      </w:r>
    </w:p>
    <w:p>
      <w:pPr>
        <w:pStyle w:val="14"/>
        <w:snapToGrid w:val="0"/>
        <w:spacing w:line="440" w:lineRule="exact"/>
        <w:textAlignment w:val="baseline"/>
        <w:rPr>
          <w:rFonts w:hAnsi="宋体"/>
          <w:color w:val="000000"/>
          <w:sz w:val="24"/>
          <w:highlight w:val="yellow"/>
        </w:rPr>
      </w:pPr>
      <w:r>
        <w:rPr>
          <w:rFonts w:hint="eastAsia" w:hAnsi="宋体"/>
          <w:snapToGrid w:val="0"/>
          <w:color w:val="000000"/>
          <w:sz w:val="24"/>
        </w:rPr>
        <w:t>中标后，投标保证金将自动转为履约保证金，履约金在</w:t>
      </w:r>
      <w:r>
        <w:rPr>
          <w:rFonts w:hint="eastAsia" w:hAnsi="宋体"/>
          <w:sz w:val="24"/>
        </w:rPr>
        <w:t>项目成果交付并通过验收后开始办理退还手续。</w:t>
      </w:r>
    </w:p>
    <w:p>
      <w:pPr>
        <w:snapToGrid w:val="0"/>
        <w:spacing w:line="440" w:lineRule="exact"/>
        <w:rPr>
          <w:rFonts w:ascii="宋体" w:hAnsi="宋体"/>
          <w:b/>
          <w:sz w:val="24"/>
        </w:rPr>
      </w:pPr>
      <w:r>
        <w:rPr>
          <w:rFonts w:hint="eastAsia" w:ascii="宋体" w:hAnsi="宋体"/>
          <w:b/>
          <w:sz w:val="24"/>
        </w:rPr>
        <w:t>六、转包或分包</w:t>
      </w:r>
    </w:p>
    <w:p>
      <w:pPr>
        <w:snapToGrid w:val="0"/>
        <w:spacing w:line="440" w:lineRule="exact"/>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440" w:lineRule="exact"/>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440" w:lineRule="exact"/>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pStyle w:val="14"/>
        <w:snapToGrid w:val="0"/>
        <w:spacing w:line="440" w:lineRule="exact"/>
        <w:rPr>
          <w:rFonts w:hAnsi="宋体"/>
          <w:b/>
          <w:color w:val="000000"/>
          <w:sz w:val="24"/>
        </w:rPr>
      </w:pPr>
      <w:r>
        <w:rPr>
          <w:rFonts w:hint="eastAsia" w:hAnsi="宋体"/>
          <w:b/>
          <w:sz w:val="24"/>
        </w:rPr>
        <w:t>七</w:t>
      </w:r>
      <w:r>
        <w:rPr>
          <w:rFonts w:hAnsi="宋体"/>
          <w:b/>
          <w:color w:val="000000"/>
          <w:sz w:val="24"/>
        </w:rPr>
        <w:t>、款项支付</w:t>
      </w:r>
    </w:p>
    <w:p>
      <w:pPr>
        <w:snapToGrid w:val="0"/>
        <w:spacing w:line="4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签订合同后支付20%合同款，合同履行半年后再支付30%合同款，经甲方验收后支付剩余合同款。</w:t>
      </w:r>
    </w:p>
    <w:p>
      <w:pPr>
        <w:snapToGrid w:val="0"/>
        <w:spacing w:line="440" w:lineRule="exact"/>
        <w:rPr>
          <w:rFonts w:ascii="宋体" w:hAnsi="宋体"/>
          <w:b/>
          <w:sz w:val="24"/>
        </w:rPr>
      </w:pPr>
      <w:r>
        <w:rPr>
          <w:rFonts w:hint="eastAsia" w:ascii="宋体" w:hAnsi="宋体"/>
          <w:b/>
          <w:sz w:val="24"/>
        </w:rPr>
        <w:t>八、税费</w:t>
      </w:r>
    </w:p>
    <w:p>
      <w:pPr>
        <w:snapToGrid w:val="0"/>
        <w:spacing w:line="440" w:lineRule="exact"/>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440" w:lineRule="exact"/>
        <w:ind w:left="412" w:hanging="412" w:hangingChars="171"/>
        <w:rPr>
          <w:rFonts w:hAnsi="宋体"/>
          <w:sz w:val="24"/>
        </w:rPr>
      </w:pPr>
      <w:r>
        <w:rPr>
          <w:rFonts w:hint="eastAsia" w:hAnsi="宋体"/>
          <w:b/>
          <w:sz w:val="24"/>
        </w:rPr>
        <w:t>九</w:t>
      </w:r>
      <w:r>
        <w:rPr>
          <w:rFonts w:hAnsi="宋体"/>
          <w:b/>
          <w:sz w:val="24"/>
        </w:rPr>
        <w:t>、质量保证及后续服务</w:t>
      </w:r>
    </w:p>
    <w:p>
      <w:pPr>
        <w:pStyle w:val="14"/>
        <w:snapToGrid w:val="0"/>
        <w:spacing w:line="440" w:lineRule="exact"/>
        <w:ind w:left="410" w:hanging="410" w:hangingChars="171"/>
        <w:rPr>
          <w:rFonts w:hAnsi="宋体"/>
          <w:sz w:val="24"/>
        </w:rPr>
      </w:pPr>
      <w:r>
        <w:rPr>
          <w:rFonts w:hAnsi="宋体"/>
          <w:sz w:val="24"/>
        </w:rPr>
        <w:t>1</w:t>
      </w:r>
      <w:r>
        <w:rPr>
          <w:rFonts w:hint="eastAsia" w:hAnsi="宋体"/>
          <w:sz w:val="24"/>
        </w:rPr>
        <w:t>．</w:t>
      </w:r>
      <w:r>
        <w:rPr>
          <w:rFonts w:hAnsi="宋体"/>
          <w:sz w:val="24"/>
        </w:rPr>
        <w:t>乙方应按招标文件规定向甲方提供服务。</w:t>
      </w:r>
    </w:p>
    <w:p>
      <w:pPr>
        <w:pStyle w:val="14"/>
        <w:snapToGrid w:val="0"/>
        <w:spacing w:line="440" w:lineRule="exact"/>
        <w:rPr>
          <w:rFonts w:hAnsi="宋体"/>
          <w:sz w:val="24"/>
        </w:rPr>
      </w:pPr>
      <w:r>
        <w:rPr>
          <w:rFonts w:hAnsi="宋体"/>
          <w:sz w:val="24"/>
        </w:rPr>
        <w:t>2</w:t>
      </w:r>
      <w:r>
        <w:rPr>
          <w:rFonts w:hint="eastAsia" w:hAnsi="宋体"/>
          <w:sz w:val="24"/>
        </w:rPr>
        <w:t>．</w:t>
      </w:r>
      <w:r>
        <w:rPr>
          <w:rFonts w:hAnsi="宋体"/>
          <w:sz w:val="24"/>
        </w:rPr>
        <w:t>如在</w:t>
      </w:r>
      <w:r>
        <w:rPr>
          <w:rFonts w:hint="eastAsia" w:hAnsi="宋体"/>
          <w:sz w:val="24"/>
        </w:rPr>
        <w:t>服务</w:t>
      </w:r>
      <w:r>
        <w:rPr>
          <w:rFonts w:hAnsi="宋体"/>
          <w:sz w:val="24"/>
        </w:rPr>
        <w:t>过程中发生问题，乙方在接到甲方通知后</w:t>
      </w:r>
      <w:r>
        <w:rPr>
          <w:rFonts w:hAnsi="宋体"/>
          <w:color w:val="000000"/>
          <w:sz w:val="24"/>
        </w:rPr>
        <w:t>在</w:t>
      </w:r>
      <w:r>
        <w:rPr>
          <w:rFonts w:hint="eastAsia" w:hAnsi="宋体"/>
          <w:color w:val="000000"/>
          <w:sz w:val="24"/>
          <w:u w:val="single"/>
        </w:rPr>
        <w:t xml:space="preserve"> 2</w:t>
      </w:r>
      <w:r>
        <w:rPr>
          <w:rFonts w:hint="eastAsia" w:hAnsi="宋体"/>
          <w:sz w:val="24"/>
          <w:u w:val="single"/>
        </w:rPr>
        <w:t xml:space="preserve"> </w:t>
      </w:r>
      <w:r>
        <w:rPr>
          <w:rFonts w:hAnsi="宋体"/>
          <w:color w:val="000000"/>
          <w:sz w:val="24"/>
        </w:rPr>
        <w:t>小时</w:t>
      </w:r>
      <w:r>
        <w:rPr>
          <w:rFonts w:hAnsi="宋体"/>
          <w:sz w:val="24"/>
        </w:rPr>
        <w:t>内到达甲方现场。</w:t>
      </w:r>
    </w:p>
    <w:p>
      <w:pPr>
        <w:pStyle w:val="14"/>
        <w:snapToGrid w:val="0"/>
        <w:spacing w:line="440" w:lineRule="exact"/>
        <w:rPr>
          <w:rFonts w:hAnsi="宋体"/>
          <w:sz w:val="24"/>
        </w:rPr>
      </w:pPr>
      <w:r>
        <w:rPr>
          <w:rFonts w:hint="eastAsia" w:hAnsi="宋体"/>
          <w:sz w:val="24"/>
        </w:rPr>
        <w:t>3．</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14"/>
        <w:snapToGrid w:val="0"/>
        <w:spacing w:line="440" w:lineRule="exact"/>
        <w:rPr>
          <w:rFonts w:hAnsi="宋体"/>
          <w:b/>
          <w:sz w:val="24"/>
        </w:rPr>
      </w:pPr>
      <w:r>
        <w:rPr>
          <w:rFonts w:hAnsi="宋体"/>
          <w:b/>
          <w:sz w:val="24"/>
        </w:rPr>
        <w:t>十、违约责任</w:t>
      </w:r>
    </w:p>
    <w:p>
      <w:pPr>
        <w:pStyle w:val="14"/>
        <w:snapToGrid w:val="0"/>
        <w:spacing w:line="440" w:lineRule="exact"/>
        <w:ind w:left="410" w:hanging="410" w:hangingChars="171"/>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甲方无正当理由拒收接受服务的，甲方向乙方偿付合同款项百分之五作为违约金。</w:t>
      </w:r>
    </w:p>
    <w:p>
      <w:pPr>
        <w:pStyle w:val="14"/>
        <w:snapToGrid w:val="0"/>
        <w:spacing w:line="440" w:lineRule="exact"/>
        <w:ind w:left="410" w:hanging="410" w:hangingChars="171"/>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甲方无故逾期验收和办理款项支付手续的,甲方应按逾期付款总额每日万分之五向乙方支付违约金。</w:t>
      </w:r>
    </w:p>
    <w:p>
      <w:pPr>
        <w:pStyle w:val="14"/>
        <w:snapToGrid w:val="0"/>
        <w:spacing w:line="440" w:lineRule="exact"/>
        <w:ind w:left="410" w:hanging="410" w:hangingChars="171"/>
        <w:rPr>
          <w:rFonts w:hAnsi="宋体"/>
          <w:sz w:val="24"/>
        </w:rPr>
      </w:pPr>
      <w:r>
        <w:rPr>
          <w:rFonts w:hAnsi="宋体"/>
          <w:sz w:val="24"/>
        </w:rPr>
        <w:t>3</w:t>
      </w:r>
      <w:r>
        <w:rPr>
          <w:rFonts w:hint="eastAsia" w:hAnsi="宋体"/>
          <w:sz w:val="24"/>
        </w:rPr>
        <w:t>．</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 xml:space="preserve">期提供服务或因其他违约行为导致甲方解除合同的，乙方应向甲方支付合同总值5%的违约金，如造成甲方损失超过违约金的，超出部分由乙方继续承担赔偿责任。 </w:t>
      </w:r>
    </w:p>
    <w:p>
      <w:pPr>
        <w:pStyle w:val="14"/>
        <w:snapToGrid w:val="0"/>
        <w:spacing w:line="440" w:lineRule="exact"/>
        <w:rPr>
          <w:rFonts w:hAnsi="宋体"/>
          <w:b/>
          <w:sz w:val="24"/>
        </w:rPr>
      </w:pPr>
      <w:r>
        <w:rPr>
          <w:rFonts w:hAnsi="宋体"/>
          <w:b/>
          <w:sz w:val="24"/>
        </w:rPr>
        <w:t>十</w:t>
      </w:r>
      <w:r>
        <w:rPr>
          <w:rFonts w:hint="eastAsia" w:hAnsi="宋体"/>
          <w:b/>
          <w:sz w:val="24"/>
        </w:rPr>
        <w:t>一</w:t>
      </w:r>
      <w:r>
        <w:rPr>
          <w:rFonts w:hAnsi="宋体"/>
          <w:b/>
          <w:sz w:val="24"/>
        </w:rPr>
        <w:t>、不可抗力事件处理</w:t>
      </w:r>
    </w:p>
    <w:p>
      <w:pPr>
        <w:pStyle w:val="14"/>
        <w:snapToGrid w:val="0"/>
        <w:spacing w:line="440" w:lineRule="exact"/>
        <w:ind w:left="480" w:hanging="480" w:hangingChars="200"/>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在合同有效期内，任何一方因不可抗力事件导致不能履行合同，则合同履行期可延长，其延长期与不可抗力影响期相同。</w:t>
      </w:r>
    </w:p>
    <w:p>
      <w:pPr>
        <w:pStyle w:val="14"/>
        <w:snapToGrid w:val="0"/>
        <w:spacing w:line="440" w:lineRule="exact"/>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14"/>
        <w:snapToGrid w:val="0"/>
        <w:spacing w:line="440" w:lineRule="exact"/>
        <w:rPr>
          <w:rFonts w:hAnsi="宋体"/>
          <w:sz w:val="24"/>
        </w:rPr>
      </w:pPr>
      <w:r>
        <w:rPr>
          <w:rFonts w:hAnsi="宋体"/>
          <w:sz w:val="24"/>
        </w:rPr>
        <w:t>3</w:t>
      </w:r>
      <w:r>
        <w:rPr>
          <w:rFonts w:hint="eastAsia" w:hAnsi="宋体"/>
          <w:sz w:val="24"/>
        </w:rPr>
        <w:t>．</w:t>
      </w:r>
      <w:r>
        <w:rPr>
          <w:rFonts w:hAnsi="宋体"/>
          <w:sz w:val="24"/>
        </w:rPr>
        <w:t>不可抗力事件延续</w:t>
      </w:r>
      <w:r>
        <w:rPr>
          <w:rFonts w:hint="eastAsia" w:hAnsi="宋体"/>
          <w:sz w:val="24"/>
        </w:rPr>
        <w:t>120</w:t>
      </w:r>
      <w:r>
        <w:rPr>
          <w:rFonts w:hAnsi="宋体"/>
          <w:sz w:val="24"/>
        </w:rPr>
        <w:t>天以上，双方应通过友好协商，确定是否继续履行合同。</w:t>
      </w:r>
    </w:p>
    <w:p>
      <w:pPr>
        <w:pStyle w:val="14"/>
        <w:snapToGrid w:val="0"/>
        <w:spacing w:line="440" w:lineRule="exact"/>
        <w:rPr>
          <w:rFonts w:hAnsi="宋体"/>
          <w:b/>
          <w:sz w:val="24"/>
        </w:rPr>
      </w:pPr>
      <w:r>
        <w:rPr>
          <w:rFonts w:hAnsi="宋体"/>
          <w:b/>
          <w:sz w:val="24"/>
        </w:rPr>
        <w:t>十</w:t>
      </w:r>
      <w:r>
        <w:rPr>
          <w:rFonts w:hint="eastAsia" w:hAnsi="宋体"/>
          <w:b/>
          <w:sz w:val="24"/>
        </w:rPr>
        <w:t>二</w:t>
      </w:r>
      <w:r>
        <w:rPr>
          <w:rFonts w:hAnsi="宋体"/>
          <w:b/>
          <w:sz w:val="24"/>
        </w:rPr>
        <w:t>、诉讼</w:t>
      </w:r>
    </w:p>
    <w:p>
      <w:pPr>
        <w:pStyle w:val="14"/>
        <w:snapToGrid w:val="0"/>
        <w:spacing w:line="440" w:lineRule="exact"/>
        <w:ind w:firstLine="480" w:firstLineChars="200"/>
        <w:rPr>
          <w:rFonts w:hAnsi="宋体"/>
          <w:sz w:val="24"/>
        </w:rPr>
      </w:pPr>
      <w:r>
        <w:rPr>
          <w:rFonts w:hAnsi="宋体"/>
          <w:sz w:val="24"/>
        </w:rPr>
        <w:t>双方在执行合同中所发生的一切争议，应通过协商解决。如协商不成，可向</w:t>
      </w:r>
      <w:r>
        <w:rPr>
          <w:rFonts w:hint="eastAsia" w:hAnsi="宋体"/>
          <w:sz w:val="24"/>
        </w:rPr>
        <w:t>甲方所在</w:t>
      </w:r>
      <w:r>
        <w:rPr>
          <w:rFonts w:hAnsi="宋体"/>
          <w:sz w:val="24"/>
        </w:rPr>
        <w:t>地法院起诉。</w:t>
      </w:r>
    </w:p>
    <w:p>
      <w:pPr>
        <w:pStyle w:val="14"/>
        <w:snapToGrid w:val="0"/>
        <w:spacing w:line="440" w:lineRule="exact"/>
        <w:rPr>
          <w:rFonts w:hAnsi="宋体"/>
          <w:b/>
          <w:sz w:val="24"/>
        </w:rPr>
      </w:pPr>
      <w:r>
        <w:rPr>
          <w:rFonts w:hAnsi="宋体"/>
          <w:b/>
          <w:sz w:val="24"/>
        </w:rPr>
        <w:t>十</w:t>
      </w:r>
      <w:r>
        <w:rPr>
          <w:rFonts w:hint="eastAsia" w:hAnsi="宋体"/>
          <w:b/>
          <w:sz w:val="24"/>
        </w:rPr>
        <w:t>三</w:t>
      </w:r>
      <w:r>
        <w:rPr>
          <w:rFonts w:hAnsi="宋体"/>
          <w:b/>
          <w:sz w:val="24"/>
        </w:rPr>
        <w:t>、合同生效及其它</w:t>
      </w:r>
    </w:p>
    <w:p>
      <w:pPr>
        <w:pStyle w:val="14"/>
        <w:snapToGrid w:val="0"/>
        <w:spacing w:line="440" w:lineRule="exact"/>
        <w:rPr>
          <w:rFonts w:hAnsi="宋体"/>
          <w:sz w:val="24"/>
        </w:rPr>
      </w:pPr>
      <w:r>
        <w:rPr>
          <w:rFonts w:hAnsi="宋体"/>
          <w:sz w:val="24"/>
        </w:rPr>
        <w:t>1</w:t>
      </w:r>
      <w:r>
        <w:rPr>
          <w:rFonts w:hint="eastAsia" w:hAnsi="宋体"/>
          <w:sz w:val="24"/>
        </w:rPr>
        <w:t>．</w:t>
      </w:r>
      <w:r>
        <w:rPr>
          <w:rFonts w:hAnsi="宋体"/>
          <w:sz w:val="24"/>
        </w:rPr>
        <w:t>合同经双方法定代表人或</w:t>
      </w:r>
      <w:r>
        <w:rPr>
          <w:rFonts w:hint="eastAsia" w:hAnsi="宋体"/>
          <w:sz w:val="24"/>
        </w:rPr>
        <w:t>授权委托代理人</w:t>
      </w:r>
      <w:r>
        <w:rPr>
          <w:rFonts w:hAnsi="宋体"/>
          <w:sz w:val="24"/>
        </w:rPr>
        <w:t>签字并加盖单位公章后生效。</w:t>
      </w:r>
    </w:p>
    <w:p>
      <w:pPr>
        <w:pStyle w:val="14"/>
        <w:snapToGrid w:val="0"/>
        <w:spacing w:line="440" w:lineRule="exact"/>
        <w:rPr>
          <w:rFonts w:hAnsi="宋体"/>
          <w:sz w:val="24"/>
        </w:rPr>
      </w:pPr>
      <w:r>
        <w:rPr>
          <w:rFonts w:hAnsi="宋体"/>
          <w:sz w:val="24"/>
        </w:rPr>
        <w:t>2</w:t>
      </w:r>
      <w:r>
        <w:rPr>
          <w:rFonts w:hint="eastAsia" w:hAnsi="宋体"/>
          <w:sz w:val="24"/>
        </w:rPr>
        <w:t>．</w:t>
      </w:r>
      <w:r>
        <w:rPr>
          <w:rFonts w:hAnsi="宋体"/>
          <w:sz w:val="24"/>
        </w:rPr>
        <w:t>合同执行中涉及采购资金和采购内容修改或补充的，须经财政部门审批，并签书面补充协议报政府采购监督管理部门备案，方可作为主合同不可分割的一部分。</w:t>
      </w:r>
    </w:p>
    <w:p>
      <w:pPr>
        <w:pStyle w:val="14"/>
        <w:snapToGrid w:val="0"/>
        <w:spacing w:line="440" w:lineRule="exact"/>
        <w:ind w:left="480" w:hanging="480" w:hangingChars="200"/>
        <w:rPr>
          <w:rFonts w:hAnsi="宋体"/>
          <w:sz w:val="24"/>
        </w:rPr>
      </w:pPr>
      <w:r>
        <w:rPr>
          <w:rFonts w:hAnsi="宋体"/>
          <w:sz w:val="24"/>
        </w:rPr>
        <w:t>3</w:t>
      </w:r>
      <w:r>
        <w:rPr>
          <w:rFonts w:hint="eastAsia" w:hAnsi="宋体"/>
          <w:sz w:val="24"/>
        </w:rPr>
        <w:t>．</w:t>
      </w:r>
      <w:r>
        <w:rPr>
          <w:rFonts w:hAnsi="宋体"/>
          <w:sz w:val="24"/>
        </w:rPr>
        <w:t>本合同未尽事宜，遵照《合同法》有关条文执行。</w:t>
      </w:r>
    </w:p>
    <w:p>
      <w:pPr>
        <w:spacing w:line="360" w:lineRule="auto"/>
        <w:rPr>
          <w:rFonts w:ascii="宋体" w:hAnsi="宋体" w:cs="宋体"/>
          <w:b/>
          <w:sz w:val="24"/>
          <w:u w:val="single"/>
        </w:rPr>
      </w:pPr>
      <w:r>
        <w:rPr>
          <w:rFonts w:hAnsi="宋体"/>
          <w:sz w:val="24"/>
        </w:rPr>
        <w:t>4</w:t>
      </w:r>
      <w:r>
        <w:rPr>
          <w:rFonts w:hint="eastAsia" w:hAnsi="宋体"/>
          <w:sz w:val="24"/>
        </w:rPr>
        <w:t>．</w:t>
      </w:r>
      <w:r>
        <w:rPr>
          <w:rFonts w:hint="eastAsia" w:ascii="宋体" w:hAnsi="宋体" w:cs="宋体"/>
          <w:sz w:val="24"/>
        </w:rPr>
        <w:t>本合同协议书正本一式</w:t>
      </w:r>
      <w:r>
        <w:rPr>
          <w:rFonts w:hint="eastAsia" w:ascii="宋体" w:hAnsi="宋体" w:cs="宋体"/>
          <w:b/>
          <w:sz w:val="24"/>
          <w:u w:val="single"/>
        </w:rPr>
        <w:t>_陆_</w:t>
      </w:r>
      <w:r>
        <w:rPr>
          <w:rFonts w:hint="eastAsia" w:ascii="宋体" w:hAnsi="宋体" w:cs="宋体"/>
          <w:sz w:val="24"/>
        </w:rPr>
        <w:t>份，甲方乙方双方方各执</w:t>
      </w:r>
      <w:r>
        <w:rPr>
          <w:rFonts w:hint="eastAsia" w:ascii="宋体" w:hAnsi="宋体" w:cs="宋体"/>
          <w:sz w:val="24"/>
          <w:u w:val="single"/>
        </w:rPr>
        <w:t xml:space="preserve"> </w:t>
      </w:r>
      <w:r>
        <w:rPr>
          <w:rFonts w:hint="eastAsia" w:ascii="宋体" w:hAnsi="宋体" w:cs="宋体"/>
          <w:b/>
          <w:sz w:val="24"/>
          <w:u w:val="single"/>
        </w:rPr>
        <w:t xml:space="preserve">贰 </w:t>
      </w:r>
      <w:r>
        <w:rPr>
          <w:rFonts w:hint="eastAsia" w:ascii="宋体" w:hAnsi="宋体" w:cs="宋体"/>
          <w:sz w:val="24"/>
        </w:rPr>
        <w:t>份，</w:t>
      </w:r>
      <w:r>
        <w:rPr>
          <w:rFonts w:hint="eastAsia" w:ascii="宋体" w:hAnsi="宋体" w:cs="宋体"/>
          <w:spacing w:val="-6"/>
          <w:sz w:val="24"/>
        </w:rPr>
        <w:t>招标代理公司执</w:t>
      </w:r>
      <w:r>
        <w:rPr>
          <w:rFonts w:hint="eastAsia" w:ascii="宋体" w:hAnsi="宋体" w:cs="宋体"/>
          <w:b/>
          <w:spacing w:val="-6"/>
          <w:sz w:val="24"/>
          <w:u w:val="single"/>
        </w:rPr>
        <w:t xml:space="preserve"> </w:t>
      </w:r>
      <w:r>
        <w:rPr>
          <w:rFonts w:hint="eastAsia" w:ascii="宋体" w:hAnsi="宋体" w:cs="宋体"/>
          <w:b/>
          <w:sz w:val="24"/>
          <w:u w:val="single"/>
        </w:rPr>
        <w:t xml:space="preserve">贰 </w:t>
      </w:r>
      <w:r>
        <w:rPr>
          <w:rFonts w:hint="eastAsia" w:ascii="宋体" w:hAnsi="宋体" w:cs="宋体"/>
          <w:b/>
          <w:spacing w:val="-6"/>
          <w:sz w:val="24"/>
          <w:u w:val="single"/>
        </w:rPr>
        <w:t xml:space="preserve"> </w:t>
      </w:r>
      <w:r>
        <w:rPr>
          <w:rFonts w:hint="eastAsia" w:ascii="宋体" w:hAnsi="宋体" w:cs="宋体"/>
          <w:spacing w:val="-6"/>
          <w:sz w:val="24"/>
        </w:rPr>
        <w:t>份。</w:t>
      </w:r>
    </w:p>
    <w:p>
      <w:pPr>
        <w:spacing w:line="360" w:lineRule="auto"/>
        <w:ind w:left="525"/>
        <w:rPr>
          <w:rFonts w:ascii="宋体" w:hAnsi="宋体" w:cs="宋体"/>
          <w:sz w:val="24"/>
        </w:rPr>
      </w:pP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10"/>
        <w:rPr>
          <w:rFonts w:ascii="宋体" w:hAnsi="宋体" w:cs="宋体"/>
        </w:rPr>
      </w:pPr>
    </w:p>
    <w:p>
      <w:pPr>
        <w:spacing w:line="360" w:lineRule="auto"/>
        <w:ind w:left="525"/>
        <w:rPr>
          <w:rFonts w:ascii="宋体" w:hAnsi="宋体" w:cs="宋体"/>
          <w:sz w:val="24"/>
        </w:rPr>
      </w:pPr>
      <w:r>
        <w:rPr>
          <w:rFonts w:hint="eastAsia" w:ascii="宋体" w:hAnsi="宋体" w:cs="宋体"/>
          <w:sz w:val="24"/>
        </w:rPr>
        <w:t>甲方：（签章）                  乙方：（签章）</w:t>
      </w:r>
    </w:p>
    <w:p>
      <w:pPr>
        <w:spacing w:line="360" w:lineRule="auto"/>
        <w:ind w:left="525"/>
        <w:rPr>
          <w:rFonts w:ascii="宋体" w:hAnsi="宋体" w:cs="宋体"/>
          <w:sz w:val="24"/>
        </w:rPr>
      </w:pPr>
      <w:r>
        <w:rPr>
          <w:rFonts w:hint="eastAsia" w:ascii="宋体" w:hAnsi="宋体" w:cs="宋体"/>
          <w:sz w:val="24"/>
        </w:rPr>
        <w:t>法定代表人：（签章）             法定代表人：（签章）</w:t>
      </w:r>
    </w:p>
    <w:p>
      <w:pPr>
        <w:spacing w:line="360" w:lineRule="auto"/>
        <w:ind w:left="525"/>
        <w:rPr>
          <w:rFonts w:ascii="宋体" w:hAnsi="宋体" w:cs="宋体"/>
          <w:sz w:val="24"/>
        </w:rPr>
      </w:pPr>
      <w:r>
        <w:rPr>
          <w:rFonts w:hint="eastAsia" w:ascii="宋体" w:hAnsi="宋体" w:cs="宋体"/>
          <w:sz w:val="24"/>
        </w:rPr>
        <w:t>开户银行：                        开户银行(必填)：</w:t>
      </w:r>
    </w:p>
    <w:p>
      <w:pPr>
        <w:spacing w:line="360" w:lineRule="auto"/>
        <w:ind w:left="525"/>
        <w:rPr>
          <w:rFonts w:ascii="宋体" w:hAnsi="宋体" w:cs="宋体"/>
          <w:sz w:val="24"/>
        </w:rPr>
      </w:pPr>
      <w:r>
        <w:rPr>
          <w:rFonts w:hint="eastAsia" w:ascii="宋体" w:hAnsi="宋体" w:cs="宋体"/>
          <w:sz w:val="24"/>
        </w:rPr>
        <w:t>账号：                            账号(必填)：</w:t>
      </w:r>
    </w:p>
    <w:p>
      <w:pPr>
        <w:spacing w:line="360" w:lineRule="auto"/>
        <w:ind w:left="525"/>
        <w:rPr>
          <w:rFonts w:ascii="宋体" w:hAnsi="宋体" w:cs="宋体"/>
          <w:sz w:val="24"/>
        </w:rPr>
      </w:pPr>
      <w:r>
        <w:rPr>
          <w:rFonts w:hint="eastAsia" w:ascii="宋体" w:hAnsi="宋体" w:cs="宋体"/>
          <w:sz w:val="24"/>
        </w:rPr>
        <w:t>邮编：                            邮编：</w:t>
      </w:r>
    </w:p>
    <w:p>
      <w:pPr>
        <w:spacing w:line="360" w:lineRule="auto"/>
        <w:ind w:left="525"/>
        <w:rPr>
          <w:rFonts w:ascii="宋体" w:hAnsi="宋体" w:cs="宋体"/>
          <w:sz w:val="24"/>
        </w:rPr>
      </w:pPr>
      <w:r>
        <w:rPr>
          <w:rFonts w:hint="eastAsia" w:ascii="宋体" w:hAnsi="宋体" w:cs="宋体"/>
          <w:sz w:val="24"/>
        </w:rPr>
        <w:t>电话：                            电话：</w:t>
      </w:r>
    </w:p>
    <w:p>
      <w:pPr>
        <w:spacing w:line="360" w:lineRule="auto"/>
        <w:ind w:left="525"/>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合同鉴证方（鉴证章）：</w:t>
      </w:r>
    </w:p>
    <w:p>
      <w:pPr>
        <w:spacing w:line="360" w:lineRule="auto"/>
        <w:ind w:firstLine="480" w:firstLineChars="200"/>
        <w:rPr>
          <w:rFonts w:ascii="宋体" w:hAnsi="宋体"/>
          <w:b/>
          <w:kern w:val="0"/>
          <w:sz w:val="30"/>
        </w:rPr>
      </w:pPr>
      <w:r>
        <w:rPr>
          <w:rFonts w:hint="eastAsia" w:ascii="宋体" w:hAnsi="宋体" w:cs="宋体"/>
          <w:sz w:val="24"/>
          <w:szCs w:val="32"/>
        </w:rPr>
        <w:t>鉴证日期：</w:t>
      </w:r>
    </w:p>
    <w:p>
      <w:pPr>
        <w:spacing w:line="360" w:lineRule="auto"/>
        <w:ind w:left="525"/>
        <w:rPr>
          <w:rFonts w:ascii="宋体" w:hAnsi="宋体" w:cs="宋体"/>
          <w:sz w:val="24"/>
        </w:rPr>
      </w:pPr>
      <w:r>
        <w:rPr>
          <w:rFonts w:hint="eastAsia" w:ascii="宋体" w:hAnsi="宋体" w:cs="宋体"/>
          <w:sz w:val="24"/>
        </w:rPr>
        <w:t xml:space="preserve">              </w:t>
      </w:r>
    </w:p>
    <w:p>
      <w:pPr>
        <w:spacing w:line="300" w:lineRule="auto"/>
        <w:ind w:left="525"/>
        <w:rPr>
          <w:rFonts w:ascii="宋体" w:hAnsi="宋体" w:cs="宋体"/>
          <w:sz w:val="24"/>
        </w:rPr>
      </w:pPr>
    </w:p>
    <w:p>
      <w:pPr>
        <w:spacing w:line="300" w:lineRule="auto"/>
        <w:ind w:right="480"/>
        <w:jc w:val="right"/>
        <w:rPr>
          <w:rFonts w:ascii="宋体" w:hAnsi="宋体" w:cs="宋体"/>
          <w:b/>
          <w:sz w:val="24"/>
        </w:rPr>
      </w:pPr>
      <w:r>
        <w:rPr>
          <w:rFonts w:hint="eastAsia" w:ascii="宋体" w:hAnsi="宋体" w:cs="宋体"/>
          <w:sz w:val="24"/>
        </w:rPr>
        <w:t xml:space="preserve">                            </w:t>
      </w:r>
      <w:r>
        <w:rPr>
          <w:rFonts w:hint="eastAsia" w:ascii="宋体" w:hAnsi="宋体" w:cs="宋体"/>
          <w:b/>
          <w:sz w:val="24"/>
        </w:rPr>
        <w:t xml:space="preserve">          本合同签订于：   年  月  日</w:t>
      </w:r>
    </w:p>
    <w:p>
      <w:pPr>
        <w:spacing w:line="460" w:lineRule="exact"/>
        <w:ind w:firstLine="495"/>
      </w:pPr>
    </w:p>
    <w:p>
      <w:pPr>
        <w:pStyle w:val="3"/>
        <w:numPr>
          <w:ilvl w:val="0"/>
          <w:numId w:val="0"/>
        </w:numPr>
        <w:spacing w:before="0" w:after="0" w:line="360" w:lineRule="auto"/>
        <w:ind w:left="425"/>
        <w:jc w:val="both"/>
        <w:rPr>
          <w:sz w:val="32"/>
          <w:szCs w:val="32"/>
        </w:rPr>
      </w:pPr>
    </w:p>
    <w:p>
      <w:pPr>
        <w:rPr>
          <w:rFonts w:ascii="仿宋" w:hAnsi="仿宋" w:eastAsia="仿宋" w:cs="仿宋"/>
        </w:rPr>
      </w:pPr>
      <w:r>
        <w:rPr>
          <w:rFonts w:hint="eastAsia" w:ascii="仿宋" w:hAnsi="仿宋" w:eastAsia="仿宋" w:cs="仿宋"/>
        </w:rPr>
        <w:t>问</w:t>
      </w:r>
    </w:p>
    <w:p>
      <w:pPr>
        <w:rPr>
          <w:rFonts w:ascii="仿宋" w:hAnsi="仿宋" w:eastAsia="仿宋" w:cs="仿宋"/>
        </w:rPr>
      </w:pPr>
    </w:p>
    <w:p>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44" w:name="_Toc5481_WPSOffice_Level1"/>
      <w:r>
        <w:rPr>
          <w:rFonts w:hint="eastAsia" w:asciiTheme="minorEastAsia" w:hAnsiTheme="minorEastAsia" w:eastAsiaTheme="minorEastAsia"/>
          <w:b/>
          <w:sz w:val="36"/>
          <w:szCs w:val="36"/>
        </w:rPr>
        <w:t>第六章 投标文件格式</w:t>
      </w:r>
      <w:bookmarkEnd w:id="44"/>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rFonts w:hint="eastAsia" w:eastAsia="宋体"/>
          <w:sz w:val="44"/>
          <w:szCs w:val="44"/>
          <w:lang w:eastAsia="zh-CN"/>
        </w:rPr>
      </w:pPr>
      <w:r>
        <w:rPr>
          <w:rFonts w:hint="eastAsia"/>
          <w:sz w:val="44"/>
          <w:szCs w:val="44"/>
          <w:lang w:eastAsia="zh-CN"/>
        </w:rPr>
        <w:t>2024年台州湾新区森林病虫检测监测技术服务项目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lang w:val="en-US" w:eastAsia="zh-CN"/>
        </w:rPr>
        <w:t>Q</w:t>
      </w:r>
      <w:r>
        <w:rPr>
          <w:rFonts w:hint="eastAsia" w:ascii="宋体" w:hAnsi="宋体"/>
          <w:sz w:val="36"/>
          <w:szCs w:val="36"/>
        </w:rPr>
        <w:t>B</w:t>
      </w:r>
      <w:r>
        <w:rPr>
          <w:rFonts w:hint="eastAsia" w:ascii="宋体" w:hAnsi="宋体"/>
          <w:sz w:val="36"/>
          <w:szCs w:val="36"/>
          <w:lang w:val="en-US" w:eastAsia="zh-CN"/>
        </w:rPr>
        <w:t>J</w:t>
      </w:r>
      <w:r>
        <w:rPr>
          <w:rFonts w:hint="eastAsia" w:ascii="宋体" w:hAnsi="宋体"/>
          <w:sz w:val="36"/>
          <w:szCs w:val="36"/>
        </w:rPr>
        <w:t>]2024040（标项）</w:t>
      </w:r>
    </w:p>
    <w:p>
      <w:pPr>
        <w:pStyle w:val="25"/>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pPr>
        <w:pStyle w:val="25"/>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11"/>
        <w:ind w:firstLine="480"/>
      </w:pPr>
    </w:p>
    <w:p>
      <w:pPr>
        <w:pStyle w:val="6"/>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（4）具有依法缴纳税收和社会保障资金证明的承诺函（附件3）；</w:t>
      </w:r>
    </w:p>
    <w:p>
      <w:pPr>
        <w:snapToGrid w:val="0"/>
        <w:spacing w:line="360" w:lineRule="auto"/>
        <w:ind w:firstLine="480" w:firstLineChars="200"/>
        <w:rPr>
          <w:rFonts w:ascii="宋体" w:hAnsi="宋体" w:cs="宋体"/>
          <w:sz w:val="24"/>
        </w:rPr>
      </w:pPr>
      <w:r>
        <w:rPr>
          <w:rFonts w:hint="eastAsia" w:ascii="宋体" w:hAnsi="宋体" w:cs="宋体"/>
          <w:sz w:val="24"/>
        </w:rPr>
        <w:t>（5）具有良好的商业信誉和健全的财务会计制度的承诺函（附件4）；</w:t>
      </w:r>
    </w:p>
    <w:p>
      <w:pPr>
        <w:snapToGrid w:val="0"/>
        <w:spacing w:line="360" w:lineRule="auto"/>
        <w:ind w:firstLine="480" w:firstLineChars="200"/>
        <w:rPr>
          <w:rFonts w:ascii="宋体" w:hAnsi="宋体" w:cs="宋体"/>
          <w:sz w:val="24"/>
        </w:rPr>
      </w:pPr>
      <w:r>
        <w:rPr>
          <w:rFonts w:hint="eastAsia" w:ascii="宋体" w:hAnsi="宋体" w:cs="宋体"/>
          <w:sz w:val="24"/>
        </w:rPr>
        <w:t>（6）具有履行合同所必须的设备和专业技术能力的承诺函（附件5）；</w:t>
      </w:r>
    </w:p>
    <w:p>
      <w:pPr>
        <w:snapToGrid w:val="0"/>
        <w:spacing w:line="360" w:lineRule="auto"/>
        <w:ind w:firstLine="480" w:firstLineChars="200"/>
        <w:rPr>
          <w:rFonts w:ascii="宋体" w:hAnsi="宋体" w:cs="宋体"/>
          <w:sz w:val="24"/>
        </w:rPr>
      </w:pPr>
      <w:r>
        <w:rPr>
          <w:rFonts w:hint="eastAsia" w:ascii="宋体" w:hAnsi="宋体" w:cs="宋体"/>
          <w:sz w:val="24"/>
        </w:rPr>
        <w:t>（7）需要说明的其他资料。</w:t>
      </w:r>
    </w:p>
    <w:p>
      <w:pPr>
        <w:spacing w:line="360" w:lineRule="auto"/>
        <w:rPr>
          <w:rFonts w:ascii="宋体" w:hAnsi="宋体"/>
          <w:b/>
          <w:sz w:val="28"/>
        </w:rPr>
      </w:pPr>
    </w:p>
    <w:p>
      <w:pPr>
        <w:spacing w:line="360" w:lineRule="auto"/>
        <w:ind w:left="420"/>
        <w:rPr>
          <w:rFonts w:ascii="宋体" w:hAnsi="宋体"/>
          <w:b/>
          <w:sz w:val="28"/>
        </w:rPr>
      </w:pPr>
    </w:p>
    <w:p>
      <w:pPr>
        <w:pStyle w:val="34"/>
        <w:rPr>
          <w:rFonts w:ascii="宋体" w:hAnsi="宋体"/>
          <w:b/>
          <w:sz w:val="28"/>
        </w:rPr>
      </w:pPr>
    </w:p>
    <w:p>
      <w:pPr>
        <w:pStyle w:val="34"/>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3"/>
        <w:numPr>
          <w:ilvl w:val="0"/>
          <w:numId w:val="0"/>
        </w:numPr>
        <w:ind w:left="425"/>
        <w:jc w:val="both"/>
      </w:pPr>
    </w:p>
    <w:p/>
    <w:p>
      <w:pPr>
        <w:pStyle w:val="6"/>
        <w:rPr>
          <w:rFonts w:ascii="宋体" w:hAnsi="宋体"/>
          <w:b/>
          <w:sz w:val="28"/>
        </w:rPr>
      </w:pPr>
    </w:p>
    <w:p>
      <w:pPr>
        <w:pStyle w:val="6"/>
        <w:rPr>
          <w:rFonts w:ascii="宋体" w:hAnsi="宋体"/>
          <w:b/>
          <w:sz w:val="28"/>
        </w:rPr>
      </w:pPr>
    </w:p>
    <w:p>
      <w:pPr>
        <w:pStyle w:val="6"/>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5" w:name="_Toc31708_WPSOffice_Level1"/>
      <w:bookmarkStart w:id="46" w:name="_Toc30723_WPSOffice_Level1"/>
      <w:r>
        <w:rPr>
          <w:rFonts w:hint="eastAsia" w:ascii="宋体" w:hAnsi="宋体"/>
          <w:b/>
          <w:kern w:val="0"/>
          <w:sz w:val="32"/>
          <w:szCs w:val="32"/>
          <w:lang w:val="zh-CN"/>
        </w:rPr>
        <w:t>投标声明书</w:t>
      </w:r>
      <w:bookmarkEnd w:id="45"/>
      <w:bookmarkEnd w:id="46"/>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rPr>
        <w:t>台州市自然资源和规划局台州湾新区（高新区）分局</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7" w:name="_Toc24373_WPSOffice_Level1"/>
      <w:bookmarkStart w:id="48" w:name="_Toc6870_WPSOffice_Level1"/>
      <w:r>
        <w:rPr>
          <w:b/>
          <w:sz w:val="32"/>
          <w:szCs w:val="32"/>
        </w:rPr>
        <w:t>授权</w:t>
      </w:r>
      <w:r>
        <w:rPr>
          <w:rFonts w:hint="eastAsia"/>
          <w:b/>
          <w:sz w:val="32"/>
          <w:szCs w:val="32"/>
        </w:rPr>
        <w:t>委托</w:t>
      </w:r>
      <w:r>
        <w:rPr>
          <w:b/>
          <w:sz w:val="32"/>
          <w:szCs w:val="32"/>
        </w:rPr>
        <w:t>书</w:t>
      </w:r>
      <w:bookmarkEnd w:id="47"/>
      <w:bookmarkEnd w:id="48"/>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rPr>
        <w:t>台州市自然资源和规划局台州湾新区（高新区）分局</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49" w:name="_Toc12331_WPSOffice_Level1"/>
      <w:bookmarkStart w:id="50" w:name="_Toc26389_WPSOffice_Level1"/>
      <w:bookmarkStart w:id="51" w:name="_Toc16825_WPSOffice_Level1"/>
    </w:p>
    <w:p>
      <w:pPr>
        <w:rPr>
          <w:rFonts w:ascii="宋体" w:hAnsi="宋体"/>
          <w:b/>
          <w:sz w:val="28"/>
        </w:rPr>
      </w:pPr>
      <w:r>
        <w:rPr>
          <w:rFonts w:hint="eastAsia" w:ascii="宋体" w:hAnsi="宋体"/>
          <w:b/>
          <w:sz w:val="28"/>
        </w:rPr>
        <w:t>附件3</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rPr>
        <w:t>台州市自然资源和规划局台州湾新区（高新区）分局</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rPr>
          <w:rFonts w:ascii="宋体" w:hAnsi="宋体"/>
          <w:b/>
          <w:sz w:val="28"/>
        </w:rPr>
      </w:pPr>
      <w:r>
        <w:rPr>
          <w:rFonts w:hint="eastAsia" w:ascii="宋体" w:hAnsi="宋体"/>
          <w:b/>
          <w:sz w:val="28"/>
        </w:rPr>
        <w:br w:type="page"/>
      </w:r>
      <w:r>
        <w:rPr>
          <w:rFonts w:hint="eastAsia" w:ascii="宋体" w:hAnsi="宋体"/>
          <w:b/>
          <w:sz w:val="28"/>
        </w:rPr>
        <w:t>附件4</w:t>
      </w: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jc w:val="center"/>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rPr>
        <w:t>台州市自然资源和规划局台州湾新区（高新区）分局</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rFonts w:ascii="宋体" w:hAnsi="宋体"/>
          <w:b/>
          <w:kern w:val="0"/>
          <w:sz w:val="32"/>
          <w:szCs w:val="32"/>
        </w:rPr>
      </w:pPr>
    </w:p>
    <w:p>
      <w:pPr>
        <w:jc w:val="center"/>
        <w:rPr>
          <w:rFonts w:ascii="宋体" w:hAnsi="宋体"/>
          <w:b/>
          <w:kern w:val="0"/>
          <w:sz w:val="32"/>
          <w:szCs w:val="32"/>
        </w:rPr>
      </w:pPr>
    </w:p>
    <w:p>
      <w:pPr>
        <w:rPr>
          <w:rFonts w:ascii="宋体" w:hAnsi="宋体"/>
          <w:b/>
          <w:kern w:val="0"/>
          <w:sz w:val="32"/>
          <w:szCs w:val="32"/>
        </w:rPr>
      </w:pPr>
      <w:r>
        <w:rPr>
          <w:rFonts w:ascii="宋体" w:hAnsi="宋体"/>
          <w:b/>
          <w:kern w:val="0"/>
          <w:sz w:val="32"/>
          <w:szCs w:val="32"/>
        </w:rPr>
        <w:br w:type="page"/>
      </w:r>
    </w:p>
    <w:p>
      <w:pPr>
        <w:jc w:val="left"/>
        <w:rPr>
          <w:rFonts w:ascii="宋体" w:hAnsi="宋体"/>
          <w:b/>
          <w:kern w:val="0"/>
          <w:sz w:val="32"/>
          <w:szCs w:val="32"/>
        </w:rPr>
      </w:pPr>
      <w:r>
        <w:rPr>
          <w:rFonts w:hint="eastAsia" w:ascii="宋体" w:hAnsi="宋体"/>
          <w:b/>
          <w:kern w:val="0"/>
          <w:sz w:val="32"/>
          <w:szCs w:val="32"/>
        </w:rPr>
        <w:t>附件5</w:t>
      </w:r>
    </w:p>
    <w:p>
      <w:pPr>
        <w:jc w:val="center"/>
        <w:rPr>
          <w:rFonts w:ascii="宋体" w:hAnsi="宋体"/>
          <w:b/>
          <w:sz w:val="28"/>
        </w:rPr>
      </w:pPr>
      <w:r>
        <w:rPr>
          <w:rFonts w:ascii="宋体" w:hAnsi="宋体"/>
          <w:b/>
          <w:kern w:val="0"/>
          <w:sz w:val="32"/>
          <w:szCs w:val="32"/>
        </w:rPr>
        <w:t>具有履行合同所必须的设备和专业技术能力的承诺函</w:t>
      </w:r>
    </w:p>
    <w:p>
      <w:pPr>
        <w:jc w:val="center"/>
        <w:rPr>
          <w:rFonts w:ascii="宋体" w:hAnsi="宋体"/>
          <w:b/>
          <w:sz w:val="28"/>
        </w:rPr>
      </w:pPr>
    </w:p>
    <w:p>
      <w:pPr>
        <w:widowControl/>
        <w:shd w:val="clear" w:color="auto" w:fill="FFFFFF"/>
        <w:snapToGrid w:val="0"/>
        <w:spacing w:after="50" w:line="480" w:lineRule="auto"/>
        <w:jc w:val="left"/>
        <w:rPr>
          <w:rFonts w:ascii="宋体" w:hAnsi="宋体"/>
          <w:kern w:val="0"/>
          <w:sz w:val="24"/>
        </w:rPr>
      </w:pPr>
      <w:r>
        <w:rPr>
          <w:rFonts w:hint="eastAsia" w:ascii="宋体" w:hAnsi="宋体"/>
          <w:kern w:val="0"/>
          <w:sz w:val="24"/>
          <w:u w:val="single"/>
        </w:rPr>
        <w:t>台州市自然资源和规划局台州湾新区（高新区）分局</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若我单位有幸成为</w:t>
      </w:r>
      <w:r>
        <w:rPr>
          <w:rFonts w:hint="eastAsia" w:ascii="宋体" w:hAnsi="宋体"/>
          <w:sz w:val="24"/>
          <w:u w:val="single"/>
          <w:lang w:eastAsia="zh-CN"/>
        </w:rPr>
        <w:t>2024年台州湾新区森林病虫检测监测技术服务项目</w:t>
      </w:r>
      <w:r>
        <w:rPr>
          <w:rFonts w:hint="eastAsia" w:hAnsi="宋体"/>
          <w:sz w:val="24"/>
        </w:rPr>
        <w:t>（</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hAnsi="宋体" w:cs="宋体"/>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sz w:val="52"/>
          <w:szCs w:val="52"/>
        </w:rPr>
      </w:pPr>
    </w:p>
    <w:p>
      <w:pPr>
        <w:jc w:val="center"/>
        <w:rPr>
          <w:sz w:val="52"/>
          <w:szCs w:val="52"/>
        </w:rPr>
      </w:pPr>
    </w:p>
    <w:p>
      <w:pPr>
        <w:jc w:val="center"/>
        <w:rPr>
          <w:sz w:val="52"/>
          <w:szCs w:val="52"/>
        </w:rPr>
      </w:pPr>
    </w:p>
    <w:p>
      <w:pPr>
        <w:rPr>
          <w:sz w:val="52"/>
          <w:szCs w:val="52"/>
        </w:rPr>
      </w:pPr>
    </w:p>
    <w:p>
      <w:pPr>
        <w:pStyle w:val="3"/>
        <w:numPr>
          <w:ilvl w:val="0"/>
          <w:numId w:val="0"/>
        </w:numPr>
        <w:jc w:val="both"/>
      </w:pPr>
    </w:p>
    <w:p>
      <w:pPr>
        <w:jc w:val="center"/>
        <w:rPr>
          <w:sz w:val="52"/>
          <w:szCs w:val="52"/>
        </w:rPr>
      </w:pPr>
    </w:p>
    <w:p>
      <w:pPr>
        <w:pStyle w:val="3"/>
        <w:numPr>
          <w:ilvl w:val="0"/>
          <w:numId w:val="0"/>
        </w:numPr>
        <w:ind w:left="425"/>
        <w:jc w:val="both"/>
      </w:pPr>
    </w:p>
    <w:p/>
    <w:bookmarkEnd w:id="49"/>
    <w:bookmarkEnd w:id="50"/>
    <w:bookmarkEnd w:id="51"/>
    <w:p>
      <w:pPr>
        <w:jc w:val="center"/>
      </w:pPr>
    </w:p>
    <w:p>
      <w:pPr>
        <w:spacing w:before="312" w:beforeLines="100" w:line="360" w:lineRule="auto"/>
        <w:ind w:right="-108"/>
        <w:jc w:val="center"/>
        <w:rPr>
          <w:rFonts w:hint="eastAsia" w:ascii="宋体" w:hAnsi="宋体"/>
          <w:sz w:val="44"/>
          <w:szCs w:val="44"/>
          <w:lang w:val="en-US" w:eastAsia="zh-CN"/>
        </w:rPr>
      </w:pPr>
      <w:r>
        <w:rPr>
          <w:rFonts w:hint="eastAsia" w:ascii="宋体" w:hAnsi="宋体"/>
          <w:sz w:val="44"/>
          <w:szCs w:val="44"/>
          <w:lang w:val="en-US" w:eastAsia="zh-CN"/>
        </w:rPr>
        <w:t>2024年台州湾新区森林病虫检测监测技术服务项目</w:t>
      </w:r>
    </w:p>
    <w:p>
      <w:pPr>
        <w:tabs>
          <w:tab w:val="left" w:pos="1260"/>
        </w:tabs>
        <w:spacing w:line="640" w:lineRule="exact"/>
        <w:jc w:val="center"/>
        <w:outlineLvl w:val="0"/>
        <w:rPr>
          <w:rFonts w:hint="eastAsia" w:ascii="宋体" w:hAnsi="宋体"/>
          <w:sz w:val="36"/>
          <w:szCs w:val="36"/>
        </w:rPr>
      </w:pPr>
      <w:r>
        <w:rPr>
          <w:rFonts w:hint="eastAsia" w:ascii="宋体" w:hAnsi="宋体"/>
          <w:sz w:val="36"/>
          <w:szCs w:val="36"/>
        </w:rPr>
        <w:t>项目编号：[</w:t>
      </w:r>
      <w:r>
        <w:rPr>
          <w:rFonts w:hint="eastAsia" w:ascii="宋体" w:hAnsi="宋体"/>
          <w:sz w:val="36"/>
          <w:szCs w:val="36"/>
          <w:lang w:val="en-US" w:eastAsia="zh-CN"/>
        </w:rPr>
        <w:t>Q</w:t>
      </w:r>
      <w:r>
        <w:rPr>
          <w:rFonts w:hint="eastAsia" w:ascii="宋体" w:hAnsi="宋体"/>
          <w:sz w:val="36"/>
          <w:szCs w:val="36"/>
        </w:rPr>
        <w:t>B</w:t>
      </w:r>
      <w:r>
        <w:rPr>
          <w:rFonts w:hint="eastAsia" w:ascii="宋体" w:hAnsi="宋体"/>
          <w:sz w:val="36"/>
          <w:szCs w:val="36"/>
          <w:lang w:val="en-US" w:eastAsia="zh-CN"/>
        </w:rPr>
        <w:t>J</w:t>
      </w:r>
      <w:r>
        <w:rPr>
          <w:rFonts w:hint="eastAsia" w:ascii="宋体" w:hAnsi="宋体"/>
          <w:sz w:val="36"/>
          <w:szCs w:val="36"/>
        </w:rPr>
        <w:t>]2024040</w:t>
      </w:r>
    </w:p>
    <w:p>
      <w:pPr>
        <w:spacing w:before="312" w:beforeLines="100" w:line="360" w:lineRule="auto"/>
        <w:ind w:right="-108"/>
        <w:jc w:val="center"/>
        <w:rPr>
          <w:rFonts w:ascii="宋体" w:hAnsi="宋体"/>
          <w:sz w:val="36"/>
          <w:szCs w:val="36"/>
        </w:rPr>
      </w:pPr>
      <w:r>
        <w:rPr>
          <w:rFonts w:hint="eastAsia" w:ascii="宋体" w:hAnsi="宋体"/>
          <w:sz w:val="36"/>
          <w:szCs w:val="36"/>
        </w:rPr>
        <w:t>（标项）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pPr>
        <w:pStyle w:val="25"/>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rPr>
          <w:b/>
          <w:bCs/>
          <w:sz w:val="32"/>
          <w:szCs w:val="32"/>
          <w:lang w:val="zh-CN"/>
        </w:rPr>
      </w:pPr>
      <w:bookmarkStart w:id="52" w:name="_Toc5889_WPSOffice_Level1"/>
      <w:bookmarkStart w:id="53" w:name="_Toc11308_WPSOffice_Level1"/>
    </w:p>
    <w:p>
      <w:pPr>
        <w:jc w:val="center"/>
        <w:rPr>
          <w:b/>
          <w:bCs/>
          <w:sz w:val="36"/>
          <w:szCs w:val="36"/>
          <w:lang w:val="zh-CN"/>
        </w:rPr>
      </w:pPr>
    </w:p>
    <w:p>
      <w:pPr>
        <w:jc w:val="center"/>
        <w:rPr>
          <w:b/>
          <w:bCs/>
          <w:sz w:val="36"/>
          <w:szCs w:val="36"/>
          <w:lang w:val="zh-CN"/>
        </w:rPr>
      </w:pPr>
    </w:p>
    <w:p>
      <w:pPr>
        <w:jc w:val="center"/>
        <w:rPr>
          <w:b/>
          <w:bCs/>
          <w:sz w:val="36"/>
          <w:szCs w:val="36"/>
          <w:lang w:val="zh-CN"/>
        </w:rPr>
      </w:pPr>
    </w:p>
    <w:p>
      <w:pPr>
        <w:jc w:val="center"/>
        <w:rPr>
          <w:b/>
          <w:bCs/>
          <w:sz w:val="36"/>
          <w:szCs w:val="36"/>
          <w:lang w:val="zh-CN"/>
        </w:rPr>
      </w:pPr>
    </w:p>
    <w:p>
      <w:pPr>
        <w:jc w:val="center"/>
        <w:rPr>
          <w:b/>
          <w:bCs/>
          <w:sz w:val="36"/>
          <w:szCs w:val="36"/>
        </w:rPr>
      </w:pPr>
      <w:r>
        <w:rPr>
          <w:rFonts w:hint="eastAsia"/>
          <w:b/>
          <w:bCs/>
          <w:sz w:val="36"/>
          <w:szCs w:val="36"/>
        </w:rPr>
        <w:t>技术标目录</w:t>
      </w:r>
      <w:bookmarkEnd w:id="52"/>
      <w:bookmarkEnd w:id="53"/>
    </w:p>
    <w:p>
      <w:pPr>
        <w:spacing w:line="360" w:lineRule="auto"/>
        <w:rPr>
          <w:sz w:val="24"/>
        </w:rPr>
      </w:pPr>
    </w:p>
    <w:p>
      <w:pPr>
        <w:snapToGrid w:val="0"/>
        <w:spacing w:line="360" w:lineRule="auto"/>
        <w:ind w:firstLine="480" w:firstLineChars="200"/>
        <w:rPr>
          <w:rFonts w:ascii="宋体" w:hAnsi="宋体"/>
          <w:bCs/>
          <w:sz w:val="24"/>
        </w:rPr>
      </w:pPr>
      <w:r>
        <w:rPr>
          <w:rFonts w:hint="eastAsia" w:ascii="宋体" w:hAnsi="宋体"/>
          <w:bCs/>
          <w:sz w:val="24"/>
        </w:rPr>
        <w:t>（1）投标人基本情况表（附件6）；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（2）技术方案（包括</w:t>
      </w:r>
      <w:r>
        <w:rPr>
          <w:rFonts w:hint="eastAsia" w:ascii="Calibri" w:hAnsi="Calibri" w:cs="Calibri"/>
          <w:sz w:val="24"/>
        </w:rPr>
        <w:t>项目需求的理解与分析、项目实施方案、重难点分析、保障措施、进度安排等</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6"/>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w:t>
      </w:r>
      <w:r>
        <w:rPr>
          <w:rFonts w:hint="eastAsia" w:ascii="宋体" w:hAnsi="宋体"/>
          <w:bCs/>
          <w:sz w:val="24"/>
          <w:highlight w:val="none"/>
        </w:rPr>
        <w:t>如有，</w:t>
      </w:r>
      <w:r>
        <w:rPr>
          <w:rFonts w:hint="eastAsia" w:ascii="宋体" w:hAnsi="宋体"/>
          <w:bCs/>
          <w:sz w:val="24"/>
        </w:rPr>
        <w:t>与本项目相关的认证证书或文件；附件10）；</w:t>
      </w:r>
    </w:p>
    <w:p>
      <w:pPr>
        <w:pStyle w:val="6"/>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6"/>
        <w:spacing w:line="360" w:lineRule="auto"/>
        <w:ind w:left="420" w:firstLine="0"/>
        <w:rPr>
          <w:sz w:val="28"/>
          <w:szCs w:val="28"/>
        </w:rPr>
      </w:pPr>
      <w:r>
        <w:rPr>
          <w:rFonts w:hint="eastAsia" w:ascii="宋体" w:hAnsi="宋体"/>
          <w:bCs/>
          <w:sz w:val="24"/>
        </w:rPr>
        <w:t>（8）符合招标文件规定的其他证明文件及评分标准中涉及的其他材料。</w:t>
      </w: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r>
        <w:rPr>
          <w:rFonts w:hint="eastAsia"/>
          <w:b/>
          <w:sz w:val="28"/>
        </w:rPr>
        <w:t>附件6</w:t>
      </w:r>
    </w:p>
    <w:p>
      <w:pPr>
        <w:pStyle w:val="38"/>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4" w:name="_Toc13307_WPSOffice_Level1"/>
      <w:bookmarkStart w:id="55" w:name="_Toc14261_WPSOffice_Level1"/>
      <w:r>
        <w:rPr>
          <w:rFonts w:hint="eastAsia"/>
          <w:b/>
          <w:sz w:val="32"/>
          <w:szCs w:val="32"/>
        </w:rPr>
        <w:t>投标</w:t>
      </w:r>
      <w:r>
        <w:rPr>
          <w:rFonts w:hint="eastAsia"/>
          <w:b/>
          <w:bCs/>
          <w:sz w:val="32"/>
          <w:szCs w:val="32"/>
        </w:rPr>
        <w:t>人基本情况表</w:t>
      </w:r>
      <w:bookmarkEnd w:id="54"/>
      <w:bookmarkEnd w:id="55"/>
    </w:p>
    <w:tbl>
      <w:tblPr>
        <w:tblStyle w:val="26"/>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1</w:t>
            </w:r>
            <w:r>
              <w:rPr>
                <w:rFonts w:hint="eastAsia"/>
                <w:bCs/>
              </w:rPr>
              <w:t>.</w:t>
            </w:r>
          </w:p>
          <w:p>
            <w:pPr>
              <w:pStyle w:val="38"/>
              <w:shd w:val="clear" w:color="auto" w:fill="FFFFFF"/>
              <w:spacing w:before="0" w:beforeAutospacing="0" w:after="0" w:afterAutospacing="0"/>
              <w:jc w:val="center"/>
              <w:rPr>
                <w:bCs/>
              </w:rPr>
            </w:pPr>
            <w:r>
              <w:rPr>
                <w:rFonts w:hint="eastAsia"/>
                <w:bCs/>
              </w:rPr>
              <w:t>企</w:t>
            </w:r>
          </w:p>
          <w:p>
            <w:pPr>
              <w:pStyle w:val="38"/>
              <w:shd w:val="clear" w:color="auto" w:fill="FFFFFF"/>
              <w:spacing w:before="0" w:beforeAutospacing="0" w:after="0" w:afterAutospacing="0"/>
              <w:jc w:val="center"/>
              <w:rPr>
                <w:bCs/>
              </w:rPr>
            </w:pPr>
            <w:r>
              <w:rPr>
                <w:rFonts w:hint="eastAsia"/>
                <w:bCs/>
              </w:rPr>
              <w:t>业</w:t>
            </w:r>
          </w:p>
          <w:p>
            <w:pPr>
              <w:pStyle w:val="38"/>
              <w:shd w:val="clear" w:color="auto" w:fill="FFFFFF"/>
              <w:spacing w:before="0" w:beforeAutospacing="0" w:after="0" w:afterAutospacing="0"/>
              <w:jc w:val="center"/>
              <w:rPr>
                <w:bCs/>
              </w:rPr>
            </w:pPr>
            <w:r>
              <w:rPr>
                <w:rFonts w:hint="eastAsia"/>
                <w:bCs/>
              </w:rPr>
              <w:t>概</w:t>
            </w:r>
          </w:p>
          <w:p>
            <w:pPr>
              <w:pStyle w:val="38"/>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2</w:t>
            </w:r>
            <w:r>
              <w:rPr>
                <w:rFonts w:hint="eastAsia"/>
                <w:bCs/>
              </w:rPr>
              <w:t>．</w:t>
            </w:r>
          </w:p>
          <w:p>
            <w:pPr>
              <w:pStyle w:val="38"/>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8"/>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933" w:type="dxa"/>
            <w:tcMar>
              <w:top w:w="57" w:type="dxa"/>
              <w:left w:w="85" w:type="dxa"/>
              <w:bottom w:w="0" w:type="dxa"/>
              <w:right w:w="85" w:type="dxa"/>
            </w:tcMar>
            <w:vAlign w:val="center"/>
          </w:tcPr>
          <w:p>
            <w:pPr>
              <w:pStyle w:val="38"/>
              <w:spacing w:before="0" w:beforeAutospacing="0" w:after="0" w:afterAutospacing="0"/>
              <w:jc w:val="center"/>
            </w:pPr>
          </w:p>
        </w:tc>
      </w:tr>
    </w:tbl>
    <w:p>
      <w:pPr>
        <w:pStyle w:val="38"/>
        <w:shd w:val="clear" w:color="auto" w:fill="FFFFFF"/>
        <w:spacing w:before="0" w:beforeAutospacing="0" w:after="0" w:afterAutospacing="0" w:line="360" w:lineRule="auto"/>
        <w:rPr>
          <w:b/>
          <w:sz w:val="21"/>
          <w:szCs w:val="21"/>
        </w:rPr>
      </w:pPr>
      <w:r>
        <w:rPr>
          <w:rFonts w:hint="eastAsia"/>
          <w:b/>
          <w:sz w:val="21"/>
          <w:szCs w:val="21"/>
        </w:rPr>
        <w:t>要求：</w:t>
      </w:r>
    </w:p>
    <w:p>
      <w:pPr>
        <w:pStyle w:val="38"/>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bookmarkStart w:id="56" w:name="_Toc26601_WPSOffice_Level1"/>
      <w:bookmarkStart w:id="57" w:name="_Toc12856_WPSOffice_Level1"/>
    </w:p>
    <w:p>
      <w:pPr>
        <w:jc w:val="left"/>
        <w:rPr>
          <w:rFonts w:ascii="宋体" w:hAnsi="宋体"/>
          <w:b/>
          <w:bCs/>
          <w:kern w:val="0"/>
          <w:sz w:val="32"/>
          <w:szCs w:val="32"/>
        </w:rPr>
      </w:pPr>
      <w:r>
        <w:rPr>
          <w:rFonts w:hint="eastAsia" w:ascii="宋体" w:hAnsi="宋体"/>
          <w:b/>
          <w:bCs/>
          <w:kern w:val="0"/>
          <w:sz w:val="32"/>
          <w:szCs w:val="32"/>
        </w:rPr>
        <w:t>附件8</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9"/>
        <w:spacing w:line="360" w:lineRule="auto"/>
        <w:ind w:left="424" w:leftChars="202"/>
        <w:rPr>
          <w:rFonts w:ascii="宋体" w:hAnsi="宋体"/>
          <w:szCs w:val="21"/>
        </w:rPr>
      </w:pPr>
      <w:r>
        <w:rPr>
          <w:rFonts w:hint="eastAsia" w:ascii="宋体" w:hAnsi="宋体"/>
          <w:szCs w:val="21"/>
        </w:rPr>
        <w:t>2.附人员证书。</w:t>
      </w:r>
    </w:p>
    <w:p>
      <w:pPr>
        <w:pStyle w:val="39"/>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投标截止日之前的</w:t>
      </w:r>
      <w:r>
        <w:rPr>
          <w:rFonts w:hint="eastAsia" w:ascii="宋体" w:hAnsi="宋体"/>
          <w:szCs w:val="21"/>
        </w:rPr>
        <w:t>代缴个税税单、参加社会保险的《投保单》或《社会保险参保人员证明》等。</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ascii="宋体" w:hAnsi="宋体"/>
          <w:b/>
          <w:bCs/>
          <w:kern w:val="0"/>
          <w:sz w:val="32"/>
          <w:szCs w:val="32"/>
        </w:rPr>
      </w:pPr>
      <w:r>
        <w:rPr>
          <w:rFonts w:hint="eastAsia" w:ascii="宋体" w:hAnsi="宋体"/>
          <w:b/>
          <w:bCs/>
          <w:kern w:val="0"/>
          <w:sz w:val="32"/>
          <w:szCs w:val="32"/>
        </w:rPr>
        <w:t>附件9</w:t>
      </w:r>
    </w:p>
    <w:p>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pPr>
        <w:adjustRightInd w:val="0"/>
        <w:snapToGrid w:val="0"/>
        <w:ind w:firstLine="1205" w:firstLineChars="375"/>
        <w:jc w:val="center"/>
        <w:rPr>
          <w:rFonts w:ascii="宋体" w:hAnsi="宋体"/>
          <w:b/>
          <w:kern w:val="0"/>
          <w:sz w:val="32"/>
          <w:szCs w:val="32"/>
        </w:rPr>
      </w:pPr>
    </w:p>
    <w:tbl>
      <w:tblPr>
        <w:tblStyle w:val="26"/>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4"/>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4"/>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56"/>
    <w:bookmarkEnd w:id="57"/>
    <w:p>
      <w:pPr>
        <w:spacing w:line="360" w:lineRule="auto"/>
        <w:rPr>
          <w:rFonts w:ascii="宋体" w:hAnsi="宋体"/>
          <w:sz w:val="24"/>
        </w:rPr>
      </w:pPr>
    </w:p>
    <w:p>
      <w:pPr>
        <w:pStyle w:val="25"/>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u w:val="single"/>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1"/>
        <w:spacing w:line="360" w:lineRule="auto"/>
        <w:jc w:val="left"/>
        <w:rPr>
          <w:rFonts w:ascii="宋体" w:hAnsi="宋体"/>
          <w:b/>
          <w:sz w:val="28"/>
        </w:rPr>
      </w:pPr>
      <w:r>
        <w:rPr>
          <w:rFonts w:hint="eastAsia" w:ascii="宋体" w:hAnsi="宋体"/>
          <w:b/>
          <w:sz w:val="28"/>
        </w:rPr>
        <w:t>附件10</w:t>
      </w:r>
    </w:p>
    <w:p>
      <w:pPr>
        <w:pStyle w:val="42"/>
        <w:spacing w:line="360" w:lineRule="auto"/>
        <w:jc w:val="center"/>
        <w:rPr>
          <w:rFonts w:ascii="宋体" w:hAnsi="宋体" w:cs="Arial"/>
          <w:sz w:val="28"/>
          <w:szCs w:val="28"/>
        </w:rPr>
      </w:pPr>
      <w:bookmarkStart w:id="58" w:name="_Toc17604_WPSOffice_Level1"/>
      <w:bookmarkStart w:id="59" w:name="_Toc11030_WPSOffice_Level1"/>
      <w:r>
        <w:rPr>
          <w:rFonts w:hint="eastAsia" w:ascii="宋体" w:hAnsi="宋体"/>
          <w:b/>
          <w:sz w:val="32"/>
          <w:szCs w:val="32"/>
        </w:rPr>
        <w:t>证书一览表</w:t>
      </w:r>
      <w:bookmarkEnd w:id="58"/>
      <w:bookmarkEnd w:id="59"/>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bl>
    <w:p>
      <w:pPr>
        <w:pStyle w:val="42"/>
        <w:tabs>
          <w:tab w:val="left" w:pos="1050"/>
        </w:tabs>
        <w:spacing w:line="360" w:lineRule="auto"/>
        <w:rPr>
          <w:rFonts w:ascii="宋体" w:hAnsi="宋体"/>
          <w:szCs w:val="21"/>
        </w:rPr>
      </w:pPr>
      <w:r>
        <w:rPr>
          <w:rFonts w:hint="eastAsia" w:ascii="宋体" w:hAnsi="宋体"/>
          <w:b/>
          <w:szCs w:val="21"/>
        </w:rPr>
        <w:t>要求：</w:t>
      </w:r>
    </w:p>
    <w:p>
      <w:pPr>
        <w:pStyle w:val="42"/>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2"/>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2"/>
        <w:tabs>
          <w:tab w:val="left" w:pos="1050"/>
        </w:tabs>
        <w:spacing w:line="360" w:lineRule="auto"/>
        <w:rPr>
          <w:rFonts w:ascii="仿宋_GB2312" w:hAnsi="宋体" w:eastAsia="仿宋_GB2312"/>
          <w:sz w:val="24"/>
        </w:rPr>
      </w:pPr>
    </w:p>
    <w:p>
      <w:pPr>
        <w:pStyle w:val="4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5"/>
        <w:ind w:left="0" w:leftChars="0" w:firstLine="0"/>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6"/>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5"/>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sz w:val="52"/>
          <w:szCs w:val="52"/>
        </w:rPr>
      </w:pPr>
      <w:bookmarkStart w:id="60" w:name="_Toc21322_WPSOffice_Level1"/>
      <w:bookmarkStart w:id="61" w:name="_Toc30468_WPSOffice_Level1"/>
      <w:bookmarkStart w:id="62" w:name="_Toc4615_WPSOffice_Level1"/>
    </w:p>
    <w:bookmarkEnd w:id="60"/>
    <w:bookmarkEnd w:id="61"/>
    <w:bookmarkEnd w:id="62"/>
    <w:p>
      <w:pPr>
        <w:jc w:val="center"/>
        <w:rPr>
          <w:sz w:val="44"/>
          <w:szCs w:val="44"/>
        </w:rPr>
      </w:pPr>
    </w:p>
    <w:p>
      <w:pPr>
        <w:jc w:val="center"/>
        <w:rPr>
          <w:rFonts w:hint="eastAsia" w:eastAsia="宋体"/>
          <w:sz w:val="44"/>
          <w:szCs w:val="44"/>
          <w:lang w:eastAsia="zh-CN"/>
        </w:rPr>
      </w:pPr>
      <w:r>
        <w:rPr>
          <w:rFonts w:hint="eastAsia"/>
          <w:sz w:val="44"/>
          <w:szCs w:val="44"/>
          <w:lang w:eastAsia="zh-CN"/>
        </w:rPr>
        <w:t>2024年台州湾新区森林病虫检测监测技术服务项目</w:t>
      </w:r>
    </w:p>
    <w:p>
      <w:pPr>
        <w:spacing w:before="312" w:beforeLines="100" w:line="360" w:lineRule="auto"/>
        <w:ind w:right="-108"/>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lang w:val="en-US" w:eastAsia="zh-CN"/>
        </w:rPr>
        <w:t>Q</w:t>
      </w:r>
      <w:r>
        <w:rPr>
          <w:rFonts w:hint="eastAsia" w:ascii="宋体" w:hAnsi="宋体"/>
          <w:sz w:val="36"/>
          <w:szCs w:val="36"/>
        </w:rPr>
        <w:t>B</w:t>
      </w:r>
      <w:r>
        <w:rPr>
          <w:rFonts w:hint="eastAsia" w:ascii="宋体" w:hAnsi="宋体"/>
          <w:sz w:val="36"/>
          <w:szCs w:val="36"/>
          <w:lang w:val="en-US" w:eastAsia="zh-CN"/>
        </w:rPr>
        <w:t>J</w:t>
      </w:r>
      <w:r>
        <w:rPr>
          <w:rFonts w:hint="eastAsia" w:ascii="宋体" w:hAnsi="宋体"/>
          <w:sz w:val="36"/>
          <w:szCs w:val="36"/>
        </w:rPr>
        <w:t>]2024040</w:t>
      </w:r>
    </w:p>
    <w:p>
      <w:pPr>
        <w:spacing w:before="312" w:beforeLines="100" w:line="360" w:lineRule="auto"/>
        <w:ind w:right="-108"/>
        <w:jc w:val="center"/>
        <w:rPr>
          <w:rFonts w:ascii="宋体" w:hAnsi="宋体"/>
          <w:sz w:val="36"/>
          <w:szCs w:val="36"/>
        </w:rPr>
      </w:pPr>
      <w:r>
        <w:rPr>
          <w:rFonts w:hint="eastAsia" w:ascii="宋体" w:hAnsi="宋体"/>
          <w:sz w:val="36"/>
          <w:szCs w:val="36"/>
        </w:rPr>
        <w:t>（标项  ）</w:t>
      </w:r>
    </w:p>
    <w:p>
      <w:pPr>
        <w:pStyle w:val="25"/>
      </w:pPr>
    </w:p>
    <w:p>
      <w:pPr>
        <w:jc w:val="center"/>
        <w:rPr>
          <w:sz w:val="84"/>
          <w:szCs w:val="84"/>
        </w:rPr>
      </w:pPr>
      <w:bookmarkStart w:id="63" w:name="_Toc3932_WPSOffice_Level1"/>
      <w:bookmarkStart w:id="64" w:name="_Toc14572_WPSOffice_Level1"/>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63"/>
      <w:bookmarkEnd w:id="64"/>
    </w:p>
    <w:p>
      <w:pPr>
        <w:jc w:val="center"/>
        <w:rPr>
          <w:sz w:val="84"/>
          <w:szCs w:val="84"/>
        </w:rPr>
      </w:pPr>
      <w:bookmarkStart w:id="65" w:name="_Toc16973_WPSOffice_Level1"/>
      <w:bookmarkStart w:id="66" w:name="_Toc7562_WPSOffice_Level1"/>
      <w:r>
        <w:rPr>
          <w:rFonts w:hint="eastAsia"/>
          <w:sz w:val="84"/>
          <w:szCs w:val="84"/>
        </w:rPr>
        <w:t>件</w:t>
      </w:r>
      <w:bookmarkEnd w:id="65"/>
      <w:bookmarkEnd w:id="66"/>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7" w:name="_Toc4603_WPSOffice_Level1"/>
      <w:bookmarkStart w:id="68" w:name="_Toc26700_WPSOffice_Level1"/>
      <w:r>
        <w:rPr>
          <w:rFonts w:hint="eastAsia" w:ascii="宋体" w:hAnsi="宋体"/>
          <w:sz w:val="36"/>
          <w:szCs w:val="36"/>
        </w:rPr>
        <w:t>投标人全称（公章）：</w:t>
      </w:r>
      <w:bookmarkEnd w:id="67"/>
      <w:bookmarkEnd w:id="68"/>
    </w:p>
    <w:p>
      <w:pPr>
        <w:spacing w:line="360" w:lineRule="auto"/>
        <w:ind w:right="-108" w:firstLine="720" w:firstLineChars="200"/>
        <w:rPr>
          <w:rFonts w:ascii="宋体" w:hAnsi="宋体"/>
          <w:sz w:val="36"/>
          <w:szCs w:val="36"/>
        </w:rPr>
      </w:pPr>
      <w:bookmarkStart w:id="69" w:name="_Toc1391_WPSOffice_Level1"/>
      <w:bookmarkStart w:id="70" w:name="_Toc32593_WPSOffice_Level1"/>
      <w:r>
        <w:rPr>
          <w:rFonts w:hint="eastAsia" w:ascii="宋体" w:hAnsi="宋体"/>
          <w:sz w:val="36"/>
          <w:szCs w:val="36"/>
        </w:rPr>
        <w:t>地    址：</w:t>
      </w:r>
      <w:bookmarkEnd w:id="69"/>
      <w:bookmarkEnd w:id="70"/>
    </w:p>
    <w:p>
      <w:pPr>
        <w:spacing w:line="360" w:lineRule="auto"/>
        <w:ind w:right="-108" w:firstLine="720" w:firstLineChars="200"/>
        <w:rPr>
          <w:rFonts w:ascii="宋体" w:hAnsi="宋体"/>
          <w:sz w:val="36"/>
          <w:szCs w:val="36"/>
        </w:rPr>
      </w:pPr>
      <w:bookmarkStart w:id="71" w:name="_Toc20938_WPSOffice_Level1"/>
      <w:bookmarkStart w:id="72" w:name="_Toc3791_WPSOffice_Level1"/>
      <w:r>
        <w:rPr>
          <w:rFonts w:hint="eastAsia" w:ascii="宋体" w:hAnsi="宋体"/>
          <w:sz w:val="36"/>
          <w:szCs w:val="36"/>
        </w:rPr>
        <w:t>时    间：</w:t>
      </w:r>
      <w:bookmarkEnd w:id="71"/>
      <w:bookmarkEnd w:id="72"/>
    </w:p>
    <w:p>
      <w:pPr>
        <w:spacing w:line="360" w:lineRule="auto"/>
        <w:ind w:right="-108"/>
        <w:jc w:val="center"/>
        <w:rPr>
          <w:rFonts w:ascii="仿宋_GB2312" w:hAnsi="宋体" w:eastAsia="仿宋_GB2312"/>
          <w:b/>
          <w:sz w:val="36"/>
          <w:szCs w:val="36"/>
        </w:rPr>
      </w:pPr>
    </w:p>
    <w:p>
      <w:pPr>
        <w:pStyle w:val="25"/>
      </w:pPr>
    </w:p>
    <w:p>
      <w:pPr>
        <w:pStyle w:val="25"/>
      </w:pPr>
    </w:p>
    <w:p>
      <w:pPr>
        <w:pStyle w:val="25"/>
      </w:pPr>
    </w:p>
    <w:p>
      <w:pPr>
        <w:pStyle w:val="25"/>
      </w:pPr>
    </w:p>
    <w:p>
      <w:pPr>
        <w:pStyle w:val="25"/>
      </w:pPr>
    </w:p>
    <w:p>
      <w:pPr>
        <w:pStyle w:val="25"/>
      </w:pPr>
    </w:p>
    <w:p>
      <w:pPr>
        <w:pStyle w:val="25"/>
      </w:pPr>
    </w:p>
    <w:p>
      <w:pPr>
        <w:pStyle w:val="6"/>
        <w:rPr>
          <w:rFonts w:ascii="仿宋_GB2312" w:hAnsi="宋体" w:eastAsia="仿宋_GB2312"/>
          <w:b/>
          <w:sz w:val="36"/>
          <w:szCs w:val="36"/>
        </w:rPr>
      </w:pPr>
    </w:p>
    <w:p>
      <w:pPr>
        <w:spacing w:line="480" w:lineRule="auto"/>
        <w:jc w:val="center"/>
      </w:pPr>
      <w:bookmarkStart w:id="73" w:name="_Toc29537_WPSOffice_Level1"/>
      <w:bookmarkStart w:id="74" w:name="_Toc19972_WPSOffice_Level1"/>
      <w:r>
        <w:rPr>
          <w:rFonts w:hint="eastAsia" w:ascii="宋体" w:hAnsi="宋体"/>
          <w:b/>
          <w:bCs/>
          <w:sz w:val="36"/>
          <w:szCs w:val="36"/>
        </w:rPr>
        <w:t>商务标目录</w:t>
      </w:r>
      <w:bookmarkEnd w:id="73"/>
      <w:bookmarkEnd w:id="74"/>
    </w:p>
    <w:p>
      <w:pPr>
        <w:rPr>
          <w:rFonts w:asciiTheme="minorEastAsia" w:hAnsiTheme="minorEastAsia" w:eastAsiaTheme="minorEastAsia" w:cstheme="minorEastAsia"/>
          <w:sz w:val="28"/>
          <w:szCs w:val="28"/>
        </w:rPr>
      </w:pPr>
    </w:p>
    <w:p>
      <w:pPr>
        <w:autoSpaceDE w:val="0"/>
        <w:autoSpaceDN w:val="0"/>
        <w:adjustRightInd w:val="0"/>
        <w:spacing w:line="360" w:lineRule="auto"/>
        <w:ind w:firstLine="480" w:firstLineChars="200"/>
        <w:rPr>
          <w:rFonts w:asciiTheme="minorEastAsia" w:hAnsiTheme="minorEastAsia" w:eastAsiaTheme="minorEastAsia"/>
          <w:kern w:val="0"/>
          <w:sz w:val="24"/>
        </w:rPr>
      </w:pPr>
      <w:bookmarkStart w:id="75" w:name="_Toc6778_WPSOffice_Level1"/>
      <w:bookmarkStart w:id="76" w:name="_Toc29988_WPSOffice_Level1"/>
      <w:r>
        <w:rPr>
          <w:rFonts w:hint="eastAsia" w:asciiTheme="minorEastAsia" w:hAnsiTheme="minorEastAsia" w:eastAsiaTheme="minorEastAsia"/>
          <w:kern w:val="0"/>
          <w:sz w:val="24"/>
        </w:rPr>
        <w:t>（1）开标一览表（附件12）；</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（2）针对报价投标人认为其他需要说明的。</w:t>
      </w:r>
    </w:p>
    <w:bookmarkEnd w:id="75"/>
    <w:bookmarkEnd w:id="76"/>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ascii="宋体" w:hAnsi="宋体"/>
          <w:b/>
          <w:sz w:val="28"/>
        </w:rPr>
      </w:pPr>
      <w:r>
        <w:rPr>
          <w:rFonts w:hint="eastAsia" w:ascii="宋体" w:hAnsi="宋体"/>
          <w:b/>
          <w:sz w:val="28"/>
        </w:rPr>
        <w:t>附件12</w:t>
      </w:r>
    </w:p>
    <w:p>
      <w:pPr>
        <w:spacing w:line="360" w:lineRule="auto"/>
        <w:ind w:left="-2" w:hanging="2"/>
        <w:jc w:val="center"/>
        <w:rPr>
          <w:rFonts w:ascii="宋体" w:hAnsi="宋体"/>
          <w:b/>
          <w:sz w:val="32"/>
          <w:szCs w:val="32"/>
        </w:rPr>
      </w:pPr>
      <w:bookmarkStart w:id="77" w:name="_Toc16144_WPSOffice_Level1"/>
      <w:bookmarkStart w:id="78" w:name="_Toc30363_WPSOffice_Level1"/>
      <w:r>
        <w:rPr>
          <w:rFonts w:hint="eastAsia" w:ascii="宋体" w:hAnsi="宋体"/>
          <w:b/>
          <w:sz w:val="32"/>
          <w:szCs w:val="32"/>
        </w:rPr>
        <w:t xml:space="preserve">开标一览表（标项  ） </w:t>
      </w:r>
      <w:bookmarkEnd w:id="77"/>
      <w:bookmarkEnd w:id="78"/>
    </w:p>
    <w:p>
      <w:pPr>
        <w:pStyle w:val="14"/>
        <w:spacing w:line="360" w:lineRule="auto"/>
        <w:ind w:firstLine="482" w:firstLineChars="200"/>
        <w:rPr>
          <w:rFonts w:hAnsi="宋体"/>
          <w:b/>
          <w:sz w:val="24"/>
        </w:rPr>
      </w:pPr>
      <w:r>
        <w:rPr>
          <w:rFonts w:hAnsi="宋体"/>
          <w:b/>
          <w:sz w:val="24"/>
        </w:rPr>
        <w:t>项目编号：</w:t>
      </w:r>
      <w:r>
        <w:rPr>
          <w:rFonts w:hint="eastAsia" w:hAnsi="宋体"/>
          <w:b/>
          <w:sz w:val="24"/>
        </w:rPr>
        <w:t>[</w:t>
      </w:r>
      <w:r>
        <w:rPr>
          <w:rFonts w:hint="eastAsia" w:hAnsi="宋体"/>
          <w:b/>
          <w:sz w:val="24"/>
          <w:lang w:val="en-US" w:eastAsia="zh-CN"/>
        </w:rPr>
        <w:t>Q</w:t>
      </w:r>
      <w:r>
        <w:rPr>
          <w:rFonts w:hint="eastAsia" w:hAnsi="宋体"/>
          <w:b/>
          <w:sz w:val="24"/>
        </w:rPr>
        <w:t>B</w:t>
      </w:r>
      <w:r>
        <w:rPr>
          <w:rFonts w:hint="eastAsia" w:hAnsi="宋体"/>
          <w:b/>
          <w:sz w:val="24"/>
          <w:lang w:val="en-US" w:eastAsia="zh-CN"/>
        </w:rPr>
        <w:t>J</w:t>
      </w:r>
      <w:r>
        <w:rPr>
          <w:rFonts w:hint="eastAsia" w:hAnsi="宋体"/>
          <w:b/>
          <w:sz w:val="24"/>
        </w:rPr>
        <w:t>]2024040</w:t>
      </w:r>
    </w:p>
    <w:p>
      <w:pPr>
        <w:pStyle w:val="47"/>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p>
      <w:pPr>
        <w:snapToGrid w:val="0"/>
        <w:spacing w:before="50" w:after="50"/>
        <w:jc w:val="left"/>
        <w:rPr>
          <w:rFonts w:ascii="Arial" w:hAnsi="Arial" w:cs="Arial"/>
          <w:sz w:val="22"/>
          <w:szCs w:val="22"/>
        </w:rPr>
      </w:pPr>
      <w:r>
        <w:rPr>
          <w:rFonts w:hint="eastAsia" w:ascii="Arial" w:hAnsi="Arial" w:cs="宋体"/>
          <w:sz w:val="22"/>
          <w:szCs w:val="22"/>
        </w:rPr>
        <w:t>致：台州市自然资源和规划局台州湾新区（高新区）分局</w:t>
      </w:r>
    </w:p>
    <w:p>
      <w:pPr>
        <w:snapToGrid w:val="0"/>
        <w:ind w:firstLine="440" w:firstLineChars="200"/>
        <w:jc w:val="left"/>
        <w:rPr>
          <w:rFonts w:ascii="新宋体" w:hAnsi="新宋体" w:eastAsia="新宋体"/>
          <w:szCs w:val="21"/>
        </w:rPr>
      </w:pPr>
      <w:r>
        <w:rPr>
          <w:rFonts w:ascii="Arial" w:hAnsi="Arial" w:cs="Arial"/>
          <w:sz w:val="22"/>
          <w:szCs w:val="22"/>
        </w:rPr>
        <w:t>经研究，我们决定参加</w:t>
      </w:r>
      <w:r>
        <w:rPr>
          <w:rFonts w:hint="eastAsia" w:ascii="Arial" w:hAnsi="Arial" w:cs="Arial"/>
          <w:sz w:val="22"/>
          <w:szCs w:val="22"/>
        </w:rPr>
        <w:t>你单位的</w:t>
      </w:r>
      <w:r>
        <w:rPr>
          <w:rFonts w:hint="eastAsia" w:ascii="宋体" w:hAnsi="宋体"/>
          <w:sz w:val="22"/>
          <w:szCs w:val="22"/>
          <w:u w:val="single"/>
          <w:lang w:eastAsia="zh-CN"/>
        </w:rPr>
        <w:t>2024年台州湾新区森林病虫检测监测技术服务项目</w:t>
      </w:r>
      <w:r>
        <w:rPr>
          <w:rFonts w:ascii="Arial" w:hAnsi="Arial" w:cs="Arial"/>
          <w:sz w:val="22"/>
          <w:szCs w:val="22"/>
        </w:rPr>
        <w:t>的</w:t>
      </w:r>
      <w:r>
        <w:rPr>
          <w:rFonts w:hint="eastAsia" w:ascii="Arial" w:hAnsi="Arial" w:cs="Arial"/>
          <w:sz w:val="22"/>
        </w:rPr>
        <w:t>招标</w:t>
      </w:r>
      <w:r>
        <w:rPr>
          <w:rFonts w:ascii="Arial" w:hAnsi="Arial" w:cs="Arial"/>
          <w:sz w:val="22"/>
        </w:rPr>
        <w:t>采购活动并提交</w:t>
      </w:r>
      <w:r>
        <w:rPr>
          <w:rFonts w:hint="eastAsia" w:ascii="Arial" w:hAnsi="Arial" w:cs="Arial"/>
          <w:sz w:val="22"/>
        </w:rPr>
        <w:t>投标</w:t>
      </w:r>
      <w:r>
        <w:rPr>
          <w:rFonts w:ascii="Arial" w:hAnsi="Arial" w:cs="Arial"/>
          <w:sz w:val="22"/>
        </w:rPr>
        <w:t>文件。为此，我方郑重声明以下诸点，并负法律责任。</w:t>
      </w:r>
    </w:p>
    <w:p>
      <w:pPr>
        <w:pStyle w:val="12"/>
        <w:adjustRightInd w:val="0"/>
        <w:snapToGrid w:val="0"/>
        <w:rPr>
          <w:rFonts w:ascii="Arial" w:hAnsi="Arial" w:cs="Arial"/>
          <w:sz w:val="22"/>
          <w:szCs w:val="22"/>
        </w:rPr>
      </w:pPr>
      <w:r>
        <w:rPr>
          <w:rFonts w:ascii="Arial" w:hAnsi="Arial" w:cs="Arial"/>
          <w:sz w:val="22"/>
          <w:szCs w:val="22"/>
        </w:rPr>
        <w:t>1、如果我们的招标文件被接受，我们将履行招标文件中规定的每一项要求，并按我们投标文件中的承诺按期、按质、按量提供服务。</w:t>
      </w:r>
    </w:p>
    <w:p>
      <w:pPr>
        <w:pStyle w:val="12"/>
        <w:adjustRightInd w:val="0"/>
        <w:snapToGrid w:val="0"/>
        <w:rPr>
          <w:rFonts w:ascii="Arial" w:hAnsi="Arial" w:cs="Arial"/>
          <w:sz w:val="22"/>
          <w:szCs w:val="22"/>
        </w:rPr>
      </w:pPr>
      <w:r>
        <w:rPr>
          <w:rFonts w:ascii="Arial" w:hAnsi="Arial" w:cs="Arial"/>
          <w:sz w:val="22"/>
          <w:szCs w:val="22"/>
        </w:rPr>
        <w:t>2、我们同意按采购文件规定遵守采购人有关采购的各项规定。</w:t>
      </w:r>
    </w:p>
    <w:p>
      <w:pPr>
        <w:pStyle w:val="12"/>
        <w:adjustRightInd w:val="0"/>
        <w:snapToGrid w:val="0"/>
        <w:rPr>
          <w:rFonts w:ascii="Arial" w:hAnsi="Arial" w:cs="Arial"/>
          <w:sz w:val="22"/>
          <w:szCs w:val="22"/>
        </w:rPr>
      </w:pPr>
      <w:r>
        <w:rPr>
          <w:rFonts w:ascii="Arial" w:hAnsi="Arial" w:cs="Arial"/>
          <w:sz w:val="22"/>
          <w:szCs w:val="22"/>
        </w:rPr>
        <w:t>3、我方同意提供按照贵方可能要求的与投标有关的一切数据或资料，我方若未成为成交投标人，采购人有权不做任何解释。</w:t>
      </w:r>
    </w:p>
    <w:p>
      <w:pPr>
        <w:ind w:firstLine="330" w:firstLineChars="150"/>
        <w:rPr>
          <w:rFonts w:ascii="宋体" w:hAnsi="宋体"/>
          <w:sz w:val="22"/>
          <w:szCs w:val="22"/>
        </w:rPr>
      </w:pPr>
      <w:r>
        <w:rPr>
          <w:rFonts w:hint="eastAsia" w:ascii="Arial" w:hAnsi="Arial" w:cs="Arial"/>
          <w:sz w:val="22"/>
          <w:szCs w:val="22"/>
        </w:rPr>
        <w:t>4、我方如果中标，将保证履行招标文件以及招标文件修改书（如有）中的全部责任和义务，按质、按量、按期完成《民法典》中的全部任务。</w:t>
      </w:r>
    </w:p>
    <w:tbl>
      <w:tblPr>
        <w:tblStyle w:val="2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rPr>
          <w:rFonts w:ascii="宋体" w:hAnsi="宋体"/>
          <w:sz w:val="22"/>
          <w:szCs w:val="22"/>
        </w:rPr>
      </w:pPr>
      <w:r>
        <w:rPr>
          <w:rFonts w:hint="eastAsia" w:ascii="宋体" w:hAnsi="宋体"/>
          <w:b/>
          <w:sz w:val="22"/>
          <w:szCs w:val="22"/>
        </w:rPr>
        <w:t>填报要求：</w:t>
      </w:r>
      <w:r>
        <w:rPr>
          <w:rFonts w:hint="eastAsia" w:ascii="宋体" w:hAnsi="宋体"/>
          <w:sz w:val="22"/>
          <w:szCs w:val="22"/>
        </w:rPr>
        <w:t>投标报价是履行合同的最终价格，</w:t>
      </w:r>
      <w:r>
        <w:rPr>
          <w:rFonts w:hint="eastAsia" w:asciiTheme="minorEastAsia" w:hAnsiTheme="minorEastAsia" w:eastAsiaTheme="minorEastAsia"/>
          <w:bCs/>
          <w:kern w:val="0"/>
          <w:sz w:val="24"/>
          <w:highlight w:val="none"/>
          <w:lang w:val="zh-CN"/>
        </w:rPr>
        <w:t>投标报价是包括设备费、外业调查费、成果编制费、资料费、技术咨询服务费、利润、税金等与本项目工作相关的一切费用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。供应商须充分考虑实际服务内容和需求，针对自身实际情况，核算所需的成本及合理的利润，自行报价，结算时由供应商开具正式发票。各投标人应根据招标人提供的技术资料、清单，以及本</w:t>
      </w:r>
      <w:r>
        <w:rPr>
          <w:rFonts w:hint="eastAsia" w:asciiTheme="minorEastAsia" w:hAnsiTheme="minorEastAsia" w:eastAsiaTheme="minorEastAsia"/>
          <w:bCs/>
          <w:kern w:val="0"/>
          <w:sz w:val="24"/>
          <w:highlight w:val="none"/>
          <w:lang w:eastAsia="zh-CN"/>
        </w:rPr>
        <w:t>项目</w:t>
      </w:r>
      <w:r>
        <w:rPr>
          <w:rFonts w:hint="eastAsia" w:asciiTheme="minorEastAsia" w:hAnsiTheme="minorEastAsia" w:eastAsiaTheme="minorEastAsia"/>
          <w:bCs/>
          <w:kern w:val="0"/>
          <w:sz w:val="24"/>
          <w:highlight w:val="none"/>
        </w:rPr>
        <w:t>实际情况和自身的综合实力，竞报投标报价</w:t>
      </w:r>
      <w:r>
        <w:rPr>
          <w:rFonts w:hint="eastAsia" w:ascii="宋体" w:hAnsi="宋体"/>
          <w:sz w:val="22"/>
          <w:szCs w:val="22"/>
          <w:highlight w:val="none"/>
        </w:rPr>
        <w:t>。总报价以人民币元计。知识产权等由投标人在投标报价时综合考虑，以后不作任何调整。</w:t>
      </w: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投标人代表签字：</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pPr>
      <w:r>
        <w:rPr>
          <w:rFonts w:hint="eastAsia" w:ascii="宋体" w:hAnsi="宋体"/>
          <w:sz w:val="22"/>
          <w:szCs w:val="22"/>
        </w:rPr>
        <w:t>日        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MjRhNDc2YzU0NDViNmNjYjNhYjBiMjUwY2M2YjEifQ=="/>
  </w:docVars>
  <w:rsids>
    <w:rsidRoot w:val="685F2B0C"/>
    <w:rsid w:val="00001822"/>
    <w:rsid w:val="0000676C"/>
    <w:rsid w:val="000154B2"/>
    <w:rsid w:val="000220D4"/>
    <w:rsid w:val="000221EE"/>
    <w:rsid w:val="00030D77"/>
    <w:rsid w:val="00047C71"/>
    <w:rsid w:val="00060468"/>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26131"/>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126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D5A78"/>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84DC5"/>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BE2E13"/>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DE2DF3"/>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0B0599"/>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93A40"/>
    <w:rsid w:val="278F0AAA"/>
    <w:rsid w:val="27B84345"/>
    <w:rsid w:val="27CB7A47"/>
    <w:rsid w:val="27CF31D6"/>
    <w:rsid w:val="27E53B63"/>
    <w:rsid w:val="27F52A10"/>
    <w:rsid w:val="280E4470"/>
    <w:rsid w:val="283A36C6"/>
    <w:rsid w:val="283E405F"/>
    <w:rsid w:val="286E0474"/>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12A2E"/>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DC7C4F"/>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6B6DC4"/>
    <w:rsid w:val="477A20CD"/>
    <w:rsid w:val="47C35102"/>
    <w:rsid w:val="47C90408"/>
    <w:rsid w:val="47CA3491"/>
    <w:rsid w:val="47DE0285"/>
    <w:rsid w:val="47EA0372"/>
    <w:rsid w:val="47F77566"/>
    <w:rsid w:val="4811642B"/>
    <w:rsid w:val="48131737"/>
    <w:rsid w:val="481C1F20"/>
    <w:rsid w:val="482932B2"/>
    <w:rsid w:val="48353471"/>
    <w:rsid w:val="48452D6C"/>
    <w:rsid w:val="48490177"/>
    <w:rsid w:val="48547396"/>
    <w:rsid w:val="48734131"/>
    <w:rsid w:val="487B1A21"/>
    <w:rsid w:val="48801F0A"/>
    <w:rsid w:val="489C4879"/>
    <w:rsid w:val="489C7EA5"/>
    <w:rsid w:val="48B21D51"/>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67AD7"/>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366FD8"/>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31A64"/>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2C2A1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8E6426"/>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3A6524"/>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76463F"/>
    <w:rsid w:val="7EA44BEF"/>
    <w:rsid w:val="7EC30AC6"/>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autoRedefine/>
    <w:semiHidden/>
    <w:unhideWhenUsed/>
    <w:qFormat/>
    <w:uiPriority w:val="0"/>
    <w:pPr>
      <w:keepNext/>
      <w:keepLines/>
      <w:tabs>
        <w:tab w:val="left" w:pos="8280"/>
      </w:tabs>
      <w:spacing w:before="260" w:after="260" w:line="416" w:lineRule="auto"/>
      <w:outlineLvl w:val="2"/>
    </w:pPr>
    <w:rPr>
      <w:bCs/>
      <w:szCs w:val="32"/>
    </w:rPr>
  </w:style>
  <w:style w:type="paragraph" w:styleId="2">
    <w:name w:val="heading 4"/>
    <w:basedOn w:val="1"/>
    <w:next w:val="1"/>
    <w:autoRedefine/>
    <w:qFormat/>
    <w:uiPriority w:val="0"/>
    <w:pPr>
      <w:keepNext/>
      <w:keepLines/>
      <w:spacing w:before="280" w:after="290" w:line="372" w:lineRule="auto"/>
      <w:outlineLvl w:val="3"/>
    </w:pPr>
    <w:rPr>
      <w:rFonts w:ascii="Arial" w:hAnsi="Arial"/>
      <w:b/>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autoRedefine/>
    <w:qFormat/>
    <w:uiPriority w:val="0"/>
    <w:pPr>
      <w:numPr>
        <w:ilvl w:val="0"/>
        <w:numId w:val="3"/>
      </w:numPr>
    </w:pPr>
  </w:style>
  <w:style w:type="paragraph" w:styleId="9">
    <w:name w:val="annotation text"/>
    <w:basedOn w:val="1"/>
    <w:link w:val="75"/>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First Indent"/>
    <w:basedOn w:val="10"/>
    <w:link w:val="77"/>
    <w:autoRedefine/>
    <w:qFormat/>
    <w:uiPriority w:val="0"/>
    <w:pPr>
      <w:ind w:firstLine="200" w:firstLineChars="200"/>
    </w:p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8"/>
    <w:autoRedefine/>
    <w:qFormat/>
    <w:uiPriority w:val="0"/>
    <w:pPr>
      <w:numPr>
        <w:ilvl w:val="0"/>
        <w:numId w:val="4"/>
      </w:numPr>
    </w:pPr>
  </w:style>
  <w:style w:type="paragraph" w:styleId="14">
    <w:name w:val="Plain Text"/>
    <w:basedOn w:val="1"/>
    <w:link w:val="67"/>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6"/>
    <w:basedOn w:val="1"/>
    <w:next w:val="1"/>
    <w:autoRedefine/>
    <w:unhideWhenUsed/>
    <w:qFormat/>
    <w:uiPriority w:val="39"/>
    <w:pPr>
      <w:ind w:left="2100" w:leftChars="1000"/>
    </w:pPr>
    <w:rPr>
      <w:rFonts w:ascii="Calibri" w:hAnsi="Calibri"/>
    </w:rPr>
  </w:style>
  <w:style w:type="paragraph" w:styleId="21">
    <w:name w:val="toc 2"/>
    <w:basedOn w:val="1"/>
    <w:next w:val="1"/>
    <w:autoRedefine/>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76"/>
    <w:autoRedefine/>
    <w:qFormat/>
    <w:uiPriority w:val="0"/>
    <w:rPr>
      <w:b/>
      <w:bCs/>
    </w:rPr>
  </w:style>
  <w:style w:type="paragraph" w:styleId="25">
    <w:name w:val="Body Text First Indent 2"/>
    <w:basedOn w:val="12"/>
    <w:autoRedefine/>
    <w:qFormat/>
    <w:uiPriority w:val="0"/>
    <w:pPr>
      <w:ind w:firstLine="420"/>
    </w:pPr>
  </w:style>
  <w:style w:type="table" w:styleId="27">
    <w:name w:val="Table Grid"/>
    <w:basedOn w:val="26"/>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autoRedefine/>
    <w:qFormat/>
    <w:uiPriority w:val="0"/>
    <w:rPr>
      <w:color w:val="0000FF"/>
      <w:u w:val="single"/>
    </w:rPr>
  </w:style>
  <w:style w:type="character" w:styleId="30">
    <w:name w:val="annotation reference"/>
    <w:basedOn w:val="28"/>
    <w:autoRedefine/>
    <w:qFormat/>
    <w:uiPriority w:val="0"/>
    <w:rPr>
      <w:sz w:val="21"/>
      <w:szCs w:val="21"/>
    </w:rPr>
  </w:style>
  <w:style w:type="paragraph" w:customStyle="1" w:styleId="31">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autoRedefine/>
    <w:qFormat/>
    <w:uiPriority w:val="0"/>
    <w:pPr>
      <w:ind w:firstLine="200" w:firstLineChars="200"/>
    </w:pPr>
    <w:rPr>
      <w:rFonts w:ascii="宋体"/>
      <w:sz w:val="24"/>
      <w:szCs w:val="28"/>
    </w:rPr>
  </w:style>
  <w:style w:type="paragraph" w:customStyle="1" w:styleId="33">
    <w:name w:val="表格文字"/>
    <w:basedOn w:val="1"/>
    <w:next w:val="10"/>
    <w:autoRedefine/>
    <w:qFormat/>
    <w:uiPriority w:val="0"/>
    <w:pPr>
      <w:jc w:val="left"/>
      <w:textAlignment w:val="top"/>
    </w:pPr>
    <w:rPr>
      <w:sz w:val="18"/>
    </w:rPr>
  </w:style>
  <w:style w:type="paragraph" w:customStyle="1" w:styleId="34">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autoRedefine/>
    <w:qFormat/>
    <w:uiPriority w:val="0"/>
    <w:pPr>
      <w:ind w:firstLine="420" w:firstLineChars="200"/>
    </w:pPr>
    <w:rPr>
      <w:rFonts w:ascii="Calibri" w:hAnsi="Calibri"/>
      <w:szCs w:val="22"/>
    </w:rPr>
  </w:style>
  <w:style w:type="paragraph" w:customStyle="1" w:styleId="36">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0"/>
    <w:rPr>
      <w:rFonts w:ascii="Times New Roman" w:hAnsi="Times New Roman" w:eastAsia="宋体" w:cs="Times New Roman"/>
      <w:sz w:val="21"/>
      <w:szCs w:val="22"/>
      <w:lang w:val="en-US" w:eastAsia="zh-CN" w:bidi="ar-SA"/>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0"/>
    <w:pPr>
      <w:widowControl/>
      <w:jc w:val="left"/>
    </w:pPr>
    <w:rPr>
      <w:rFonts w:ascii="宋体" w:hAnsi="Courier New" w:eastAsiaTheme="minorEastAsia" w:cstheme="minorBidi"/>
      <w:szCs w:val="21"/>
    </w:rPr>
  </w:style>
  <w:style w:type="paragraph" w:customStyle="1" w:styleId="45">
    <w:name w:val="纯文本_0_1"/>
    <w:basedOn w:val="1"/>
    <w:autoRedefine/>
    <w:qFormat/>
    <w:uiPriority w:val="0"/>
    <w:pPr>
      <w:widowControl/>
      <w:jc w:val="left"/>
    </w:pPr>
    <w:rPr>
      <w:rFonts w:ascii="宋体" w:hAnsi="Courier New" w:eastAsiaTheme="minorEastAsia" w:cstheme="minorBidi"/>
      <w:szCs w:val="21"/>
    </w:rPr>
  </w:style>
  <w:style w:type="paragraph" w:customStyle="1" w:styleId="4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autoRedefine/>
    <w:qFormat/>
    <w:uiPriority w:val="0"/>
    <w:rPr>
      <w:rFonts w:hint="default" w:ascii="Arial" w:hAnsi="Arial" w:cs="Arial"/>
      <w:color w:val="000000"/>
      <w:sz w:val="20"/>
      <w:szCs w:val="20"/>
      <w:u w:val="none"/>
    </w:rPr>
  </w:style>
  <w:style w:type="character" w:customStyle="1" w:styleId="51">
    <w:name w:val="font01"/>
    <w:basedOn w:val="28"/>
    <w:autoRedefine/>
    <w:qFormat/>
    <w:uiPriority w:val="0"/>
    <w:rPr>
      <w:rFonts w:hint="eastAsia" w:ascii="宋体" w:hAnsi="宋体" w:eastAsia="宋体" w:cs="宋体"/>
      <w:color w:val="000000"/>
      <w:sz w:val="20"/>
      <w:szCs w:val="20"/>
      <w:u w:val="none"/>
    </w:rPr>
  </w:style>
  <w:style w:type="paragraph" w:customStyle="1" w:styleId="52">
    <w:name w:val="纯文本1"/>
    <w:basedOn w:val="53"/>
    <w:autoRedefine/>
    <w:qFormat/>
    <w:uiPriority w:val="0"/>
    <w:pPr>
      <w:widowControl/>
      <w:jc w:val="left"/>
    </w:pPr>
    <w:rPr>
      <w:rFonts w:ascii="宋体" w:hAnsi="Courier New"/>
    </w:rPr>
  </w:style>
  <w:style w:type="paragraph" w:customStyle="1" w:styleId="5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autoRedefine/>
    <w:qFormat/>
    <w:uiPriority w:val="1"/>
    <w:rPr>
      <w:rFonts w:ascii="宋体" w:hAnsi="宋体" w:cs="宋体"/>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autoRedefine/>
    <w:qFormat/>
    <w:uiPriority w:val="0"/>
    <w:rPr>
      <w:rFonts w:ascii="Tahoma" w:hAnsi="Tahoma"/>
      <w:sz w:val="24"/>
      <w:szCs w:val="20"/>
    </w:rPr>
  </w:style>
  <w:style w:type="character" w:customStyle="1" w:styleId="57">
    <w:name w:val="批注框文本 字符"/>
    <w:basedOn w:val="28"/>
    <w:link w:val="16"/>
    <w:autoRedefine/>
    <w:qFormat/>
    <w:uiPriority w:val="0"/>
    <w:rPr>
      <w:kern w:val="2"/>
      <w:sz w:val="18"/>
      <w:szCs w:val="18"/>
    </w:rPr>
  </w:style>
  <w:style w:type="paragraph" w:customStyle="1" w:styleId="58">
    <w:name w:val="英文"/>
    <w:basedOn w:val="1"/>
    <w:link w:val="60"/>
    <w:autoRedefine/>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autoRedefine/>
    <w:qFormat/>
    <w:uiPriority w:val="0"/>
    <w:rPr>
      <w:rFonts w:ascii="Arial" w:hAnsi="Arial" w:cs="Arial"/>
      <w:sz w:val="24"/>
    </w:rPr>
  </w:style>
  <w:style w:type="paragraph" w:customStyle="1" w:styleId="61">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autoRedefine/>
    <w:qFormat/>
    <w:uiPriority w:val="0"/>
    <w:pPr>
      <w:spacing w:line="360" w:lineRule="auto"/>
      <w:ind w:firstLine="200" w:firstLineChars="200"/>
    </w:pPr>
    <w:rPr>
      <w:rFonts w:eastAsia="仿宋"/>
      <w:sz w:val="28"/>
    </w:rPr>
  </w:style>
  <w:style w:type="paragraph" w:customStyle="1" w:styleId="63">
    <w:name w:val="Normal Indent1"/>
    <w:basedOn w:val="1"/>
    <w:autoRedefine/>
    <w:qFormat/>
    <w:uiPriority w:val="0"/>
    <w:pPr>
      <w:ind w:firstLine="420" w:firstLineChars="200"/>
    </w:pPr>
  </w:style>
  <w:style w:type="paragraph" w:customStyle="1" w:styleId="6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autoRedefine/>
    <w:qFormat/>
    <w:uiPriority w:val="0"/>
    <w:pPr>
      <w:ind w:firstLine="420" w:firstLineChars="200"/>
    </w:pPr>
  </w:style>
  <w:style w:type="character" w:customStyle="1" w:styleId="67">
    <w:name w:val="纯文本 字符"/>
    <w:link w:val="14"/>
    <w:autoRedefine/>
    <w:qFormat/>
    <w:uiPriority w:val="0"/>
    <w:rPr>
      <w:rFonts w:ascii="宋体" w:hAnsi="Courier New" w:cstheme="minorBidi"/>
      <w:kern w:val="2"/>
      <w:sz w:val="21"/>
      <w:szCs w:val="24"/>
    </w:rPr>
  </w:style>
  <w:style w:type="character" w:customStyle="1" w:styleId="68">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69">
    <w:name w:val="UserStyle_4"/>
    <w:basedOn w:val="1"/>
    <w:autoRedefine/>
    <w:qFormat/>
    <w:uiPriority w:val="0"/>
    <w:pPr>
      <w:ind w:firstLine="420" w:firstLineChars="200"/>
    </w:pPr>
    <w:rPr>
      <w:sz w:val="24"/>
    </w:rPr>
  </w:style>
  <w:style w:type="paragraph" w:customStyle="1" w:styleId="70">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autoRedefine/>
    <w:qFormat/>
    <w:uiPriority w:val="0"/>
    <w:pPr>
      <w:ind w:firstLine="420" w:firstLineChars="200"/>
    </w:pPr>
    <w:rPr>
      <w:szCs w:val="21"/>
    </w:rPr>
  </w:style>
  <w:style w:type="paragraph" w:customStyle="1" w:styleId="72">
    <w:name w:val="PlainText"/>
    <w:basedOn w:val="1"/>
    <w:autoRedefine/>
    <w:qFormat/>
    <w:uiPriority w:val="0"/>
    <w:pPr>
      <w:spacing w:before="156" w:after="156" w:line="400" w:lineRule="atLeast"/>
    </w:pPr>
    <w:rPr>
      <w:rFonts w:ascii="宋体" w:hAnsi="Courier New"/>
      <w:sz w:val="24"/>
    </w:rPr>
  </w:style>
  <w:style w:type="paragraph" w:customStyle="1" w:styleId="73">
    <w:name w:val="UserStyle_29"/>
    <w:basedOn w:val="1"/>
    <w:autoRedefine/>
    <w:qFormat/>
    <w:uiPriority w:val="0"/>
    <w:pPr>
      <w:ind w:firstLine="420" w:firstLineChars="200"/>
    </w:pPr>
    <w:rPr>
      <w:szCs w:val="22"/>
    </w:rPr>
  </w:style>
  <w:style w:type="table" w:customStyle="1" w:styleId="74">
    <w:name w:val="Table Normal"/>
    <w:autoRedefine/>
    <w:unhideWhenUsed/>
    <w:qFormat/>
    <w:uiPriority w:val="0"/>
    <w:tblPr>
      <w:tblCellMar>
        <w:top w:w="0" w:type="dxa"/>
        <w:left w:w="0" w:type="dxa"/>
        <w:bottom w:w="0" w:type="dxa"/>
        <w:right w:w="0" w:type="dxa"/>
      </w:tblCellMar>
    </w:tblPr>
  </w:style>
  <w:style w:type="character" w:customStyle="1" w:styleId="75">
    <w:name w:val="批注文字 字符"/>
    <w:basedOn w:val="28"/>
    <w:link w:val="9"/>
    <w:autoRedefine/>
    <w:qFormat/>
    <w:uiPriority w:val="0"/>
    <w:rPr>
      <w:kern w:val="2"/>
      <w:sz w:val="21"/>
      <w:szCs w:val="24"/>
    </w:rPr>
  </w:style>
  <w:style w:type="character" w:customStyle="1" w:styleId="76">
    <w:name w:val="批注主题 字符"/>
    <w:basedOn w:val="75"/>
    <w:link w:val="24"/>
    <w:autoRedefine/>
    <w:qFormat/>
    <w:uiPriority w:val="0"/>
    <w:rPr>
      <w:b/>
      <w:bCs/>
      <w:kern w:val="2"/>
      <w:sz w:val="21"/>
      <w:szCs w:val="24"/>
    </w:rPr>
  </w:style>
  <w:style w:type="character" w:customStyle="1" w:styleId="77">
    <w:name w:val="正文文本首行缩进 字符"/>
    <w:basedOn w:val="28"/>
    <w:link w:val="11"/>
    <w:autoRedefine/>
    <w:qFormat/>
    <w:uiPriority w:val="0"/>
    <w:rPr>
      <w:kern w:val="2"/>
      <w:sz w:val="24"/>
      <w:szCs w:val="24"/>
    </w:rPr>
  </w:style>
  <w:style w:type="paragraph" w:customStyle="1" w:styleId="7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50</Pages>
  <Words>3564</Words>
  <Characters>20317</Characters>
  <Lines>169</Lines>
  <Paragraphs>47</Paragraphs>
  <TotalTime>38</TotalTime>
  <ScaleCrop>false</ScaleCrop>
  <LinksUpToDate>false</LinksUpToDate>
  <CharactersWithSpaces>23834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洗尽铅华</cp:lastModifiedBy>
  <cp:lastPrinted>2023-07-18T00:34:00Z</cp:lastPrinted>
  <dcterms:modified xsi:type="dcterms:W3CDTF">2024-03-18T02:59:33Z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