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：QBJ2024056</w:t>
      </w:r>
    </w:p>
    <w:p>
      <w:pPr>
        <w:pStyle w:val="29"/>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台州湾新区规划支路五（七条河-海茂路）道路工程、台州湾新区正学街（集兴路-甲南大道）道路工程（石粉采购）</w:t>
      </w:r>
    </w:p>
    <w:p>
      <w:pPr>
        <w:pStyle w:val="29"/>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台州东发建设投资有限公司</w:t>
      </w:r>
      <w:r>
        <w:rPr>
          <w:rFonts w:hAnsi="宋体"/>
          <w:b/>
          <w:bCs/>
          <w:color w:val="0D0D0D"/>
          <w:sz w:val="28"/>
        </w:rPr>
        <w:t>（盖章）</w:t>
      </w:r>
    </w:p>
    <w:p>
      <w:pPr>
        <w:pStyle w:val="29"/>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9"/>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9"/>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  </w:t>
      </w:r>
      <w:r>
        <w:rPr>
          <w:rFonts w:hAnsi="宋体"/>
          <w:b/>
          <w:bCs/>
          <w:color w:val="0D0D0D"/>
          <w:sz w:val="28"/>
        </w:rPr>
        <w:t xml:space="preserve"> 联系电话：0576-885177</w:t>
      </w:r>
      <w:r>
        <w:rPr>
          <w:rFonts w:hint="eastAsia" w:hAnsi="宋体"/>
          <w:b/>
          <w:bCs/>
          <w:color w:val="0D0D0D"/>
          <w:sz w:val="28"/>
          <w:lang w:val="en-US" w:eastAsia="zh-CN"/>
        </w:rPr>
        <w:t>83</w:t>
      </w: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 xml:space="preserve">月 </w:t>
      </w:r>
    </w:p>
    <w:p>
      <w:pPr>
        <w:pStyle w:val="29"/>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9"/>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1"/>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台州市建设咨询有限公司受台州东发建设投资有限公司委托，现就</w:t>
      </w:r>
      <w:r>
        <w:rPr>
          <w:rFonts w:hint="eastAsia" w:ascii="宋体" w:hAnsi="宋体"/>
          <w:b/>
          <w:bCs/>
          <w:color w:val="0D0D0D"/>
          <w:szCs w:val="24"/>
          <w:u w:val="single"/>
          <w:lang w:eastAsia="zh-CN"/>
        </w:rPr>
        <w:t>台州湾新区规划支路五（七条河-海茂路）道路工程、台州湾新区正学街（集兴路-甲南大道）道路工程（石粉采购）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项目编号：QBJ2024056</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7"/>
        <w:tblW w:w="92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2422"/>
        <w:gridCol w:w="2781"/>
        <w:gridCol w:w="1080"/>
        <w:gridCol w:w="2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序号</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采购内容</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171A1D"/>
                <w:kern w:val="0"/>
                <w:sz w:val="21"/>
                <w:szCs w:val="21"/>
                <w:highlight w:val="none"/>
                <w:u w:val="none"/>
                <w:lang w:val="en-US" w:eastAsia="zh-CN" w:bidi="ar"/>
              </w:rPr>
            </w:pPr>
            <w:r>
              <w:rPr>
                <w:rFonts w:hint="eastAsia" w:ascii="宋体" w:hAnsi="宋体" w:cs="Arial"/>
                <w:bCs/>
                <w:color w:val="0C0C0C"/>
                <w:sz w:val="21"/>
                <w:szCs w:val="21"/>
                <w:highlight w:val="none"/>
              </w:rPr>
              <w:t>规格</w:t>
            </w:r>
            <w:r>
              <w:rPr>
                <w:rFonts w:hint="eastAsia" w:ascii="宋体" w:hAnsi="宋体" w:cs="Arial"/>
                <w:bCs/>
                <w:color w:val="0C0C0C"/>
                <w:sz w:val="21"/>
                <w:szCs w:val="21"/>
                <w:highlight w:val="none"/>
                <w:lang w:val="en-US" w:eastAsia="zh-CN"/>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bCs/>
                <w:color w:val="0C0C0C"/>
                <w:sz w:val="21"/>
                <w:szCs w:val="21"/>
                <w:highlight w:val="none"/>
              </w:rPr>
              <w:t>单位及数量</w:t>
            </w:r>
            <w:r>
              <w:rPr>
                <w:rFonts w:hint="eastAsia" w:ascii="宋体" w:hAnsi="宋体" w:cs="Arial"/>
                <w:bCs/>
                <w:color w:val="0C0C0C"/>
                <w:sz w:val="21"/>
                <w:szCs w:val="21"/>
                <w:highlight w:val="none"/>
                <w:lang w:eastAsia="zh-CN"/>
              </w:rPr>
              <w:t>（</w:t>
            </w:r>
            <w:r>
              <w:rPr>
                <w:rFonts w:hint="eastAsia" w:ascii="宋体" w:hAnsi="宋体" w:cs="Arial"/>
                <w:bCs/>
                <w:color w:val="0C0C0C"/>
                <w:sz w:val="21"/>
                <w:szCs w:val="21"/>
                <w:highlight w:val="none"/>
                <w:lang w:val="en-US" w:eastAsia="zh-CN"/>
              </w:rPr>
              <w:t>吨</w:t>
            </w:r>
            <w:r>
              <w:rPr>
                <w:rFonts w:hint="eastAsia" w:ascii="宋体" w:hAnsi="宋体" w:cs="Arial"/>
                <w:bCs/>
                <w:color w:val="0C0C0C"/>
                <w:sz w:val="21"/>
                <w:szCs w:val="21"/>
                <w:highlight w:val="none"/>
                <w:lang w:eastAsia="zh-CN"/>
              </w:rPr>
              <w:t>）</w:t>
            </w:r>
          </w:p>
        </w:tc>
        <w:tc>
          <w:tcPr>
            <w:tcW w:w="227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u w:val="none"/>
                <w:lang w:val="en-US" w:eastAsia="zh-CN" w:bidi="ar"/>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石粉（水泥稳定层用料）</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4100</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357315元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2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注：</w:t>
            </w:r>
            <w:r>
              <w:rPr>
                <w:rFonts w:hint="eastAsia" w:ascii="宋体" w:hAnsi="宋体" w:eastAsia="宋体" w:cs="宋体"/>
                <w:i w:val="0"/>
                <w:color w:val="000000"/>
                <w:kern w:val="0"/>
                <w:sz w:val="22"/>
                <w:szCs w:val="22"/>
                <w:u w:val="none"/>
                <w:lang w:val="en-US" w:eastAsia="zh-CN" w:bidi="ar"/>
              </w:rPr>
              <w:t>石粉需满足水泥稳定层配比用料，含泥量≤3％。</w:t>
            </w:r>
          </w:p>
        </w:tc>
      </w:tr>
    </w:tbl>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四</w:t>
      </w:r>
      <w:r>
        <w:rPr>
          <w:rFonts w:hint="eastAsia" w:ascii="宋体" w:hAnsi="宋体" w:cs="Arial"/>
          <w:color w:val="0D0D0D"/>
          <w:sz w:val="24"/>
        </w:rPr>
        <w:t>、</w:t>
      </w:r>
      <w:r>
        <w:rPr>
          <w:rFonts w:hint="eastAsia" w:ascii="宋体" w:hAnsi="宋体" w:cs="Arial"/>
          <w:b/>
          <w:bCs/>
          <w:color w:val="0D0D0D"/>
          <w:sz w:val="24"/>
        </w:rPr>
        <w:t>合格投标人的资格要求</w:t>
      </w:r>
    </w:p>
    <w:p>
      <w:pPr>
        <w:snapToGrid w:val="0"/>
        <w:spacing w:line="360" w:lineRule="auto"/>
        <w:ind w:firstLine="542" w:firstLineChars="225"/>
        <w:rPr>
          <w:rFonts w:hint="eastAsia" w:ascii="宋体" w:hAnsi="宋体" w:eastAsia="宋体" w:cs="Arial"/>
          <w:color w:val="0D0D0D"/>
          <w:sz w:val="24"/>
          <w:lang w:eastAsia="zh-CN"/>
        </w:rPr>
      </w:pPr>
      <w:r>
        <w:rPr>
          <w:rFonts w:hint="eastAsia" w:ascii="宋体" w:hAnsi="宋体" w:cs="Arial"/>
          <w:b/>
          <w:color w:val="0D0D0D"/>
          <w:sz w:val="24"/>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rPr>
      </w:pPr>
      <w:r>
        <w:rPr>
          <w:rFonts w:hint="eastAsia" w:ascii="宋体" w:hAnsi="宋体" w:cs="Arial"/>
          <w:color w:val="0D0D0D"/>
          <w:sz w:val="24"/>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rPr>
      </w:pPr>
      <w:bookmarkStart w:id="0" w:name="_Toc35393794"/>
      <w:bookmarkStart w:id="1" w:name="_Toc28359007"/>
      <w:bookmarkStart w:id="2" w:name="_Toc28359084"/>
      <w:bookmarkStart w:id="3" w:name="_Toc35393625"/>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12</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0" w:firstLineChars="200"/>
        <w:rPr>
          <w:rFonts w:hint="eastAsia" w:ascii="宋体" w:hAnsi="宋体" w:cs="Arial"/>
          <w:color w:val="auto"/>
          <w:sz w:val="24"/>
          <w:szCs w:val="20"/>
          <w:highlight w:val="none"/>
        </w:rPr>
      </w:pP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0.3万</w:t>
      </w:r>
      <w:r>
        <w:rPr>
          <w:rFonts w:hint="eastAsia" w:ascii="宋体" w:hAnsi="宋体" w:cs="宋体"/>
          <w:bCs/>
          <w:kern w:val="0"/>
          <w:sz w:val="24"/>
        </w:rPr>
        <w:t>元。</w:t>
      </w:r>
    </w:p>
    <w:p>
      <w:pPr>
        <w:pStyle w:val="46"/>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kern w:val="0"/>
          <w:sz w:val="24"/>
          <w:lang w:val="en-US" w:eastAsia="zh-CN"/>
        </w:rPr>
        <w:t>及时</w:t>
      </w:r>
      <w:bookmarkStart w:id="6" w:name="_GoBack"/>
      <w:r>
        <w:rPr>
          <w:rFonts w:hint="eastAsia" w:ascii="宋体" w:hAnsi="宋体" w:cs="宋体"/>
          <w:bCs/>
          <w:kern w:val="0"/>
          <w:sz w:val="24"/>
        </w:rPr>
        <w:t>返还</w:t>
      </w:r>
      <w:bookmarkEnd w:id="6"/>
      <w:r>
        <w:rPr>
          <w:rFonts w:hint="eastAsia" w:ascii="宋体" w:hAnsi="宋体" w:cs="宋体"/>
          <w:bCs/>
          <w:kern w:val="0"/>
          <w:sz w:val="24"/>
        </w:rPr>
        <w:t>;中标人的投标保证金由招标人暂时保管，待履约担保办理完毕并签订施工合同后，招标人返还中标人。</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w:t>
      </w:r>
      <w:r>
        <w:rPr>
          <w:rFonts w:hint="eastAsia" w:ascii="宋体" w:hAnsi="宋体" w:eastAsia="宋体" w:cs="宋体"/>
          <w:bCs/>
          <w:kern w:val="0"/>
          <w:sz w:val="24"/>
          <w:u w:val="single"/>
          <w:lang w:eastAsia="zh-CN"/>
        </w:rPr>
        <w:t>台州东发建设投资有限公司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lang w:val="en-US"/>
        </w:rPr>
      </w:pPr>
      <w:r>
        <w:rPr>
          <w:rFonts w:hint="eastAsia" w:ascii="宋体" w:hAnsi="宋体" w:cs="宋体"/>
          <w:bCs/>
          <w:kern w:val="0"/>
          <w:sz w:val="24"/>
        </w:rPr>
        <w:t>提交时间：</w:t>
      </w:r>
      <w:r>
        <w:rPr>
          <w:rFonts w:ascii="宋体" w:hAnsi="宋体" w:cs="宋体"/>
          <w:bCs/>
          <w:kern w:val="0"/>
          <w:sz w:val="24"/>
          <w:u w:val="single"/>
        </w:rPr>
        <w:t>202</w:t>
      </w:r>
      <w:r>
        <w:rPr>
          <w:rFonts w:hint="eastAsia" w:ascii="宋体" w:hAnsi="宋体" w:cs="宋体"/>
          <w:bCs/>
          <w:kern w:val="0"/>
          <w:sz w:val="24"/>
          <w:u w:val="single"/>
          <w:lang w:val="en-US" w:eastAsia="zh-CN"/>
        </w:rPr>
        <w:t>4</w:t>
      </w:r>
      <w:r>
        <w:rPr>
          <w:rFonts w:ascii="宋体" w:hAnsi="宋体" w:cs="宋体"/>
          <w:bCs/>
          <w:kern w:val="0"/>
          <w:sz w:val="24"/>
          <w:u w:val="single"/>
        </w:rPr>
        <w:t>年</w:t>
      </w:r>
      <w:r>
        <w:rPr>
          <w:rFonts w:hint="eastAsia" w:ascii="宋体" w:hAnsi="宋体" w:cs="宋体"/>
          <w:bCs/>
          <w:kern w:val="0"/>
          <w:sz w:val="24"/>
          <w:u w:val="single"/>
          <w:lang w:val="en-US" w:eastAsia="zh-CN"/>
        </w:rPr>
        <w:t>4</w:t>
      </w:r>
      <w:r>
        <w:rPr>
          <w:rFonts w:ascii="宋体" w:hAnsi="宋体" w:cs="宋体"/>
          <w:bCs/>
          <w:kern w:val="0"/>
          <w:sz w:val="24"/>
          <w:u w:val="single"/>
        </w:rPr>
        <w:t>月</w:t>
      </w:r>
      <w:r>
        <w:rPr>
          <w:rFonts w:hint="eastAsia" w:ascii="宋体" w:hAnsi="宋体" w:cs="宋体"/>
          <w:bCs/>
          <w:kern w:val="0"/>
          <w:sz w:val="24"/>
          <w:u w:val="single"/>
          <w:lang w:val="en-US" w:eastAsia="zh-CN"/>
        </w:rPr>
        <w:t>12</w:t>
      </w:r>
      <w:r>
        <w:rPr>
          <w:rFonts w:ascii="宋体" w:hAnsi="宋体" w:cs="宋体"/>
          <w:bCs/>
          <w:kern w:val="0"/>
          <w:sz w:val="24"/>
          <w:u w:val="single"/>
        </w:rPr>
        <w:t>日</w:t>
      </w:r>
      <w:r>
        <w:rPr>
          <w:rFonts w:hint="eastAsia" w:ascii="宋体" w:hAnsi="宋体" w:cs="宋体"/>
          <w:bCs/>
          <w:kern w:val="0"/>
          <w:sz w:val="24"/>
          <w:u w:val="single"/>
          <w:lang w:val="en-US" w:eastAsia="zh-CN"/>
        </w:rPr>
        <w:t>9</w:t>
      </w:r>
      <w:r>
        <w:rPr>
          <w:rFonts w:ascii="宋体" w:hAnsi="宋体" w:cs="宋体"/>
          <w:bCs/>
          <w:kern w:val="0"/>
          <w:sz w:val="24"/>
          <w:u w:val="single"/>
        </w:rPr>
        <w:t>：</w:t>
      </w:r>
      <w:r>
        <w:rPr>
          <w:rFonts w:hint="eastAsia" w:ascii="宋体" w:hAnsi="宋体" w:cs="宋体"/>
          <w:bCs/>
          <w:kern w:val="0"/>
          <w:sz w:val="24"/>
          <w:u w:val="single"/>
          <w:lang w:val="en-US" w:eastAsia="zh-CN"/>
        </w:rPr>
        <w:t>00</w:t>
      </w:r>
      <w:r>
        <w:rPr>
          <w:rFonts w:hint="eastAsia" w:ascii="宋体" w:hAnsi="宋体" w:cs="宋体"/>
          <w:bCs/>
          <w:kern w:val="0"/>
          <w:sz w:val="24"/>
          <w:u w:val="single"/>
        </w:rPr>
        <w:t>-</w:t>
      </w:r>
      <w:r>
        <w:rPr>
          <w:rFonts w:hint="eastAsia" w:ascii="宋体" w:hAnsi="宋体" w:cs="宋体"/>
          <w:bCs/>
          <w:kern w:val="0"/>
          <w:sz w:val="24"/>
          <w:u w:val="single"/>
          <w:lang w:val="en-US" w:eastAsia="zh-CN"/>
        </w:rPr>
        <w:t>9</w:t>
      </w:r>
      <w:r>
        <w:rPr>
          <w:rFonts w:hint="eastAsia" w:ascii="宋体" w:hAnsi="宋体" w:cs="宋体"/>
          <w:bCs/>
          <w:kern w:val="0"/>
          <w:sz w:val="24"/>
          <w:u w:val="single"/>
        </w:rPr>
        <w:t>：</w:t>
      </w:r>
      <w:r>
        <w:rPr>
          <w:rFonts w:hint="eastAsia" w:ascii="宋体" w:hAnsi="宋体" w:cs="宋体"/>
          <w:bCs/>
          <w:kern w:val="0"/>
          <w:sz w:val="24"/>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w:t>
      </w:r>
      <w:r>
        <w:rPr>
          <w:rFonts w:hint="eastAsia" w:ascii="宋体" w:hAnsi="宋体" w:cs="宋体"/>
          <w:bCs/>
          <w:kern w:val="0"/>
          <w:sz w:val="24"/>
          <w:u w:val="single"/>
          <w:lang w:val="en-US" w:eastAsia="zh-CN"/>
        </w:rPr>
        <w:t>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11日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rPr>
        <w:t>台州东发建设投资有限公司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lang w:val="en-US" w:eastAsia="zh-CN"/>
        </w:rPr>
        <w:t>地址：</w:t>
      </w:r>
      <w:r>
        <w:rPr>
          <w:rFonts w:hint="eastAsia" w:ascii="宋体" w:hAnsi="宋体" w:cs="宋体"/>
          <w:sz w:val="24"/>
          <w:u w:val="single"/>
        </w:rPr>
        <w:t>台州市甲南大道东段9号</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李灵芝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u w:val="singl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36" w:lineRule="auto"/>
        <w:ind w:firstLine="600" w:firstLineChars="25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u w:val="single"/>
          <w:lang w:val="en-US" w:eastAsia="zh-CN"/>
        </w:rPr>
        <w:t>浙江省台州市椒江区市府大道东段507号台州国际商务广场1幢11楼</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名 称：</w:t>
      </w:r>
      <w:r>
        <w:rPr>
          <w:rFonts w:hint="eastAsia" w:ascii="宋体" w:hAnsi="宋体" w:eastAsia="宋体" w:cs="宋体"/>
          <w:sz w:val="24"/>
          <w:u w:val="single"/>
          <w:lang w:val="en-US" w:eastAsia="zh-CN"/>
        </w:rPr>
        <w:t>行政审批与投资服务局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徐先生</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9"/>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4"/>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4</w:t>
      </w:r>
      <w:r>
        <w:rPr>
          <w:rFonts w:ascii="宋体" w:hAnsi="宋体" w:cs="Arial"/>
          <w:color w:val="0D0D0D"/>
          <w:sz w:val="24"/>
        </w:rPr>
        <w:t>年</w:t>
      </w:r>
      <w:r>
        <w:rPr>
          <w:rFonts w:hint="eastAsia" w:ascii="宋体" w:hAnsi="宋体" w:cs="Arial"/>
          <w:color w:val="0D0D0D"/>
          <w:sz w:val="24"/>
          <w:lang w:val="en-US" w:eastAsia="zh-CN"/>
        </w:rPr>
        <w:t>4</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9"/>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7"/>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台州湾新区规划支路五（七条河-海茂路）道路工程、台州湾新区正学街（集兴路-甲南大道）道路工程（石粉采购）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台州湾新区规划支路五（七条河-海茂路）道路工程、台州湾新区正学街（集兴路-甲南大道）道路工程（石粉采购）</w:t>
            </w:r>
          </w:p>
        </w:tc>
      </w:tr>
    </w:tbl>
    <w:p>
      <w:pPr>
        <w:pStyle w:val="29"/>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7"/>
        <w:tblW w:w="50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5"/>
        <w:gridCol w:w="2734"/>
        <w:gridCol w:w="3364"/>
        <w:gridCol w:w="25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Style w:val="88"/>
                <w:rFonts w:hint="eastAsia"/>
                <w:i w:val="0"/>
                <w:lang w:val="en-US" w:eastAsia="zh-CN" w:bidi="ar"/>
              </w:rPr>
              <w:t>标项</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Style w:val="88"/>
                <w:rFonts w:hint="eastAsia"/>
                <w:i w:val="0"/>
                <w:lang w:val="en-US" w:eastAsia="zh-CN" w:bidi="ar"/>
              </w:rPr>
              <w:t>采购内容</w:t>
            </w:r>
          </w:p>
        </w:tc>
        <w:tc>
          <w:tcPr>
            <w:tcW w:w="1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eastAsia"/>
                <w:i w:val="0"/>
                <w:lang w:val="en-US" w:eastAsia="zh-CN" w:bidi="ar"/>
              </w:rPr>
            </w:pPr>
            <w:r>
              <w:rPr>
                <w:rStyle w:val="88"/>
                <w:rFonts w:hint="eastAsia"/>
                <w:i w:val="0"/>
                <w:lang w:val="en-US" w:eastAsia="zh-CN" w:bidi="ar"/>
              </w:rPr>
              <w:t>规格型号</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lang w:val="en-US" w:eastAsia="zh-CN" w:bidi="ar"/>
              </w:rPr>
            </w:pPr>
            <w:r>
              <w:rPr>
                <w:rStyle w:val="88"/>
                <w:rFonts w:hint="eastAsia"/>
                <w:i w:val="0"/>
                <w:lang w:val="en-US" w:eastAsia="zh-CN" w:bidi="ar"/>
              </w:rPr>
              <w:t>单位及数量(t)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eastAsia"/>
                <w:i w:val="0"/>
                <w:color w:val="auto"/>
                <w:lang w:val="en-US" w:eastAsia="zh-CN" w:bidi="ar"/>
              </w:rPr>
            </w:pPr>
            <w:r>
              <w:rPr>
                <w:rFonts w:hint="eastAsia" w:ascii="宋体" w:hAnsi="宋体" w:eastAsia="宋体" w:cs="宋体"/>
                <w:i w:val="0"/>
                <w:color w:val="000000"/>
                <w:kern w:val="0"/>
                <w:sz w:val="22"/>
                <w:szCs w:val="22"/>
                <w:u w:val="none"/>
                <w:lang w:val="en-US" w:eastAsia="zh-CN" w:bidi="ar"/>
              </w:rPr>
              <w:t>石粉（水泥稳定层用料）</w:t>
            </w:r>
          </w:p>
        </w:tc>
        <w:tc>
          <w:tcPr>
            <w:tcW w:w="1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color w:val="auto"/>
                <w:lang w:val="en-US" w:eastAsia="zh-CN" w:bidi="ar"/>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color w:val="auto"/>
                <w:lang w:val="en-US" w:eastAsia="zh-CN" w:bidi="ar"/>
              </w:rPr>
            </w:pPr>
            <w:r>
              <w:rPr>
                <w:rFonts w:hint="eastAsia" w:ascii="宋体" w:hAnsi="宋体" w:cs="宋体"/>
                <w:i w:val="0"/>
                <w:color w:val="000000"/>
                <w:kern w:val="0"/>
                <w:sz w:val="22"/>
                <w:szCs w:val="22"/>
                <w:u w:val="none"/>
                <w:lang w:val="en-US" w:eastAsia="zh-CN" w:bidi="ar"/>
              </w:rPr>
              <w:t>4100</w:t>
            </w:r>
          </w:p>
        </w:tc>
      </w:tr>
    </w:tbl>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1、其余未详事宜，按国家现行有关规范、规定执行。</w:t>
      </w:r>
    </w:p>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2、工程量暂估，按实结算。</w:t>
      </w:r>
    </w:p>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w:t>
      </w:r>
      <w:r>
        <w:rPr>
          <w:rFonts w:hint="eastAsia" w:hAnsi="宋体" w:eastAsia="宋体" w:cs="Times New Roman"/>
          <w:color w:val="0C0C0C"/>
          <w:highlight w:val="none"/>
          <w:lang w:val="en-US" w:eastAsia="zh-CN"/>
        </w:rPr>
        <w:t>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（1）关于基准价格的约定：</w:t>
      </w:r>
      <w:r>
        <w:rPr>
          <w:rFonts w:hint="eastAsia" w:hAnsi="宋体"/>
          <w:color w:val="auto"/>
          <w:szCs w:val="21"/>
          <w:highlight w:val="none"/>
          <w:lang w:val="en-US" w:eastAsia="zh-CN"/>
        </w:rPr>
        <w:t>A1=采用《台州造价》（正刊）（工程所在地2024年第3期）</w:t>
      </w:r>
      <w:r>
        <w:rPr>
          <w:rFonts w:hint="eastAsia" w:hAnsi="宋体"/>
          <w:color w:val="0C0C0C"/>
          <w:szCs w:val="21"/>
          <w:highlight w:val="none"/>
          <w:lang w:val="en-US" w:eastAsia="zh-CN"/>
        </w:rPr>
        <w:t>对应材料信息价（含税）</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（2）市场价格约定：A2=每批次材料供应时，《台州造价》（正刊）（工程所在地）对应材料信息价（含税）；（具体时间以每批次材料供应清单时间为准）</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（3）调整方法</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a、当A2＞A1时，结算综合单价按超出的金额调增，即该材料结算综合单价=中标综合单价+（A2-A1)；</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b、当A2＜A1时，结算综合单价按低于的金额调减，即该材料结算综合单价=中标综合单价-（A1-A2)；</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c、当A2=A1时，结算单价不作调整；</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（4）如因中标人原因引起的供货延期，延期期间的材料价格上涨时（与合同工期价格比较），价格不予调整；下跌时，按下跌后的价格调整。</w:t>
      </w:r>
    </w:p>
    <w:p>
      <w:pPr>
        <w:pStyle w:val="29"/>
        <w:snapToGrid w:val="0"/>
        <w:spacing w:before="120" w:beforeLines="0" w:after="120" w:afterLines="0" w:line="240" w:lineRule="auto"/>
        <w:outlineLvl w:val="0"/>
        <w:rPr>
          <w:rFonts w:hAnsi="宋体"/>
          <w:color w:val="0D0D0D"/>
          <w:szCs w:val="21"/>
        </w:rPr>
      </w:pPr>
      <w:r>
        <w:rPr>
          <w:rFonts w:hint="eastAsia" w:hAnsi="宋体"/>
          <w:color w:val="0C0C0C"/>
          <w:szCs w:val="21"/>
          <w:highlight w:val="none"/>
          <w:lang w:val="en-US" w:eastAsia="zh-CN"/>
        </w:rPr>
        <w:t>结算单价均保留整数，小数点前取整数。</w:t>
      </w:r>
    </w:p>
    <w:p>
      <w:pPr>
        <w:pStyle w:val="29"/>
        <w:snapToGrid w:val="0"/>
        <w:spacing w:before="120" w:beforeLines="0" w:after="120" w:afterLines="0" w:line="240" w:lineRule="auto"/>
        <w:ind w:firstLine="240" w:firstLineChars="100"/>
        <w:outlineLvl w:val="0"/>
        <w:rPr>
          <w:rFonts w:hint="eastAsia" w:hAnsi="宋体" w:eastAsia="宋体"/>
          <w:color w:val="0D0D0D"/>
          <w:szCs w:val="21"/>
          <w:lang w:val="en-US" w:eastAsia="zh-CN"/>
        </w:rPr>
      </w:pPr>
      <w:r>
        <w:rPr>
          <w:rFonts w:hAnsi="宋体"/>
          <w:color w:val="0D0D0D"/>
          <w:szCs w:val="21"/>
        </w:rPr>
        <w:t>三、商务需求表</w:t>
      </w:r>
      <w:r>
        <w:rPr>
          <w:rFonts w:hint="eastAsia" w:hAnsi="宋体"/>
          <w:color w:val="0D0D0D"/>
          <w:szCs w:val="21"/>
          <w:lang w:val="en-US" w:eastAsia="zh-CN"/>
        </w:rPr>
        <w:t xml:space="preserve"> </w:t>
      </w:r>
    </w:p>
    <w:tbl>
      <w:tblPr>
        <w:tblStyle w:val="4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D0D0D"/>
                <w:sz w:val="21"/>
                <w:szCs w:val="21"/>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台州湾新区规划支路五（七条河-海茂路）道路工程、台州湾新区正学街（集兴路-甲南大道）道路工程（石粉采购）</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val="en-US" w:eastAsia="zh-CN"/>
              </w:rPr>
              <w:t>甲方指定地点</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b/>
                <w:color w:val="0D0D0D"/>
                <w:sz w:val="21"/>
                <w:szCs w:val="21"/>
                <w:lang w:eastAsia="zh-CN"/>
              </w:rPr>
            </w:pPr>
            <w:r>
              <w:rPr>
                <w:rFonts w:hint="eastAsia" w:ascii="宋体" w:hAnsi="宋体"/>
                <w:color w:val="0D0D0D"/>
                <w:sz w:val="21"/>
                <w:szCs w:val="21"/>
              </w:rPr>
              <w:t>见合同条款</w:t>
            </w:r>
            <w:r>
              <w:rPr>
                <w:rFonts w:hint="eastAsia" w:ascii="宋体" w:hAnsi="宋体"/>
                <w:color w:val="0D0D0D"/>
                <w:sz w:val="21"/>
                <w:szCs w:val="21"/>
                <w:lang w:eastAsia="zh-CN"/>
              </w:rPr>
              <w:t>。</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台州湾新区规划支路五（七条河-海茂路）道路工程、台州湾新区正学街（集兴路-甲南大道）道路工程（石粉采购）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lang w:eastAsia="zh-CN"/>
              </w:rPr>
            </w:pPr>
            <w:r>
              <w:rPr>
                <w:rFonts w:hint="eastAsia" w:ascii="宋体" w:hAnsi="宋体" w:eastAsia="宋体" w:cs="Times New Roman"/>
                <w:color w:val="0D0D0D"/>
                <w:sz w:val="21"/>
                <w:szCs w:val="21"/>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w:t>
            </w:r>
            <w:r>
              <w:rPr>
                <w:rFonts w:hint="eastAsia" w:ascii="宋体" w:hAnsi="宋体" w:eastAsia="宋体" w:cs="Times New Roman"/>
                <w:color w:val="0D0D0D"/>
                <w:sz w:val="21"/>
                <w:szCs w:val="21"/>
                <w:highlight w:val="none"/>
              </w:rPr>
              <w:t>金：人民币</w:t>
            </w:r>
            <w:r>
              <w:rPr>
                <w:rFonts w:hint="eastAsia" w:ascii="宋体" w:hAnsi="宋体" w:eastAsia="宋体" w:cs="Times New Roman"/>
                <w:color w:val="0D0D0D"/>
                <w:sz w:val="21"/>
                <w:szCs w:val="21"/>
                <w:highlight w:val="none"/>
                <w:lang w:val="en-US" w:eastAsia="zh-CN"/>
              </w:rPr>
              <w:t>0.</w:t>
            </w:r>
            <w:r>
              <w:rPr>
                <w:rFonts w:hint="eastAsia" w:ascii="宋体" w:hAnsi="宋体" w:cs="Times New Roman"/>
                <w:color w:val="0D0D0D"/>
                <w:sz w:val="21"/>
                <w:szCs w:val="21"/>
                <w:highlight w:val="none"/>
                <w:lang w:val="en-US" w:eastAsia="zh-CN"/>
              </w:rPr>
              <w:t>3</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eastAsia" w:ascii="宋体" w:hAnsi="宋体" w:eastAsia="宋体" w:cs="Times New Roman"/>
                <w:b/>
                <w:bCs/>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p>
            <w:pPr>
              <w:snapToGrid w:val="0"/>
              <w:rPr>
                <w:rFonts w:hint="default" w:ascii="宋体" w:hAnsi="宋体" w:eastAsia="宋体" w:cs="Times New Roman"/>
                <w:color w:val="0D0D0D"/>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15</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成交供应商在合同签订前向采购人交纳中标价5%的履约保证金，在合同履行完毕（验收合格且付清全部货款）后无息退还。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3"/>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9"/>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9"/>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9"/>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9"/>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9"/>
        <w:snapToGrid w:val="0"/>
        <w:spacing w:before="120" w:beforeLines="0" w:after="120" w:afterLines="0"/>
        <w:ind w:firstLine="551" w:firstLineChars="196"/>
        <w:outlineLvl w:val="0"/>
        <w:rPr>
          <w:rFonts w:hAnsi="宋体"/>
          <w:b/>
          <w:color w:val="0D0D0D"/>
          <w:sz w:val="28"/>
          <w:szCs w:val="28"/>
        </w:rPr>
      </w:pPr>
      <w:r>
        <w:rPr>
          <w:rFonts w:hAnsi="宋体"/>
          <w:b/>
          <w:color w:val="0D0D0D"/>
          <w:sz w:val="28"/>
          <w:szCs w:val="28"/>
        </w:rPr>
        <w:t xml:space="preserve">二  </w:t>
      </w:r>
      <w:r>
        <w:rPr>
          <w:rFonts w:hint="eastAsia" w:hAnsi="宋体"/>
          <w:b/>
          <w:color w:val="0D0D0D"/>
          <w:sz w:val="28"/>
          <w:szCs w:val="28"/>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9"/>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9"/>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9"/>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9"/>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9"/>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9"/>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2"/>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w:t>
      </w:r>
      <w:r>
        <w:rPr>
          <w:rFonts w:hint="eastAsia" w:ascii="宋体" w:hAnsi="宋体"/>
          <w:b/>
          <w:color w:val="0C0C0C"/>
          <w:szCs w:val="24"/>
          <w:highlight w:val="none"/>
        </w:rPr>
        <w:t>货物的供货、包装、运输（货物运到采购人指定的施工现场，如因项目需要发生分批次采购的，相关运费由投标人承担）、保险、</w:t>
      </w:r>
      <w:r>
        <w:rPr>
          <w:rFonts w:hint="eastAsia" w:ascii="宋体" w:hAnsi="宋体"/>
          <w:b/>
          <w:color w:val="0C0C0C"/>
          <w:szCs w:val="24"/>
          <w:highlight w:val="none"/>
          <w:lang w:eastAsia="zh-CN"/>
        </w:rPr>
        <w:t>装卸</w:t>
      </w:r>
      <w:r>
        <w:rPr>
          <w:rFonts w:hint="eastAsia" w:ascii="宋体" w:hAnsi="宋体"/>
          <w:b/>
          <w:color w:val="0C0C0C"/>
          <w:szCs w:val="24"/>
          <w:highlight w:val="none"/>
        </w:rPr>
        <w:t>、损耗、材料、风险、利润税金等一切费用</w:t>
      </w:r>
      <w:r>
        <w:rPr>
          <w:rFonts w:hint="eastAsia" w:ascii="宋体" w:hAnsi="宋体"/>
          <w:b/>
          <w:color w:val="0D0D0D"/>
          <w:szCs w:val="24"/>
        </w:rPr>
        <w:t>，</w:t>
      </w:r>
      <w:r>
        <w:rPr>
          <w:rFonts w:hint="eastAsia" w:ascii="宋体" w:hAnsi="宋体"/>
          <w:color w:val="0D0D0D"/>
          <w:szCs w:val="24"/>
        </w:rPr>
        <w:t>如有漏项，视同已包含在其总项目中。结算时，中标人在综合单价不变的前提下，根据采购人的实际采购数量按实结算。</w:t>
      </w:r>
    </w:p>
    <w:p>
      <w:pPr>
        <w:pStyle w:val="12"/>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2"/>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5.保证金不计息。</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6</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eastAsia="宋体"/>
          <w:color w:val="auto"/>
          <w:sz w:val="24"/>
          <w:highlight w:val="none"/>
          <w:lang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w:t>
      </w:r>
      <w:r>
        <w:rPr>
          <w:rFonts w:hint="eastAsia" w:ascii="宋体" w:hAnsi="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7</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8</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9</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w:t>
      </w:r>
      <w:r>
        <w:rPr>
          <w:rFonts w:hint="eastAsia" w:ascii="宋体" w:hAnsi="宋体" w:cs="Times New Roman"/>
          <w:bCs/>
          <w:color w:val="auto"/>
          <w:sz w:val="24"/>
          <w:highlight w:val="none"/>
          <w:lang w:val="en-US" w:eastAsia="zh-CN"/>
        </w:rPr>
        <w:t>1</w:t>
      </w:r>
      <w:r>
        <w:rPr>
          <w:rFonts w:hint="eastAsia" w:ascii="宋体" w:hAnsi="宋体" w:eastAsia="宋体" w:cs="Times New Roman"/>
          <w:bCs/>
          <w:color w:val="auto"/>
          <w:sz w:val="24"/>
          <w:highlight w:val="none"/>
        </w:rPr>
        <w:t>）法律法规或规章规定属无效标情形的。</w:t>
      </w:r>
    </w:p>
    <w:p>
      <w:pPr>
        <w:pStyle w:val="22"/>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2"/>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2"/>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2"/>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2"/>
        <w:snapToGrid w:val="0"/>
        <w:spacing w:line="400" w:lineRule="atLeast"/>
        <w:ind w:firstLine="464" w:firstLineChars="200"/>
        <w:rPr>
          <w:rFonts w:hint="default" w:ascii="宋体" w:hAnsi="宋体" w:eastAsia="宋体" w:cs="Times New Roman"/>
          <w:color w:val="0D0D0D"/>
          <w:sz w:val="24"/>
          <w:lang w:val="en-US" w:eastAsia="zh-CN"/>
        </w:rPr>
      </w:pP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4</w:t>
      </w: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如综合单价及合价汇总与合计价格不一致，且价格调差超过10元及以上，按招标文件要求作无效标处理。</w:t>
      </w:r>
    </w:p>
    <w:p>
      <w:pPr>
        <w:pStyle w:val="22"/>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ascii="宋体" w:hAnsi="宋体" w:eastAsia="宋体" w:cs="Times New Roman"/>
          <w:b/>
          <w:bCs/>
          <w:color w:val="0D0D0D"/>
          <w:sz w:val="24"/>
          <w:lang w:val="en-US" w:eastAsia="zh-CN"/>
        </w:rPr>
        <w:t>5</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2"/>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2"/>
        <w:snapToGrid w:val="0"/>
        <w:spacing w:line="400" w:lineRule="atLeast"/>
        <w:ind w:firstLine="535" w:firstLineChars="196"/>
        <w:outlineLvl w:val="1"/>
        <w:rPr>
          <w:rFonts w:hAnsi="宋体"/>
          <w:b/>
          <w:snapToGrid w:val="0"/>
          <w:color w:val="0D0D0D"/>
          <w:sz w:val="28"/>
          <w:szCs w:val="28"/>
        </w:rPr>
      </w:pPr>
      <w:r>
        <w:rPr>
          <w:rFonts w:hAnsi="宋体"/>
          <w:b/>
          <w:color w:val="0D0D0D"/>
          <w:sz w:val="28"/>
          <w:szCs w:val="28"/>
        </w:rPr>
        <w:t>四、开标</w:t>
      </w:r>
    </w:p>
    <w:p>
      <w:pPr>
        <w:pStyle w:val="29"/>
        <w:snapToGrid w:val="0"/>
        <w:spacing w:beforeLines="0" w:afterLines="0"/>
        <w:ind w:firstLine="472" w:firstLineChars="196"/>
        <w:rPr>
          <w:rFonts w:hAnsi="宋体"/>
          <w:b/>
          <w:color w:val="0D0D0D"/>
        </w:rPr>
      </w:pPr>
      <w:r>
        <w:rPr>
          <w:rFonts w:hAnsi="宋体"/>
          <w:b/>
          <w:color w:val="0D0D0D"/>
        </w:rPr>
        <w:t>（一）开标准备</w:t>
      </w:r>
    </w:p>
    <w:p>
      <w:pPr>
        <w:pStyle w:val="43"/>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2"/>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9"/>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9"/>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9"/>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9"/>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9"/>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autoSpaceDE w:val="0"/>
        <w:autoSpaceDN w:val="0"/>
        <w:adjustRightInd w:val="0"/>
        <w:spacing w:line="360" w:lineRule="auto"/>
        <w:ind w:right="-14" w:firstLine="241" w:firstLineChars="100"/>
        <w:jc w:val="left"/>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4</w:t>
      </w:r>
      <w:r>
        <w:rPr>
          <w:rFonts w:hint="eastAsia" w:ascii="宋体" w:hAnsi="宋体" w:eastAsia="宋体" w:cs="Times New Roman"/>
          <w:b/>
          <w:bCs w:val="0"/>
          <w:color w:val="auto"/>
          <w:sz w:val="24"/>
          <w:highlight w:val="none"/>
          <w:lang w:eastAsia="zh-CN"/>
        </w:rPr>
        <w:t>）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pPr>
        <w:pStyle w:val="29"/>
        <w:snapToGrid w:val="0"/>
        <w:spacing w:beforeLines="0" w:afterLines="0"/>
        <w:ind w:left="1029" w:leftChars="193" w:hanging="489" w:hangingChars="174"/>
        <w:outlineLvl w:val="1"/>
        <w:rPr>
          <w:rFonts w:hAnsi="宋体"/>
          <w:b/>
          <w:color w:val="0D0D0D"/>
          <w:sz w:val="28"/>
          <w:szCs w:val="28"/>
        </w:rPr>
      </w:pPr>
      <w:r>
        <w:rPr>
          <w:rFonts w:hAnsi="宋体"/>
          <w:b/>
          <w:color w:val="0D0D0D"/>
          <w:sz w:val="28"/>
          <w:szCs w:val="28"/>
        </w:rPr>
        <w:t>五、评标</w:t>
      </w:r>
    </w:p>
    <w:p>
      <w:pPr>
        <w:pStyle w:val="29"/>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9"/>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9"/>
        <w:snapToGrid w:val="0"/>
        <w:spacing w:beforeLines="0" w:afterLines="0"/>
        <w:ind w:left="879" w:leftChars="129" w:hanging="518" w:hangingChars="215"/>
        <w:rPr>
          <w:rFonts w:hAnsi="宋体"/>
          <w:b/>
          <w:color w:val="0D0D0D"/>
        </w:rPr>
      </w:pPr>
      <w:r>
        <w:rPr>
          <w:rFonts w:hAnsi="宋体"/>
          <w:b/>
          <w:color w:val="0D0D0D"/>
        </w:rPr>
        <w:t>（二）评标的方式</w:t>
      </w:r>
    </w:p>
    <w:p>
      <w:pPr>
        <w:pStyle w:val="29"/>
        <w:snapToGrid w:val="0"/>
        <w:spacing w:beforeLines="0" w:afterLines="0"/>
        <w:ind w:left="878" w:leftChars="228"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9"/>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9"/>
        <w:snapToGrid w:val="0"/>
        <w:spacing w:beforeLines="0" w:afterLines="0"/>
        <w:ind w:left="877" w:leftChars="129" w:hanging="516" w:hangingChars="214"/>
        <w:rPr>
          <w:rFonts w:hAnsi="宋体"/>
          <w:b/>
          <w:color w:val="0D0D0D"/>
        </w:rPr>
      </w:pPr>
      <w:r>
        <w:rPr>
          <w:rFonts w:hAnsi="宋体"/>
          <w:b/>
          <w:color w:val="0D0D0D"/>
        </w:rPr>
        <w:t>（五）错误修正</w:t>
      </w:r>
    </w:p>
    <w:p>
      <w:pPr>
        <w:pStyle w:val="29"/>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9"/>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9"/>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9"/>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9"/>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9"/>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9"/>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9"/>
        <w:snapToGrid w:val="0"/>
        <w:spacing w:beforeLines="0" w:afterLines="0"/>
        <w:ind w:firstLine="359" w:firstLineChars="149"/>
        <w:rPr>
          <w:rFonts w:hAnsi="宋体"/>
          <w:b/>
          <w:color w:val="0D0D0D"/>
        </w:rPr>
      </w:pPr>
      <w:r>
        <w:rPr>
          <w:rFonts w:hAnsi="宋体"/>
          <w:b/>
          <w:color w:val="0D0D0D"/>
        </w:rPr>
        <w:t>（八）评标过程的监控</w:t>
      </w:r>
    </w:p>
    <w:p>
      <w:pPr>
        <w:pStyle w:val="29"/>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9"/>
        <w:snapToGrid w:val="0"/>
        <w:spacing w:beforeLines="0" w:afterLines="0"/>
        <w:ind w:firstLine="551" w:firstLineChars="196"/>
        <w:outlineLvl w:val="1"/>
        <w:rPr>
          <w:rFonts w:hAnsi="宋体"/>
          <w:b/>
          <w:color w:val="0D0D0D"/>
          <w:sz w:val="28"/>
          <w:szCs w:val="28"/>
        </w:rPr>
      </w:pPr>
      <w:r>
        <w:rPr>
          <w:rFonts w:hAnsi="宋体"/>
          <w:b/>
          <w:color w:val="0D0D0D"/>
          <w:sz w:val="28"/>
          <w:szCs w:val="28"/>
        </w:rPr>
        <w:t>六、定标</w:t>
      </w:r>
    </w:p>
    <w:p>
      <w:pPr>
        <w:pStyle w:val="29"/>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9"/>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9"/>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9"/>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9"/>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9"/>
        <w:snapToGrid w:val="0"/>
        <w:spacing w:before="120" w:beforeLines="0" w:after="120" w:afterLines="0" w:line="240" w:lineRule="auto"/>
        <w:rPr>
          <w:color w:val="0D0D0D"/>
        </w:rPr>
      </w:pPr>
      <w:r>
        <w:rPr>
          <w:color w:val="0D0D0D"/>
        </w:rPr>
        <w:br w:type="page"/>
      </w:r>
    </w:p>
    <w:p>
      <w:pPr>
        <w:pStyle w:val="29"/>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spacing w:line="360" w:lineRule="auto"/>
        <w:ind w:left="506" w:leftChars="177" w:hanging="10"/>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w:t>
      </w:r>
    </w:p>
    <w:p>
      <w:pPr>
        <w:spacing w:before="120" w:beforeLines="50" w:after="120" w:afterLines="50" w:line="360" w:lineRule="auto"/>
        <w:rPr>
          <w:rFonts w:hint="eastAsia" w:ascii="宋体" w:hAnsi="宋体" w:cs="宋体"/>
          <w:color w:val="0D0D0D"/>
          <w:sz w:val="24"/>
        </w:rPr>
      </w:pPr>
      <w:r>
        <w:rPr>
          <w:rFonts w:hint="eastAsia" w:ascii="宋体" w:hAnsi="宋体" w:cs="宋体"/>
          <w:color w:val="0D0D0D"/>
          <w:sz w:val="24"/>
        </w:rPr>
        <w:t>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340300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9"/>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台州湾新区规划支路五（七条河-海茂路）道路工程、台州湾新区正学街（集兴路-甲南大道）道路工程（石粉采购）</w:t>
      </w:r>
      <w:r>
        <w:rPr>
          <w:rFonts w:hAnsi="宋体"/>
          <w:color w:val="0D0D0D"/>
        </w:rPr>
        <w:t xml:space="preserve"> </w:t>
      </w:r>
    </w:p>
    <w:p>
      <w:pPr>
        <w:pStyle w:val="29"/>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台州东发建设投资有限公司</w:t>
      </w:r>
    </w:p>
    <w:p>
      <w:pPr>
        <w:pStyle w:val="29"/>
        <w:snapToGrid w:val="0"/>
        <w:spacing w:before="120" w:beforeLines="0" w:after="120" w:afterLines="0" w:line="420" w:lineRule="exact"/>
        <w:rPr>
          <w:rFonts w:hAnsi="宋体"/>
          <w:color w:val="0D0D0D"/>
        </w:rPr>
      </w:pPr>
      <w:r>
        <w:rPr>
          <w:rFonts w:hAnsi="宋体"/>
          <w:color w:val="0D0D0D"/>
        </w:rPr>
        <w:t>乙方：（卖方）</w:t>
      </w:r>
    </w:p>
    <w:p>
      <w:pPr>
        <w:pStyle w:val="29"/>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台州湾新区规划支路五（七条河-海茂路）道路工程、台州湾新区正学街（集兴路-甲南大道）道路工程（石粉采购）</w:t>
      </w:r>
      <w:r>
        <w:rPr>
          <w:rFonts w:hAnsi="宋体"/>
          <w:color w:val="0D0D0D"/>
        </w:rPr>
        <w:t>公开招标的结果，签署本合同。</w:t>
      </w:r>
    </w:p>
    <w:p>
      <w:pPr>
        <w:pStyle w:val="29"/>
        <w:snapToGrid w:val="0"/>
        <w:spacing w:before="120" w:after="120" w:line="420" w:lineRule="exact"/>
        <w:rPr>
          <w:rFonts w:hAnsi="宋体"/>
          <w:b/>
          <w:bCs/>
          <w:color w:val="0D0D0D"/>
        </w:rPr>
      </w:pPr>
      <w:r>
        <w:rPr>
          <w:rFonts w:hAnsi="宋体"/>
          <w:b/>
          <w:bCs/>
          <w:color w:val="0D0D0D"/>
        </w:rPr>
        <w:t>合同文件</w:t>
      </w:r>
    </w:p>
    <w:p>
      <w:pPr>
        <w:pStyle w:val="29"/>
        <w:snapToGrid w:val="0"/>
        <w:spacing w:before="120" w:after="120" w:line="420" w:lineRule="exact"/>
        <w:rPr>
          <w:rFonts w:hAnsi="宋体"/>
          <w:color w:val="0D0D0D"/>
        </w:rPr>
      </w:pPr>
      <w:r>
        <w:rPr>
          <w:rFonts w:hAnsi="宋体"/>
          <w:color w:val="0D0D0D"/>
        </w:rPr>
        <w:t xml:space="preserve">   下列文件构成本合同的组成部分：</w:t>
      </w:r>
    </w:p>
    <w:p>
      <w:pPr>
        <w:pStyle w:val="29"/>
        <w:snapToGrid w:val="0"/>
        <w:spacing w:before="120" w:after="120" w:line="420" w:lineRule="exact"/>
        <w:rPr>
          <w:rFonts w:hint="eastAsia" w:hAnsi="宋体"/>
          <w:color w:val="0D0D0D"/>
        </w:rPr>
      </w:pPr>
      <w:r>
        <w:rPr>
          <w:rFonts w:hAnsi="宋体"/>
          <w:color w:val="0D0D0D"/>
        </w:rPr>
        <w:t>(1) 中标通知书</w:t>
      </w:r>
    </w:p>
    <w:p>
      <w:pPr>
        <w:pStyle w:val="29"/>
        <w:snapToGrid w:val="0"/>
        <w:spacing w:before="120" w:after="120" w:line="420" w:lineRule="exact"/>
        <w:rPr>
          <w:rFonts w:hAnsi="宋体"/>
          <w:color w:val="0D0D0D"/>
        </w:rPr>
      </w:pPr>
      <w:r>
        <w:rPr>
          <w:rFonts w:hAnsi="宋体"/>
          <w:color w:val="0D0D0D"/>
        </w:rPr>
        <w:t>(2) 合同主要条款</w:t>
      </w:r>
    </w:p>
    <w:p>
      <w:pPr>
        <w:pStyle w:val="29"/>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9"/>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9"/>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9"/>
        <w:snapToGrid w:val="0"/>
        <w:spacing w:before="120" w:beforeLines="0" w:after="120" w:afterLines="0" w:line="420" w:lineRule="exact"/>
        <w:rPr>
          <w:rFonts w:hAnsi="宋体"/>
          <w:b/>
          <w:color w:val="0D0D0D"/>
        </w:rPr>
      </w:pPr>
      <w:r>
        <w:rPr>
          <w:rFonts w:hAnsi="宋体"/>
          <w:b/>
          <w:color w:val="0D0D0D"/>
        </w:rPr>
        <w:t>一、货物内容</w:t>
      </w:r>
    </w:p>
    <w:p>
      <w:pPr>
        <w:pStyle w:val="29"/>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台州湾新区规划支路五（七条河-海茂路）道路工程、台州湾新区正学街（集兴路-甲南大道）道路工程（石粉采购）</w:t>
      </w:r>
    </w:p>
    <w:p>
      <w:pPr>
        <w:pStyle w:val="29"/>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7"/>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2469"/>
        <w:gridCol w:w="3450"/>
        <w:gridCol w:w="561"/>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3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序号</w:t>
            </w:r>
          </w:p>
        </w:tc>
        <w:tc>
          <w:tcPr>
            <w:tcW w:w="24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采购内容</w:t>
            </w:r>
          </w:p>
        </w:tc>
        <w:tc>
          <w:tcPr>
            <w:tcW w:w="34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规格</w:t>
            </w:r>
          </w:p>
        </w:tc>
        <w:tc>
          <w:tcPr>
            <w:tcW w:w="561"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64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4"/>
                <w:szCs w:val="24"/>
                <w:u w:val="none"/>
              </w:rPr>
            </w:pPr>
            <w:r>
              <w:rPr>
                <w:rFonts w:hint="eastAsia" w:ascii="宋体" w:hAnsi="宋体" w:eastAsia="宋体" w:cs="宋体"/>
                <w:b/>
                <w:i w:val="0"/>
                <w:color w:val="0C0C0C"/>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896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台州湾新区规划支路五（七条河-海茂路）道路工程（滨海垃圾中转站东侧）（石粉采购）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石粉（水泥稳定层用料）</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96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台州湾新区正学街（集兴路-甲南大道）道路工程（石粉采购）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石粉（水泥稳定层用料）</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2600</w:t>
            </w:r>
          </w:p>
        </w:tc>
      </w:tr>
    </w:tbl>
    <w:p>
      <w:pPr>
        <w:pStyle w:val="29"/>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9"/>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1.4合同期限：</w:t>
      </w:r>
      <w:r>
        <w:rPr>
          <w:rFonts w:hint="eastAsia" w:hAnsi="宋体"/>
          <w:b w:val="0"/>
          <w:bCs/>
          <w:color w:val="0C0C0C"/>
          <w:highlight w:val="none"/>
          <w:lang w:eastAsia="zh-CN"/>
        </w:rPr>
        <w:t>自收到中标通知书后15个工作日内完成供货；如因项目需要分批次供货的，则每批次货物自接到买方通知后3个工作日内完成供货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29"/>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9"/>
        <w:snapToGrid w:val="0"/>
        <w:spacing w:before="120" w:beforeLines="0" w:after="120" w:afterLines="0" w:line="420" w:lineRule="exact"/>
        <w:rPr>
          <w:rFonts w:hAnsi="宋体"/>
          <w:b/>
          <w:color w:val="0D0D0D"/>
        </w:rPr>
      </w:pPr>
      <w:r>
        <w:rPr>
          <w:rFonts w:hAnsi="宋体"/>
          <w:b/>
          <w:color w:val="0D0D0D"/>
        </w:rPr>
        <w:t>二、合同金额</w:t>
      </w:r>
    </w:p>
    <w:p>
      <w:pPr>
        <w:pStyle w:val="29"/>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9"/>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7"/>
        <w:tblW w:w="4993" w:type="pct"/>
        <w:jc w:val="center"/>
        <w:tblLayout w:type="fixed"/>
        <w:tblCellMar>
          <w:top w:w="0" w:type="dxa"/>
          <w:left w:w="108" w:type="dxa"/>
          <w:bottom w:w="0" w:type="dxa"/>
          <w:right w:w="108" w:type="dxa"/>
        </w:tblCellMar>
      </w:tblPr>
      <w:tblGrid>
        <w:gridCol w:w="838"/>
        <w:gridCol w:w="1531"/>
        <w:gridCol w:w="1721"/>
        <w:gridCol w:w="1783"/>
        <w:gridCol w:w="1940"/>
        <w:gridCol w:w="1575"/>
      </w:tblGrid>
      <w:tr>
        <w:tblPrEx>
          <w:tblCellMar>
            <w:top w:w="0" w:type="dxa"/>
            <w:left w:w="108" w:type="dxa"/>
            <w:bottom w:w="0" w:type="dxa"/>
            <w:right w:w="108" w:type="dxa"/>
          </w:tblCellMar>
        </w:tblPrEx>
        <w:trPr>
          <w:trHeight w:val="680"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hAnsi="宋体" w:eastAsia="宋体"/>
                <w:bCs/>
                <w:color w:val="auto"/>
                <w:sz w:val="22"/>
                <w:szCs w:val="22"/>
                <w:highlight w:val="none"/>
                <w:lang w:eastAsia="zh-CN"/>
              </w:rPr>
            </w:pPr>
            <w:r>
              <w:rPr>
                <w:rFonts w:hint="eastAsia" w:hAnsi="宋体"/>
                <w:bCs/>
                <w:color w:val="auto"/>
                <w:sz w:val="18"/>
                <w:szCs w:val="18"/>
                <w:highlight w:val="none"/>
                <w:lang w:eastAsia="zh-CN"/>
              </w:rPr>
              <w:t>台州湾新区规划支路五（七条河-海茂路）道路工程、台州湾新区正学街（集兴路-甲南大道）道路工程（石粉采购）</w:t>
            </w:r>
          </w:p>
        </w:tc>
      </w:tr>
      <w:tr>
        <w:tblPrEx>
          <w:tblCellMar>
            <w:top w:w="0" w:type="dxa"/>
            <w:left w:w="108" w:type="dxa"/>
            <w:bottom w:w="0" w:type="dxa"/>
            <w:right w:w="108" w:type="dxa"/>
          </w:tblCellMar>
        </w:tblPrEx>
        <w:trPr>
          <w:trHeight w:val="680" w:hRule="exac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cs="Arial"/>
                <w:bCs/>
                <w:color w:val="auto"/>
                <w:sz w:val="21"/>
                <w:szCs w:val="21"/>
                <w:highlight w:val="none"/>
              </w:rPr>
            </w:pPr>
            <w:r>
              <w:rPr>
                <w:rFonts w:hint="eastAsia" w:hAnsi="宋体"/>
                <w:bCs/>
                <w:color w:val="auto"/>
                <w:highlight w:val="none"/>
              </w:rPr>
              <w:t>序号</w:t>
            </w: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rPr>
              <w:t>采购内容</w:t>
            </w:r>
          </w:p>
        </w:tc>
        <w:tc>
          <w:tcPr>
            <w:tcW w:w="916"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lang w:val="en-US" w:eastAsia="zh-CN"/>
              </w:rPr>
              <w:t>规格型号</w:t>
            </w:r>
          </w:p>
        </w:tc>
        <w:tc>
          <w:tcPr>
            <w:tcW w:w="949"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bCs/>
                <w:color w:val="auto"/>
                <w:highlight w:val="none"/>
              </w:rPr>
              <w:t>工程暂估量</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t</w:t>
            </w:r>
            <w:r>
              <w:rPr>
                <w:rFonts w:hint="eastAsia" w:ascii="宋体" w:hAnsi="宋体" w:cs="宋体"/>
                <w:bCs/>
                <w:color w:val="auto"/>
                <w:sz w:val="21"/>
                <w:szCs w:val="21"/>
                <w:highlight w:val="none"/>
                <w:lang w:eastAsia="zh-CN"/>
              </w:rPr>
              <w:t>）</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hAnsi="宋体"/>
                <w:color w:val="auto"/>
                <w:highlight w:val="none"/>
              </w:rPr>
            </w:pPr>
            <w:r>
              <w:rPr>
                <w:rFonts w:hint="eastAsia" w:hAnsi="宋体"/>
                <w:bCs/>
                <w:color w:val="auto"/>
                <w:highlight w:val="none"/>
              </w:rPr>
              <w:t>综合单价</w:t>
            </w:r>
            <w:r>
              <w:rPr>
                <w:rFonts w:hint="eastAsia" w:ascii="宋体" w:hAnsi="宋体" w:cs="宋体"/>
                <w:bCs/>
                <w:color w:val="auto"/>
                <w:sz w:val="21"/>
                <w:szCs w:val="21"/>
                <w:highlight w:val="none"/>
              </w:rPr>
              <w:t>（元/</w:t>
            </w:r>
            <w:r>
              <w:rPr>
                <w:rFonts w:hint="eastAsia" w:hAnsi="宋体" w:cs="宋体"/>
                <w:bCs/>
                <w:color w:val="auto"/>
                <w:sz w:val="21"/>
                <w:szCs w:val="21"/>
                <w:highlight w:val="none"/>
                <w:lang w:val="en-US" w:eastAsia="zh-CN"/>
              </w:rPr>
              <w:t>t</w:t>
            </w:r>
            <w:r>
              <w:rPr>
                <w:rFonts w:hint="eastAsia" w:ascii="宋体" w:hAnsi="宋体" w:cs="宋体"/>
                <w:bCs/>
                <w:color w:val="auto"/>
                <w:sz w:val="21"/>
                <w:szCs w:val="21"/>
                <w:highlight w:val="none"/>
              </w:rPr>
              <w:t>）</w:t>
            </w:r>
          </w:p>
        </w:tc>
        <w:tc>
          <w:tcPr>
            <w:tcW w:w="838"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hAnsi="宋体"/>
                <w:color w:val="auto"/>
                <w:highlight w:val="none"/>
              </w:rPr>
            </w:pPr>
            <w:r>
              <w:rPr>
                <w:rFonts w:hint="eastAsia" w:hAnsi="宋体"/>
                <w:bCs/>
                <w:color w:val="auto"/>
                <w:highlight w:val="none"/>
              </w:rPr>
              <w:t>总价</w:t>
            </w:r>
            <w:r>
              <w:rPr>
                <w:rFonts w:hint="eastAsia" w:ascii="宋体" w:hAnsi="宋体" w:cs="宋体"/>
                <w:bCs/>
                <w:color w:val="auto"/>
                <w:sz w:val="21"/>
                <w:szCs w:val="21"/>
                <w:highlight w:val="none"/>
              </w:rPr>
              <w:t>（元）</w:t>
            </w:r>
          </w:p>
        </w:tc>
      </w:tr>
      <w:tr>
        <w:tblPrEx>
          <w:tblCellMar>
            <w:top w:w="0" w:type="dxa"/>
            <w:left w:w="108" w:type="dxa"/>
            <w:bottom w:w="0" w:type="dxa"/>
            <w:right w:w="108" w:type="dxa"/>
          </w:tblCellMar>
        </w:tblPrEx>
        <w:trPr>
          <w:trHeight w:val="680" w:hRule="exac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rPr>
            </w:pPr>
            <w:r>
              <w:rPr>
                <w:rFonts w:hint="eastAsia" w:ascii="宋体" w:hAnsi="宋体" w:eastAsia="宋体" w:cs="宋体"/>
                <w:i w:val="0"/>
                <w:color w:val="000000"/>
                <w:kern w:val="0"/>
                <w:sz w:val="22"/>
                <w:szCs w:val="22"/>
                <w:u w:val="none"/>
                <w:lang w:val="en-US" w:eastAsia="zh-CN" w:bidi="ar"/>
              </w:rPr>
              <w:t>1</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石粉（水泥稳定层用料）</w:t>
            </w:r>
          </w:p>
        </w:tc>
        <w:tc>
          <w:tcPr>
            <w:tcW w:w="9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9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bCs/>
                <w:color w:val="auto"/>
                <w:highlight w:val="none"/>
                <w:lang w:val="en-US" w:eastAsia="zh-CN"/>
              </w:rPr>
            </w:pPr>
            <w:r>
              <w:rPr>
                <w:rFonts w:hint="eastAsia" w:ascii="宋体" w:hAnsi="宋体" w:cs="宋体"/>
                <w:i w:val="0"/>
                <w:color w:val="000000"/>
                <w:kern w:val="0"/>
                <w:sz w:val="22"/>
                <w:szCs w:val="22"/>
                <w:u w:val="none"/>
                <w:lang w:val="en-US" w:eastAsia="zh-CN" w:bidi="ar"/>
              </w:rPr>
              <w:t>4100</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olor w:val="auto"/>
                <w:highlight w:val="none"/>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hAnsi="宋体"/>
                <w:color w:val="auto"/>
                <w:highlight w:val="none"/>
              </w:rPr>
            </w:pPr>
          </w:p>
        </w:tc>
      </w:tr>
      <w:tr>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rPr>
                <w:rFonts w:hint="eastAsia" w:hAnsi="宋体"/>
                <w:color w:val="auto"/>
                <w:highlight w:val="none"/>
              </w:rPr>
            </w:pPr>
            <w:r>
              <w:rPr>
                <w:rFonts w:hint="eastAsia" w:hAnsi="宋体"/>
                <w:color w:val="auto"/>
                <w:highlight w:val="none"/>
              </w:rPr>
              <w:t>报价合计</w:t>
            </w:r>
            <w:r>
              <w:rPr>
                <w:rFonts w:hint="eastAsia" w:hAnsi="宋体"/>
                <w:color w:val="auto"/>
                <w:highlight w:val="none"/>
                <w:lang w:val="en-US" w:eastAsia="zh-CN"/>
              </w:rPr>
              <w:t>=</w:t>
            </w:r>
            <w:r>
              <w:rPr>
                <w:rFonts w:hint="eastAsia" w:hAnsi="宋体"/>
                <w:color w:val="auto"/>
                <w:highlight w:val="none"/>
                <w:u w:val="single"/>
              </w:rPr>
              <w:t xml:space="preserve">                          </w:t>
            </w:r>
            <w:r>
              <w:rPr>
                <w:rFonts w:hint="eastAsia" w:hAnsi="宋体"/>
                <w:color w:val="auto"/>
                <w:highlight w:val="none"/>
              </w:rPr>
              <w:t>（元）</w:t>
            </w:r>
          </w:p>
        </w:tc>
      </w:tr>
      <w:tr>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rPr>
                <w:rFonts w:hint="eastAsia" w:hAnsi="宋体"/>
                <w:color w:val="auto"/>
                <w:highlight w:val="none"/>
              </w:rPr>
            </w:pPr>
            <w:r>
              <w:rPr>
                <w:rFonts w:hint="eastAsia" w:ascii="宋体" w:hAnsi="宋体" w:cs="宋体"/>
                <w:i w:val="0"/>
                <w:color w:val="auto"/>
                <w:kern w:val="0"/>
                <w:sz w:val="22"/>
                <w:szCs w:val="22"/>
                <w:highlight w:val="none"/>
                <w:u w:val="none"/>
                <w:lang w:val="en-US" w:eastAsia="zh-CN" w:bidi="ar"/>
              </w:rPr>
              <w:t>注：</w:t>
            </w:r>
            <w:r>
              <w:rPr>
                <w:rFonts w:hint="eastAsia" w:ascii="宋体" w:hAnsi="宋体" w:eastAsia="宋体" w:cs="宋体"/>
                <w:i w:val="0"/>
                <w:color w:val="000000"/>
                <w:kern w:val="0"/>
                <w:sz w:val="22"/>
                <w:szCs w:val="22"/>
                <w:u w:val="none"/>
                <w:lang w:val="en-US" w:eastAsia="zh-CN" w:bidi="ar"/>
              </w:rPr>
              <w:t>石粉需满足水泥稳定层配比用料，含泥量≤3％。</w:t>
            </w:r>
          </w:p>
        </w:tc>
      </w:tr>
    </w:tbl>
    <w:p>
      <w:pPr>
        <w:pStyle w:val="29"/>
        <w:snapToGrid w:val="0"/>
        <w:spacing w:before="120" w:beforeLines="0" w:after="120" w:afterLines="0" w:line="240" w:lineRule="auto"/>
        <w:ind w:firstLine="240" w:firstLineChars="100"/>
        <w:outlineLvl w:val="0"/>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9"/>
        <w:snapToGrid w:val="0"/>
        <w:spacing w:before="120" w:beforeLines="0" w:after="120" w:afterLines="0" w:line="420" w:lineRule="exact"/>
        <w:rPr>
          <w:rFonts w:hint="eastAsia" w:hAnsi="宋体"/>
          <w:color w:val="0C0C0C"/>
          <w:highlight w:val="none"/>
        </w:rPr>
      </w:pPr>
      <w:r>
        <w:rPr>
          <w:rFonts w:hint="eastAsia" w:hAnsi="宋体"/>
          <w:color w:val="0C0C0C"/>
          <w:highlight w:val="none"/>
        </w:rPr>
        <w:t>2.2 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9"/>
        <w:snapToGrid w:val="0"/>
        <w:spacing w:before="120" w:beforeLines="0" w:after="120" w:afterLines="0" w:line="420" w:lineRule="exact"/>
        <w:rPr>
          <w:rFonts w:hint="eastAsia" w:hAnsi="宋体" w:eastAsia="宋体" w:cs="Times New Roman"/>
          <w:color w:val="0C0C0C"/>
          <w:highlight w:val="green"/>
          <w:lang w:val="en-US" w:eastAsia="zh-CN"/>
        </w:rPr>
      </w:pPr>
      <w:r>
        <w:rPr>
          <w:rFonts w:hint="eastAsia" w:hAnsi="宋体" w:eastAsia="宋体" w:cs="Times New Roman"/>
          <w:color w:val="0C0C0C"/>
          <w:highlight w:val="none"/>
          <w:lang w:val="en-US" w:eastAsia="zh-CN"/>
        </w:rPr>
        <w:t>2.3合同期内，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eastAsia="宋体" w:cs="Times New Roman"/>
          <w:color w:val="0C0C0C"/>
          <w:highlight w:val="none"/>
          <w:lang w:val="en-US" w:eastAsia="zh-CN"/>
        </w:rPr>
        <w:t>（1）关于基准价格的约定</w:t>
      </w:r>
      <w:r>
        <w:rPr>
          <w:rFonts w:hint="eastAsia" w:hAnsi="宋体" w:eastAsia="宋体" w:cs="Times New Roman"/>
          <w:color w:val="0000FF"/>
          <w:highlight w:val="none"/>
          <w:lang w:val="en-US" w:eastAsia="zh-CN"/>
        </w:rPr>
        <w:t>：</w:t>
      </w:r>
      <w:r>
        <w:rPr>
          <w:rFonts w:hint="eastAsia" w:hAnsi="宋体"/>
          <w:color w:val="auto"/>
          <w:szCs w:val="21"/>
          <w:highlight w:val="none"/>
          <w:lang w:val="en-US" w:eastAsia="zh-CN"/>
        </w:rPr>
        <w:t>A1=采用《台州造价》（正刊）（工程所在地2024年第3期）</w:t>
      </w:r>
      <w:r>
        <w:rPr>
          <w:rFonts w:hint="eastAsia" w:hAnsi="宋体"/>
          <w:color w:val="0C0C0C"/>
          <w:szCs w:val="21"/>
          <w:highlight w:val="none"/>
          <w:lang w:val="en-US" w:eastAsia="zh-CN"/>
        </w:rPr>
        <w:t>对应材料信息价（含税）</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（2）市场价格约定：A2=每批次材料供应时，《台州造价》（正刊）（工程所在地）对应材料信息价（含税）；（具体时间以每批次材料供应清单时间为准）</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（3）调整方法</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a、当A2＞A1时，结算综合单价按超出的金额调增，即该材料结算综合单价=中标综合单价+（A2-A1)；</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b、当A2＜A1时，结算综合单价按低于的金额调减，即该材料结算综合单价=中标综合单价-（A1-A2)；</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c、当A2=A1时，结算单价不作调整；</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（4）如因中标人原因引起的供货延期，延期期间的材料价格上涨时（与合同工期价格比较），价格不予调整；下跌时，按下跌后的价格调整。</w:t>
      </w:r>
    </w:p>
    <w:p>
      <w:pPr>
        <w:pStyle w:val="29"/>
        <w:snapToGrid w:val="0"/>
        <w:spacing w:before="120" w:beforeLines="0" w:after="120" w:afterLines="0" w:line="420" w:lineRule="exact"/>
        <w:rPr>
          <w:rFonts w:hint="eastAsia" w:hAnsi="宋体"/>
          <w:color w:val="0C0C0C"/>
          <w:highlight w:val="none"/>
        </w:rPr>
      </w:pPr>
      <w:r>
        <w:rPr>
          <w:rFonts w:hint="eastAsia" w:hAnsi="宋体" w:eastAsia="宋体" w:cs="Times New Roman"/>
          <w:color w:val="0C0C0C"/>
          <w:highlight w:val="none"/>
          <w:lang w:val="en-US" w:eastAsia="zh-CN"/>
        </w:rPr>
        <w:t>结算单价均保留整数，小数点前取整数。</w:t>
      </w:r>
    </w:p>
    <w:p>
      <w:pPr>
        <w:pStyle w:val="29"/>
        <w:snapToGrid w:val="0"/>
        <w:spacing w:before="120" w:beforeLines="0" w:after="120" w:afterLines="0" w:line="420" w:lineRule="exact"/>
        <w:rPr>
          <w:rFonts w:hAnsi="宋体"/>
          <w:b/>
          <w:color w:val="0D0D0D"/>
        </w:rPr>
      </w:pPr>
      <w:r>
        <w:rPr>
          <w:rFonts w:hAnsi="宋体"/>
          <w:b/>
          <w:color w:val="0D0D0D"/>
        </w:rPr>
        <w:t>三、技术资料</w:t>
      </w:r>
    </w:p>
    <w:p>
      <w:pPr>
        <w:pStyle w:val="29"/>
        <w:snapToGrid w:val="0"/>
        <w:spacing w:before="120" w:beforeLines="0" w:after="120" w:afterLines="0" w:line="420" w:lineRule="exact"/>
        <w:rPr>
          <w:rFonts w:hAnsi="宋体"/>
          <w:color w:val="0D0D0D"/>
        </w:rPr>
      </w:pPr>
      <w:r>
        <w:rPr>
          <w:rFonts w:hAnsi="宋体"/>
          <w:color w:val="0D0D0D"/>
        </w:rPr>
        <w:t>3.1乙方应按招标文件规定的时间向甲方提供使用货物的有关技术资料。</w:t>
      </w:r>
    </w:p>
    <w:p>
      <w:pPr>
        <w:pStyle w:val="29"/>
        <w:snapToGrid w:val="0"/>
        <w:spacing w:before="120" w:beforeLines="0" w:after="120" w:afterLines="0" w:line="420" w:lineRule="exact"/>
        <w:rPr>
          <w:rFonts w:hAnsi="宋体"/>
          <w:color w:val="0D0D0D"/>
        </w:rPr>
      </w:pPr>
      <w:r>
        <w:rPr>
          <w:rFonts w:hAnsi="宋体"/>
          <w:color w:val="0D0D0D"/>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before="120" w:beforeLines="0" w:after="120" w:afterLines="0" w:line="420" w:lineRule="exact"/>
        <w:rPr>
          <w:rFonts w:hAnsi="宋体"/>
          <w:b/>
          <w:color w:val="0D0D0D"/>
        </w:rPr>
      </w:pPr>
      <w:r>
        <w:rPr>
          <w:rFonts w:hAnsi="宋体"/>
          <w:b/>
          <w:color w:val="0D0D0D"/>
        </w:rPr>
        <w:t>四、知识产权</w:t>
      </w:r>
    </w:p>
    <w:p>
      <w:pPr>
        <w:pStyle w:val="29"/>
        <w:snapToGrid w:val="0"/>
        <w:spacing w:before="120" w:beforeLines="0" w:after="120" w:afterLines="0" w:line="420" w:lineRule="exact"/>
        <w:rPr>
          <w:rFonts w:hAnsi="宋体"/>
          <w:color w:val="0D0D0D"/>
        </w:rPr>
      </w:pPr>
      <w:r>
        <w:rPr>
          <w:rFonts w:hAnsi="宋体"/>
          <w:color w:val="0D0D0D"/>
        </w:rPr>
        <w:t>4.1 乙方应保证所提供的货物或其任何一部分均不会侵犯任何第三方的知识产权。</w:t>
      </w:r>
    </w:p>
    <w:p>
      <w:pPr>
        <w:pStyle w:val="29"/>
        <w:snapToGrid w:val="0"/>
        <w:spacing w:before="120" w:beforeLines="0" w:after="120" w:afterLines="0" w:line="420" w:lineRule="exact"/>
        <w:rPr>
          <w:rFonts w:hAnsi="宋体"/>
          <w:b/>
          <w:color w:val="0D0D0D"/>
        </w:rPr>
      </w:pPr>
      <w:r>
        <w:rPr>
          <w:rFonts w:hAnsi="宋体"/>
          <w:b/>
          <w:color w:val="0D0D0D"/>
        </w:rPr>
        <w:t>五、产权担保</w:t>
      </w:r>
    </w:p>
    <w:p>
      <w:pPr>
        <w:pStyle w:val="29"/>
        <w:snapToGrid w:val="0"/>
        <w:spacing w:before="120" w:beforeLines="0" w:after="120" w:afterLines="0" w:line="420" w:lineRule="exact"/>
        <w:rPr>
          <w:rFonts w:hAnsi="宋体"/>
          <w:color w:val="0D0D0D"/>
        </w:rPr>
      </w:pPr>
      <w:r>
        <w:rPr>
          <w:rFonts w:hAnsi="宋体"/>
          <w:color w:val="0D0D0D"/>
        </w:rPr>
        <w:t>5.1 乙方保证所交付的货物的所有权完全属于乙方且无任何抵押、查封等产权瑕疵。</w:t>
      </w:r>
    </w:p>
    <w:p>
      <w:pPr>
        <w:pStyle w:val="29"/>
        <w:snapToGrid w:val="0"/>
        <w:spacing w:before="120" w:beforeLines="0" w:after="120" w:afterLines="0" w:line="420" w:lineRule="exact"/>
        <w:rPr>
          <w:rFonts w:hAnsi="宋体"/>
          <w:b/>
          <w:color w:val="0D0D0D"/>
        </w:rPr>
      </w:pPr>
      <w:r>
        <w:rPr>
          <w:rFonts w:hAnsi="宋体"/>
          <w:b/>
          <w:color w:val="0D0D0D"/>
        </w:rPr>
        <w:t>六、履约保证金</w:t>
      </w:r>
    </w:p>
    <w:p>
      <w:pPr>
        <w:pStyle w:val="29"/>
        <w:snapToGrid w:val="0"/>
        <w:spacing w:before="120" w:beforeLines="0" w:after="120" w:afterLines="0" w:line="420" w:lineRule="exact"/>
        <w:rPr>
          <w:rFonts w:hAnsi="宋体"/>
          <w:color w:val="0D0D0D"/>
        </w:rPr>
      </w:pPr>
      <w:r>
        <w:rPr>
          <w:rFonts w:hAnsi="宋体"/>
          <w:color w:val="0D0D0D"/>
        </w:rPr>
        <w:t xml:space="preserve">6.1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，在合同履行完毕（验收合格</w:t>
      </w:r>
      <w:r>
        <w:rPr>
          <w:rFonts w:hint="eastAsia" w:hAnsi="宋体"/>
          <w:color w:val="0D0D0D"/>
          <w:lang w:eastAsia="zh-CN"/>
        </w:rPr>
        <w:t>且付清全部货款</w:t>
      </w:r>
      <w:r>
        <w:rPr>
          <w:rFonts w:hint="eastAsia" w:hAnsi="宋体"/>
          <w:color w:val="0D0D0D"/>
        </w:rPr>
        <w:t>）后</w:t>
      </w:r>
      <w:r>
        <w:rPr>
          <w:rFonts w:hint="eastAsia" w:hAnsi="宋体"/>
          <w:color w:val="0C0C0C"/>
          <w:highlight w:val="none"/>
        </w:rPr>
        <w:t>无息退还</w:t>
      </w:r>
      <w:r>
        <w:rPr>
          <w:rFonts w:hint="eastAsia" w:hAnsi="宋体"/>
          <w:color w:val="0D0D0D"/>
        </w:rPr>
        <w:t>。（履约保证金账户：台州东发建设投资有限公司；账号：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9"/>
        <w:snapToGrid w:val="0"/>
        <w:spacing w:before="120" w:beforeLines="0" w:after="120" w:afterLines="0" w:line="420" w:lineRule="exact"/>
        <w:rPr>
          <w:rFonts w:hAnsi="宋体"/>
          <w:b/>
          <w:color w:val="0D0D0D"/>
        </w:rPr>
      </w:pPr>
      <w:r>
        <w:rPr>
          <w:rFonts w:hAnsi="宋体"/>
          <w:b/>
          <w:color w:val="0D0D0D"/>
        </w:rPr>
        <w:t>七.转包或分包</w:t>
      </w:r>
    </w:p>
    <w:p>
      <w:pPr>
        <w:pStyle w:val="29"/>
        <w:snapToGrid w:val="0"/>
        <w:spacing w:before="120" w:beforeLines="0" w:after="120" w:afterLines="0" w:line="420" w:lineRule="exact"/>
        <w:rPr>
          <w:rFonts w:hAnsi="宋体"/>
          <w:color w:val="0D0D0D"/>
        </w:rPr>
      </w:pPr>
      <w:r>
        <w:rPr>
          <w:rFonts w:hAnsi="宋体"/>
          <w:color w:val="0D0D0D"/>
        </w:rPr>
        <w:t>7.1本合同范围的货物，应由供方直接供应，不得转让他人供应；</w:t>
      </w:r>
    </w:p>
    <w:p>
      <w:pPr>
        <w:pStyle w:val="29"/>
        <w:snapToGrid w:val="0"/>
        <w:spacing w:before="120" w:beforeLines="0" w:after="120" w:afterLines="0" w:line="420" w:lineRule="exact"/>
        <w:rPr>
          <w:rFonts w:hAnsi="宋体"/>
          <w:color w:val="0D0D0D"/>
        </w:rPr>
      </w:pPr>
      <w:r>
        <w:rPr>
          <w:rFonts w:hAnsi="宋体"/>
          <w:color w:val="0D0D0D"/>
        </w:rPr>
        <w:t>7.2 除非得到需方的书面同意，供方不得部分分包给他人供应。</w:t>
      </w:r>
    </w:p>
    <w:p>
      <w:pPr>
        <w:pStyle w:val="29"/>
        <w:snapToGrid w:val="0"/>
        <w:spacing w:before="120" w:beforeLines="0" w:after="120" w:afterLines="0" w:line="420" w:lineRule="exact"/>
        <w:rPr>
          <w:rFonts w:hAnsi="宋体"/>
          <w:color w:val="0D0D0D"/>
        </w:rPr>
      </w:pPr>
      <w:r>
        <w:rPr>
          <w:rFonts w:hAnsi="宋体"/>
          <w:color w:val="0D0D0D"/>
        </w:rPr>
        <w:t>7.3如有转让和未经需方同意的分包行为，需方有权给予终止合同。</w:t>
      </w:r>
    </w:p>
    <w:p>
      <w:pPr>
        <w:pStyle w:val="29"/>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9"/>
        <w:snapToGrid w:val="0"/>
        <w:spacing w:before="120" w:after="120" w:line="420" w:lineRule="exact"/>
        <w:rPr>
          <w:rFonts w:hint="eastAsia" w:hAnsi="宋体"/>
          <w:color w:val="0D0D0D"/>
        </w:rPr>
      </w:pPr>
      <w:r>
        <w:rPr>
          <w:rFonts w:hint="eastAsia" w:hAnsi="宋体"/>
          <w:color w:val="0D0D0D"/>
        </w:rPr>
        <w:t>8.1如卖方未能履行合同规定的任何义务给买方造成直接或间接损失的，买方有权从直接从履约保证金中予以补偿。</w:t>
      </w:r>
    </w:p>
    <w:p>
      <w:pPr>
        <w:pStyle w:val="29"/>
        <w:snapToGrid w:val="0"/>
        <w:spacing w:before="120" w:after="120" w:line="420" w:lineRule="exact"/>
        <w:rPr>
          <w:rFonts w:hint="eastAsia" w:hAnsi="宋体"/>
          <w:color w:val="0D0D0D"/>
        </w:rPr>
      </w:pPr>
      <w:r>
        <w:rPr>
          <w:rFonts w:hint="eastAsia" w:hAnsi="宋体"/>
          <w:color w:val="0D0D0D"/>
        </w:rPr>
        <w:t>8.2如果卖方拒绝履行合同规定的义务，经催告后在合理期限内仍不履行的，买方有权没收全部履约保证金，并另行追索违约赔偿金。</w:t>
      </w:r>
    </w:p>
    <w:p>
      <w:pPr>
        <w:pStyle w:val="29"/>
        <w:snapToGrid w:val="0"/>
        <w:spacing w:before="120" w:beforeLines="0" w:after="120" w:afterLines="0" w:line="420" w:lineRule="exact"/>
        <w:rPr>
          <w:rFonts w:hint="eastAsia" w:hAnsi="宋体"/>
          <w:color w:val="0D0D0D"/>
        </w:rPr>
      </w:pPr>
      <w:r>
        <w:rPr>
          <w:rFonts w:hint="eastAsia" w:hAnsi="宋体"/>
          <w:color w:val="0D0D0D"/>
        </w:rPr>
        <w:t>8.3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9"/>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ascii="宋体" w:hAnsi="宋体" w:eastAsia="宋体" w:cs="Times New Roman"/>
          <w:color w:val="0D0D0D"/>
          <w:lang w:val="en-US" w:eastAsia="zh-CN"/>
        </w:rPr>
        <w:t>货物到场时间要求：自收到中标通知书后15个工作日内完成供货；如因项目需要分批次供货的，则每批次货物自接到买方通知后3个工作日内完成供货；</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ascii="宋体" w:hAnsi="宋体" w:eastAsia="宋体" w:cs="Times New Roman"/>
          <w:color w:val="0D0D0D"/>
        </w:rPr>
        <w:t xml:space="preserve"> 交货方式：合同期内，乙方完成并交付甲方本次项目所有权；</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ascii="宋体" w:hAnsi="宋体" w:eastAsia="宋体" w:cs="Times New Roman"/>
          <w:color w:val="0D0D0D"/>
        </w:rPr>
        <w:t>交货地点：甲方指定地点。</w:t>
      </w:r>
    </w:p>
    <w:p>
      <w:pPr>
        <w:pStyle w:val="29"/>
        <w:snapToGrid w:val="0"/>
        <w:spacing w:before="120" w:beforeLines="0" w:after="120" w:afterLines="0" w:line="420" w:lineRule="exact"/>
        <w:rPr>
          <w:rFonts w:hAnsi="宋体"/>
          <w:b/>
          <w:color w:val="0D0D0D"/>
        </w:rPr>
      </w:pPr>
      <w:r>
        <w:rPr>
          <w:rFonts w:hAnsi="宋体"/>
          <w:b/>
          <w:color w:val="0D0D0D"/>
        </w:rPr>
        <w:t>十、货款支付</w:t>
      </w:r>
    </w:p>
    <w:p>
      <w:pPr>
        <w:pStyle w:val="29"/>
        <w:snapToGrid w:val="0"/>
        <w:spacing w:before="120" w:beforeLines="0" w:after="120" w:afterLines="0" w:line="420" w:lineRule="exact"/>
        <w:rPr>
          <w:rFonts w:hAnsi="宋体"/>
          <w:color w:val="0D0D0D"/>
        </w:rPr>
      </w:pPr>
      <w:r>
        <w:rPr>
          <w:rFonts w:hAnsi="宋体"/>
          <w:color w:val="0D0D0D"/>
        </w:rPr>
        <w:t>10.1 付款方式：</w:t>
      </w:r>
      <w:r>
        <w:rPr>
          <w:rFonts w:hint="eastAsia" w:ascii="宋体" w:hAnsi="宋体" w:eastAsia="宋体" w:cs="Times New Roman"/>
          <w:color w:val="0C0C0C"/>
          <w:highlight w:val="none"/>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9"/>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29"/>
        <w:snapToGrid w:val="0"/>
        <w:spacing w:before="120" w:beforeLines="0" w:after="120" w:afterLines="0" w:line="420" w:lineRule="exact"/>
        <w:rPr>
          <w:rFonts w:hint="eastAsia" w:hAnsi="宋体"/>
          <w:color w:val="0D0D0D"/>
        </w:rPr>
      </w:pPr>
      <w:r>
        <w:rPr>
          <w:rFonts w:hint="eastAsia" w:hAnsi="宋体"/>
          <w:color w:val="0D0D0D"/>
        </w:rPr>
        <w:t>10.3甲方向乙方支付的所有费用均须汇入协议书中指定的承包人银行账户。</w:t>
      </w:r>
    </w:p>
    <w:p>
      <w:pPr>
        <w:pStyle w:val="29"/>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9"/>
        <w:snapToGrid w:val="0"/>
        <w:spacing w:before="120" w:beforeLines="0" w:after="120" w:afterLines="0" w:line="420" w:lineRule="exact"/>
        <w:rPr>
          <w:rFonts w:hAnsi="宋体"/>
          <w:color w:val="0D0D0D"/>
        </w:rPr>
      </w:pPr>
      <w:r>
        <w:rPr>
          <w:rFonts w:hAnsi="宋体"/>
          <w:color w:val="0D0D0D"/>
        </w:rPr>
        <w:t>11.1本合同执行中相关的一切税费均由供方负担。</w:t>
      </w:r>
    </w:p>
    <w:p>
      <w:pPr>
        <w:pStyle w:val="29"/>
        <w:snapToGrid w:val="0"/>
        <w:spacing w:before="120" w:beforeLines="0" w:after="120" w:afterLines="0" w:line="420" w:lineRule="exact"/>
        <w:rPr>
          <w:rFonts w:hAnsi="宋体"/>
          <w:b/>
          <w:color w:val="0D0D0D"/>
        </w:rPr>
      </w:pPr>
      <w:r>
        <w:rPr>
          <w:rFonts w:hAnsi="宋体"/>
          <w:b/>
          <w:color w:val="0D0D0D"/>
        </w:rPr>
        <w:t>十二、质量保证及售后服务</w:t>
      </w:r>
    </w:p>
    <w:p>
      <w:pPr>
        <w:pStyle w:val="29"/>
        <w:snapToGrid w:val="0"/>
        <w:spacing w:before="120" w:beforeLines="0" w:after="120" w:afterLines="0" w:line="420" w:lineRule="exact"/>
        <w:rPr>
          <w:rFonts w:hAnsi="宋体"/>
          <w:color w:val="0D0D0D"/>
        </w:rPr>
      </w:pPr>
      <w:r>
        <w:rPr>
          <w:rFonts w:hAnsi="宋体"/>
          <w:color w:val="0D0D0D"/>
        </w:rPr>
        <w:t>12.1 乙方应按招标文件规定的货物性能、技术要求、质量标准向甲方提供未经使用的全新产品。</w:t>
      </w:r>
    </w:p>
    <w:p>
      <w:pPr>
        <w:pStyle w:val="29"/>
        <w:snapToGrid w:val="0"/>
        <w:spacing w:before="120" w:beforeLines="0" w:after="120" w:afterLines="0" w:line="420" w:lineRule="exact"/>
        <w:rPr>
          <w:rFonts w:hAnsi="宋体"/>
          <w:color w:val="0D0D0D"/>
        </w:rPr>
      </w:pPr>
      <w:r>
        <w:rPr>
          <w:rFonts w:hAnsi="宋体"/>
          <w:color w:val="0D0D0D"/>
        </w:rPr>
        <w:t>12.2 乙方提供的货物在质量期内因货物本身的质量问题发生故障，乙方应负责免费更换。对达不到技术要求者，根据实际情况，经双方协商，可按以下办法处理：</w:t>
      </w:r>
    </w:p>
    <w:p>
      <w:pPr>
        <w:pStyle w:val="29"/>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9"/>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9"/>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9"/>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9"/>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9"/>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9"/>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9"/>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9"/>
        <w:snapToGrid w:val="0"/>
        <w:spacing w:before="120" w:beforeLines="0" w:after="120" w:afterLines="0" w:line="420" w:lineRule="exact"/>
        <w:rPr>
          <w:rFonts w:hAnsi="宋体"/>
          <w:color w:val="0D0D0D"/>
        </w:rPr>
      </w:pPr>
      <w:r>
        <w:rPr>
          <w:rFonts w:hint="eastAsia" w:hAnsi="宋体"/>
          <w:color w:val="0D0D0D"/>
        </w:rPr>
        <w:t>13.3材料到达现场后，必须按照买方要求运至指定堆放地点，否则买方有权不予接收，买方必须派人及时接收材料（否则由此引起的责任由买方负责），卖方派人到现场与买方一起货物验收。</w:t>
      </w:r>
    </w:p>
    <w:p>
      <w:pPr>
        <w:pStyle w:val="29"/>
        <w:snapToGrid w:val="0"/>
        <w:spacing w:before="120" w:beforeLines="0" w:after="120" w:afterLines="0" w:line="420" w:lineRule="exact"/>
        <w:rPr>
          <w:rFonts w:hint="eastAsia" w:hAnsi="宋体"/>
          <w:color w:val="0D0D0D"/>
        </w:rPr>
      </w:pPr>
      <w:r>
        <w:rPr>
          <w:rFonts w:hint="eastAsia" w:hAnsi="宋体"/>
          <w:color w:val="0D0D0D"/>
        </w:rPr>
        <w:t>13.4材料到达现场后，买方严格按照质量要求进行验收，若不合格或不能满足买方使用要求则无条件给予退还，发生一切损失由卖方承担，且承担因此延误工期等给买方造成的经济损失。</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Ansi="宋体"/>
          <w:color w:val="0D0D0D"/>
        </w:rPr>
        <w:t xml:space="preserve"> 对技术复杂的货物，甲方应请国家认可的专业检测机构参与初步验收及最终验收，并由其出具质量检测报告。</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Ansi="宋体"/>
          <w:color w:val="0D0D0D"/>
        </w:rPr>
        <w:t xml:space="preserve"> 验收时乙方必须在现场，验收完毕后作出验收结果报告；验收费用由乙方负责。</w:t>
      </w:r>
    </w:p>
    <w:p>
      <w:pPr>
        <w:pStyle w:val="29"/>
        <w:snapToGrid w:val="0"/>
        <w:spacing w:before="120" w:beforeLines="0" w:after="120" w:afterLines="0" w:line="420" w:lineRule="exact"/>
        <w:rPr>
          <w:rFonts w:hAnsi="宋体"/>
          <w:b/>
          <w:color w:val="0D0D0D"/>
        </w:rPr>
      </w:pPr>
      <w:r>
        <w:rPr>
          <w:rFonts w:hAnsi="宋体"/>
          <w:b/>
          <w:color w:val="0D0D0D"/>
        </w:rPr>
        <w:t>十四、货物包装、发运及运输</w:t>
      </w:r>
    </w:p>
    <w:p>
      <w:pPr>
        <w:pStyle w:val="29"/>
        <w:snapToGrid w:val="0"/>
        <w:spacing w:before="120" w:beforeLines="0" w:after="120" w:afterLines="0" w:line="420" w:lineRule="exact"/>
        <w:rPr>
          <w:rFonts w:hAnsi="宋体"/>
          <w:color w:val="0D0D0D"/>
        </w:rPr>
      </w:pPr>
      <w:r>
        <w:rPr>
          <w:rFonts w:hAnsi="宋体"/>
          <w:color w:val="0D0D0D"/>
        </w:rPr>
        <w:t>14.1 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9"/>
        <w:snapToGrid w:val="0"/>
        <w:spacing w:before="120" w:beforeLines="0" w:after="120" w:afterLines="0" w:line="420" w:lineRule="exact"/>
        <w:rPr>
          <w:rFonts w:hAnsi="宋体"/>
          <w:color w:val="0D0D0D"/>
        </w:rPr>
      </w:pPr>
      <w:r>
        <w:rPr>
          <w:rFonts w:hAnsi="宋体"/>
          <w:color w:val="0D0D0D"/>
        </w:rPr>
        <w:t>14.2 使用说明书、质量检验证明书、随配附件和工具以及清单一并附于货物内。</w:t>
      </w:r>
    </w:p>
    <w:p>
      <w:pPr>
        <w:pStyle w:val="29"/>
        <w:snapToGrid w:val="0"/>
        <w:spacing w:before="120" w:beforeLines="0" w:after="120" w:afterLines="0" w:line="420" w:lineRule="exact"/>
        <w:rPr>
          <w:rFonts w:hAnsi="宋体"/>
          <w:color w:val="0D0D0D"/>
        </w:rPr>
      </w:pPr>
      <w:r>
        <w:rPr>
          <w:rFonts w:hAnsi="宋体"/>
          <w:color w:val="0D0D0D"/>
        </w:rPr>
        <w:t>14.3 乙方在货物发运手续办理完毕后24小时内或货到甲方48小时前通知甲方，以准备接货。</w:t>
      </w:r>
    </w:p>
    <w:p>
      <w:pPr>
        <w:pStyle w:val="29"/>
        <w:snapToGrid w:val="0"/>
        <w:spacing w:before="120" w:beforeLines="0" w:after="120" w:afterLines="0" w:line="420" w:lineRule="exact"/>
        <w:rPr>
          <w:rFonts w:hAnsi="宋体"/>
          <w:color w:val="0D0D0D"/>
        </w:rPr>
      </w:pPr>
      <w:r>
        <w:rPr>
          <w:rFonts w:hAnsi="宋体"/>
          <w:color w:val="0D0D0D"/>
        </w:rPr>
        <w:t>14.4 货物在交付甲方前发生的风险均由乙方负责。</w:t>
      </w:r>
    </w:p>
    <w:p>
      <w:pPr>
        <w:pStyle w:val="29"/>
        <w:snapToGrid w:val="0"/>
        <w:spacing w:before="120" w:beforeLines="0" w:after="120" w:afterLines="0" w:line="420" w:lineRule="exact"/>
        <w:rPr>
          <w:rFonts w:hAnsi="宋体"/>
          <w:color w:val="0D0D0D"/>
        </w:rPr>
      </w:pPr>
      <w:r>
        <w:rPr>
          <w:rFonts w:hAnsi="宋体"/>
          <w:color w:val="0D0D0D"/>
        </w:rPr>
        <w:t>14.5 货物在规定的交付期限内由乙方送达甲方指定的地点视为交付，乙方同时需通知甲方货物已送达。</w:t>
      </w:r>
    </w:p>
    <w:p>
      <w:pPr>
        <w:pStyle w:val="29"/>
        <w:snapToGrid w:val="0"/>
        <w:spacing w:before="120" w:beforeLines="0" w:after="120" w:afterLines="0" w:line="420" w:lineRule="exact"/>
        <w:rPr>
          <w:rFonts w:hAnsi="宋体"/>
          <w:color w:val="0D0D0D"/>
        </w:rPr>
      </w:pPr>
      <w:r>
        <w:rPr>
          <w:rFonts w:hint="eastAsia" w:hAnsi="宋体"/>
          <w:color w:val="0D0D0D"/>
        </w:rPr>
        <w:t>14.6材料在装运前由卖方投保，一旦材料在装车、运输过程中发生损坏或短缺，由卖方负责索赔。</w:t>
      </w:r>
    </w:p>
    <w:p>
      <w:pPr>
        <w:pStyle w:val="29"/>
        <w:snapToGrid w:val="0"/>
        <w:spacing w:before="120" w:beforeLines="0" w:after="120" w:afterLines="0" w:line="420" w:lineRule="exact"/>
        <w:rPr>
          <w:rFonts w:hAnsi="宋体"/>
          <w:color w:val="0D0D0D"/>
        </w:rPr>
      </w:pPr>
      <w:r>
        <w:rPr>
          <w:rFonts w:hint="eastAsia" w:hAnsi="宋体"/>
          <w:color w:val="0D0D0D"/>
        </w:rPr>
        <w:t>14.7卖方保证在确认货物因装车、运输中发生损坏或短缺后，尽快给予调换、修复和补齐缺件，不管其造成的原因如何，也不能以办理索赔为由而拖延。</w:t>
      </w:r>
    </w:p>
    <w:p>
      <w:pPr>
        <w:pStyle w:val="29"/>
        <w:snapToGrid w:val="0"/>
        <w:spacing w:before="120" w:beforeLines="0" w:after="120" w:afterLines="0" w:line="420" w:lineRule="exact"/>
        <w:rPr>
          <w:rFonts w:hAnsi="宋体"/>
          <w:b/>
          <w:color w:val="0D0D0D"/>
        </w:rPr>
      </w:pPr>
      <w:r>
        <w:rPr>
          <w:rFonts w:hAnsi="宋体"/>
          <w:b/>
          <w:color w:val="0D0D0D"/>
        </w:rPr>
        <w:t>十五、违约责任</w:t>
      </w:r>
    </w:p>
    <w:p>
      <w:pPr>
        <w:pStyle w:val="29"/>
        <w:snapToGrid w:val="0"/>
        <w:spacing w:before="120" w:beforeLines="0" w:after="120" w:afterLines="0" w:line="420" w:lineRule="exact"/>
        <w:rPr>
          <w:rFonts w:hAnsi="宋体"/>
          <w:bCs/>
          <w:color w:val="0D0D0D"/>
        </w:rPr>
      </w:pPr>
      <w:r>
        <w:rPr>
          <w:rFonts w:hint="eastAsia" w:hAnsi="宋体"/>
          <w:bCs/>
          <w:color w:val="0D0D0D"/>
        </w:rPr>
        <w:t>15.1产品质量责任</w:t>
      </w:r>
    </w:p>
    <w:p>
      <w:pPr>
        <w:pStyle w:val="29"/>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9"/>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 xml:space="preserve"> 卖方在接到买方通知后，应立即派人赴现场处理材料质量问题。</w:t>
      </w:r>
      <w:r>
        <w:rPr>
          <w:rFonts w:hAnsi="宋体"/>
          <w:bCs/>
          <w:color w:val="0D0D0D"/>
        </w:rPr>
        <w:t xml:space="preserve"> </w:t>
      </w:r>
    </w:p>
    <w:p>
      <w:pPr>
        <w:pStyle w:val="29"/>
        <w:snapToGrid w:val="0"/>
        <w:spacing w:before="120" w:beforeLines="0" w:after="120" w:afterLines="0" w:line="420" w:lineRule="exact"/>
        <w:rPr>
          <w:rFonts w:hint="eastAsia"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 由于买方保管不善或使用不当造成材料短缺或损坏，由买方负责。但卖方保证及时给予补齐或修复。 </w:t>
      </w:r>
    </w:p>
    <w:p>
      <w:pPr>
        <w:pStyle w:val="29"/>
        <w:snapToGrid w:val="0"/>
        <w:spacing w:before="120" w:beforeLines="0" w:after="120" w:afterLines="0" w:line="420" w:lineRule="exact"/>
        <w:rPr>
          <w:rFonts w:hAnsi="宋体"/>
          <w:bCs/>
          <w:color w:val="0D0D0D"/>
          <w:highlight w:val="none"/>
        </w:rPr>
      </w:pPr>
      <w:r>
        <w:rPr>
          <w:rFonts w:hint="eastAsia" w:hAnsi="宋体" w:eastAsia="宋体" w:cs="Times New Roman"/>
          <w:bCs/>
          <w:color w:val="0D0D0D"/>
          <w:highlight w:val="none"/>
          <w:lang w:eastAsia="zh-CN"/>
        </w:rPr>
        <w:t>（</w:t>
      </w:r>
      <w:r>
        <w:rPr>
          <w:rFonts w:hint="eastAsia" w:hAnsi="宋体" w:eastAsia="宋体" w:cs="Times New Roman"/>
          <w:bCs/>
          <w:color w:val="0D0D0D"/>
          <w:highlight w:val="none"/>
          <w:lang w:val="en-US" w:eastAsia="zh-CN"/>
        </w:rPr>
        <w:t>4</w:t>
      </w:r>
      <w:r>
        <w:rPr>
          <w:rFonts w:hint="eastAsia" w:hAnsi="宋体" w:eastAsia="宋体" w:cs="Times New Roman"/>
          <w:bCs/>
          <w:color w:val="0D0D0D"/>
          <w:highlight w:val="none"/>
          <w:lang w:eastAsia="zh-CN"/>
        </w:rPr>
        <w:t>）</w:t>
      </w:r>
      <w:r>
        <w:rPr>
          <w:rFonts w:hint="eastAsia" w:hAnsi="宋体" w:eastAsia="宋体" w:cs="Times New Roman"/>
          <w:bCs/>
          <w:color w:val="0D0D0D"/>
          <w:highlight w:val="none"/>
          <w:lang w:val="en-US" w:eastAsia="zh-CN"/>
        </w:rPr>
        <w:t>买方可随机对石粉质量进行抽检，经第三方检测后，如检验不合格，买方有权扣除</w:t>
      </w:r>
      <w:r>
        <w:rPr>
          <w:rFonts w:hint="eastAsia" w:hAnsi="宋体" w:cs="Times New Roman"/>
          <w:bCs/>
          <w:color w:val="0D0D0D"/>
          <w:highlight w:val="none"/>
          <w:lang w:val="en-US" w:eastAsia="zh-CN"/>
        </w:rPr>
        <w:t>全部履约</w:t>
      </w:r>
      <w:r>
        <w:rPr>
          <w:rFonts w:hint="eastAsia" w:hAnsi="宋体" w:eastAsia="宋体" w:cs="Times New Roman"/>
          <w:bCs/>
          <w:color w:val="0D0D0D"/>
          <w:highlight w:val="none"/>
          <w:lang w:val="en-US" w:eastAsia="zh-CN"/>
        </w:rPr>
        <w:t>保证金</w:t>
      </w:r>
      <w:r>
        <w:rPr>
          <w:rFonts w:hint="eastAsia" w:hAnsi="宋体" w:cs="Times New Roman"/>
          <w:bCs/>
          <w:color w:val="0D0D0D"/>
          <w:highlight w:val="none"/>
          <w:lang w:val="en-US" w:eastAsia="zh-CN"/>
        </w:rPr>
        <w:t>并且</w:t>
      </w:r>
      <w:r>
        <w:rPr>
          <w:rFonts w:hint="eastAsia" w:hAnsi="宋体" w:eastAsia="宋体" w:cs="Times New Roman"/>
          <w:bCs/>
          <w:color w:val="0D0D0D"/>
          <w:highlight w:val="none"/>
          <w:lang w:val="en-US" w:eastAsia="zh-CN"/>
        </w:rPr>
        <w:t>卖方须</w:t>
      </w:r>
      <w:r>
        <w:rPr>
          <w:rFonts w:hint="eastAsia" w:hAnsi="宋体" w:cs="Times New Roman"/>
          <w:bCs/>
          <w:color w:val="0D0D0D"/>
          <w:highlight w:val="none"/>
          <w:lang w:val="en-US" w:eastAsia="zh-CN"/>
        </w:rPr>
        <w:t>24小时内</w:t>
      </w:r>
      <w:r>
        <w:rPr>
          <w:rFonts w:hint="eastAsia" w:hAnsi="宋体" w:eastAsia="宋体" w:cs="Times New Roman"/>
          <w:bCs/>
          <w:color w:val="0D0D0D"/>
          <w:highlight w:val="none"/>
          <w:lang w:val="en-US" w:eastAsia="zh-CN"/>
        </w:rPr>
        <w:t>配合买方更换石粉</w:t>
      </w:r>
      <w:r>
        <w:rPr>
          <w:rFonts w:hint="eastAsia" w:hAnsi="宋体" w:cs="Times New Roman"/>
          <w:bCs/>
          <w:color w:val="0D0D0D"/>
          <w:highlight w:val="none"/>
          <w:lang w:val="en-US" w:eastAsia="zh-CN"/>
        </w:rPr>
        <w:t>，</w:t>
      </w:r>
      <w:r>
        <w:rPr>
          <w:rFonts w:hint="eastAsia" w:hAnsi="宋体" w:eastAsia="宋体" w:cs="Times New Roman"/>
          <w:bCs/>
          <w:color w:val="0D0D0D"/>
          <w:highlight w:val="none"/>
          <w:lang w:val="en-US" w:eastAsia="zh-CN"/>
        </w:rPr>
        <w:t>直至</w:t>
      </w:r>
      <w:r>
        <w:rPr>
          <w:rFonts w:hint="eastAsia" w:hAnsi="宋体" w:cs="Times New Roman"/>
          <w:bCs/>
          <w:color w:val="0D0D0D"/>
          <w:highlight w:val="none"/>
          <w:lang w:val="en-US" w:eastAsia="zh-CN"/>
        </w:rPr>
        <w:t>买方满意</w:t>
      </w:r>
      <w:r>
        <w:rPr>
          <w:rFonts w:hint="eastAsia" w:hAnsi="宋体" w:eastAsia="宋体" w:cs="Times New Roman"/>
          <w:bCs/>
          <w:color w:val="0D0D0D"/>
          <w:highlight w:val="none"/>
          <w:lang w:val="en-US" w:eastAsia="zh-CN"/>
        </w:rPr>
        <w:t>。</w:t>
      </w:r>
    </w:p>
    <w:p>
      <w:pPr>
        <w:pStyle w:val="29"/>
        <w:snapToGrid w:val="0"/>
        <w:spacing w:before="120" w:beforeLines="0" w:after="120" w:afterLines="0" w:line="420" w:lineRule="exact"/>
        <w:rPr>
          <w:rFonts w:hAnsi="宋体"/>
          <w:bCs/>
          <w:color w:val="0D0D0D"/>
        </w:rPr>
      </w:pPr>
      <w:r>
        <w:rPr>
          <w:rFonts w:hint="eastAsia" w:hAnsi="宋体"/>
          <w:bCs/>
          <w:color w:val="0D0D0D"/>
        </w:rPr>
        <w:t>15.2违约赔偿</w:t>
      </w:r>
    </w:p>
    <w:p>
      <w:pPr>
        <w:pStyle w:val="29"/>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9"/>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9"/>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9"/>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9"/>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9"/>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9"/>
        <w:snapToGrid w:val="0"/>
        <w:spacing w:before="120" w:beforeLines="0" w:after="120" w:afterLines="0" w:line="420" w:lineRule="exact"/>
        <w:rPr>
          <w:rFonts w:hAnsi="宋体"/>
          <w:b/>
          <w:color w:val="0D0D0D"/>
        </w:rPr>
      </w:pPr>
      <w:r>
        <w:rPr>
          <w:rFonts w:hAnsi="宋体"/>
          <w:b/>
          <w:color w:val="0D0D0D"/>
        </w:rPr>
        <w:t>十六、不可抗力事件处理</w:t>
      </w:r>
    </w:p>
    <w:p>
      <w:pPr>
        <w:pStyle w:val="29"/>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9"/>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9"/>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9"/>
        <w:snapToGrid w:val="0"/>
        <w:spacing w:before="120" w:beforeLines="0" w:after="120" w:afterLines="0" w:line="420" w:lineRule="exact"/>
        <w:rPr>
          <w:rFonts w:hAnsi="宋体"/>
          <w:b/>
          <w:color w:val="0D0D0D"/>
        </w:rPr>
      </w:pPr>
      <w:r>
        <w:rPr>
          <w:rFonts w:hAnsi="宋体"/>
          <w:b/>
          <w:color w:val="0D0D0D"/>
        </w:rPr>
        <w:t>十七、诉讼</w:t>
      </w:r>
    </w:p>
    <w:p>
      <w:pPr>
        <w:pStyle w:val="29"/>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9"/>
        <w:snapToGrid w:val="0"/>
        <w:spacing w:before="120" w:beforeLines="0" w:after="120" w:afterLines="0" w:line="420" w:lineRule="exact"/>
        <w:rPr>
          <w:rFonts w:hAnsi="宋体"/>
          <w:b/>
          <w:color w:val="0D0D0D"/>
        </w:rPr>
      </w:pPr>
      <w:r>
        <w:rPr>
          <w:rFonts w:hAnsi="宋体"/>
          <w:b/>
          <w:color w:val="0D0D0D"/>
        </w:rPr>
        <w:t>十八、合同生效及其它</w:t>
      </w:r>
    </w:p>
    <w:p>
      <w:pPr>
        <w:pStyle w:val="29"/>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9"/>
        <w:snapToGrid w:val="0"/>
        <w:spacing w:before="120" w:beforeLines="0" w:after="120" w:afterLines="0" w:line="420" w:lineRule="exact"/>
        <w:rPr>
          <w:rFonts w:hAnsi="宋体"/>
          <w:color w:val="0D0D0D"/>
        </w:rPr>
      </w:pPr>
      <w:r>
        <w:rPr>
          <w:rFonts w:hAnsi="宋体"/>
          <w:color w:val="0D0D0D"/>
        </w:rPr>
        <w:t>18.2合同执行中涉及采购资金和采购内容修改或补充的，须经部门审批，并签书面补充协议报监督管理部门备案，方可作为主合同不可分割的一部分。</w:t>
      </w:r>
    </w:p>
    <w:p>
      <w:pPr>
        <w:pStyle w:val="29"/>
        <w:snapToGrid w:val="0"/>
        <w:spacing w:before="120" w:beforeLines="0" w:after="120" w:afterLines="0" w:line="420" w:lineRule="exact"/>
        <w:rPr>
          <w:rFonts w:hAnsi="宋体"/>
          <w:color w:val="0D0D0D"/>
        </w:rPr>
      </w:pPr>
      <w:r>
        <w:rPr>
          <w:rFonts w:hAnsi="宋体"/>
          <w:color w:val="0D0D0D"/>
        </w:rPr>
        <w:t>18.3本合同未尽事宜，遵照《</w:t>
      </w:r>
      <w:r>
        <w:rPr>
          <w:rFonts w:hint="eastAsia" w:hAnsi="宋体"/>
          <w:color w:val="0D0D0D"/>
          <w:lang w:val="en-US" w:eastAsia="zh-CN"/>
        </w:rPr>
        <w:t>民法典</w:t>
      </w:r>
      <w:r>
        <w:rPr>
          <w:rFonts w:hAnsi="宋体"/>
          <w:color w:val="0D0D0D"/>
        </w:rPr>
        <w:t>》有关条文执行。</w:t>
      </w:r>
    </w:p>
    <w:p>
      <w:pPr>
        <w:pStyle w:val="29"/>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spacing w:line="360" w:lineRule="auto"/>
        <w:rPr>
          <w:rFonts w:hAnsi="宋体"/>
          <w:color w:val="0D0D0D"/>
        </w:rPr>
      </w:pP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9"/>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9"/>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台州湾新区规划支路五（七条河-海茂路）道路工程、台州湾新区正学街（集兴路-甲南大道）道路工程（石粉采购）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台州东发建设投资有限公司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9"/>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napToGrid w:val="0"/>
        <w:spacing w:before="50" w:after="156" w:afterLines="50"/>
        <w:jc w:val="left"/>
        <w:rPr>
          <w:rFonts w:ascii="宋体" w:hAnsi="宋体" w:eastAsia="仿宋_GB2312"/>
          <w:color w:val="0D0D0D"/>
          <w:sz w:val="24"/>
          <w:szCs w:val="20"/>
        </w:rPr>
      </w:pPr>
      <w:r>
        <w:rPr>
          <w:rFonts w:hint="eastAsia" w:ascii="宋体" w:hAnsi="宋体"/>
          <w:color w:val="0D0D0D"/>
          <w:sz w:val="24"/>
        </w:rPr>
        <w:t>1、授权委托书格式：</w:t>
      </w:r>
    </w:p>
    <w:p>
      <w:pPr>
        <w:spacing w:line="360" w:lineRule="auto"/>
        <w:ind w:firstLine="321" w:firstLineChars="100"/>
        <w:jc w:val="center"/>
        <w:rPr>
          <w:rFonts w:hAnsi="宋体"/>
          <w:b/>
          <w:sz w:val="32"/>
          <w:szCs w:val="32"/>
          <w:u w:val="single"/>
        </w:rPr>
      </w:pPr>
      <w:bookmarkStart w:id="4" w:name="_Toc6870_WPSOffice_Level1"/>
      <w:bookmarkStart w:id="5" w:name="_Toc24373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9"/>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9"/>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9"/>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9"/>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50"/>
        <w:rPr>
          <w:rFonts w:ascii="宋体" w:hAnsi="宋体"/>
          <w:b/>
          <w:color w:val="0C0C0C"/>
          <w:sz w:val="24"/>
          <w:szCs w:val="20"/>
          <w:highlight w:val="none"/>
        </w:rPr>
      </w:pPr>
      <w:r>
        <w:rPr>
          <w:rFonts w:hint="eastAsia" w:ascii="宋体" w:hAnsi="宋体"/>
          <w:color w:val="0C0C0C"/>
          <w:sz w:val="24"/>
          <w:highlight w:val="none"/>
          <w:lang w:val="en-US" w:eastAsia="zh-CN"/>
        </w:rPr>
        <w:t>2</w:t>
      </w:r>
      <w:r>
        <w:rPr>
          <w:rFonts w:hint="eastAsia" w:ascii="宋体" w:hAnsi="宋体"/>
          <w:color w:val="0C0C0C"/>
          <w:sz w:val="24"/>
          <w:highlight w:val="none"/>
        </w:rPr>
        <w:t>、</w:t>
      </w:r>
      <w:r>
        <w:rPr>
          <w:rFonts w:hint="eastAsia" w:ascii="宋体" w:hAnsi="宋体"/>
          <w:b/>
          <w:color w:val="0C0C0C"/>
          <w:sz w:val="24"/>
          <w:highlight w:val="none"/>
        </w:rPr>
        <w:t>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rPr>
        <w:t>台州东发建设投资有限公司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台州湾新区规划支路五（七条河-海茂路）道路工程、台州湾新区正学街（集兴路-甲南大道）道路工程（石粉采购）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2"/>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2"/>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2"/>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napToGrid w:val="0"/>
        <w:ind w:right="140"/>
        <w:rPr>
          <w:rFonts w:hint="eastAsia" w:ascii="宋体" w:hAnsi="宋体" w:cs="宋体"/>
          <w:b/>
          <w:color w:val="0D0D0D"/>
          <w:sz w:val="24"/>
        </w:rPr>
      </w:pPr>
      <w:r>
        <w:rPr>
          <w:rFonts w:hint="eastAsia" w:ascii="宋体" w:hAnsi="宋体" w:cs="宋体"/>
          <w:color w:val="0D0D0D"/>
          <w:sz w:val="24"/>
          <w:lang w:val="en-US" w:eastAsia="zh-CN"/>
        </w:rPr>
        <w:t>3</w:t>
      </w:r>
      <w:r>
        <w:rPr>
          <w:rFonts w:hint="eastAsia" w:ascii="宋体" w:hAnsi="宋体" w:cs="宋体"/>
          <w:color w:val="0D0D0D"/>
          <w:sz w:val="24"/>
        </w:rPr>
        <w:t>、</w:t>
      </w:r>
      <w:r>
        <w:rPr>
          <w:rFonts w:hint="eastAsia" w:ascii="宋体" w:hAnsi="宋体"/>
          <w:color w:val="auto"/>
          <w:sz w:val="21"/>
          <w:szCs w:val="21"/>
          <w:highlight w:val="none"/>
          <w:lang w:val="en-US" w:eastAsia="zh-CN"/>
        </w:rPr>
        <w:t>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台州湾新区规划支路五（七条河-海茂路）道路工程、台州湾新区正学街（集兴路-甲南大道）道路工程（石粉采购）</w:t>
      </w:r>
    </w:p>
    <w:p>
      <w:pPr>
        <w:pStyle w:val="40"/>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40"/>
        <w:ind w:left="0" w:leftChars="0"/>
        <w:rPr>
          <w:rFonts w:hint="eastAsia" w:ascii="宋体" w:hAnsi="宋体" w:cs="宋体"/>
          <w:color w:val="0D0D0D"/>
          <w:sz w:val="24"/>
        </w:rPr>
      </w:pPr>
      <w:r>
        <w:rPr>
          <w:rFonts w:hint="eastAsia" w:ascii="宋体" w:hAnsi="宋体" w:cs="宋体"/>
          <w:color w:val="0D0D0D"/>
          <w:sz w:val="24"/>
        </w:rPr>
        <w:t>台州东发建设投资有限公司：</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7"/>
        <w:tblW w:w="10500"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4"/>
        <w:gridCol w:w="1752"/>
        <w:gridCol w:w="1940"/>
        <w:gridCol w:w="992"/>
        <w:gridCol w:w="1027"/>
        <w:gridCol w:w="1235"/>
        <w:gridCol w:w="1192"/>
        <w:gridCol w:w="1146"/>
        <w:gridCol w:w="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10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cs="Times New Roman"/>
                <w:color w:val="0D0D0D"/>
                <w:sz w:val="21"/>
                <w:szCs w:val="21"/>
                <w:lang w:val="en-US" w:eastAsia="zh-CN"/>
              </w:rPr>
              <w:t>台州湾新区规划支路五（七条河-海茂路）道路工程、台州湾新区正学街（集兴路-甲南大道）道路工程（石粉采购）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序号</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名称</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规格</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单位</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数量</w:t>
            </w:r>
          </w:p>
        </w:tc>
        <w:tc>
          <w:tcPr>
            <w:tcW w:w="12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单价上限价（元/吨）</w:t>
            </w:r>
          </w:p>
        </w:tc>
        <w:tc>
          <w:tcPr>
            <w:tcW w:w="11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单价（元/吨）</w:t>
            </w:r>
          </w:p>
        </w:tc>
        <w:tc>
          <w:tcPr>
            <w:tcW w:w="114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合价（元）</w:t>
            </w:r>
          </w:p>
        </w:tc>
        <w:tc>
          <w:tcPr>
            <w:tcW w:w="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default" w:hAnsi="宋体" w:eastAsia="宋体" w:cs="Times New Roman"/>
                <w:color w:val="0D0D0D"/>
                <w:sz w:val="21"/>
                <w:szCs w:val="21"/>
                <w:lang w:val="en-US" w:eastAsia="zh-CN"/>
              </w:rPr>
            </w:pPr>
            <w:r>
              <w:rPr>
                <w:rFonts w:hint="eastAsia" w:hAnsi="宋体" w:cs="Times New Roman"/>
                <w:color w:val="0D0D0D"/>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石粉（水泥稳定层用料）</w:t>
            </w:r>
          </w:p>
        </w:tc>
        <w:tc>
          <w:tcPr>
            <w:tcW w:w="19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吨</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4100</w:t>
            </w:r>
          </w:p>
        </w:tc>
        <w:tc>
          <w:tcPr>
            <w:tcW w:w="1235"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w:t>
            </w:r>
          </w:p>
        </w:tc>
        <w:tc>
          <w:tcPr>
            <w:tcW w:w="1192"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c>
          <w:tcPr>
            <w:tcW w:w="1146"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c>
          <w:tcPr>
            <w:tcW w:w="542" w:type="dxa"/>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pStyle w:val="29"/>
              <w:tabs>
                <w:tab w:val="left" w:pos="262"/>
              </w:tabs>
              <w:snapToGrid w:val="0"/>
              <w:spacing w:before="120" w:beforeLines="0" w:after="120" w:afterLines="0" w:line="240" w:lineRule="auto"/>
              <w:jc w:val="left"/>
              <w:outlineLvl w:val="0"/>
              <w:rPr>
                <w:rFonts w:hint="eastAsia" w:hAnsi="宋体" w:eastAsia="宋体" w:cs="Times New Roman"/>
                <w:color w:val="0D0D0D"/>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050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napToGrid w:val="0"/>
              <w:spacing w:before="120" w:beforeLines="0" w:after="120" w:afterLines="0" w:line="240" w:lineRule="auto"/>
              <w:jc w:val="both"/>
              <w:outlineLvl w:val="0"/>
              <w:rPr>
                <w:rFonts w:hint="eastAsia" w:ascii="宋体" w:hAnsi="宋体" w:eastAsia="宋体" w:cs="宋体"/>
                <w:i w:val="0"/>
                <w:color w:val="000000"/>
                <w:kern w:val="0"/>
                <w:sz w:val="22"/>
                <w:szCs w:val="22"/>
                <w:u w:val="single"/>
                <w:lang w:val="en-US" w:eastAsia="zh-CN" w:bidi="ar"/>
              </w:rPr>
            </w:pPr>
            <w:r>
              <w:rPr>
                <w:rFonts w:hint="eastAsia" w:ascii="宋体" w:hAnsi="宋体" w:eastAsia="宋体" w:cs="宋体"/>
                <w:i w:val="0"/>
                <w:color w:val="000000"/>
                <w:kern w:val="0"/>
                <w:sz w:val="22"/>
                <w:szCs w:val="22"/>
                <w:u w:val="single"/>
                <w:lang w:val="en-US" w:eastAsia="zh-CN" w:bidi="ar"/>
              </w:rPr>
              <w:t>总价=              元（结转至附件</w:t>
            </w:r>
            <w:r>
              <w:rPr>
                <w:rFonts w:hint="eastAsia" w:hAnsi="宋体" w:eastAsia="宋体" w:cs="宋体"/>
                <w:i w:val="0"/>
                <w:color w:val="000000"/>
                <w:kern w:val="0"/>
                <w:sz w:val="22"/>
                <w:szCs w:val="22"/>
                <w:u w:val="single"/>
                <w:lang w:val="en-US" w:eastAsia="zh-CN" w:bidi="ar"/>
              </w:rPr>
              <w:t>2</w:t>
            </w:r>
            <w:r>
              <w:rPr>
                <w:rFonts w:hint="eastAsia" w:ascii="宋体" w:hAnsi="宋体" w:eastAsia="宋体" w:cs="宋体"/>
                <w:i w:val="0"/>
                <w:color w:val="000000"/>
                <w:kern w:val="0"/>
                <w:sz w:val="22"/>
                <w:szCs w:val="22"/>
                <w:u w:val="single"/>
                <w:lang w:val="en-US" w:eastAsia="zh-CN" w:bidi="ar"/>
              </w:rPr>
              <w:t>开标一览表）</w:t>
            </w:r>
          </w:p>
        </w:tc>
      </w:tr>
    </w:tbl>
    <w:p>
      <w:pPr>
        <w:pStyle w:val="40"/>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eastAsia="宋体" w:cs="宋体"/>
          <w:b/>
          <w:color w:val="0C0C0C"/>
          <w:sz w:val="21"/>
          <w:szCs w:val="13"/>
          <w:highlight w:val="none"/>
        </w:rPr>
        <w:t>注：1</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包装、运输（货物运到采购人指定的施工现场，如因项目需要发生分批次采购的，相关运费由投标人承担）、保险、</w:t>
      </w:r>
      <w:r>
        <w:rPr>
          <w:rFonts w:hint="eastAsia" w:ascii="宋体" w:hAnsi="宋体" w:cs="宋体"/>
          <w:b/>
          <w:bCs/>
          <w:color w:val="0C0C0C"/>
          <w:sz w:val="21"/>
          <w:szCs w:val="21"/>
          <w:highlight w:val="none"/>
          <w:lang w:eastAsia="zh-CN"/>
        </w:rPr>
        <w:t>装卸</w:t>
      </w:r>
      <w:r>
        <w:rPr>
          <w:rFonts w:hint="eastAsia" w:ascii="宋体" w:hAnsi="宋体" w:cs="宋体"/>
          <w:b/>
          <w:bCs/>
          <w:color w:val="0C0C0C"/>
          <w:sz w:val="21"/>
          <w:szCs w:val="21"/>
          <w:highlight w:val="none"/>
        </w:rPr>
        <w:t>、损耗、材料、风险、利润</w:t>
      </w:r>
      <w:r>
        <w:rPr>
          <w:rFonts w:hint="eastAsia" w:ascii="宋体" w:hAnsi="宋体" w:cs="宋体"/>
          <w:b/>
          <w:bCs/>
          <w:color w:val="0C0C0C"/>
          <w:sz w:val="21"/>
          <w:szCs w:val="21"/>
          <w:highlight w:val="none"/>
          <w:lang w:val="en-US" w:eastAsia="zh-CN"/>
        </w:rPr>
        <w:t>和税金</w:t>
      </w:r>
      <w:r>
        <w:rPr>
          <w:rFonts w:hint="eastAsia" w:ascii="宋体" w:hAnsi="宋体" w:cs="宋体"/>
          <w:b/>
          <w:bCs/>
          <w:color w:val="0C0C0C"/>
          <w:sz w:val="21"/>
          <w:szCs w:val="21"/>
          <w:highlight w:val="none"/>
        </w:rPr>
        <w:t>等一切费用，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40"/>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2、</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、同意第二章《招标需求》所有条款内容，本项目工程量暂估，结算时按实际结算。</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、如果我方中标，我方将按照招标文件规定提交履约担保，共同地和分别地承担责任。</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、我方的投标担保已按招标文件的要求递交。</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cs="宋体"/>
          <w:color w:val="0C0C0C"/>
          <w:sz w:val="21"/>
          <w:szCs w:val="13"/>
          <w:highlight w:val="none"/>
          <w:lang w:val="en-US" w:eastAsia="zh-CN"/>
        </w:rPr>
        <w:t>7、合同期内，如石粉市场价格有波动调整合同结算综合单价，采用以下造价信息对合同结算综合单价进行调整：</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（1）关于基准价格的约定</w:t>
      </w:r>
      <w:r>
        <w:rPr>
          <w:rFonts w:hint="eastAsia" w:ascii="宋体" w:hAnsi="宋体" w:eastAsia="宋体" w:cs="宋体"/>
          <w:color w:val="0000FF"/>
          <w:sz w:val="21"/>
          <w:szCs w:val="13"/>
          <w:highlight w:val="none"/>
          <w:lang w:val="en-US" w:eastAsia="zh-CN"/>
        </w:rPr>
        <w:t>：</w:t>
      </w:r>
      <w:r>
        <w:rPr>
          <w:rFonts w:hint="eastAsia" w:ascii="宋体" w:hAnsi="宋体" w:eastAsia="宋体" w:cs="宋体"/>
          <w:color w:val="auto"/>
          <w:sz w:val="21"/>
          <w:szCs w:val="13"/>
          <w:highlight w:val="none"/>
          <w:lang w:val="en-US" w:eastAsia="zh-CN"/>
        </w:rPr>
        <w:t>A1=202</w:t>
      </w:r>
      <w:r>
        <w:rPr>
          <w:rFonts w:hint="eastAsia" w:ascii="宋体" w:hAnsi="宋体" w:cs="宋体"/>
          <w:color w:val="auto"/>
          <w:sz w:val="21"/>
          <w:szCs w:val="13"/>
          <w:highlight w:val="none"/>
          <w:lang w:val="en-US" w:eastAsia="zh-CN"/>
        </w:rPr>
        <w:t>4</w:t>
      </w:r>
      <w:r>
        <w:rPr>
          <w:rFonts w:hint="eastAsia" w:ascii="宋体" w:hAnsi="宋体" w:eastAsia="宋体" w:cs="宋体"/>
          <w:color w:val="auto"/>
          <w:sz w:val="21"/>
          <w:szCs w:val="13"/>
          <w:highlight w:val="none"/>
          <w:lang w:val="en-US" w:eastAsia="zh-CN"/>
        </w:rPr>
        <w:t>年</w:t>
      </w:r>
      <w:r>
        <w:rPr>
          <w:rFonts w:hint="eastAsia" w:ascii="宋体" w:hAnsi="宋体" w:cs="宋体"/>
          <w:color w:val="auto"/>
          <w:sz w:val="21"/>
          <w:szCs w:val="13"/>
          <w:highlight w:val="none"/>
          <w:lang w:val="en-US" w:eastAsia="zh-CN"/>
        </w:rPr>
        <w:t>3</w:t>
      </w:r>
      <w:r>
        <w:rPr>
          <w:rFonts w:hint="eastAsia" w:ascii="宋体" w:hAnsi="宋体" w:eastAsia="宋体" w:cs="宋体"/>
          <w:color w:val="auto"/>
          <w:sz w:val="21"/>
          <w:szCs w:val="13"/>
          <w:highlight w:val="none"/>
          <w:lang w:val="en-US" w:eastAsia="zh-CN"/>
        </w:rPr>
        <w:t>月《台州造价》</w:t>
      </w:r>
      <w:r>
        <w:rPr>
          <w:rFonts w:hint="eastAsia" w:ascii="宋体" w:hAnsi="宋体" w:eastAsia="宋体" w:cs="宋体"/>
          <w:color w:val="0C0C0C"/>
          <w:sz w:val="21"/>
          <w:szCs w:val="13"/>
          <w:highlight w:val="none"/>
          <w:lang w:val="en-US" w:eastAsia="zh-CN"/>
        </w:rPr>
        <w:t>（正刊）（工程所在地）对应材料信息价（含税）</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（2）市场价格约定：A2=每批次材料供应时，《台州造价》（正刊）（工程所在地）对应材料信息价（含税）；（具体时间以每批次材料供应清单时间为准）</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（3）调整方法</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a、当A2＞A1时，结算综合单价按超出的金额调增，即该材料结算综合单价=中标综合单价+（A2-A1)；</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b、当A2＜A1时，结算综合单价按低于的金额调减，即该材料结算综合单价=中标综合单价-（A1-A2)；</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c、当A2=A1时，结算单价不作调整；</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（4）如因中标人原因引起的供货延期，延期期间的材料价格上涨时（与合同工期价格比较），价格不予调整；下跌时，按下跌后的价格调整。</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cs="宋体"/>
          <w:color w:val="0C0C0C"/>
          <w:sz w:val="21"/>
          <w:szCs w:val="13"/>
          <w:highlight w:val="none"/>
          <w:lang w:val="en-US" w:eastAsia="zh-CN"/>
        </w:rPr>
        <w:t>8、采购人可随机对石粉质量进行抽检，经第三方检测后，如检验不合格，采购人有权扣除全部履约保证金并且供应商须24小时内配合采购人更换石粉，直至采购人满意。</w:t>
      </w:r>
    </w:p>
    <w:p>
      <w:pPr>
        <w:pStyle w:val="40"/>
        <w:numPr>
          <w:ilvl w:val="0"/>
          <w:numId w:val="0"/>
        </w:numPr>
        <w:jc w:val="left"/>
        <w:rPr>
          <w:rFonts w:hint="eastAsia" w:ascii="宋体" w:hAnsi="宋体" w:cs="宋体"/>
          <w:color w:val="0C0C0C"/>
          <w:sz w:val="22"/>
          <w:szCs w:val="15"/>
          <w:highlight w:val="none"/>
        </w:rPr>
      </w:pPr>
    </w:p>
    <w:p>
      <w:pPr>
        <w:pStyle w:val="40"/>
        <w:numPr>
          <w:ilvl w:val="0"/>
          <w:numId w:val="0"/>
        </w:numPr>
        <w:spacing w:line="240" w:lineRule="auto"/>
        <w:jc w:val="lef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r>
        <w:rPr>
          <w:rFonts w:hint="eastAsia"/>
          <w:b/>
          <w:color w:val="0C0C0C"/>
          <w:highlight w:val="none"/>
          <w:lang w:val="en-US" w:eastAsia="zh-CN"/>
        </w:rPr>
        <w:br w:type="textWrapping"/>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ascii="宋体" w:hAnsi="宋体" w:cs="宋体"/>
          <w:b/>
          <w:color w:val="0C0C0C"/>
          <w:highlight w:val="none"/>
        </w:rPr>
      </w:pPr>
      <w:r>
        <w:rPr>
          <w:rFonts w:hint="eastAsia"/>
          <w:b/>
          <w:color w:val="0C0C0C"/>
          <w:highlight w:val="none"/>
          <w:lang w:val="en-US" w:eastAsia="zh-CN"/>
        </w:rPr>
        <w:t>4</w:t>
      </w:r>
      <w:r>
        <w:rPr>
          <w:rFonts w:hint="eastAsia"/>
          <w:b/>
          <w:color w:val="0C0C0C"/>
          <w:highlight w:val="none"/>
        </w:rPr>
        <w:t>、诚信投标</w:t>
      </w:r>
      <w:r>
        <w:rPr>
          <w:rFonts w:hint="eastAsia" w:ascii="宋体" w:hAnsi="宋体" w:cs="宋体"/>
          <w:b/>
          <w:color w:val="0C0C0C"/>
          <w:highlight w:val="none"/>
        </w:rPr>
        <w:t>承诺书</w:t>
      </w:r>
    </w:p>
    <w:p>
      <w:pPr>
        <w:jc w:val="center"/>
        <w:outlineLvl w:val="0"/>
        <w:rPr>
          <w:rFonts w:hint="eastAsia" w:ascii="宋体" w:hAnsi="宋体"/>
          <w:b/>
          <w:bCs/>
          <w:color w:val="0C0C0C"/>
          <w:sz w:val="32"/>
          <w:highlight w:val="none"/>
          <w:lang w:eastAsia="zh-CN"/>
        </w:rPr>
      </w:pPr>
      <w:r>
        <w:rPr>
          <w:rFonts w:hint="eastAsia" w:ascii="宋体" w:hAnsi="宋体"/>
          <w:b/>
          <w:bCs/>
          <w:color w:val="0C0C0C"/>
          <w:sz w:val="32"/>
          <w:highlight w:val="none"/>
          <w:lang w:eastAsia="zh-CN"/>
        </w:rPr>
        <w:t xml:space="preserve"> </w:t>
      </w:r>
      <w:r>
        <w:rPr>
          <w:rFonts w:hint="eastAsia" w:ascii="宋体" w:hAnsi="宋体" w:cs="宋体"/>
          <w:b/>
          <w:color w:val="0D0D0D"/>
          <w:sz w:val="32"/>
          <w:szCs w:val="32"/>
          <w:lang w:eastAsia="zh-CN"/>
        </w:rPr>
        <w:t>台州湾新区规划支路五（七条河-海茂路）道路工程、台州湾新区正学街（集兴路-甲南大道）道路工程（石粉采购）</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C0C0C"/>
          <w:sz w:val="24"/>
          <w:szCs w:val="22"/>
        </w:rPr>
      </w:pPr>
      <w:r>
        <w:rPr>
          <w:rFonts w:hint="eastAsia" w:ascii="宋体" w:hAnsi="宋体" w:cs="宋体"/>
          <w:color w:val="0C0C0C"/>
          <w:sz w:val="24"/>
          <w:szCs w:val="22"/>
        </w:rPr>
        <w:t>针对本次招标项目，我公司郑重承诺：本单位自愿参加</w:t>
      </w:r>
      <w:r>
        <w:rPr>
          <w:rFonts w:hint="eastAsia" w:ascii="宋体" w:hAnsi="宋体" w:cs="宋体"/>
          <w:color w:val="0C0C0C"/>
          <w:sz w:val="24"/>
          <w:szCs w:val="22"/>
          <w:u w:val="single"/>
        </w:rPr>
        <w:t xml:space="preserve"> </w:t>
      </w:r>
      <w:r>
        <w:rPr>
          <w:rFonts w:hint="eastAsia" w:ascii="宋体" w:hAnsi="宋体" w:cs="宋体"/>
          <w:color w:val="0C0C0C"/>
          <w:sz w:val="24"/>
          <w:szCs w:val="22"/>
          <w:u w:val="single"/>
          <w:lang w:eastAsia="zh-CN"/>
        </w:rPr>
        <w:t>台州湾新区规划支路五（七条河-海茂路）道路工程、台州湾新区正学街（集兴路-甲南大道）道路工程（石粉采购）</w:t>
      </w:r>
      <w:r>
        <w:rPr>
          <w:rFonts w:hint="eastAsia" w:ascii="宋体" w:hAnsi="宋体" w:cs="宋体"/>
          <w:color w:val="0C0C0C"/>
          <w:sz w:val="24"/>
          <w:szCs w:val="22"/>
        </w:rPr>
        <w:t xml:space="preserve"> 的</w:t>
      </w:r>
      <w:r>
        <w:rPr>
          <w:rFonts w:hint="eastAsia" w:ascii="宋体" w:hAnsi="宋体" w:cs="宋体"/>
          <w:color w:val="0C0C0C"/>
          <w:sz w:val="24"/>
          <w:szCs w:val="22"/>
          <w:lang w:val="en-US" w:eastAsia="zh-CN"/>
        </w:rPr>
        <w:t>投标</w:t>
      </w:r>
      <w:r>
        <w:rPr>
          <w:rFonts w:hint="eastAsia" w:ascii="宋体" w:hAnsi="宋体" w:cs="宋体"/>
          <w:color w:val="0C0C0C"/>
          <w:sz w:val="24"/>
          <w:szCs w:val="22"/>
        </w:rPr>
        <w:t>。</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1、本公司所填列的技术要求、服务、数量等相关内容都是真实、准确的；</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2、本公司保证在本次招标项目中所提供的资料全部真实和合法；</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3、本公司保证绝不采取不正当手段诋毁排挤其他投标人；</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4、本公司保证绝不向采购人、采购单位有关工作人员提供不正当利益，以影响采购结果的公正性。</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5、同意此次招标文件中的各项内容。</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6、同意提供按照贵方可能要求的与招标有关的一切数据或资料等。</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lang w:eastAsia="zh-CN"/>
        </w:rPr>
      </w:pPr>
      <w:r>
        <w:rPr>
          <w:rFonts w:hint="eastAsia" w:ascii="宋体" w:hAnsi="宋体" w:cs="宋体"/>
          <w:color w:val="auto"/>
          <w:sz w:val="24"/>
          <w:szCs w:val="22"/>
        </w:rPr>
        <w:t>7、本单位如中标，保证按照投标文件的承诺与贵方签订合同，保证履行合同条款</w:t>
      </w:r>
      <w:r>
        <w:rPr>
          <w:rFonts w:hint="eastAsia" w:ascii="宋体" w:hAnsi="宋体" w:cs="宋体"/>
          <w:color w:val="auto"/>
          <w:sz w:val="24"/>
          <w:szCs w:val="22"/>
          <w:lang w:eastAsia="zh-CN"/>
        </w:rPr>
        <w:t>。</w:t>
      </w:r>
    </w:p>
    <w:p>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bCs/>
          <w:color w:val="auto"/>
          <w:sz w:val="24"/>
          <w:szCs w:val="22"/>
          <w:highlight w:val="none"/>
          <w:lang w:val="en-US" w:eastAsia="zh-CN"/>
        </w:rPr>
      </w:pPr>
      <w:r>
        <w:rPr>
          <w:rFonts w:hint="eastAsia" w:ascii="宋体" w:hAnsi="宋体" w:cs="宋体"/>
          <w:b/>
          <w:bCs/>
          <w:color w:val="auto"/>
          <w:sz w:val="24"/>
          <w:szCs w:val="22"/>
          <w:highlight w:val="none"/>
          <w:lang w:val="en-US" w:eastAsia="zh-CN"/>
        </w:rPr>
        <w:t>8、本单位承诺石粉含泥量≤3％，经第三方检测后，如检验不合格，采购人有权扣除全部履约保证金并且供应商须24小时内配合采购人更换石粉，直至采购人满意。</w:t>
      </w:r>
    </w:p>
    <w:p>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宋体"/>
          <w:b/>
          <w:bCs/>
          <w:color w:val="auto"/>
          <w:kern w:val="2"/>
          <w:sz w:val="24"/>
          <w:szCs w:val="22"/>
          <w:highlight w:val="none"/>
          <w:lang w:val="en-US" w:eastAsia="zh-CN" w:bidi="ar-SA"/>
        </w:rPr>
      </w:pPr>
      <w:r>
        <w:rPr>
          <w:rFonts w:hint="eastAsia" w:ascii="宋体" w:hAnsi="宋体" w:cs="宋体"/>
          <w:b/>
          <w:bCs/>
          <w:color w:val="auto"/>
          <w:sz w:val="24"/>
          <w:szCs w:val="22"/>
          <w:lang w:val="en-US" w:eastAsia="zh-CN"/>
        </w:rPr>
        <w:t>9、本公司承诺如出现招标文件第三章三、（五）6情形的（如IP地址相同等），将自愿罚没投标保证金。</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u w:val="single"/>
        </w:rPr>
      </w:pPr>
      <w:r>
        <w:rPr>
          <w:rFonts w:hint="eastAsia" w:ascii="宋体" w:hAnsi="宋体" w:cs="宋体"/>
          <w:color w:val="auto"/>
          <w:sz w:val="24"/>
          <w:szCs w:val="22"/>
        </w:rPr>
        <w:t>本公司若有违反本承诺内容的行为，愿意承担法律责任，并愿意</w:t>
      </w:r>
      <w:r>
        <w:rPr>
          <w:rFonts w:hint="eastAsia" w:ascii="宋体" w:hAnsi="宋体" w:cs="宋体"/>
          <w:color w:val="auto"/>
          <w:sz w:val="24"/>
          <w:szCs w:val="22"/>
          <w:lang w:val="en-US" w:eastAsia="zh-CN"/>
        </w:rPr>
        <w:t>赔偿为招标人造成的损失</w:t>
      </w:r>
      <w:r>
        <w:rPr>
          <w:rFonts w:hint="eastAsia" w:ascii="宋体" w:hAnsi="宋体" w:cs="宋体"/>
          <w:color w:val="auto"/>
          <w:sz w:val="24"/>
          <w:szCs w:val="22"/>
        </w:rPr>
        <w:t>。如已中标的，自动放弃中标资格；给采购人造成损失的，依法承担赔偿责任。</w:t>
      </w:r>
    </w:p>
    <w:p>
      <w:pPr>
        <w:tabs>
          <w:tab w:val="left" w:pos="570"/>
        </w:tabs>
        <w:spacing w:line="440" w:lineRule="exact"/>
        <w:jc w:val="left"/>
        <w:rPr>
          <w:rFonts w:hint="eastAsia" w:ascii="宋体" w:hAnsi="宋体" w:cs="宋体"/>
          <w:color w:val="auto"/>
          <w:u w:val="single"/>
        </w:rPr>
      </w:pP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hint="eastAsia"/>
      </w:rPr>
    </w:pPr>
    <w:r>
      <w:fldChar w:fldCharType="begin"/>
    </w:r>
    <w:r>
      <w:rPr>
        <w:rStyle w:val="50"/>
      </w:rPr>
      <w:instrText xml:space="preserve"> PAGE </w:instrText>
    </w:r>
    <w:r>
      <w:fldChar w:fldCharType="separate"/>
    </w:r>
    <w:r>
      <w:rPr>
        <w:rStyle w:val="50"/>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33</w:t>
    </w:r>
    <w:r>
      <w:fldChar w:fldCharType="end"/>
    </w:r>
  </w:p>
  <w:p>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3"/>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3"/>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0</w:t>
    </w:r>
    <w:r>
      <w:fldChar w:fldCharType="end"/>
    </w:r>
  </w:p>
  <w:p>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3"/>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9"/>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4"/>
      <w:lvlText w:val="o"/>
      <w:lvlJc w:val="left"/>
      <w:pPr>
        <w:tabs>
          <w:tab w:val="left" w:pos="1440"/>
        </w:tabs>
        <w:ind w:left="1800" w:hanging="360"/>
      </w:pPr>
      <w:rPr>
        <w:rFonts w:hint="default" w:ascii="Courier New" w:hAnsi="Courier New"/>
      </w:rPr>
    </w:lvl>
    <w:lvl w:ilvl="3" w:tentative="0">
      <w:start w:val="1"/>
      <w:numFmt w:val="bullet"/>
      <w:pStyle w:val="106"/>
      <w:lvlText w:val=""/>
      <w:lvlJc w:val="left"/>
      <w:pPr>
        <w:tabs>
          <w:tab w:val="left" w:pos="2160"/>
        </w:tabs>
        <w:ind w:left="2520" w:hanging="360"/>
      </w:pPr>
      <w:rPr>
        <w:rFonts w:hint="default" w:ascii="Wingdings" w:hAnsi="Wingdings"/>
      </w:rPr>
    </w:lvl>
    <w:lvl w:ilvl="4" w:tentative="0">
      <w:start w:val="1"/>
      <w:numFmt w:val="bullet"/>
      <w:pStyle w:val="118"/>
      <w:lvlText w:val=""/>
      <w:lvlJc w:val="left"/>
      <w:pPr>
        <w:tabs>
          <w:tab w:val="left" w:pos="2880"/>
        </w:tabs>
        <w:ind w:left="3240" w:hanging="360"/>
      </w:pPr>
      <w:rPr>
        <w:rFonts w:hint="default" w:ascii="Wingdings" w:hAnsi="Wingdings"/>
      </w:rPr>
    </w:lvl>
    <w:lvl w:ilvl="5" w:tentative="0">
      <w:start w:val="1"/>
      <w:numFmt w:val="bullet"/>
      <w:pStyle w:val="137"/>
      <w:lvlText w:val=""/>
      <w:lvlJc w:val="left"/>
      <w:pPr>
        <w:tabs>
          <w:tab w:val="left" w:pos="3600"/>
        </w:tabs>
        <w:ind w:left="3960" w:hanging="360"/>
      </w:pPr>
      <w:rPr>
        <w:rFonts w:hint="default" w:ascii="Symbol" w:hAnsi="Symbol"/>
      </w:rPr>
    </w:lvl>
    <w:lvl w:ilvl="6" w:tentative="0">
      <w:start w:val="1"/>
      <w:numFmt w:val="bullet"/>
      <w:pStyle w:val="125"/>
      <w:lvlText w:val="o"/>
      <w:lvlJc w:val="left"/>
      <w:pPr>
        <w:tabs>
          <w:tab w:val="left" w:pos="4320"/>
        </w:tabs>
        <w:ind w:left="4680" w:hanging="360"/>
      </w:pPr>
      <w:rPr>
        <w:rFonts w:hint="default" w:ascii="Courier New" w:hAnsi="Courier New"/>
      </w:rPr>
    </w:lvl>
    <w:lvl w:ilvl="7" w:tentative="0">
      <w:start w:val="1"/>
      <w:numFmt w:val="bullet"/>
      <w:pStyle w:val="128"/>
      <w:lvlText w:val=""/>
      <w:lvlJc w:val="left"/>
      <w:pPr>
        <w:tabs>
          <w:tab w:val="left" w:pos="5040"/>
        </w:tabs>
        <w:ind w:left="5400" w:hanging="360"/>
      </w:pPr>
      <w:rPr>
        <w:rFonts w:hint="default" w:ascii="Wingdings" w:hAnsi="Wingdings"/>
      </w:rPr>
    </w:lvl>
    <w:lvl w:ilvl="8" w:tentative="0">
      <w:start w:val="1"/>
      <w:numFmt w:val="bullet"/>
      <w:pStyle w:val="139"/>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6"/>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DNmNzU3MDk0MGUwMzAzNjYyNWU3NDYzYzdlMzI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493B23"/>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9B62DE"/>
    <w:rsid w:val="0AA150CD"/>
    <w:rsid w:val="0AB87521"/>
    <w:rsid w:val="0AD53E7E"/>
    <w:rsid w:val="0AD8497F"/>
    <w:rsid w:val="0B37005B"/>
    <w:rsid w:val="0B690133"/>
    <w:rsid w:val="0B7D34FB"/>
    <w:rsid w:val="0C080AD5"/>
    <w:rsid w:val="0C132F61"/>
    <w:rsid w:val="0C3D6E6B"/>
    <w:rsid w:val="0C5937D4"/>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4022FA"/>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E07536"/>
    <w:rsid w:val="1D372595"/>
    <w:rsid w:val="1D6C62F0"/>
    <w:rsid w:val="1DAD27D8"/>
    <w:rsid w:val="1DDB572A"/>
    <w:rsid w:val="1E064063"/>
    <w:rsid w:val="1E104896"/>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24EE7"/>
    <w:rsid w:val="20A502E1"/>
    <w:rsid w:val="20CE4219"/>
    <w:rsid w:val="212D579A"/>
    <w:rsid w:val="214976C0"/>
    <w:rsid w:val="21524CBD"/>
    <w:rsid w:val="215C491E"/>
    <w:rsid w:val="21AE07DF"/>
    <w:rsid w:val="21D95588"/>
    <w:rsid w:val="221D7711"/>
    <w:rsid w:val="225A33A0"/>
    <w:rsid w:val="22614E71"/>
    <w:rsid w:val="227D52A3"/>
    <w:rsid w:val="22AB3BEB"/>
    <w:rsid w:val="22C94C2C"/>
    <w:rsid w:val="22D7460F"/>
    <w:rsid w:val="22E850AE"/>
    <w:rsid w:val="230D433C"/>
    <w:rsid w:val="232E5022"/>
    <w:rsid w:val="236164A0"/>
    <w:rsid w:val="239D4C64"/>
    <w:rsid w:val="23BC5492"/>
    <w:rsid w:val="23D4786E"/>
    <w:rsid w:val="23FE3057"/>
    <w:rsid w:val="243811EA"/>
    <w:rsid w:val="24620B34"/>
    <w:rsid w:val="249A178C"/>
    <w:rsid w:val="24A51FCA"/>
    <w:rsid w:val="24DB51E1"/>
    <w:rsid w:val="24F83518"/>
    <w:rsid w:val="25450F9C"/>
    <w:rsid w:val="25536518"/>
    <w:rsid w:val="25824282"/>
    <w:rsid w:val="25C30591"/>
    <w:rsid w:val="260B3695"/>
    <w:rsid w:val="263621D9"/>
    <w:rsid w:val="26744954"/>
    <w:rsid w:val="267A34D0"/>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4374BB"/>
    <w:rsid w:val="32552CA4"/>
    <w:rsid w:val="325B3B5B"/>
    <w:rsid w:val="326D276E"/>
    <w:rsid w:val="32933F66"/>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446FE8"/>
    <w:rsid w:val="386016CA"/>
    <w:rsid w:val="38664C27"/>
    <w:rsid w:val="38881470"/>
    <w:rsid w:val="389163B8"/>
    <w:rsid w:val="38A020FB"/>
    <w:rsid w:val="38A968F5"/>
    <w:rsid w:val="38B01A5E"/>
    <w:rsid w:val="38C211EC"/>
    <w:rsid w:val="38DB4914"/>
    <w:rsid w:val="38F613A5"/>
    <w:rsid w:val="391263E7"/>
    <w:rsid w:val="398C3DFF"/>
    <w:rsid w:val="39D553ED"/>
    <w:rsid w:val="3A3C74D7"/>
    <w:rsid w:val="3A784CF1"/>
    <w:rsid w:val="3AAE727E"/>
    <w:rsid w:val="3B0E43DD"/>
    <w:rsid w:val="3B9E6B4C"/>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1E2958"/>
    <w:rsid w:val="425C4FB1"/>
    <w:rsid w:val="42C245E4"/>
    <w:rsid w:val="42C95E08"/>
    <w:rsid w:val="43363701"/>
    <w:rsid w:val="433F6DD1"/>
    <w:rsid w:val="43400D1A"/>
    <w:rsid w:val="43A0304D"/>
    <w:rsid w:val="43E541AC"/>
    <w:rsid w:val="444A1F0B"/>
    <w:rsid w:val="44561E0F"/>
    <w:rsid w:val="446F65AC"/>
    <w:rsid w:val="44926D5D"/>
    <w:rsid w:val="44B07254"/>
    <w:rsid w:val="44BE0921"/>
    <w:rsid w:val="44D03153"/>
    <w:rsid w:val="44F87EAD"/>
    <w:rsid w:val="45053F4D"/>
    <w:rsid w:val="45534EA2"/>
    <w:rsid w:val="455D44EC"/>
    <w:rsid w:val="461F306C"/>
    <w:rsid w:val="46416C29"/>
    <w:rsid w:val="46864226"/>
    <w:rsid w:val="472B2D94"/>
    <w:rsid w:val="47441BF2"/>
    <w:rsid w:val="478F25B4"/>
    <w:rsid w:val="47D83900"/>
    <w:rsid w:val="485023CA"/>
    <w:rsid w:val="48D53F0A"/>
    <w:rsid w:val="492C2BE3"/>
    <w:rsid w:val="497173A6"/>
    <w:rsid w:val="499E0BD7"/>
    <w:rsid w:val="49A52363"/>
    <w:rsid w:val="49E307DA"/>
    <w:rsid w:val="4A0B3732"/>
    <w:rsid w:val="4A122160"/>
    <w:rsid w:val="4A5F7D81"/>
    <w:rsid w:val="4AAC4B68"/>
    <w:rsid w:val="4B1F4BF8"/>
    <w:rsid w:val="4B88775A"/>
    <w:rsid w:val="4BAE4EA6"/>
    <w:rsid w:val="4BC444AE"/>
    <w:rsid w:val="4BEB703E"/>
    <w:rsid w:val="4BEF50DC"/>
    <w:rsid w:val="4C181498"/>
    <w:rsid w:val="4C537959"/>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710E9E"/>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ADC6EA5"/>
    <w:rsid w:val="5B1B719B"/>
    <w:rsid w:val="5B4251BB"/>
    <w:rsid w:val="5B477E65"/>
    <w:rsid w:val="5BAC006B"/>
    <w:rsid w:val="5C0002A3"/>
    <w:rsid w:val="5C017CDC"/>
    <w:rsid w:val="5C0F5FEB"/>
    <w:rsid w:val="5C826A02"/>
    <w:rsid w:val="5C9A79D1"/>
    <w:rsid w:val="5CB050E1"/>
    <w:rsid w:val="5CBC2D74"/>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E13364"/>
    <w:rsid w:val="64370C94"/>
    <w:rsid w:val="646805F0"/>
    <w:rsid w:val="646C02EC"/>
    <w:rsid w:val="648E23CC"/>
    <w:rsid w:val="64AC1ED4"/>
    <w:rsid w:val="6593435C"/>
    <w:rsid w:val="65A601E8"/>
    <w:rsid w:val="6630389E"/>
    <w:rsid w:val="66371C77"/>
    <w:rsid w:val="6638385D"/>
    <w:rsid w:val="66B13A74"/>
    <w:rsid w:val="67487979"/>
    <w:rsid w:val="678A38D8"/>
    <w:rsid w:val="67C25D3D"/>
    <w:rsid w:val="67DF60F0"/>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9A4B34"/>
    <w:rsid w:val="6BC16BCF"/>
    <w:rsid w:val="6C7833CE"/>
    <w:rsid w:val="6C992F9A"/>
    <w:rsid w:val="6D0F045C"/>
    <w:rsid w:val="6D106B2C"/>
    <w:rsid w:val="6D2C6FA7"/>
    <w:rsid w:val="6DA01D6C"/>
    <w:rsid w:val="6E3D297C"/>
    <w:rsid w:val="6E494945"/>
    <w:rsid w:val="6E54206C"/>
    <w:rsid w:val="6F08045A"/>
    <w:rsid w:val="6F085346"/>
    <w:rsid w:val="6F3E0414"/>
    <w:rsid w:val="6FA84FA3"/>
    <w:rsid w:val="6FE763A8"/>
    <w:rsid w:val="70525D42"/>
    <w:rsid w:val="7099701F"/>
    <w:rsid w:val="70CF4937"/>
    <w:rsid w:val="70FC052C"/>
    <w:rsid w:val="71395A23"/>
    <w:rsid w:val="71AA673A"/>
    <w:rsid w:val="71BA3FF3"/>
    <w:rsid w:val="71BE2151"/>
    <w:rsid w:val="71E41F32"/>
    <w:rsid w:val="71EB5125"/>
    <w:rsid w:val="722B5E25"/>
    <w:rsid w:val="723A01C1"/>
    <w:rsid w:val="724071D4"/>
    <w:rsid w:val="72414CAC"/>
    <w:rsid w:val="731B002C"/>
    <w:rsid w:val="73A61EB0"/>
    <w:rsid w:val="73B86B69"/>
    <w:rsid w:val="73BC4A4C"/>
    <w:rsid w:val="73C5308F"/>
    <w:rsid w:val="73D93FF3"/>
    <w:rsid w:val="73E82F84"/>
    <w:rsid w:val="73F66EBD"/>
    <w:rsid w:val="74235540"/>
    <w:rsid w:val="74563326"/>
    <w:rsid w:val="74627D7E"/>
    <w:rsid w:val="7463466C"/>
    <w:rsid w:val="74672AB4"/>
    <w:rsid w:val="749F164B"/>
    <w:rsid w:val="74AD4C67"/>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CE1B28"/>
    <w:rsid w:val="78EA71D0"/>
    <w:rsid w:val="79CF199B"/>
    <w:rsid w:val="79F564A6"/>
    <w:rsid w:val="7A057CCF"/>
    <w:rsid w:val="7A7B40CD"/>
    <w:rsid w:val="7AA6211F"/>
    <w:rsid w:val="7AB102AF"/>
    <w:rsid w:val="7AC909B7"/>
    <w:rsid w:val="7AF54336"/>
    <w:rsid w:val="7B0021CC"/>
    <w:rsid w:val="7B3C549C"/>
    <w:rsid w:val="7B9F45BD"/>
    <w:rsid w:val="7CAE3CED"/>
    <w:rsid w:val="7CF4661E"/>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EC771F"/>
    <w:rsid w:val="7EF7254F"/>
    <w:rsid w:val="7EFC6DF2"/>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6"/>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55"/>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link w:val="58"/>
    <w:qFormat/>
    <w:uiPriority w:val="0"/>
    <w:pPr>
      <w:keepNext/>
      <w:keepLines/>
      <w:spacing w:before="280" w:beforeLines="0" w:after="290" w:afterLines="0" w:line="372" w:lineRule="auto"/>
      <w:outlineLvl w:val="3"/>
    </w:pPr>
    <w:rPr>
      <w:rFonts w:ascii="Arial" w:hAnsi="Arial" w:eastAsia="黑体"/>
      <w:b/>
      <w:bCs/>
      <w:szCs w:val="28"/>
    </w:rPr>
  </w:style>
  <w:style w:type="paragraph" w:styleId="7">
    <w:name w:val="heading 5"/>
    <w:basedOn w:val="1"/>
    <w:next w:val="1"/>
    <w:link w:val="59"/>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8">
    <w:name w:val="heading 6"/>
    <w:basedOn w:val="1"/>
    <w:next w:val="1"/>
    <w:link w:val="60"/>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9">
    <w:name w:val="heading 7"/>
    <w:basedOn w:val="1"/>
    <w:next w:val="1"/>
    <w:link w:val="6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10">
    <w:name w:val="heading 8"/>
    <w:basedOn w:val="1"/>
    <w:next w:val="1"/>
    <w:link w:val="62"/>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1">
    <w:name w:val="heading 9"/>
    <w:basedOn w:val="1"/>
    <w:next w:val="1"/>
    <w:link w:val="63"/>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8">
    <w:name w:val="Default Paragraph Font"/>
    <w:qFormat/>
    <w:uiPriority w:val="0"/>
  </w:style>
  <w:style w:type="table" w:default="1" w:styleId="47">
    <w:name w:val="Normal Table"/>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12">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3">
    <w:name w:val="Normal Indent"/>
    <w:basedOn w:val="1"/>
    <w:link w:val="64"/>
    <w:qFormat/>
    <w:uiPriority w:val="0"/>
    <w:pPr>
      <w:ind w:firstLine="420"/>
    </w:pPr>
    <w:rPr>
      <w:sz w:val="21"/>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List Bullet"/>
    <w:basedOn w:val="1"/>
    <w:next w:val="1"/>
    <w:unhideWhenUsed/>
    <w:qFormat/>
    <w:uiPriority w:val="99"/>
    <w:pPr>
      <w:numPr>
        <w:ilvl w:val="0"/>
        <w:numId w:val="1"/>
      </w:numPr>
    </w:pPr>
  </w:style>
  <w:style w:type="paragraph" w:styleId="16">
    <w:name w:val="Document Map"/>
    <w:basedOn w:val="1"/>
    <w:link w:val="65"/>
    <w:qFormat/>
    <w:uiPriority w:val="0"/>
    <w:pPr>
      <w:shd w:val="clear" w:color="auto" w:fill="000080"/>
    </w:pPr>
    <w:rPr>
      <w:kern w:val="0"/>
      <w:sz w:val="20"/>
      <w:shd w:val="clear" w:color="auto" w:fill="000080"/>
    </w:rPr>
  </w:style>
  <w:style w:type="paragraph" w:styleId="17">
    <w:name w:val="toa heading"/>
    <w:basedOn w:val="1"/>
    <w:next w:val="1"/>
    <w:qFormat/>
    <w:uiPriority w:val="0"/>
    <w:pPr>
      <w:spacing w:before="120" w:beforeLines="0"/>
    </w:pPr>
    <w:rPr>
      <w:rFonts w:ascii="Arial" w:hAnsi="Arial" w:cs="Arial"/>
      <w:sz w:val="24"/>
    </w:rPr>
  </w:style>
  <w:style w:type="paragraph" w:styleId="18">
    <w:name w:val="annotation text"/>
    <w:basedOn w:val="1"/>
    <w:link w:val="66"/>
    <w:qFormat/>
    <w:uiPriority w:val="0"/>
    <w:pPr>
      <w:jc w:val="left"/>
    </w:pPr>
    <w:rPr>
      <w:sz w:val="21"/>
    </w:rPr>
  </w:style>
  <w:style w:type="paragraph" w:styleId="19">
    <w:name w:val="Body Text 3"/>
    <w:basedOn w:val="1"/>
    <w:qFormat/>
    <w:uiPriority w:val="0"/>
    <w:pPr>
      <w:snapToGrid w:val="0"/>
      <w:spacing w:before="50" w:beforeLines="0" w:after="50" w:afterLines="0"/>
    </w:pPr>
    <w:rPr>
      <w:rFonts w:hAnsi="宋体" w:eastAsia="仿宋_GB2312"/>
      <w:b/>
      <w:bCs/>
      <w:sz w:val="24"/>
      <w:szCs w:val="20"/>
    </w:rPr>
  </w:style>
  <w:style w:type="paragraph" w:styleId="20">
    <w:name w:val="Body Text"/>
    <w:basedOn w:val="1"/>
    <w:next w:val="21"/>
    <w:link w:val="67"/>
    <w:qFormat/>
    <w:uiPriority w:val="0"/>
    <w:pPr>
      <w:spacing w:after="120" w:afterLines="0"/>
    </w:pPr>
  </w:style>
  <w:style w:type="paragraph" w:styleId="21">
    <w:name w:val="Body Text First Indent"/>
    <w:basedOn w:val="20"/>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2">
    <w:name w:val="Body Text Indent"/>
    <w:basedOn w:val="1"/>
    <w:next w:val="1"/>
    <w:link w:val="68"/>
    <w:qFormat/>
    <w:uiPriority w:val="0"/>
    <w:pPr>
      <w:spacing w:line="200" w:lineRule="atLeast"/>
      <w:ind w:firstLine="301"/>
    </w:pPr>
    <w:rPr>
      <w:rFonts w:ascii="宋体" w:hAnsi="Courier New"/>
      <w:spacing w:val="-4"/>
      <w:sz w:val="18"/>
      <w:szCs w:val="20"/>
    </w:rPr>
  </w:style>
  <w:style w:type="paragraph" w:styleId="23">
    <w:name w:val="List Number 3"/>
    <w:basedOn w:val="1"/>
    <w:qFormat/>
    <w:uiPriority w:val="0"/>
    <w:pPr>
      <w:numPr>
        <w:ilvl w:val="0"/>
        <w:numId w:val="2"/>
      </w:numPr>
      <w:ind w:left="720"/>
    </w:pPr>
    <w:rPr>
      <w:sz w:val="21"/>
    </w:rPr>
  </w:style>
  <w:style w:type="paragraph" w:styleId="24">
    <w:name w:val="List 2"/>
    <w:basedOn w:val="1"/>
    <w:qFormat/>
    <w:uiPriority w:val="0"/>
    <w:pPr>
      <w:ind w:leftChars="200" w:hanging="200" w:hangingChars="200"/>
    </w:pPr>
  </w:style>
  <w:style w:type="paragraph" w:styleId="25">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6">
    <w:name w:val="List Bullet 2"/>
    <w:basedOn w:val="1"/>
    <w:next w:val="15"/>
    <w:unhideWhenUsed/>
    <w:qFormat/>
    <w:uiPriority w:val="99"/>
    <w:pPr>
      <w:numPr>
        <w:ilvl w:val="0"/>
        <w:numId w:val="3"/>
      </w:numPr>
    </w:p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840" w:leftChars="400"/>
    </w:pPr>
    <w:rPr>
      <w:sz w:val="21"/>
    </w:rPr>
  </w:style>
  <w:style w:type="paragraph" w:styleId="29">
    <w:name w:val="Plain Text"/>
    <w:basedOn w:val="1"/>
    <w:next w:val="1"/>
    <w:link w:val="69"/>
    <w:qFormat/>
    <w:uiPriority w:val="0"/>
    <w:pPr>
      <w:spacing w:before="156" w:beforeLines="50" w:after="156" w:afterLines="50" w:line="400" w:lineRule="atLeast"/>
    </w:pPr>
    <w:rPr>
      <w:rFonts w:ascii="宋体" w:hAnsi="Courier New"/>
      <w:sz w:val="24"/>
    </w:rPr>
  </w:style>
  <w:style w:type="paragraph" w:styleId="30">
    <w:name w:val="Date"/>
    <w:basedOn w:val="1"/>
    <w:next w:val="1"/>
    <w:qFormat/>
    <w:uiPriority w:val="0"/>
    <w:pPr>
      <w:ind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Balloon Text"/>
    <w:basedOn w:val="1"/>
    <w:qFormat/>
    <w:uiPriority w:val="0"/>
    <w:rPr>
      <w:sz w:val="18"/>
      <w:szCs w:val="20"/>
    </w:rPr>
  </w:style>
  <w:style w:type="paragraph" w:styleId="33">
    <w:name w:val="footer"/>
    <w:basedOn w:val="1"/>
    <w:link w:val="70"/>
    <w:qFormat/>
    <w:uiPriority w:val="0"/>
    <w:pPr>
      <w:tabs>
        <w:tab w:val="center" w:pos="4153"/>
        <w:tab w:val="right" w:pos="8306"/>
      </w:tabs>
      <w:snapToGrid w:val="0"/>
      <w:jc w:val="left"/>
    </w:pPr>
    <w:rPr>
      <w:sz w:val="18"/>
      <w:szCs w:val="18"/>
    </w:rPr>
  </w:style>
  <w:style w:type="paragraph" w:styleId="34">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rPr>
      <w:sz w:val="21"/>
    </w:rPr>
  </w:style>
  <w:style w:type="paragraph" w:styleId="36">
    <w:name w:val="Subtitle"/>
    <w:basedOn w:val="1"/>
    <w:next w:val="1"/>
    <w:link w:val="72"/>
    <w:qFormat/>
    <w:uiPriority w:val="0"/>
    <w:pPr>
      <w:spacing w:before="240" w:beforeLines="0" w:after="60" w:afterLines="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style>
  <w:style w:type="paragraph" w:styleId="38">
    <w:name w:val="footnote text"/>
    <w:basedOn w:val="1"/>
    <w:qFormat/>
    <w:uiPriority w:val="0"/>
    <w:pPr>
      <w:snapToGrid w:val="0"/>
      <w:jc w:val="left"/>
    </w:pPr>
    <w:rPr>
      <w:rFonts w:eastAsia="仿宋_GB2312"/>
      <w:sz w:val="18"/>
      <w:szCs w:val="20"/>
    </w:rPr>
  </w:style>
  <w:style w:type="paragraph" w:styleId="39">
    <w:name w:val="toc 6"/>
    <w:basedOn w:val="1"/>
    <w:next w:val="1"/>
    <w:unhideWhenUsed/>
    <w:qFormat/>
    <w:uiPriority w:val="39"/>
    <w:pPr>
      <w:ind w:left="2100" w:leftChars="1000"/>
    </w:pPr>
    <w:rPr>
      <w:rFonts w:ascii="Calibri" w:hAnsi="Calibri"/>
    </w:rPr>
  </w:style>
  <w:style w:type="paragraph" w:styleId="40">
    <w:name w:val="Body Text Indent 3"/>
    <w:basedOn w:val="1"/>
    <w:qFormat/>
    <w:uiPriority w:val="0"/>
    <w:pPr>
      <w:spacing w:after="120" w:afterLines="0"/>
      <w:ind w:left="420" w:leftChars="200"/>
    </w:pPr>
    <w:rPr>
      <w:sz w:val="16"/>
      <w:szCs w:val="16"/>
    </w:rPr>
  </w:style>
  <w:style w:type="paragraph" w:styleId="41">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2">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3">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4">
    <w:name w:val="Title"/>
    <w:basedOn w:val="1"/>
    <w:next w:val="1"/>
    <w:link w:val="73"/>
    <w:qFormat/>
    <w:uiPriority w:val="0"/>
    <w:pPr>
      <w:spacing w:before="240" w:beforeLines="0" w:after="60" w:afterLines="0"/>
      <w:jc w:val="center"/>
      <w:outlineLvl w:val="0"/>
    </w:pPr>
    <w:rPr>
      <w:rFonts w:ascii="Arial" w:hAnsi="Arial" w:cs="Arial"/>
      <w:b/>
      <w:bCs/>
      <w:sz w:val="32"/>
      <w:szCs w:val="32"/>
    </w:rPr>
  </w:style>
  <w:style w:type="paragraph" w:styleId="45">
    <w:name w:val="annotation subject"/>
    <w:basedOn w:val="18"/>
    <w:next w:val="18"/>
    <w:link w:val="74"/>
    <w:qFormat/>
    <w:uiPriority w:val="0"/>
    <w:rPr>
      <w:rFonts w:ascii="宋体"/>
      <w:b/>
      <w:bCs/>
      <w:kern w:val="0"/>
      <w:sz w:val="28"/>
      <w:szCs w:val="20"/>
    </w:rPr>
  </w:style>
  <w:style w:type="paragraph" w:styleId="46">
    <w:name w:val="Body Text First Indent 2"/>
    <w:basedOn w:val="22"/>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Char"/>
    <w:link w:val="4"/>
    <w:qFormat/>
    <w:uiPriority w:val="0"/>
    <w:rPr>
      <w:rFonts w:ascii="Arial" w:hAnsi="Arial" w:eastAsia="黑体"/>
      <w:b/>
      <w:bCs/>
      <w:kern w:val="2"/>
      <w:sz w:val="32"/>
      <w:szCs w:val="32"/>
    </w:rPr>
  </w:style>
  <w:style w:type="character" w:customStyle="1" w:styleId="56">
    <w:name w:val="标题 1 Char"/>
    <w:link w:val="3"/>
    <w:qFormat/>
    <w:uiPriority w:val="0"/>
    <w:rPr>
      <w:b/>
      <w:bCs/>
      <w:kern w:val="44"/>
      <w:sz w:val="44"/>
      <w:szCs w:val="44"/>
    </w:rPr>
  </w:style>
  <w:style w:type="character" w:customStyle="1" w:styleId="57">
    <w:name w:val="标题 3 Char"/>
    <w:link w:val="5"/>
    <w:qFormat/>
    <w:uiPriority w:val="0"/>
    <w:rPr>
      <w:b/>
      <w:bCs/>
      <w:kern w:val="2"/>
      <w:sz w:val="32"/>
      <w:szCs w:val="32"/>
    </w:rPr>
  </w:style>
  <w:style w:type="character" w:customStyle="1" w:styleId="58">
    <w:name w:val="标题 4 Char"/>
    <w:link w:val="6"/>
    <w:qFormat/>
    <w:uiPriority w:val="0"/>
    <w:rPr>
      <w:rFonts w:ascii="Arial" w:hAnsi="Arial" w:eastAsia="黑体"/>
      <w:b/>
      <w:bCs/>
      <w:kern w:val="2"/>
      <w:sz w:val="28"/>
      <w:szCs w:val="28"/>
    </w:rPr>
  </w:style>
  <w:style w:type="character" w:customStyle="1" w:styleId="59">
    <w:name w:val="标题 5 Char"/>
    <w:link w:val="7"/>
    <w:qFormat/>
    <w:uiPriority w:val="0"/>
    <w:rPr>
      <w:b/>
      <w:bCs/>
      <w:sz w:val="28"/>
      <w:szCs w:val="28"/>
    </w:rPr>
  </w:style>
  <w:style w:type="character" w:customStyle="1" w:styleId="60">
    <w:name w:val="标题 6 Char"/>
    <w:link w:val="8"/>
    <w:qFormat/>
    <w:uiPriority w:val="0"/>
    <w:rPr>
      <w:rFonts w:ascii="Arial" w:hAnsi="Arial" w:eastAsia="黑体"/>
      <w:b/>
      <w:bCs/>
      <w:sz w:val="24"/>
      <w:szCs w:val="24"/>
    </w:rPr>
  </w:style>
  <w:style w:type="character" w:customStyle="1" w:styleId="61">
    <w:name w:val="标题 7 Char"/>
    <w:link w:val="9"/>
    <w:qFormat/>
    <w:uiPriority w:val="0"/>
    <w:rPr>
      <w:b/>
      <w:bCs/>
      <w:sz w:val="24"/>
      <w:szCs w:val="24"/>
    </w:rPr>
  </w:style>
  <w:style w:type="character" w:customStyle="1" w:styleId="62">
    <w:name w:val="标题 8 Char"/>
    <w:link w:val="10"/>
    <w:qFormat/>
    <w:uiPriority w:val="0"/>
    <w:rPr>
      <w:rFonts w:ascii="Arial" w:hAnsi="Arial" w:eastAsia="黑体"/>
      <w:sz w:val="24"/>
      <w:szCs w:val="24"/>
    </w:rPr>
  </w:style>
  <w:style w:type="character" w:customStyle="1" w:styleId="63">
    <w:name w:val="标题 9 Char"/>
    <w:link w:val="11"/>
    <w:qFormat/>
    <w:uiPriority w:val="0"/>
    <w:rPr>
      <w:rFonts w:ascii="Arial" w:hAnsi="Arial" w:eastAsia="黑体"/>
      <w:sz w:val="21"/>
      <w:szCs w:val="21"/>
    </w:rPr>
  </w:style>
  <w:style w:type="character" w:customStyle="1" w:styleId="64">
    <w:name w:val="正文缩进 Char"/>
    <w:link w:val="13"/>
    <w:qFormat/>
    <w:uiPriority w:val="0"/>
    <w:rPr>
      <w:rFonts w:eastAsia="宋体"/>
      <w:kern w:val="2"/>
      <w:sz w:val="21"/>
      <w:lang w:val="en-US" w:eastAsia="zh-CN" w:bidi="ar-SA"/>
    </w:rPr>
  </w:style>
  <w:style w:type="character" w:customStyle="1" w:styleId="65">
    <w:name w:val="文档结构图 Char"/>
    <w:link w:val="16"/>
    <w:qFormat/>
    <w:uiPriority w:val="0"/>
    <w:rPr>
      <w:szCs w:val="24"/>
      <w:shd w:val="clear" w:color="auto" w:fill="000080"/>
    </w:rPr>
  </w:style>
  <w:style w:type="character" w:customStyle="1" w:styleId="66">
    <w:name w:val="批注文字 Char"/>
    <w:link w:val="18"/>
    <w:qFormat/>
    <w:uiPriority w:val="0"/>
    <w:rPr>
      <w:kern w:val="2"/>
      <w:sz w:val="21"/>
      <w:szCs w:val="24"/>
    </w:rPr>
  </w:style>
  <w:style w:type="character" w:customStyle="1" w:styleId="67">
    <w:name w:val="正文文本 Char"/>
    <w:link w:val="20"/>
    <w:qFormat/>
    <w:uiPriority w:val="0"/>
    <w:rPr>
      <w:kern w:val="2"/>
      <w:sz w:val="28"/>
      <w:szCs w:val="24"/>
    </w:rPr>
  </w:style>
  <w:style w:type="character" w:customStyle="1" w:styleId="68">
    <w:name w:val="正文文本缩进 Char"/>
    <w:link w:val="22"/>
    <w:qFormat/>
    <w:uiPriority w:val="0"/>
    <w:rPr>
      <w:rFonts w:ascii="宋体" w:hAnsi="Courier New"/>
      <w:spacing w:val="-4"/>
      <w:kern w:val="2"/>
      <w:sz w:val="18"/>
    </w:rPr>
  </w:style>
  <w:style w:type="character" w:customStyle="1" w:styleId="69">
    <w:name w:val="纯文本 Char"/>
    <w:link w:val="29"/>
    <w:qFormat/>
    <w:uiPriority w:val="0"/>
    <w:rPr>
      <w:rFonts w:ascii="宋体" w:hAnsi="Courier New" w:eastAsia="宋体"/>
      <w:kern w:val="2"/>
      <w:sz w:val="24"/>
      <w:szCs w:val="24"/>
      <w:lang w:val="en-US" w:eastAsia="zh-CN" w:bidi="ar-SA"/>
    </w:rPr>
  </w:style>
  <w:style w:type="character" w:customStyle="1" w:styleId="70">
    <w:name w:val="页脚 Char"/>
    <w:link w:val="33"/>
    <w:qFormat/>
    <w:uiPriority w:val="0"/>
    <w:rPr>
      <w:kern w:val="2"/>
      <w:sz w:val="18"/>
      <w:szCs w:val="18"/>
    </w:rPr>
  </w:style>
  <w:style w:type="character" w:customStyle="1" w:styleId="71">
    <w:name w:val="页眉 Char"/>
    <w:link w:val="34"/>
    <w:qFormat/>
    <w:uiPriority w:val="0"/>
    <w:rPr>
      <w:kern w:val="2"/>
      <w:sz w:val="18"/>
      <w:szCs w:val="18"/>
    </w:rPr>
  </w:style>
  <w:style w:type="character" w:customStyle="1" w:styleId="72">
    <w:name w:val="副标题 Char"/>
    <w:link w:val="36"/>
    <w:qFormat/>
    <w:uiPriority w:val="0"/>
    <w:rPr>
      <w:rFonts w:ascii="Cambria" w:hAnsi="Cambria"/>
      <w:b/>
      <w:bCs/>
      <w:kern w:val="28"/>
      <w:sz w:val="32"/>
      <w:szCs w:val="32"/>
    </w:rPr>
  </w:style>
  <w:style w:type="character" w:customStyle="1" w:styleId="73">
    <w:name w:val="标题 Char"/>
    <w:link w:val="44"/>
    <w:qFormat/>
    <w:uiPriority w:val="0"/>
    <w:rPr>
      <w:rFonts w:ascii="Arial" w:hAnsi="Arial" w:eastAsia="宋体" w:cs="Arial"/>
      <w:b/>
      <w:bCs/>
      <w:kern w:val="2"/>
      <w:sz w:val="32"/>
      <w:szCs w:val="32"/>
      <w:lang w:val="en-US" w:eastAsia="zh-CN" w:bidi="ar-SA"/>
    </w:rPr>
  </w:style>
  <w:style w:type="character" w:customStyle="1" w:styleId="74">
    <w:name w:val="批注主题 Char"/>
    <w:link w:val="45"/>
    <w:qFormat/>
    <w:uiPriority w:val="0"/>
    <w:rPr>
      <w:rFonts w:ascii="宋体"/>
      <w:b/>
      <w:bCs/>
      <w:sz w:val="28"/>
    </w:rPr>
  </w:style>
  <w:style w:type="character" w:customStyle="1" w:styleId="75">
    <w:name w:val="批注文字 Char1"/>
    <w:qFormat/>
    <w:uiPriority w:val="0"/>
    <w:rPr>
      <w:kern w:val="2"/>
      <w:sz w:val="28"/>
      <w:szCs w:val="24"/>
    </w:rPr>
  </w:style>
  <w:style w:type="character" w:customStyle="1" w:styleId="76">
    <w:name w:val="fx_label"/>
    <w:basedOn w:val="48"/>
    <w:qFormat/>
    <w:uiPriority w:val="0"/>
  </w:style>
  <w:style w:type="character" w:customStyle="1" w:styleId="77">
    <w:name w:val="列出段落 Char"/>
    <w:link w:val="78"/>
    <w:qFormat/>
    <w:uiPriority w:val="0"/>
    <w:rPr>
      <w:kern w:val="2"/>
      <w:sz w:val="21"/>
      <w:szCs w:val="22"/>
    </w:rPr>
  </w:style>
  <w:style w:type="paragraph" w:customStyle="1" w:styleId="78">
    <w:name w:val="List Paragraph1"/>
    <w:basedOn w:val="1"/>
    <w:link w:val="77"/>
    <w:qFormat/>
    <w:uiPriority w:val="0"/>
    <w:pPr>
      <w:ind w:firstLine="420" w:firstLineChars="200"/>
    </w:pPr>
    <w:rPr>
      <w:sz w:val="21"/>
      <w:szCs w:val="22"/>
    </w:rPr>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 Char Char1"/>
    <w:qFormat/>
    <w:uiPriority w:val="0"/>
    <w:rPr>
      <w:rFonts w:ascii="Arial" w:hAnsi="Arial" w:eastAsia="黑体"/>
      <w:b/>
      <w:bCs/>
      <w:kern w:val="2"/>
      <w:sz w:val="32"/>
      <w:szCs w:val="32"/>
      <w:lang w:val="en-US" w:eastAsia="zh-CN" w:bidi="ar-SA"/>
    </w:rPr>
  </w:style>
  <w:style w:type="character" w:customStyle="1" w:styleId="81">
    <w:name w:val="标题4 Char Char"/>
    <w:qFormat/>
    <w:uiPriority w:val="0"/>
    <w:rPr>
      <w:rFonts w:eastAsia="仿宋_GB2312"/>
      <w:kern w:val="2"/>
      <w:sz w:val="32"/>
      <w:lang w:val="en-US" w:eastAsia="zh-CN" w:bidi="ar-SA"/>
    </w:rPr>
  </w:style>
  <w:style w:type="character" w:customStyle="1" w:styleId="82">
    <w:name w:val="引用 Char1"/>
    <w:qFormat/>
    <w:uiPriority w:val="0"/>
    <w:rPr>
      <w:i/>
      <w:iCs/>
      <w:color w:val="000000"/>
      <w:kern w:val="2"/>
      <w:sz w:val="28"/>
      <w:szCs w:val="24"/>
    </w:rPr>
  </w:style>
  <w:style w:type="character" w:customStyle="1" w:styleId="83">
    <w:name w:val="font11"/>
    <w:qFormat/>
    <w:uiPriority w:val="0"/>
    <w:rPr>
      <w:rFonts w:hint="eastAsia" w:ascii="宋体" w:hAnsi="宋体" w:eastAsia="宋体" w:cs="宋体"/>
      <w:color w:val="FF0000"/>
      <w:sz w:val="20"/>
      <w:szCs w:val="20"/>
      <w:u w:val="none"/>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引用 Char"/>
    <w:link w:val="86"/>
    <w:qFormat/>
    <w:uiPriority w:val="0"/>
    <w:rPr>
      <w:i/>
      <w:iCs/>
      <w:color w:val="000000"/>
      <w:kern w:val="2"/>
      <w:sz w:val="21"/>
      <w:szCs w:val="22"/>
    </w:rPr>
  </w:style>
  <w:style w:type="paragraph" w:styleId="86">
    <w:name w:val="Quote"/>
    <w:basedOn w:val="1"/>
    <w:next w:val="1"/>
    <w:link w:val="85"/>
    <w:qFormat/>
    <w:uiPriority w:val="0"/>
    <w:rPr>
      <w:i/>
      <w:iCs/>
      <w:color w:val="000000"/>
      <w:sz w:val="21"/>
      <w:szCs w:val="22"/>
    </w:rPr>
  </w:style>
  <w:style w:type="character" w:customStyle="1" w:styleId="87">
    <w:name w:val="文档结构图 Char1"/>
    <w:qFormat/>
    <w:uiPriority w:val="0"/>
    <w:rPr>
      <w:rFonts w:ascii="宋体"/>
      <w:kern w:val="2"/>
      <w:sz w:val="18"/>
      <w:szCs w:val="18"/>
    </w:rPr>
  </w:style>
  <w:style w:type="character" w:customStyle="1" w:styleId="88">
    <w:name w:val="font21"/>
    <w:basedOn w:val="48"/>
    <w:qFormat/>
    <w:uiPriority w:val="0"/>
    <w:rPr>
      <w:rFonts w:hint="default" w:ascii="Segoe UI" w:hAnsi="Segoe UI" w:eastAsia="Segoe UI" w:cs="Segoe UI"/>
      <w:color w:val="171A1D"/>
      <w:sz w:val="21"/>
      <w:szCs w:val="21"/>
      <w:u w:val="none"/>
    </w:rPr>
  </w:style>
  <w:style w:type="character" w:customStyle="1" w:styleId="89">
    <w:name w:val="明显引用 Char1"/>
    <w:qFormat/>
    <w:uiPriority w:val="0"/>
    <w:rPr>
      <w:b/>
      <w:bCs/>
      <w:i/>
      <w:iCs/>
      <w:color w:val="4F81BD"/>
      <w:kern w:val="2"/>
      <w:sz w:val="28"/>
      <w:szCs w:val="24"/>
    </w:rPr>
  </w:style>
  <w:style w:type="character" w:customStyle="1" w:styleId="90">
    <w:name w:val="普通文字 Char Char Char1"/>
    <w:qFormat/>
    <w:uiPriority w:val="0"/>
    <w:rPr>
      <w:rFonts w:ascii="宋体" w:hAnsi="Courier New" w:eastAsia="宋体"/>
      <w:kern w:val="2"/>
      <w:sz w:val="24"/>
      <w:szCs w:val="24"/>
      <w:lang w:val="en-US" w:eastAsia="zh-CN" w:bidi="ar-SA"/>
    </w:rPr>
  </w:style>
  <w:style w:type="character" w:customStyle="1" w:styleId="91">
    <w:name w:val="明显引用 Char"/>
    <w:link w:val="92"/>
    <w:qFormat/>
    <w:uiPriority w:val="0"/>
    <w:rPr>
      <w:b/>
      <w:bCs/>
      <w:i/>
      <w:iCs/>
      <w:color w:val="4F81BD"/>
      <w:kern w:val="2"/>
      <w:sz w:val="21"/>
      <w:szCs w:val="22"/>
    </w:rPr>
  </w:style>
  <w:style w:type="paragraph" w:styleId="92">
    <w:name w:val="Intense Quote"/>
    <w:basedOn w:val="1"/>
    <w:next w:val="1"/>
    <w:link w:val="91"/>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3">
    <w:name w:val="font161"/>
    <w:qFormat/>
    <w:uiPriority w:val="0"/>
    <w:rPr>
      <w:b/>
      <w:bCs/>
      <w:sz w:val="32"/>
      <w:szCs w:val="32"/>
    </w:rPr>
  </w:style>
  <w:style w:type="character" w:customStyle="1" w:styleId="94">
    <w:name w:val="正文文字4 Char Char"/>
    <w:qFormat/>
    <w:uiPriority w:val="0"/>
    <w:rPr>
      <w:rFonts w:eastAsia="宋体"/>
      <w:kern w:val="2"/>
      <w:sz w:val="21"/>
      <w:szCs w:val="24"/>
      <w:lang w:val="en-US" w:eastAsia="zh-CN" w:bidi="ar-SA"/>
    </w:rPr>
  </w:style>
  <w:style w:type="character" w:customStyle="1" w:styleId="95">
    <w:name w:val=" Char Char8"/>
    <w:qFormat/>
    <w:uiPriority w:val="0"/>
    <w:rPr>
      <w:rFonts w:eastAsia="宋体"/>
      <w:kern w:val="2"/>
      <w:sz w:val="21"/>
      <w:szCs w:val="24"/>
      <w:lang w:val="en-US" w:eastAsia="zh-CN" w:bidi="ar-SA"/>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5"/>
    <w:link w:val="96"/>
    <w:qFormat/>
    <w:uiPriority w:val="0"/>
    <w:pPr>
      <w:spacing w:line="413" w:lineRule="auto"/>
    </w:pPr>
    <w:rPr>
      <w:rFonts w:ascii="Arial" w:hAnsi="Arial"/>
      <w:kern w:val="0"/>
      <w:sz w:val="24"/>
    </w:rPr>
  </w:style>
  <w:style w:type="character" w:customStyle="1" w:styleId="98">
    <w:name w:val="批注主题 Char1"/>
    <w:qFormat/>
    <w:uiPriority w:val="0"/>
    <w:rPr>
      <w:b/>
      <w:bCs/>
      <w:kern w:val="2"/>
      <w:sz w:val="28"/>
      <w:szCs w:val="24"/>
    </w:rPr>
  </w:style>
  <w:style w:type="character" w:customStyle="1" w:styleId="99">
    <w:name w:val=" Char Char6"/>
    <w:qFormat/>
    <w:uiPriority w:val="0"/>
    <w:rPr>
      <w:rFonts w:eastAsia="宋体"/>
      <w:kern w:val="2"/>
      <w:sz w:val="21"/>
      <w:szCs w:val="24"/>
      <w:lang w:val="en-US" w:eastAsia="zh-CN" w:bidi="ar-SA"/>
    </w:rPr>
  </w:style>
  <w:style w:type="character" w:customStyle="1" w:styleId="100">
    <w:name w:val=" Char Char7"/>
    <w:qFormat/>
    <w:uiPriority w:val="0"/>
    <w:rPr>
      <w:rFonts w:ascii="宋体" w:hAnsi="Courier New" w:eastAsia="宋体"/>
      <w:kern w:val="2"/>
      <w:sz w:val="21"/>
      <w:lang w:val="en-US" w:eastAsia="zh-CN" w:bidi="ar-SA"/>
    </w:rPr>
  </w:style>
  <w:style w:type="character" w:customStyle="1" w:styleId="101">
    <w:name w:val="ZJ正文 Char"/>
    <w:link w:val="102"/>
    <w:qFormat/>
    <w:uiPriority w:val="0"/>
    <w:rPr>
      <w:kern w:val="2"/>
      <w:sz w:val="24"/>
      <w:szCs w:val="24"/>
    </w:rPr>
  </w:style>
  <w:style w:type="paragraph" w:customStyle="1" w:styleId="102">
    <w:name w:val="ZJ正文"/>
    <w:basedOn w:val="1"/>
    <w:link w:val="101"/>
    <w:qFormat/>
    <w:uiPriority w:val="0"/>
    <w:pPr>
      <w:ind w:firstLine="480" w:firstLineChars="200"/>
    </w:pPr>
    <w:rPr>
      <w:sz w:val="24"/>
    </w:rPr>
  </w:style>
  <w:style w:type="character" w:customStyle="1" w:styleId="103">
    <w:name w:val="副标题 Char1"/>
    <w:qFormat/>
    <w:uiPriority w:val="0"/>
    <w:rPr>
      <w:rFonts w:ascii="Cambria" w:hAnsi="Cambria" w:cs="Times New Roman"/>
      <w:b/>
      <w:bCs/>
      <w:kern w:val="28"/>
      <w:sz w:val="32"/>
      <w:szCs w:val="32"/>
    </w:rPr>
  </w:style>
  <w:style w:type="character" w:customStyle="1" w:styleId="104">
    <w:name w:val=" Char Char19"/>
    <w:qFormat/>
    <w:uiPriority w:val="0"/>
    <w:rPr>
      <w:rFonts w:ascii="Arial" w:hAnsi="Arial" w:eastAsia="黑体"/>
      <w:b/>
      <w:bCs/>
      <w:kern w:val="2"/>
      <w:sz w:val="32"/>
      <w:szCs w:val="32"/>
      <w:lang w:val="en-US" w:eastAsia="zh-CN" w:bidi="ar-SA"/>
    </w:rPr>
  </w:style>
  <w:style w:type="character" w:customStyle="1" w:styleId="105">
    <w:name w:val="htd01"/>
    <w:basedOn w:val="48"/>
    <w:qFormat/>
    <w:uiPriority w:val="0"/>
  </w:style>
  <w:style w:type="paragraph" w:customStyle="1" w:styleId="106">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8">
    <w:name w:val="1"/>
    <w:basedOn w:val="1"/>
    <w:next w:val="1"/>
    <w:qFormat/>
    <w:uiPriority w:val="0"/>
    <w:rPr>
      <w:sz w:val="21"/>
    </w:rPr>
  </w:style>
  <w:style w:type="paragraph" w:customStyle="1" w:styleId="109">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p0"/>
    <w:basedOn w:val="1"/>
    <w:qFormat/>
    <w:uiPriority w:val="0"/>
    <w:pPr>
      <w:widowControl/>
    </w:pPr>
    <w:rPr>
      <w:kern w:val="0"/>
      <w:szCs w:val="28"/>
    </w:rPr>
  </w:style>
  <w:style w:type="paragraph" w:customStyle="1" w:styleId="112">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3">
    <w:name w:val="4、正文"/>
    <w:basedOn w:val="1"/>
    <w:qFormat/>
    <w:uiPriority w:val="0"/>
    <w:pPr>
      <w:ind w:firstLine="200" w:firstLineChars="200"/>
    </w:pPr>
    <w:rPr>
      <w:rFonts w:ascii="宋体"/>
      <w:sz w:val="24"/>
      <w:szCs w:val="28"/>
    </w:rPr>
  </w:style>
  <w:style w:type="paragraph" w:customStyle="1" w:styleId="114">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5">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6">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7">
    <w:name w:val=" Char1 Char Char Char Char Char1 Char"/>
    <w:basedOn w:val="1"/>
    <w:qFormat/>
    <w:uiPriority w:val="0"/>
    <w:pPr>
      <w:widowControl/>
      <w:spacing w:after="160" w:line="240" w:lineRule="exact"/>
      <w:jc w:val="left"/>
    </w:pPr>
    <w:rPr>
      <w:sz w:val="21"/>
    </w:rPr>
  </w:style>
  <w:style w:type="paragraph" w:customStyle="1" w:styleId="118">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9">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0">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 Char1"/>
    <w:basedOn w:val="1"/>
    <w:qFormat/>
    <w:uiPriority w:val="0"/>
    <w:pPr>
      <w:jc w:val="center"/>
    </w:pPr>
    <w:rPr>
      <w:rFonts w:ascii="仿宋_GB2312" w:eastAsia="仿宋_GB2312"/>
      <w:b/>
      <w:kern w:val="0"/>
      <w:sz w:val="32"/>
      <w:szCs w:val="32"/>
      <w:lang w:val="en-GB"/>
    </w:rPr>
  </w:style>
  <w:style w:type="paragraph" w:customStyle="1" w:styleId="123">
    <w:name w:val="表格"/>
    <w:basedOn w:val="1"/>
    <w:qFormat/>
    <w:uiPriority w:val="0"/>
    <w:pPr>
      <w:jc w:val="center"/>
      <w:textAlignment w:val="center"/>
    </w:pPr>
    <w:rPr>
      <w:rFonts w:ascii="华文细黑" w:hAnsi="华文细黑"/>
      <w:kern w:val="0"/>
      <w:sz w:val="21"/>
      <w:szCs w:val="20"/>
    </w:rPr>
  </w:style>
  <w:style w:type="paragraph" w:customStyle="1" w:styleId="124">
    <w:name w:val=" Char2"/>
    <w:basedOn w:val="1"/>
    <w:qFormat/>
    <w:uiPriority w:val="0"/>
    <w:rPr>
      <w:rFonts w:ascii="仿宋_GB2312" w:eastAsia="仿宋_GB2312"/>
      <w:b/>
      <w:sz w:val="32"/>
      <w:szCs w:val="32"/>
    </w:rPr>
  </w:style>
  <w:style w:type="paragraph" w:customStyle="1" w:styleId="125">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6">
    <w:name w:val="样式 标题 3 + Arial"/>
    <w:basedOn w:val="5"/>
    <w:qFormat/>
    <w:uiPriority w:val="0"/>
    <w:pPr>
      <w:spacing w:before="312" w:beforeLines="100" w:after="0" w:afterLines="0" w:line="360" w:lineRule="auto"/>
    </w:pPr>
    <w:rPr>
      <w:rFonts w:ascii="Arial" w:hAnsi="Arial"/>
      <w:sz w:val="24"/>
    </w:rPr>
  </w:style>
  <w:style w:type="paragraph" w:customStyle="1" w:styleId="127">
    <w:name w:val=" Char"/>
    <w:basedOn w:val="1"/>
    <w:qFormat/>
    <w:uiPriority w:val="0"/>
    <w:rPr>
      <w:sz w:val="24"/>
    </w:rPr>
  </w:style>
  <w:style w:type="paragraph" w:customStyle="1" w:styleId="12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9">
    <w:name w:val="占位符文本2"/>
    <w:basedOn w:val="1"/>
    <w:qFormat/>
    <w:uiPriority w:val="0"/>
    <w:pPr>
      <w:keepNext/>
      <w:numPr>
        <w:ilvl w:val="0"/>
        <w:numId w:val="4"/>
      </w:numPr>
      <w:spacing w:line="360" w:lineRule="auto"/>
      <w:outlineLvl w:val="0"/>
    </w:pPr>
    <w:rPr>
      <w:rFonts w:ascii="宋体"/>
      <w:sz w:val="24"/>
    </w:rPr>
  </w:style>
  <w:style w:type="paragraph" w:styleId="130">
    <w:name w:val="List Paragraph"/>
    <w:basedOn w:val="1"/>
    <w:qFormat/>
    <w:uiPriority w:val="0"/>
    <w:pPr>
      <w:ind w:firstLine="420" w:firstLineChars="200"/>
    </w:pPr>
    <w:rPr>
      <w:rFonts w:ascii="Calibri" w:hAnsi="Calibri"/>
      <w:sz w:val="21"/>
      <w:szCs w:val="22"/>
    </w:rPr>
  </w:style>
  <w:style w:type="paragraph" w:customStyle="1" w:styleId="131">
    <w:name w:val="表格文字"/>
    <w:basedOn w:val="1"/>
    <w:qFormat/>
    <w:uiPriority w:val="0"/>
    <w:pPr>
      <w:adjustRightInd w:val="0"/>
      <w:spacing w:line="420" w:lineRule="atLeast"/>
      <w:jc w:val="left"/>
      <w:textAlignment w:val="baseline"/>
    </w:pPr>
    <w:rPr>
      <w:kern w:val="0"/>
      <w:sz w:val="21"/>
      <w:szCs w:val="20"/>
    </w:rPr>
  </w:style>
  <w:style w:type="paragraph" w:customStyle="1" w:styleId="132">
    <w:name w:val="样式 样式 样式1 + 首行缩进:  2 字符 + 左侧:  0.74 厘米"/>
    <w:basedOn w:val="133"/>
    <w:qFormat/>
    <w:uiPriority w:val="0"/>
    <w:pPr>
      <w:ind w:firstLine="200"/>
    </w:pPr>
  </w:style>
  <w:style w:type="paragraph" w:customStyle="1" w:styleId="133">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4">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5">
    <w:name w:val="样式 标题 3 + 段前: 7.8 磅"/>
    <w:basedOn w:val="5"/>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6">
    <w:name w:val="正文缩进2字符"/>
    <w:basedOn w:val="1"/>
    <w:qFormat/>
    <w:uiPriority w:val="0"/>
    <w:pPr>
      <w:ind w:firstLine="480" w:firstLineChars="200"/>
    </w:pPr>
    <w:rPr>
      <w:rFonts w:hint="eastAsia" w:ascii="宋体" w:hAnsi="宋体"/>
      <w:sz w:val="24"/>
      <w:szCs w:val="20"/>
    </w:rPr>
  </w:style>
  <w:style w:type="paragraph" w:customStyle="1" w:styleId="137">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8">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39">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19597</Words>
  <Characters>20528</Characters>
  <Lines>133</Lines>
  <Paragraphs>37</Paragraphs>
  <TotalTime>6</TotalTime>
  <ScaleCrop>false</ScaleCrop>
  <LinksUpToDate>false</LinksUpToDate>
  <CharactersWithSpaces>21988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2024-01-11T08:01:00Z</cp:lastPrinted>
  <dcterms:modified xsi:type="dcterms:W3CDTF">2024-04-03T04:52:40Z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6182C752DE70470BB8E7C57BFBA83019_13</vt:lpwstr>
  </property>
</Properties>
</file>