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：QBJ2024057</w:t>
      </w:r>
    </w:p>
    <w:p>
      <w:pPr>
        <w:pStyle w:val="29"/>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规划支路五（七条河-海茂路）道路工程、台州湾新区正学街（集兴路-甲南大道）道路工程（玻璃钢夹砂管采购）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9"/>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 xml:space="preserve">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规划支路五（七条河-海茂路）道路工程、台州湾新区正学街（集兴路-甲南大道）道路工程（玻璃钢夹砂管采购）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项目编号：QBJ2024057</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7"/>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2042"/>
        <w:gridCol w:w="2598"/>
        <w:gridCol w:w="1446"/>
        <w:gridCol w:w="1016"/>
        <w:gridCol w:w="1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4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7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rPr>
              <w:t>数量</w:t>
            </w:r>
          </w:p>
        </w:tc>
        <w:tc>
          <w:tcPr>
            <w:tcW w:w="54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单位</w:t>
            </w:r>
          </w:p>
        </w:tc>
        <w:tc>
          <w:tcPr>
            <w:tcW w:w="87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1</w:t>
            </w:r>
          </w:p>
        </w:tc>
        <w:tc>
          <w:tcPr>
            <w:tcW w:w="108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玻璃钢夹砂管</w:t>
            </w:r>
          </w:p>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（配弹性密封橡校圈，12米一根）</w:t>
            </w: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DN300，环刚度≥8kpa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380</w:t>
            </w:r>
          </w:p>
        </w:tc>
        <w:tc>
          <w:tcPr>
            <w:tcW w:w="54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lang w:val="en-US" w:eastAsia="zh-CN"/>
              </w:rPr>
              <w:t>米</w:t>
            </w:r>
          </w:p>
        </w:tc>
        <w:tc>
          <w:tcPr>
            <w:tcW w:w="872"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268013元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DN400，环刚度≥8kpa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145</w:t>
            </w:r>
          </w:p>
        </w:tc>
        <w:tc>
          <w:tcPr>
            <w:tcW w:w="54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DN500，环刚度≥8kpa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135</w:t>
            </w:r>
          </w:p>
        </w:tc>
        <w:tc>
          <w:tcPr>
            <w:tcW w:w="54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DN300，环刚度≥10kpa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330</w:t>
            </w:r>
          </w:p>
        </w:tc>
        <w:tc>
          <w:tcPr>
            <w:tcW w:w="54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DN400，环刚度≥10kpa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w:t>
            </w:r>
          </w:p>
        </w:tc>
        <w:tc>
          <w:tcPr>
            <w:tcW w:w="54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DN600，环刚度≥10KPa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150</w:t>
            </w:r>
          </w:p>
        </w:tc>
        <w:tc>
          <w:tcPr>
            <w:tcW w:w="54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000" w:type="pct"/>
            <w:gridSpan w:val="6"/>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备注：必须满足《GB/T21238-2016》中对管材的其他物理力学性能要求</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28359007"/>
      <w:bookmarkStart w:id="1" w:name="_Toc28359084"/>
      <w:bookmarkStart w:id="2" w:name="_Toc35393625"/>
      <w:bookmarkStart w:id="3" w:name="_Toc3539379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12</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0.2万</w:t>
      </w:r>
      <w:r>
        <w:rPr>
          <w:rFonts w:hint="eastAsia" w:ascii="宋体" w:hAnsi="宋体" w:cs="宋体"/>
          <w:bCs/>
          <w:kern w:val="0"/>
          <w:sz w:val="24"/>
        </w:rPr>
        <w:t>元。</w:t>
      </w:r>
    </w:p>
    <w:p>
      <w:pPr>
        <w:pStyle w:val="46"/>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lang w:val="en-US" w:eastAsia="zh-CN"/>
        </w:rPr>
        <w:t>及时</w:t>
      </w:r>
      <w:r>
        <w:rPr>
          <w:rFonts w:hint="eastAsia" w:ascii="宋体" w:hAnsi="宋体" w:cs="宋体"/>
          <w:bCs/>
          <w:kern w:val="0"/>
          <w:sz w:val="24"/>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4</w:t>
      </w:r>
      <w:r>
        <w:rPr>
          <w:rFonts w:ascii="宋体" w:hAnsi="宋体" w:cs="宋体"/>
          <w:bCs/>
          <w:kern w:val="0"/>
          <w:sz w:val="24"/>
          <w:u w:val="single"/>
        </w:rPr>
        <w:t>月</w:t>
      </w:r>
      <w:r>
        <w:rPr>
          <w:rFonts w:hint="eastAsia" w:ascii="宋体" w:hAnsi="宋体" w:cs="宋体"/>
          <w:bCs/>
          <w:kern w:val="0"/>
          <w:sz w:val="24"/>
          <w:u w:val="single"/>
          <w:lang w:val="en-US" w:eastAsia="zh-CN"/>
        </w:rPr>
        <w:t>12</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11</w:t>
      </w:r>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eastAsia="宋体" w:cs="宋体"/>
          <w:i w:val="0"/>
          <w:caps w:val="0"/>
          <w:color w:val="000000"/>
          <w:spacing w:val="0"/>
          <w:sz w:val="24"/>
          <w:szCs w:val="24"/>
          <w:shd w:val="clear" w:fill="FFFFFF"/>
        </w:rPr>
        <w:t>地</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址：</w:t>
      </w:r>
      <w:r>
        <w:rPr>
          <w:rFonts w:hint="eastAsia" w:ascii="宋体" w:hAnsi="宋体" w:eastAsia="宋体" w:cs="宋体"/>
          <w:i w:val="0"/>
          <w:caps w:val="0"/>
          <w:color w:val="000000"/>
          <w:spacing w:val="0"/>
          <w:sz w:val="24"/>
          <w:szCs w:val="24"/>
          <w:u w:val="single"/>
          <w:shd w:val="clear" w:fill="FFFFFF"/>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eastAsia="宋体" w:cs="宋体"/>
          <w:i w:val="0"/>
          <w:caps w:val="0"/>
          <w:color w:val="000000"/>
          <w:spacing w:val="0"/>
          <w:sz w:val="24"/>
          <w:szCs w:val="24"/>
          <w:shd w:val="clear" w:fill="FFFFFF"/>
        </w:rPr>
        <w:t>地</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址：</w:t>
      </w:r>
      <w:r>
        <w:rPr>
          <w:rFonts w:hint="eastAsia" w:ascii="宋体" w:hAnsi="宋体" w:eastAsia="宋体" w:cs="宋体"/>
          <w:i w:val="0"/>
          <w:caps w:val="0"/>
          <w:color w:val="000000"/>
          <w:spacing w:val="0"/>
          <w:sz w:val="24"/>
          <w:szCs w:val="24"/>
          <w:u w:val="single"/>
          <w:shd w:val="clear" w:fill="FFFFFF"/>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 xml:space="preserve">名 </w:t>
      </w:r>
      <w:r>
        <w:rPr>
          <w:rFonts w:hint="eastAsia" w:ascii="宋体" w:hAnsi="宋体" w:cs="宋体"/>
          <w:sz w:val="24"/>
          <w:highlight w:val="none"/>
        </w:rPr>
        <w:t>称：</w:t>
      </w:r>
      <w:r>
        <w:rPr>
          <w:rFonts w:hint="eastAsia" w:ascii="宋体" w:hAnsi="宋体" w:cs="宋体"/>
          <w:sz w:val="24"/>
          <w:highlight w:val="none"/>
          <w:u w:val="single"/>
        </w:rPr>
        <w:t>台州湾新区行政审批与投资服务局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4"/>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4</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规划支路五（七条河-海茂路）道路工程、台州湾新区正学街（集兴路-甲南大道）道路工程（玻璃钢夹砂管采购）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规划支路五（七条河-海茂路）道路工程、台州湾新区正学街（集兴路-甲南大道）道路工程（玻璃钢夹砂管采购）</w:t>
            </w:r>
          </w:p>
        </w:tc>
      </w:tr>
    </w:tbl>
    <w:p>
      <w:pPr>
        <w:pStyle w:val="29"/>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7"/>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2"/>
        <w:gridCol w:w="1913"/>
        <w:gridCol w:w="3525"/>
        <w:gridCol w:w="1704"/>
        <w:gridCol w:w="1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1</w:t>
            </w:r>
          </w:p>
        </w:tc>
        <w:tc>
          <w:tcPr>
            <w:tcW w:w="191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玻璃钢夹砂管</w:t>
            </w:r>
            <w:r>
              <w:rPr>
                <w:rFonts w:hint="eastAsia" w:ascii="宋体" w:hAnsi="宋体" w:eastAsia="宋体" w:cs="Times New Roman"/>
                <w:color w:val="0D0D0D"/>
                <w:kern w:val="2"/>
                <w:sz w:val="21"/>
                <w:szCs w:val="21"/>
                <w:lang w:val="en-US" w:eastAsia="zh-CN" w:bidi="ar-SA"/>
              </w:rPr>
              <w:br w:type="textWrapping"/>
            </w:r>
            <w:r>
              <w:rPr>
                <w:rFonts w:hint="eastAsia" w:ascii="宋体" w:hAnsi="宋体" w:eastAsia="宋体" w:cs="Times New Roman"/>
                <w:color w:val="0D0D0D"/>
                <w:kern w:val="2"/>
                <w:sz w:val="21"/>
                <w:szCs w:val="21"/>
                <w:lang w:val="en-US" w:eastAsia="zh-CN" w:bidi="ar-SA"/>
              </w:rPr>
              <w:t>（配弹性密封橡校圈，12米一根）</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DN300，环刚度≥8kpa</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380</w:t>
            </w:r>
          </w:p>
        </w:tc>
        <w:tc>
          <w:tcPr>
            <w:tcW w:w="66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Times New Roman"/>
                <w:color w:val="0D0D0D"/>
                <w:kern w:val="2"/>
                <w:sz w:val="21"/>
                <w:szCs w:val="21"/>
                <w:lang w:val="en-US" w:eastAsia="zh-CN" w:bidi="ar-SA"/>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1913"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DN400，环刚度≥8kpa</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145</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1913"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DN500，环刚度≥8kpa</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135</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1913"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DN300，环刚度≥10kpa</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330</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1913"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DN400，环刚度≥10kpa</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90</w:t>
            </w:r>
          </w:p>
        </w:tc>
        <w:tc>
          <w:tcPr>
            <w:tcW w:w="664"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1913"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DN600，环刚度≥10KPa</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150</w:t>
            </w:r>
          </w:p>
        </w:tc>
        <w:tc>
          <w:tcPr>
            <w:tcW w:w="664"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bl>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9"/>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w:t>
      </w:r>
      <w:r>
        <w:rPr>
          <w:rFonts w:hint="eastAsia" w:hAnsi="宋体" w:cs="Arial"/>
          <w:bCs/>
          <w:color w:val="0C0C0C"/>
          <w:sz w:val="21"/>
          <w:szCs w:val="21"/>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29"/>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2、其余未详事宜，按国家现行有关规范、规定执行。</w:t>
      </w:r>
    </w:p>
    <w:p>
      <w:pPr>
        <w:pStyle w:val="29"/>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3、工程量暂估，按实结算。</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C0C0C"/>
                <w:sz w:val="21"/>
                <w:szCs w:val="21"/>
                <w:highlight w:val="none"/>
              </w:rPr>
              <w:t>投标总报价应是招标文件所确定的招标范围内全部工作内容的价格表现。其应包括货物的供货、税金、包装、运输（货物运到采购人指定的施工现场，如因项目需要发生分批次采购的，相关运费由投标人承担）、保险、装车、损耗、验收、技术服务、售后服务、材料、风险、利润等费用。各投标人应根据招标人提供的技术资料，以及本工程实际情况和自身的综合实力，竞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规划支路五（七条河-海茂路）道路工程、台州湾新区正学街（集兴路-甲南大道）道路工程（玻璃钢夹砂管采购）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规划支路五（七条河-海茂路）道路工程、台州湾新区正学街（集兴路-甲南大道）道路工程（玻璃钢夹砂管采购）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0.2</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3"/>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olor w:val="0D0D0D"/>
          <w:szCs w:val="24"/>
        </w:rPr>
        <w:t>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val="en-US"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2"/>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2"/>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2"/>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bCs/>
          <w:color w:val="auto"/>
          <w:sz w:val="24"/>
          <w:highlight w:val="none"/>
        </w:rPr>
        <w:t>（2）若投标人已申请多把CA锁，请注意使用差别。因ca锁使用错误引发的问题，由投</w:t>
      </w:r>
      <w:r>
        <w:rPr>
          <w:rFonts w:hint="eastAsia" w:ascii="宋体" w:hAnsi="宋体" w:eastAsia="宋体" w:cs="Times New Roman"/>
          <w:bCs/>
          <w:color w:val="auto"/>
          <w:sz w:val="24"/>
          <w:highlight w:val="none"/>
        </w:rPr>
        <w:t>标人自己负责。</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autoSpaceDE w:val="0"/>
        <w:autoSpaceDN w:val="0"/>
        <w:adjustRightInd w:val="0"/>
        <w:spacing w:line="360" w:lineRule="auto"/>
        <w:ind w:right="-14" w:firstLine="482" w:firstLineChars="200"/>
        <w:jc w:val="left"/>
        <w:rPr>
          <w:rFonts w:hAnsi="宋体"/>
          <w:b w:val="0"/>
          <w:bCs/>
          <w:color w:val="auto"/>
          <w:highlight w:val="none"/>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w:t>
      </w:r>
      <w:bookmarkStart w:id="6" w:name="_GoBack"/>
      <w:r>
        <w:rPr>
          <w:rFonts w:hint="eastAsia" w:ascii="宋体" w:hAnsi="宋体" w:eastAsia="宋体" w:cs="Times New Roman"/>
          <w:b/>
          <w:bCs w:val="0"/>
          <w:color w:val="auto"/>
          <w:sz w:val="24"/>
          <w:highlight w:val="none"/>
          <w:lang w:eastAsia="zh-CN"/>
        </w:rPr>
        <w:t>保证金</w:t>
      </w:r>
      <w:bookmarkEnd w:id="6"/>
      <w:r>
        <w:rPr>
          <w:rFonts w:hint="eastAsia" w:ascii="宋体" w:hAnsi="宋体" w:eastAsia="宋体" w:cs="Times New Roman"/>
          <w:b/>
          <w:bCs w:val="0"/>
          <w:color w:val="auto"/>
          <w:sz w:val="24"/>
          <w:highlight w:val="none"/>
          <w:lang w:eastAsia="zh-CN"/>
        </w:rPr>
        <w:t>。</w:t>
      </w:r>
    </w:p>
    <w:p>
      <w:pPr>
        <w:pStyle w:val="29"/>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9"/>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255250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规划支路五（七条河-海茂路）道路工程、台州湾新区正学街（集兴路-甲南大道）道路工程（玻璃钢夹砂管采购）</w:t>
      </w:r>
      <w:r>
        <w:rPr>
          <w:rFonts w:hAnsi="宋体"/>
          <w:color w:val="0D0D0D"/>
        </w:rPr>
        <w:t xml:space="preserve"> </w:t>
      </w:r>
    </w:p>
    <w:p>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规划支路五（七条河-海茂路）道路工程、台州湾新区正学街（集兴路-甲南大道）道路工程（玻璃钢夹砂管采购）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int="eastAsia"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9"/>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规划支路五（七条河-海茂路）道路工程、台州湾新区正学街（集兴路-甲南大道）道路工程（玻璃钢夹砂管采购）</w:t>
      </w:r>
    </w:p>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7"/>
        <w:tblW w:w="9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9"/>
        <w:gridCol w:w="5428"/>
        <w:gridCol w:w="683"/>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92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18"/>
                <w:szCs w:val="18"/>
                <w:u w:val="none"/>
                <w:lang w:val="en-US" w:eastAsia="zh-CN" w:bidi="ar"/>
              </w:rPr>
              <w:t>台州湾新区规划支路五（七条河-海茂路）道路工程（滨海垃圾中转站东侧）（玻璃钢夹砂管采购）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（配弹性密封橡校圈，12米一根）</w:t>
            </w: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DN300，环刚度≥8kpa</w:t>
            </w:r>
          </w:p>
        </w:tc>
        <w:tc>
          <w:tcPr>
            <w:tcW w:w="68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159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DN400，环刚度≥8kpa</w:t>
            </w:r>
          </w:p>
        </w:tc>
        <w:tc>
          <w:tcPr>
            <w:tcW w:w="683"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2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DN500，环刚度≥8kpa</w:t>
            </w:r>
          </w:p>
        </w:tc>
        <w:tc>
          <w:tcPr>
            <w:tcW w:w="683"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9241" w:type="dxa"/>
            <w:gridSpan w:val="4"/>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台州湾新区正学街（集兴路-甲南大道）道路工程（玻璃钢夹砂管采购）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（配弹性密封橡校圈，12米一根）</w:t>
            </w:r>
          </w:p>
        </w:tc>
        <w:tc>
          <w:tcPr>
            <w:tcW w:w="542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DN300，环刚度≥10kpa</w:t>
            </w:r>
          </w:p>
        </w:tc>
        <w:tc>
          <w:tcPr>
            <w:tcW w:w="683"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DN400，环刚度≥10kpa</w:t>
            </w:r>
          </w:p>
        </w:tc>
        <w:tc>
          <w:tcPr>
            <w:tcW w:w="683"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DN600，环刚度≥10KPa</w:t>
            </w:r>
          </w:p>
        </w:tc>
        <w:tc>
          <w:tcPr>
            <w:tcW w:w="683"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r>
    </w:tbl>
    <w:p>
      <w:pPr>
        <w:pStyle w:val="29"/>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7"/>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107"/>
        <w:gridCol w:w="1659"/>
        <w:gridCol w:w="686"/>
        <w:gridCol w:w="1308"/>
        <w:gridCol w:w="1473"/>
        <w:gridCol w:w="1009"/>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2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eastAsia="zh-CN"/>
              </w:rPr>
            </w:pPr>
            <w:r>
              <w:rPr>
                <w:rFonts w:hint="eastAsia" w:ascii="宋体" w:hAnsi="宋体" w:eastAsia="宋体" w:cs="宋体"/>
                <w:i w:val="0"/>
                <w:color w:val="0C0C0C"/>
                <w:kern w:val="0"/>
                <w:sz w:val="21"/>
                <w:szCs w:val="21"/>
                <w:u w:val="none"/>
                <w:lang w:val="en-US" w:eastAsia="zh-CN" w:bidi="ar"/>
              </w:rPr>
              <w:t>单位</w:t>
            </w: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数量</w:t>
            </w:r>
          </w:p>
        </w:tc>
        <w:tc>
          <w:tcPr>
            <w:tcW w:w="784"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40"/>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/米</w:t>
            </w:r>
            <w:r>
              <w:rPr>
                <w:rFonts w:hint="eastAsia" w:ascii="宋体" w:hAnsi="宋体" w:cs="宋体"/>
                <w:bCs/>
                <w:color w:val="0C0C0C"/>
                <w:sz w:val="21"/>
                <w:szCs w:val="21"/>
                <w:highlight w:val="none"/>
              </w:rPr>
              <w:t>）</w:t>
            </w: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c>
          <w:tcPr>
            <w:tcW w:w="918"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110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玻璃钢夹砂管</w:t>
            </w:r>
            <w:r>
              <w:rPr>
                <w:rFonts w:hint="eastAsia" w:ascii="宋体" w:hAnsi="宋体" w:eastAsia="宋体" w:cs="Arial"/>
                <w:bCs/>
                <w:color w:val="0C0C0C"/>
                <w:kern w:val="2"/>
                <w:sz w:val="21"/>
                <w:szCs w:val="21"/>
                <w:highlight w:val="none"/>
                <w:lang w:val="en-US" w:eastAsia="zh-CN" w:bidi="ar-SA"/>
              </w:rPr>
              <w:br w:type="textWrapping"/>
            </w:r>
            <w:r>
              <w:rPr>
                <w:rFonts w:hint="eastAsia" w:ascii="宋体" w:hAnsi="宋体" w:eastAsia="宋体" w:cs="Arial"/>
                <w:bCs/>
                <w:color w:val="0C0C0C"/>
                <w:kern w:val="2"/>
                <w:sz w:val="21"/>
                <w:szCs w:val="21"/>
                <w:highlight w:val="none"/>
                <w:lang w:val="en-US" w:eastAsia="zh-CN" w:bidi="ar-SA"/>
              </w:rPr>
              <w:t>（配弹性密封橡校圈，12米一根）</w:t>
            </w:r>
          </w:p>
        </w:tc>
        <w:tc>
          <w:tcPr>
            <w:tcW w:w="165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DN300，环刚度≥8kpa</w:t>
            </w:r>
          </w:p>
        </w:tc>
        <w:tc>
          <w:tcPr>
            <w:tcW w:w="36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米</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380</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8"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bCs/>
                <w:color w:val="0C0C0C"/>
                <w:sz w:val="21"/>
                <w:szCs w:val="21"/>
                <w:highlight w:val="none"/>
                <w:lang w:val="en-US" w:eastAsia="zh-CN"/>
              </w:rPr>
              <w:t>必须满足《GB/T21238-2016》中对管材的其他物理力学性能要求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1107" w:type="dxa"/>
            <w:vMerge w:val="continue"/>
            <w:tcBorders>
              <w:left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165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DN400，环刚度≥8kpa</w:t>
            </w:r>
          </w:p>
        </w:tc>
        <w:tc>
          <w:tcPr>
            <w:tcW w:w="36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145</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7" w:type="dxa"/>
            <w:vMerge w:val="continue"/>
            <w:tcBorders>
              <w:left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165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DN500，环刚度≥8kpa</w:t>
            </w:r>
          </w:p>
        </w:tc>
        <w:tc>
          <w:tcPr>
            <w:tcW w:w="36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135</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7" w:type="dxa"/>
            <w:vMerge w:val="continue"/>
            <w:tcBorders>
              <w:left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165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DN300，环刚度≥10kpa</w:t>
            </w:r>
          </w:p>
        </w:tc>
        <w:tc>
          <w:tcPr>
            <w:tcW w:w="36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330</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7" w:type="dxa"/>
            <w:vMerge w:val="continue"/>
            <w:tcBorders>
              <w:left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165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DN400，环刚度≥10kpa</w:t>
            </w:r>
          </w:p>
        </w:tc>
        <w:tc>
          <w:tcPr>
            <w:tcW w:w="365"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p>
        </w:tc>
        <w:tc>
          <w:tcPr>
            <w:tcW w:w="130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90</w:t>
            </w:r>
          </w:p>
        </w:tc>
        <w:tc>
          <w:tcPr>
            <w:tcW w:w="784"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7" w:type="dxa"/>
            <w:vMerge w:val="continue"/>
            <w:tcBorders>
              <w:left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165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DN600，环刚度≥10KPa</w:t>
            </w:r>
          </w:p>
        </w:tc>
        <w:tc>
          <w:tcPr>
            <w:tcW w:w="365"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p>
        </w:tc>
        <w:tc>
          <w:tcPr>
            <w:tcW w:w="130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150</w:t>
            </w:r>
          </w:p>
        </w:tc>
        <w:tc>
          <w:tcPr>
            <w:tcW w:w="784"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合计=</w:t>
            </w:r>
            <w:r>
              <w:rPr>
                <w:rFonts w:hint="eastAsia" w:ascii="宋体" w:hAnsi="宋体" w:eastAsia="宋体" w:cs="Times New Roman"/>
                <w:color w:val="0C0C0C"/>
                <w:kern w:val="2"/>
                <w:sz w:val="24"/>
                <w:szCs w:val="24"/>
                <w:highlight w:val="none"/>
                <w:u w:val="single"/>
                <w:lang w:val="en-US" w:eastAsia="zh-CN" w:bidi="ar-SA"/>
              </w:rPr>
              <w:t xml:space="preserve">                          </w:t>
            </w:r>
            <w:r>
              <w:rPr>
                <w:rFonts w:hint="eastAsia" w:ascii="宋体" w:hAnsi="宋体" w:eastAsia="宋体" w:cs="Times New Roman"/>
                <w:color w:val="0C0C0C"/>
                <w:kern w:val="2"/>
                <w:sz w:val="24"/>
                <w:szCs w:val="24"/>
                <w:highlight w:val="none"/>
                <w:lang w:val="en-US" w:eastAsia="zh-CN" w:bidi="ar-SA"/>
              </w:rPr>
              <w:t>（元）</w:t>
            </w:r>
          </w:p>
        </w:tc>
      </w:tr>
    </w:tbl>
    <w:p>
      <w:pPr>
        <w:pStyle w:val="29"/>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9"/>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9"/>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9"/>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9"/>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9"/>
        <w:snapToGrid w:val="0"/>
        <w:spacing w:before="120" w:beforeLines="0" w:after="120" w:afterLines="0" w:line="420" w:lineRule="exact"/>
        <w:rPr>
          <w:rFonts w:hAnsi="宋体"/>
          <w:bCs/>
          <w:color w:val="0D0D0D"/>
        </w:rPr>
      </w:pPr>
      <w:r>
        <w:rPr>
          <w:rFonts w:hint="eastAsia" w:hAnsi="宋体"/>
          <w:bCs/>
          <w:color w:val="0D0D0D"/>
        </w:rPr>
        <w:t>15.2违约赔偿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9"/>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9"/>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规划支路五（七条河-海茂路）道路工程、台州湾新区正学街（集兴路-甲南大道）道路工程（玻璃钢夹砂管采购）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规划支路五（七条河-海茂路）道路工程、台州湾新区正学街（集兴路-甲南大道）道路工程（玻璃钢夹砂管采购）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规划支路五（七条河-海茂路）道路工程、台州湾新区正学街（集兴路-甲南大道）道路工程（玻璃钢夹砂管采购）</w:t>
      </w:r>
    </w:p>
    <w:p>
      <w:pPr>
        <w:pStyle w:val="40"/>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0"/>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pPr w:leftFromText="180" w:rightFromText="180" w:vertAnchor="text" w:horzAnchor="page" w:tblpX="1506" w:tblpY="411"/>
        <w:tblOverlap w:val="never"/>
        <w:tblW w:w="536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61"/>
        <w:gridCol w:w="2317"/>
        <w:gridCol w:w="737"/>
        <w:gridCol w:w="1013"/>
        <w:gridCol w:w="1712"/>
        <w:gridCol w:w="1466"/>
        <w:gridCol w:w="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eastAsia="zh-CN"/>
              </w:rPr>
            </w:pPr>
            <w:r>
              <w:rPr>
                <w:rFonts w:hint="eastAsia" w:ascii="宋体" w:hAnsi="宋体" w:eastAsia="宋体" w:cs="宋体"/>
                <w:bCs/>
                <w:color w:val="0C0C0C"/>
                <w:sz w:val="21"/>
                <w:szCs w:val="21"/>
                <w:highlight w:val="none"/>
                <w:lang w:val="en-US" w:eastAsia="zh-CN"/>
              </w:rPr>
              <w:t>单位</w:t>
            </w:r>
          </w:p>
        </w:tc>
        <w:tc>
          <w:tcPr>
            <w:tcW w:w="516"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default" w:ascii="宋体" w:hAnsi="宋体" w:eastAsia="宋体" w:cs="宋体"/>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872"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eastAsia"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综合单价</w:t>
            </w:r>
          </w:p>
          <w:p>
            <w:pPr>
              <w:pStyle w:val="40"/>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lang w:val="en-US" w:eastAsia="zh-CN"/>
              </w:rPr>
              <w:t>上限价</w:t>
            </w: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747"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40"/>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40"/>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59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（配弹性密封橡校圈，12米一根）</w:t>
            </w:r>
          </w:p>
        </w:tc>
        <w:tc>
          <w:tcPr>
            <w:tcW w:w="118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DN300，环刚度≥8kpa</w:t>
            </w:r>
          </w:p>
        </w:tc>
        <w:tc>
          <w:tcPr>
            <w:tcW w:w="37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51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w:t>
            </w:r>
          </w:p>
        </w:tc>
        <w:tc>
          <w:tcPr>
            <w:tcW w:w="87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18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DN400，环刚度≥8kpa</w:t>
            </w:r>
          </w:p>
        </w:tc>
        <w:tc>
          <w:tcPr>
            <w:tcW w:w="3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1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c>
          <w:tcPr>
            <w:tcW w:w="87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18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DN500，环刚度≥8kpa</w:t>
            </w:r>
          </w:p>
        </w:tc>
        <w:tc>
          <w:tcPr>
            <w:tcW w:w="3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1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87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18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DN300，环刚度≥10kpa</w:t>
            </w:r>
          </w:p>
        </w:tc>
        <w:tc>
          <w:tcPr>
            <w:tcW w:w="3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1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w:t>
            </w:r>
          </w:p>
        </w:tc>
        <w:tc>
          <w:tcPr>
            <w:tcW w:w="87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18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DN400，环刚度≥10kpa</w:t>
            </w:r>
          </w:p>
        </w:tc>
        <w:tc>
          <w:tcPr>
            <w:tcW w:w="3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1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87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18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DN600，环刚度≥10KPa</w:t>
            </w:r>
          </w:p>
        </w:tc>
        <w:tc>
          <w:tcPr>
            <w:tcW w:w="3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1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87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370</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47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color w:val="0C0C0C"/>
                <w:sz w:val="20"/>
                <w:szCs w:val="20"/>
                <w:highlight w:val="none"/>
              </w:rPr>
              <w:t>投标报价合计【投标单位不得修改招标文件（投标承诺书）格式组成部分及文字，否则作无效标处理】</w:t>
            </w:r>
          </w:p>
          <w:p>
            <w:pPr>
              <w:keepNext w:val="0"/>
              <w:keepLines w:val="0"/>
              <w:widowControl/>
              <w:suppressLineNumbers w:val="0"/>
              <w:jc w:val="both"/>
              <w:textAlignment w:val="center"/>
              <w:rPr>
                <w:rFonts w:ascii="宋体" w:hAnsi="宋体" w:cs="宋体"/>
                <w:bCs/>
                <w:color w:val="0C0C0C"/>
                <w:sz w:val="21"/>
                <w:szCs w:val="21"/>
                <w:highlight w:val="none"/>
              </w:rPr>
            </w:pPr>
            <w:r>
              <w:rPr>
                <w:rFonts w:hint="eastAsia" w:ascii="宋体" w:hAnsi="宋体" w:cs="宋体"/>
                <w:bCs/>
                <w:color w:val="0C0C0C"/>
                <w:sz w:val="20"/>
                <w:szCs w:val="20"/>
                <w:highlight w:val="none"/>
              </w:rPr>
              <w:t>小写：￥</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lang w:val="en-US" w:eastAsia="zh-CN"/>
              </w:rPr>
              <w:t xml:space="preserve">         </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rPr>
              <w:t>元；</w:t>
            </w:r>
            <w:r>
              <w:rPr>
                <w:rFonts w:hint="eastAsia" w:ascii="宋体" w:hAnsi="宋体" w:cs="宋体"/>
                <w:bCs/>
                <w:color w:val="0C0C0C"/>
                <w:sz w:val="20"/>
                <w:szCs w:val="20"/>
                <w:highlight w:val="none"/>
                <w:lang w:val="en-US" w:eastAsia="zh-CN"/>
              </w:rPr>
              <w:t xml:space="preserve">     </w:t>
            </w:r>
            <w:r>
              <w:rPr>
                <w:rFonts w:ascii="宋体" w:hAnsi="宋体" w:cs="宋体"/>
                <w:bCs/>
                <w:color w:val="0C0C0C"/>
                <w:sz w:val="20"/>
                <w:szCs w:val="20"/>
                <w:highlight w:val="none"/>
              </w:rPr>
              <w:t>大写：</w:t>
            </w:r>
            <w:r>
              <w:rPr>
                <w:rFonts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lang w:val="en-US" w:eastAsia="zh-CN"/>
              </w:rPr>
              <w:t xml:space="preserve">     </w:t>
            </w:r>
            <w:r>
              <w:rPr>
                <w:rFonts w:hint="eastAsia" w:ascii="宋体" w:hAnsi="宋体" w:cs="宋体"/>
                <w:bCs/>
                <w:color w:val="0C0C0C"/>
                <w:sz w:val="20"/>
                <w:szCs w:val="20"/>
                <w:highlight w:val="none"/>
                <w:u w:val="single"/>
              </w:rPr>
              <w:t xml:space="preserve">     </w:t>
            </w:r>
            <w:r>
              <w:rPr>
                <w:rFonts w:ascii="宋体" w:hAnsi="宋体" w:cs="宋体"/>
                <w:bCs/>
                <w:color w:val="0C0C0C"/>
                <w:sz w:val="20"/>
                <w:szCs w:val="20"/>
                <w:highlight w:val="none"/>
                <w:u w:val="single"/>
              </w:rPr>
              <w:t xml:space="preserve">    </w:t>
            </w:r>
            <w:r>
              <w:rPr>
                <w:rFonts w:ascii="宋体" w:hAnsi="宋体" w:cs="宋体"/>
                <w:bCs/>
                <w:color w:val="0C0C0C"/>
                <w:sz w:val="20"/>
                <w:szCs w:val="20"/>
                <w:highlight w:val="none"/>
              </w:rPr>
              <w:t>元</w:t>
            </w:r>
            <w:r>
              <w:rPr>
                <w:rFonts w:hint="eastAsia" w:ascii="宋体" w:hAnsi="宋体" w:cs="宋体"/>
                <w:bCs/>
                <w:color w:val="0C0C0C"/>
                <w:sz w:val="20"/>
                <w:szCs w:val="20"/>
                <w:highlight w:val="none"/>
              </w:rPr>
              <w:t>整人民币。</w:t>
            </w:r>
          </w:p>
        </w:tc>
      </w:tr>
    </w:tbl>
    <w:p>
      <w:pPr>
        <w:pStyle w:val="40"/>
        <w:ind w:left="0" w:leftChars="0" w:firstLine="0" w:firstLineChars="0"/>
        <w:jc w:val="left"/>
        <w:rPr>
          <w:rFonts w:hint="eastAsia" w:ascii="宋体" w:hAnsi="宋体" w:eastAsia="宋体" w:cs="宋体"/>
          <w:b/>
          <w:color w:val="0C0C0C"/>
          <w:sz w:val="21"/>
          <w:szCs w:val="13"/>
          <w:highlight w:val="none"/>
        </w:rPr>
      </w:pPr>
      <w:r>
        <w:rPr>
          <w:rFonts w:hint="eastAsia" w:ascii="宋体" w:hAnsi="宋体" w:eastAsia="宋体" w:cs="宋体"/>
          <w:b/>
          <w:color w:val="0C0C0C"/>
          <w:sz w:val="21"/>
          <w:szCs w:val="13"/>
          <w:highlight w:val="none"/>
        </w:rPr>
        <w:t>注：</w:t>
      </w:r>
      <w:r>
        <w:rPr>
          <w:rFonts w:hint="eastAsia" w:ascii="宋体" w:hAnsi="宋体" w:cs="宋体"/>
          <w:b/>
          <w:color w:val="0C0C0C"/>
          <w:sz w:val="21"/>
          <w:szCs w:val="13"/>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40"/>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cs="宋体"/>
          <w:b/>
          <w:color w:val="0C0C0C"/>
          <w:sz w:val="21"/>
          <w:szCs w:val="13"/>
          <w:highlight w:val="none"/>
          <w:lang w:val="en-US" w:eastAsia="zh-CN"/>
        </w:rPr>
        <w:t>2</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0"/>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、同意第二章《招标需求》所有条款内容，本项目工程量暂估，结算时按实际结算。</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、如果我方中标，我方将按照招标文件规定提交履约担保，共同地和分别地承担责任。</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0"/>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7</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b/>
          <w:color w:val="0C0C0C"/>
          <w:highlight w:val="none"/>
          <w:lang w:val="en-US" w:eastAsia="zh-CN"/>
        </w:rPr>
      </w:pPr>
      <w:r>
        <w:rPr>
          <w:rFonts w:hint="eastAsia" w:ascii="宋体" w:hAnsi="宋体"/>
          <w:color w:val="auto"/>
          <w:sz w:val="21"/>
          <w:szCs w:val="21"/>
          <w:highlight w:val="none"/>
        </w:rPr>
        <w:t xml:space="preserve"> 日期：     年   月   日</w:t>
      </w: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规划支路五（七条河-海茂路）道路工程、台州湾新区正学街（集兴路-甲南大道）道路工程（玻璃钢夹砂管采购）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规划支路五（七条河-海茂路）道路工程、台州湾新区正学街（集兴路-甲南大道）道路工程（玻璃钢夹砂管采购）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rPr>
      </w:pPr>
      <w:r>
        <w:rPr>
          <w:rFonts w:hint="eastAsia" w:ascii="宋体" w:hAnsi="宋体" w:cs="宋体"/>
          <w:color w:val="auto"/>
        </w:rPr>
        <w:t>7、本单位如中标，保证按照投标文件的承诺与贵方签订合同，保证</w:t>
      </w:r>
      <w:r>
        <w:rPr>
          <w:rFonts w:hint="eastAsia" w:ascii="宋体" w:hAnsi="宋体" w:eastAsia="宋体" w:cs="宋体"/>
          <w:color w:val="auto"/>
        </w:rPr>
        <w:t>履行合同条款</w:t>
      </w:r>
    </w:p>
    <w:p>
      <w:pPr>
        <w:pageBreakBefore w:val="0"/>
        <w:widowControl w:val="0"/>
        <w:tabs>
          <w:tab w:val="left" w:pos="57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color w:val="auto"/>
        </w:rPr>
      </w:pPr>
      <w:r>
        <w:rPr>
          <w:rFonts w:hint="eastAsia" w:ascii="宋体" w:hAnsi="宋体" w:eastAsia="宋体" w:cs="宋体"/>
          <w:color w:val="auto"/>
          <w:lang w:val="en-US" w:eastAsia="zh-CN"/>
        </w:rPr>
        <w:t>8、本公司承诺如出现招标文件第三章三、（五）6情形的（如IP地址相同等），将自愿罚没投标保证金。</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5E6ABD"/>
    <w:rsid w:val="05A434F1"/>
    <w:rsid w:val="06256BCF"/>
    <w:rsid w:val="064E06A4"/>
    <w:rsid w:val="065D6D02"/>
    <w:rsid w:val="067B48EA"/>
    <w:rsid w:val="069738E4"/>
    <w:rsid w:val="06B07C4D"/>
    <w:rsid w:val="06B465B7"/>
    <w:rsid w:val="06B569B6"/>
    <w:rsid w:val="06ED3B1C"/>
    <w:rsid w:val="070C082A"/>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4E3E5B"/>
    <w:rsid w:val="0A6B6FBC"/>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5C4DA8"/>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3A2119E"/>
    <w:rsid w:val="34407BF6"/>
    <w:rsid w:val="34AC131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1877E6"/>
    <w:rsid w:val="398C3DFF"/>
    <w:rsid w:val="39D553ED"/>
    <w:rsid w:val="3A3C74D7"/>
    <w:rsid w:val="3A784CF1"/>
    <w:rsid w:val="3AAE727E"/>
    <w:rsid w:val="3B0E43DD"/>
    <w:rsid w:val="3B9E6B4C"/>
    <w:rsid w:val="3BF83840"/>
    <w:rsid w:val="3C012C74"/>
    <w:rsid w:val="3C2D137C"/>
    <w:rsid w:val="3C337289"/>
    <w:rsid w:val="3C3417D1"/>
    <w:rsid w:val="3C392377"/>
    <w:rsid w:val="3C730A5A"/>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5E3363"/>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16205"/>
    <w:rsid w:val="507C3513"/>
    <w:rsid w:val="50917265"/>
    <w:rsid w:val="50BE5ADC"/>
    <w:rsid w:val="51112B06"/>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4F1E13"/>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AA0518"/>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CB262D"/>
    <w:rsid w:val="63E13364"/>
    <w:rsid w:val="64370C94"/>
    <w:rsid w:val="646805F0"/>
    <w:rsid w:val="646C02EC"/>
    <w:rsid w:val="648E23CC"/>
    <w:rsid w:val="64AC1ED4"/>
    <w:rsid w:val="6593435C"/>
    <w:rsid w:val="6630389E"/>
    <w:rsid w:val="66371C77"/>
    <w:rsid w:val="6638385D"/>
    <w:rsid w:val="66B13A74"/>
    <w:rsid w:val="671320A5"/>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5F6D29"/>
    <w:rsid w:val="6FE763A8"/>
    <w:rsid w:val="70525D42"/>
    <w:rsid w:val="7099701F"/>
    <w:rsid w:val="70CF4937"/>
    <w:rsid w:val="70FC052C"/>
    <w:rsid w:val="71395A23"/>
    <w:rsid w:val="71AA673A"/>
    <w:rsid w:val="71BA3FF3"/>
    <w:rsid w:val="71BE2151"/>
    <w:rsid w:val="71D45470"/>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24DF7"/>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46973"/>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8">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7"/>
    <w:qFormat/>
    <w:uiPriority w:val="0"/>
    <w:pPr>
      <w:spacing w:after="120" w:afterLines="0"/>
    </w:pPr>
  </w:style>
  <w:style w:type="paragraph" w:styleId="21">
    <w:name w:val="Body Text First Indent"/>
    <w:basedOn w:val="20"/>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4">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link w:val="4"/>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5"/>
    <w:qFormat/>
    <w:uiPriority w:val="0"/>
    <w:rPr>
      <w:b/>
      <w:bCs/>
      <w:kern w:val="2"/>
      <w:sz w:val="32"/>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sz w:val="28"/>
      <w:szCs w:val="28"/>
    </w:rPr>
  </w:style>
  <w:style w:type="character" w:customStyle="1" w:styleId="60">
    <w:name w:val="标题 6 Char"/>
    <w:link w:val="8"/>
    <w:qFormat/>
    <w:uiPriority w:val="0"/>
    <w:rPr>
      <w:rFonts w:ascii="Arial" w:hAnsi="Arial" w:eastAsia="黑体"/>
      <w:b/>
      <w:bCs/>
      <w:sz w:val="24"/>
      <w:szCs w:val="24"/>
    </w:rPr>
  </w:style>
  <w:style w:type="character" w:customStyle="1" w:styleId="61">
    <w:name w:val="标题 7 Char"/>
    <w:link w:val="9"/>
    <w:qFormat/>
    <w:uiPriority w:val="0"/>
    <w:rPr>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1"/>
      <w:szCs w:val="21"/>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文档结构图 Char"/>
    <w:link w:val="16"/>
    <w:qFormat/>
    <w:uiPriority w:val="0"/>
    <w:rPr>
      <w:szCs w:val="24"/>
      <w:shd w:val="clear" w:color="auto" w:fill="000080"/>
    </w:rPr>
  </w:style>
  <w:style w:type="character" w:customStyle="1" w:styleId="66">
    <w:name w:val="批注文字 Char"/>
    <w:link w:val="18"/>
    <w:qFormat/>
    <w:uiPriority w:val="0"/>
    <w:rPr>
      <w:kern w:val="2"/>
      <w:sz w:val="21"/>
      <w:szCs w:val="24"/>
    </w:rPr>
  </w:style>
  <w:style w:type="character" w:customStyle="1" w:styleId="67">
    <w:name w:val="正文文本 Char"/>
    <w:link w:val="20"/>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4"/>
    <w:qFormat/>
    <w:uiPriority w:val="0"/>
    <w:rPr>
      <w:rFonts w:ascii="Arial" w:hAnsi="Arial" w:eastAsia="宋体" w:cs="Arial"/>
      <w:b/>
      <w:bCs/>
      <w:kern w:val="2"/>
      <w:sz w:val="32"/>
      <w:szCs w:val="32"/>
      <w:lang w:val="en-US" w:eastAsia="zh-CN" w:bidi="ar-SA"/>
    </w:rPr>
  </w:style>
  <w:style w:type="character" w:customStyle="1" w:styleId="74">
    <w:name w:val="批注主题 Char"/>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19480</Words>
  <Characters>20659</Characters>
  <Lines>133</Lines>
  <Paragraphs>37</Paragraphs>
  <TotalTime>171</TotalTime>
  <ScaleCrop>false</ScaleCrop>
  <LinksUpToDate>false</LinksUpToDate>
  <CharactersWithSpaces>22154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2024-04-03T04:53:41Z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