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right="112"/>
        <w:jc w:val="center"/>
        <w:rPr>
          <w:rFonts w:hint="eastAsia" w:ascii="宋体" w:eastAsia="宋体"/>
          <w:b/>
          <w:color w:val="auto"/>
          <w:kern w:val="0"/>
          <w:sz w:val="52"/>
          <w:szCs w:val="52"/>
          <w:highlight w:val="none"/>
          <w:lang w:eastAsia="zh-CN"/>
        </w:rPr>
      </w:pPr>
      <w:r>
        <w:rPr>
          <w:rFonts w:hint="eastAsia" w:ascii="宋体"/>
          <w:b/>
          <w:color w:val="auto"/>
          <w:kern w:val="0"/>
          <w:sz w:val="52"/>
          <w:szCs w:val="52"/>
          <w:highlight w:val="none"/>
          <w:lang w:eastAsia="zh-CN"/>
        </w:rPr>
        <w:t>台州东茂观光农业开发有限公司2024年度第一批农药、化肥、农用薄膜采购项目</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pPr>
        <w:pStyle w:val="5"/>
        <w:rPr>
          <w:rFonts w:ascii="宋体"/>
          <w:b/>
          <w:color w:val="auto"/>
          <w:kern w:val="0"/>
          <w:sz w:val="52"/>
          <w:szCs w:val="52"/>
          <w:highlight w:val="none"/>
        </w:rPr>
      </w:pPr>
    </w:p>
    <w:p>
      <w:pPr>
        <w:rPr>
          <w:color w:val="auto"/>
          <w:highlight w:val="none"/>
        </w:rPr>
      </w:pPr>
    </w:p>
    <w:p>
      <w:pPr>
        <w:pStyle w:val="5"/>
        <w:rPr>
          <w:color w:val="auto"/>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招 标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auto"/>
          <w:kern w:val="0"/>
          <w:sz w:val="24"/>
          <w:highlight w:val="none"/>
        </w:rPr>
      </w:pPr>
      <w:r>
        <w:rPr>
          <w:rFonts w:hint="eastAsia" w:ascii="宋体" w:hAnsi="宋体" w:cs="Calibri Light"/>
          <w:color w:val="auto"/>
          <w:kern w:val="0"/>
          <w:sz w:val="24"/>
          <w:highlight w:val="none"/>
        </w:rPr>
        <w:t>采购编号：</w:t>
      </w:r>
      <w:r>
        <w:rPr>
          <w:rFonts w:hint="eastAsia" w:ascii="宋体" w:hAnsi="宋体" w:cs="Calibri Light"/>
          <w:color w:val="auto"/>
          <w:kern w:val="0"/>
          <w:sz w:val="24"/>
          <w:highlight w:val="none"/>
        </w:rPr>
        <w:tab/>
      </w:r>
      <w:r>
        <w:rPr>
          <w:rFonts w:hint="eastAsia" w:ascii="宋体" w:hAnsi="宋体" w:cs="Calibri Light"/>
          <w:color w:val="auto"/>
          <w:kern w:val="0"/>
          <w:sz w:val="24"/>
          <w:highlight w:val="none"/>
        </w:rPr>
        <w:t>QBJ2024054</w:t>
      </w:r>
    </w:p>
    <w:p>
      <w:pPr>
        <w:tabs>
          <w:tab w:val="left" w:pos="1260"/>
        </w:tabs>
        <w:spacing w:line="640" w:lineRule="exact"/>
        <w:outlineLvl w:val="0"/>
        <w:rPr>
          <w:rFonts w:ascii="宋体" w:hAnsi="宋体"/>
          <w:color w:val="auto"/>
          <w:spacing w:val="20"/>
          <w:kern w:val="21"/>
          <w:sz w:val="30"/>
          <w:szCs w:val="30"/>
          <w:highlight w:val="none"/>
        </w:rPr>
      </w:pPr>
    </w:p>
    <w:p>
      <w:pPr>
        <w:pStyle w:val="5"/>
        <w:rPr>
          <w:rFonts w:ascii="宋体" w:hAnsi="宋体"/>
          <w:color w:val="auto"/>
          <w:spacing w:val="20"/>
          <w:kern w:val="21"/>
          <w:sz w:val="30"/>
          <w:szCs w:val="30"/>
          <w:highlight w:val="none"/>
        </w:rPr>
      </w:pPr>
    </w:p>
    <w:p>
      <w:pPr>
        <w:rPr>
          <w:rFonts w:ascii="宋体" w:hAnsi="宋体"/>
          <w:color w:val="auto"/>
          <w:spacing w:val="20"/>
          <w:kern w:val="21"/>
          <w:sz w:val="30"/>
          <w:szCs w:val="30"/>
          <w:highlight w:val="none"/>
        </w:rPr>
      </w:pPr>
    </w:p>
    <w:p>
      <w:pPr>
        <w:pStyle w:val="5"/>
        <w:rPr>
          <w:color w:val="auto"/>
          <w:highlight w:val="none"/>
        </w:rPr>
      </w:pPr>
    </w:p>
    <w:p>
      <w:pPr>
        <w:rPr>
          <w:color w:val="auto"/>
          <w:highlight w:val="none"/>
        </w:rPr>
      </w:pPr>
    </w:p>
    <w:p>
      <w:pPr>
        <w:pStyle w:val="33"/>
        <w:rPr>
          <w:color w:val="auto"/>
          <w:highlight w:val="none"/>
        </w:rPr>
      </w:pPr>
    </w:p>
    <w:p>
      <w:pPr>
        <w:spacing w:line="480" w:lineRule="auto"/>
        <w:ind w:firstLine="840" w:firstLineChars="300"/>
        <w:rPr>
          <w:rFonts w:ascii="宋体" w:hAnsi="宋体" w:cs="宋体"/>
          <w:color w:val="auto"/>
          <w:sz w:val="28"/>
          <w:highlight w:val="none"/>
        </w:rPr>
      </w:pPr>
      <w:r>
        <w:rPr>
          <w:rFonts w:hint="eastAsia" w:ascii="宋体" w:hAnsi="宋体" w:cs="宋体"/>
          <w:color w:val="auto"/>
          <w:sz w:val="28"/>
          <w:highlight w:val="none"/>
        </w:rPr>
        <w:t>采购人：</w:t>
      </w:r>
      <w:r>
        <w:rPr>
          <w:rFonts w:hint="eastAsia" w:ascii="宋体" w:hAnsi="宋体" w:cs="宋体"/>
          <w:color w:val="auto"/>
          <w:sz w:val="28"/>
          <w:highlight w:val="none"/>
          <w:u w:val="single"/>
        </w:rPr>
        <w:t>台州东茂观光农业开发有限公司</w:t>
      </w:r>
      <w:r>
        <w:rPr>
          <w:rFonts w:hint="eastAsia" w:ascii="宋体" w:hAnsi="宋体" w:cs="宋体"/>
          <w:color w:val="auto"/>
          <w:sz w:val="28"/>
          <w:highlight w:val="none"/>
        </w:rPr>
        <w:t>（盖章）</w:t>
      </w:r>
    </w:p>
    <w:p>
      <w:pPr>
        <w:spacing w:line="480" w:lineRule="auto"/>
        <w:ind w:firstLine="840" w:firstLineChars="300"/>
        <w:rPr>
          <w:rFonts w:ascii="宋体" w:hAnsi="宋体" w:cs="宋体"/>
          <w:color w:val="auto"/>
          <w:sz w:val="28"/>
          <w:highlight w:val="none"/>
        </w:rPr>
      </w:pPr>
      <w:r>
        <w:rPr>
          <w:rFonts w:hint="eastAsia" w:ascii="宋体" w:hAnsi="宋体" w:cs="宋体"/>
          <w:color w:val="auto"/>
          <w:sz w:val="28"/>
          <w:highlight w:val="none"/>
        </w:rPr>
        <w:t>联 系 人：</w:t>
      </w:r>
      <w:r>
        <w:rPr>
          <w:rFonts w:hint="eastAsia" w:ascii="宋体" w:hAnsi="宋体" w:cs="宋体"/>
          <w:color w:val="auto"/>
          <w:sz w:val="28"/>
          <w:highlight w:val="none"/>
          <w:u w:val="single"/>
        </w:rPr>
        <w:t>李先生</w:t>
      </w:r>
      <w:r>
        <w:rPr>
          <w:rFonts w:hint="eastAsia" w:ascii="宋体" w:hAnsi="宋体" w:cs="宋体"/>
          <w:color w:val="auto"/>
          <w:sz w:val="28"/>
          <w:highlight w:val="none"/>
        </w:rPr>
        <w:t xml:space="preserve">  联系电话：</w:t>
      </w:r>
      <w:r>
        <w:rPr>
          <w:rFonts w:hint="eastAsia" w:ascii="宋体" w:hAnsi="宋体" w:cs="宋体"/>
          <w:color w:val="auto"/>
          <w:sz w:val="28"/>
          <w:highlight w:val="none"/>
          <w:u w:val="single"/>
        </w:rPr>
        <w:t xml:space="preserve">13616685015 </w:t>
      </w:r>
    </w:p>
    <w:p>
      <w:pPr>
        <w:spacing w:line="480" w:lineRule="auto"/>
        <w:ind w:firstLine="840" w:firstLineChars="300"/>
        <w:rPr>
          <w:rFonts w:ascii="宋体" w:hAnsi="宋体" w:cs="宋体"/>
          <w:color w:val="auto"/>
          <w:sz w:val="28"/>
          <w:highlight w:val="none"/>
        </w:rPr>
      </w:pPr>
      <w:r>
        <w:rPr>
          <w:rFonts w:hint="eastAsia" w:ascii="宋体" w:hAnsi="宋体" w:cs="宋体"/>
          <w:color w:val="auto"/>
          <w:sz w:val="28"/>
          <w:highlight w:val="none"/>
        </w:rPr>
        <w:t>招标代理：</w:t>
      </w:r>
      <w:r>
        <w:rPr>
          <w:rFonts w:hint="eastAsia" w:ascii="宋体" w:hAnsi="宋体" w:cs="宋体"/>
          <w:color w:val="auto"/>
          <w:sz w:val="28"/>
          <w:highlight w:val="none"/>
          <w:u w:val="single"/>
        </w:rPr>
        <w:t>台州市建航工程管理有限公司</w:t>
      </w:r>
      <w:r>
        <w:rPr>
          <w:rFonts w:hint="eastAsia" w:ascii="宋体" w:hAnsi="宋体" w:cs="宋体"/>
          <w:color w:val="auto"/>
          <w:sz w:val="28"/>
          <w:highlight w:val="none"/>
        </w:rPr>
        <w:t>（盖章）</w:t>
      </w:r>
    </w:p>
    <w:p>
      <w:pPr>
        <w:spacing w:line="480" w:lineRule="auto"/>
        <w:ind w:firstLine="840" w:firstLineChars="300"/>
        <w:rPr>
          <w:rFonts w:ascii="宋体" w:hAnsi="宋体" w:cs="宋体"/>
          <w:color w:val="auto"/>
          <w:sz w:val="28"/>
          <w:highlight w:val="none"/>
        </w:rPr>
      </w:pPr>
      <w:r>
        <w:rPr>
          <w:rFonts w:hint="eastAsia" w:ascii="宋体" w:hAnsi="宋体" w:cs="宋体"/>
          <w:color w:val="auto"/>
          <w:sz w:val="28"/>
          <w:highlight w:val="none"/>
        </w:rPr>
        <w:t>联 系 人：</w:t>
      </w:r>
      <w:r>
        <w:rPr>
          <w:rFonts w:hint="eastAsia" w:ascii="宋体" w:hAnsi="宋体" w:cs="宋体"/>
          <w:color w:val="auto"/>
          <w:sz w:val="28"/>
          <w:highlight w:val="none"/>
          <w:u w:val="single"/>
        </w:rPr>
        <w:t xml:space="preserve">小施 </w:t>
      </w:r>
      <w:r>
        <w:rPr>
          <w:rFonts w:hint="eastAsia" w:ascii="宋体" w:hAnsi="宋体" w:cs="宋体"/>
          <w:color w:val="auto"/>
          <w:sz w:val="28"/>
          <w:highlight w:val="none"/>
        </w:rPr>
        <w:t xml:space="preserve">  联系电话：</w:t>
      </w:r>
      <w:r>
        <w:rPr>
          <w:rFonts w:hint="eastAsia" w:ascii="宋体" w:hAnsi="宋体" w:cs="宋体"/>
          <w:color w:val="auto"/>
          <w:sz w:val="28"/>
          <w:highlight w:val="none"/>
          <w:u w:val="single"/>
        </w:rPr>
        <w:t>0576-88810077</w:t>
      </w:r>
    </w:p>
    <w:p>
      <w:pPr>
        <w:spacing w:line="640" w:lineRule="exact"/>
        <w:ind w:firstLine="1020" w:firstLineChars="300"/>
        <w:outlineLvl w:val="0"/>
        <w:rPr>
          <w:rFonts w:ascii="宋体" w:hAnsi="宋体"/>
          <w:b/>
          <w:color w:val="auto"/>
          <w:sz w:val="36"/>
          <w:highlight w:val="none"/>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auto"/>
          <w:spacing w:val="20"/>
          <w:kern w:val="21"/>
          <w:sz w:val="30"/>
          <w:szCs w:val="30"/>
          <w:highlight w:val="none"/>
        </w:rPr>
        <w:t>日    期：2024年4月</w:t>
      </w:r>
    </w:p>
    <w:p>
      <w:pPr>
        <w:pStyle w:val="37"/>
        <w:rPr>
          <w:color w:val="auto"/>
          <w:highlight w:val="none"/>
        </w:rPr>
      </w:pPr>
    </w:p>
    <w:p>
      <w:pPr>
        <w:spacing w:line="480" w:lineRule="auto"/>
        <w:jc w:val="center"/>
        <w:rPr>
          <w:rFonts w:ascii="宋体" w:hAnsi="宋体"/>
          <w:color w:val="auto"/>
          <w:kern w:val="0"/>
          <w:sz w:val="28"/>
          <w:szCs w:val="28"/>
          <w:highlight w:val="none"/>
        </w:rPr>
      </w:pPr>
      <w:bookmarkStart w:id="0" w:name="_Toc25017_WPSOffice_Type1"/>
    </w:p>
    <w:p>
      <w:pPr>
        <w:spacing w:line="480" w:lineRule="auto"/>
        <w:jc w:val="center"/>
        <w:rPr>
          <w:color w:val="auto"/>
          <w:sz w:val="28"/>
          <w:szCs w:val="28"/>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pPr>
        <w:numPr>
          <w:ilvl w:val="0"/>
          <w:numId w:val="5"/>
        </w:numPr>
        <w:spacing w:line="360" w:lineRule="auto"/>
        <w:rPr>
          <w:rFonts w:ascii="宋体"/>
          <w:b/>
          <w:color w:val="auto"/>
          <w:sz w:val="28"/>
          <w:szCs w:val="28"/>
          <w:highlight w:val="none"/>
        </w:rPr>
      </w:pPr>
      <w:r>
        <w:rPr>
          <w:rFonts w:hint="eastAsia" w:ascii="宋体"/>
          <w:b/>
          <w:color w:val="auto"/>
          <w:sz w:val="28"/>
          <w:szCs w:val="28"/>
          <w:highlight w:val="none"/>
        </w:rPr>
        <w:t>公开招标采购公告</w:t>
      </w:r>
    </w:p>
    <w:p>
      <w:pPr>
        <w:numPr>
          <w:ilvl w:val="0"/>
          <w:numId w:val="5"/>
        </w:numPr>
        <w:spacing w:line="360" w:lineRule="auto"/>
        <w:rPr>
          <w:rFonts w:ascii="宋体"/>
          <w:b/>
          <w:color w:val="auto"/>
          <w:sz w:val="28"/>
          <w:szCs w:val="28"/>
          <w:highlight w:val="none"/>
        </w:rPr>
      </w:pPr>
      <w:r>
        <w:rPr>
          <w:rFonts w:hint="eastAsia" w:ascii="宋体"/>
          <w:b/>
          <w:color w:val="auto"/>
          <w:sz w:val="28"/>
          <w:szCs w:val="28"/>
          <w:highlight w:val="none"/>
        </w:rPr>
        <w:t>招标需求</w:t>
      </w:r>
    </w:p>
    <w:p>
      <w:pPr>
        <w:numPr>
          <w:ilvl w:val="0"/>
          <w:numId w:val="5"/>
        </w:numPr>
        <w:spacing w:line="360" w:lineRule="auto"/>
        <w:rPr>
          <w:rFonts w:ascii="宋体"/>
          <w:b/>
          <w:color w:val="auto"/>
          <w:sz w:val="28"/>
          <w:szCs w:val="28"/>
          <w:highlight w:val="none"/>
        </w:rPr>
      </w:pPr>
      <w:r>
        <w:rPr>
          <w:rFonts w:hint="eastAsia" w:ascii="宋体"/>
          <w:b/>
          <w:color w:val="auto"/>
          <w:sz w:val="28"/>
          <w:szCs w:val="28"/>
          <w:highlight w:val="none"/>
        </w:rPr>
        <w:t>投标人须知</w:t>
      </w:r>
    </w:p>
    <w:p>
      <w:pPr>
        <w:numPr>
          <w:ilvl w:val="0"/>
          <w:numId w:val="5"/>
        </w:numPr>
        <w:spacing w:line="360" w:lineRule="auto"/>
        <w:rPr>
          <w:rFonts w:ascii="宋体"/>
          <w:b/>
          <w:color w:val="auto"/>
          <w:sz w:val="28"/>
          <w:szCs w:val="28"/>
          <w:highlight w:val="none"/>
        </w:rPr>
      </w:pPr>
      <w:r>
        <w:rPr>
          <w:rFonts w:hint="eastAsia" w:ascii="宋体"/>
          <w:b/>
          <w:color w:val="auto"/>
          <w:sz w:val="28"/>
          <w:szCs w:val="28"/>
          <w:highlight w:val="none"/>
        </w:rPr>
        <w:t>评标办法及评分标准</w:t>
      </w:r>
    </w:p>
    <w:p>
      <w:pPr>
        <w:numPr>
          <w:ilvl w:val="0"/>
          <w:numId w:val="5"/>
        </w:numPr>
        <w:spacing w:line="360" w:lineRule="auto"/>
        <w:rPr>
          <w:rFonts w:ascii="宋体"/>
          <w:b/>
          <w:color w:val="auto"/>
          <w:sz w:val="28"/>
          <w:szCs w:val="28"/>
          <w:highlight w:val="none"/>
        </w:rPr>
      </w:pPr>
      <w:r>
        <w:rPr>
          <w:rFonts w:hint="eastAsia" w:ascii="宋体"/>
          <w:b/>
          <w:color w:val="auto"/>
          <w:sz w:val="28"/>
          <w:szCs w:val="28"/>
          <w:highlight w:val="none"/>
        </w:rPr>
        <w:t>合同主要条款指引</w:t>
      </w:r>
    </w:p>
    <w:p>
      <w:pPr>
        <w:numPr>
          <w:ilvl w:val="0"/>
          <w:numId w:val="5"/>
        </w:numPr>
        <w:spacing w:line="360" w:lineRule="auto"/>
        <w:rPr>
          <w:rFonts w:ascii="宋体"/>
          <w:b/>
          <w:color w:val="auto"/>
          <w:sz w:val="28"/>
          <w:szCs w:val="28"/>
          <w:highlight w:val="none"/>
        </w:rPr>
      </w:pPr>
      <w:r>
        <w:rPr>
          <w:rFonts w:hint="eastAsia" w:ascii="宋体"/>
          <w:b/>
          <w:color w:val="auto"/>
          <w:sz w:val="28"/>
          <w:szCs w:val="28"/>
          <w:highlight w:val="none"/>
        </w:rPr>
        <w:t>投标文件格式附件</w:t>
      </w:r>
    </w:p>
    <w:p>
      <w:pPr>
        <w:pStyle w:val="19"/>
        <w:tabs>
          <w:tab w:val="right" w:leader="dot" w:pos="8620"/>
        </w:tabs>
        <w:rPr>
          <w:color w:val="auto"/>
          <w:highlight w:val="none"/>
        </w:rPr>
      </w:pPr>
    </w:p>
    <w:bookmarkEnd w:id="0"/>
    <w:p>
      <w:pPr>
        <w:spacing w:line="480" w:lineRule="auto"/>
        <w:rPr>
          <w:color w:val="auto"/>
          <w:sz w:val="28"/>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rPr>
          <w:rFonts w:ascii="宋体" w:hAnsi="宋体"/>
          <w:b/>
          <w:color w:val="auto"/>
          <w:sz w:val="36"/>
          <w:szCs w:val="36"/>
          <w:highlight w:val="none"/>
        </w:rPr>
      </w:pPr>
      <w:r>
        <w:rPr>
          <w:rFonts w:hint="eastAsia" w:ascii="宋体" w:hAnsi="宋体"/>
          <w:b/>
          <w:color w:val="auto"/>
          <w:kern w:val="0"/>
          <w:sz w:val="36"/>
          <w:szCs w:val="36"/>
          <w:highlight w:val="none"/>
        </w:rPr>
        <w:br w:type="page"/>
      </w:r>
    </w:p>
    <w:p>
      <w:pPr>
        <w:numPr>
          <w:ilvl w:val="0"/>
          <w:numId w:val="6"/>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公开招标采购公告</w:t>
      </w:r>
    </w:p>
    <w:p>
      <w:pPr>
        <w:pStyle w:val="5"/>
        <w:rPr>
          <w:color w:val="auto"/>
          <w:highlight w:val="none"/>
        </w:rPr>
      </w:pPr>
    </w:p>
    <w:p>
      <w:pPr>
        <w:pStyle w:val="3"/>
        <w:ind w:firstLine="480" w:firstLineChars="200"/>
        <w:rPr>
          <w:rFonts w:cs="宋体"/>
          <w:b w:val="0"/>
          <w:color w:val="auto"/>
          <w:sz w:val="24"/>
          <w:szCs w:val="24"/>
          <w:highlight w:val="none"/>
        </w:rPr>
      </w:pPr>
      <w:bookmarkStart w:id="1" w:name="_Toc28359002"/>
      <w:bookmarkStart w:id="2" w:name="_Toc35393790"/>
      <w:bookmarkStart w:id="3" w:name="_Toc35393621"/>
      <w:bookmarkStart w:id="4" w:name="_Toc28359079"/>
      <w:bookmarkStart w:id="5" w:name="_Hlk24379207"/>
      <w:r>
        <w:rPr>
          <w:rFonts w:hint="eastAsia" w:cs="宋体"/>
          <w:b w:val="0"/>
          <w:color w:val="auto"/>
          <w:sz w:val="24"/>
          <w:szCs w:val="24"/>
          <w:highlight w:val="none"/>
          <w:u w:val="single"/>
        </w:rPr>
        <w:t>台州市建航工程管理有限公司</w:t>
      </w:r>
      <w:r>
        <w:rPr>
          <w:rFonts w:hint="eastAsia" w:cs="宋体"/>
          <w:b w:val="0"/>
          <w:color w:val="auto"/>
          <w:sz w:val="24"/>
          <w:szCs w:val="24"/>
          <w:highlight w:val="none"/>
        </w:rPr>
        <w:t>受</w:t>
      </w:r>
      <w:r>
        <w:rPr>
          <w:rFonts w:hint="eastAsia" w:cs="宋体"/>
          <w:b w:val="0"/>
          <w:color w:val="auto"/>
          <w:sz w:val="24"/>
          <w:szCs w:val="24"/>
          <w:highlight w:val="none"/>
          <w:u w:val="single"/>
        </w:rPr>
        <w:t>台州东茂观光农业开发有限公司</w:t>
      </w:r>
      <w:r>
        <w:rPr>
          <w:rFonts w:hint="eastAsia" w:cs="宋体"/>
          <w:b w:val="0"/>
          <w:color w:val="auto"/>
          <w:sz w:val="24"/>
          <w:szCs w:val="24"/>
          <w:highlight w:val="none"/>
        </w:rPr>
        <w:t>委托，就</w:t>
      </w:r>
      <w:r>
        <w:rPr>
          <w:rFonts w:hint="eastAsia" w:cs="宋体"/>
          <w:b w:val="0"/>
          <w:color w:val="auto"/>
          <w:sz w:val="24"/>
          <w:szCs w:val="24"/>
          <w:highlight w:val="none"/>
          <w:u w:val="single"/>
          <w:lang w:eastAsia="zh-CN"/>
        </w:rPr>
        <w:t>台州东茂观光农业开发有限公司2024年度第一批农药、化肥、农用薄膜采购项目</w:t>
      </w:r>
      <w:r>
        <w:rPr>
          <w:rFonts w:hint="eastAsia" w:cs="宋体"/>
          <w:b w:val="0"/>
          <w:color w:val="auto"/>
          <w:sz w:val="24"/>
          <w:szCs w:val="24"/>
          <w:highlight w:val="none"/>
        </w:rPr>
        <w:t>进行公开招标，欢迎符合资格条件的国内投标人参加投标。</w:t>
      </w:r>
    </w:p>
    <w:p>
      <w:pPr>
        <w:pStyle w:val="3"/>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1"/>
      <w:bookmarkEnd w:id="2"/>
      <w:bookmarkEnd w:id="3"/>
      <w:bookmarkEnd w:id="4"/>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项目编号：QBJ2024054</w:t>
      </w:r>
    </w:p>
    <w:bookmarkEnd w:id="5"/>
    <w:tbl>
      <w:tblPr>
        <w:tblStyle w:val="28"/>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3071"/>
        <w:gridCol w:w="1915"/>
        <w:gridCol w:w="707"/>
        <w:gridCol w:w="707"/>
        <w:gridCol w:w="139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031"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bookmarkStart w:id="6" w:name="_Toc28359003"/>
            <w:bookmarkStart w:id="7" w:name="_Toc35393622"/>
            <w:bookmarkStart w:id="8" w:name="_Toc28359080"/>
            <w:bookmarkStart w:id="9" w:name="_Toc35393791"/>
            <w:r>
              <w:rPr>
                <w:rFonts w:hint="eastAsia" w:ascii="宋体" w:hAnsi="宋体"/>
                <w:b/>
                <w:color w:val="auto"/>
                <w:sz w:val="24"/>
                <w:highlight w:val="none"/>
              </w:rPr>
              <w:t>标段号</w:t>
            </w:r>
          </w:p>
        </w:tc>
        <w:tc>
          <w:tcPr>
            <w:tcW w:w="3071"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标项内容</w:t>
            </w:r>
          </w:p>
        </w:tc>
        <w:tc>
          <w:tcPr>
            <w:tcW w:w="1915" w:type="dxa"/>
            <w:vAlign w:val="center"/>
          </w:tcPr>
          <w:p>
            <w:pP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cs="宋体"/>
                <w:b/>
                <w:color w:val="auto"/>
                <w:kern w:val="0"/>
                <w:sz w:val="24"/>
                <w:highlight w:val="none"/>
              </w:rPr>
              <w:t>简要技术要求</w:t>
            </w:r>
          </w:p>
        </w:tc>
        <w:tc>
          <w:tcPr>
            <w:tcW w:w="707"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数量</w:t>
            </w:r>
          </w:p>
        </w:tc>
        <w:tc>
          <w:tcPr>
            <w:tcW w:w="707"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单位</w:t>
            </w:r>
          </w:p>
        </w:tc>
        <w:tc>
          <w:tcPr>
            <w:tcW w:w="1393"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预算</w:t>
            </w:r>
          </w:p>
        </w:tc>
        <w:tc>
          <w:tcPr>
            <w:tcW w:w="760" w:type="dxa"/>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031" w:type="dxa"/>
            <w:vAlign w:val="center"/>
          </w:tcPr>
          <w:p>
            <w:pPr>
              <w:tabs>
                <w:tab w:val="left" w:pos="8280"/>
              </w:tabs>
              <w:autoSpaceDE w:val="0"/>
              <w:autoSpaceDN w:val="0"/>
              <w:adjustRightInd w:val="0"/>
              <w:spacing w:line="360" w:lineRule="auto"/>
              <w:ind w:right="25"/>
              <w:jc w:val="center"/>
              <w:rPr>
                <w:rFonts w:ascii="宋体" w:hAnsi="宋体"/>
                <w:color w:val="auto"/>
                <w:sz w:val="24"/>
                <w:highlight w:val="none"/>
              </w:rPr>
            </w:pPr>
            <w:r>
              <w:rPr>
                <w:rFonts w:hint="eastAsia" w:ascii="宋体" w:hAnsi="宋体"/>
                <w:color w:val="auto"/>
                <w:sz w:val="24"/>
                <w:highlight w:val="none"/>
              </w:rPr>
              <w:t>1</w:t>
            </w:r>
          </w:p>
        </w:tc>
        <w:tc>
          <w:tcPr>
            <w:tcW w:w="3071" w:type="dxa"/>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台州东茂观光农业开发有限公司2024年度第一批农药、化肥、农用薄膜采购项目</w:t>
            </w:r>
          </w:p>
        </w:tc>
        <w:tc>
          <w:tcPr>
            <w:tcW w:w="1915" w:type="dxa"/>
            <w:vAlign w:val="center"/>
          </w:tcPr>
          <w:p>
            <w:pPr>
              <w:spacing w:line="360" w:lineRule="auto"/>
              <w:rPr>
                <w:rFonts w:ascii="宋体" w:hAnsi="宋体"/>
                <w:color w:val="auto"/>
                <w:sz w:val="24"/>
                <w:highlight w:val="none"/>
              </w:rPr>
            </w:pPr>
            <w:r>
              <w:rPr>
                <w:rFonts w:hint="eastAsia" w:ascii="宋体" w:hAnsi="宋体" w:cs="宋体"/>
                <w:color w:val="auto"/>
                <w:sz w:val="24"/>
                <w:highlight w:val="none"/>
              </w:rPr>
              <w:t>详见第四章“公开招标需求”</w:t>
            </w:r>
          </w:p>
        </w:tc>
        <w:tc>
          <w:tcPr>
            <w:tcW w:w="707" w:type="dxa"/>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707" w:type="dxa"/>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项</w:t>
            </w:r>
          </w:p>
        </w:tc>
        <w:tc>
          <w:tcPr>
            <w:tcW w:w="1393" w:type="dxa"/>
            <w:vAlign w:val="center"/>
          </w:tcPr>
          <w:p>
            <w:pPr>
              <w:tabs>
                <w:tab w:val="left" w:pos="8280"/>
              </w:tabs>
              <w:autoSpaceDE w:val="0"/>
              <w:autoSpaceDN w:val="0"/>
              <w:adjustRightInd w:val="0"/>
              <w:spacing w:line="360" w:lineRule="auto"/>
              <w:ind w:right="25"/>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本年度采购总额不超过200万元（不含）</w:t>
            </w:r>
          </w:p>
        </w:tc>
        <w:tc>
          <w:tcPr>
            <w:tcW w:w="760" w:type="dxa"/>
          </w:tcPr>
          <w:p>
            <w:pPr>
              <w:tabs>
                <w:tab w:val="left" w:pos="8280"/>
              </w:tabs>
              <w:autoSpaceDE w:val="0"/>
              <w:autoSpaceDN w:val="0"/>
              <w:adjustRightInd w:val="0"/>
              <w:spacing w:line="360" w:lineRule="auto"/>
              <w:ind w:right="25"/>
              <w:jc w:val="center"/>
              <w:rPr>
                <w:rFonts w:ascii="宋体" w:hAnsi="宋体"/>
                <w:color w:val="auto"/>
                <w:sz w:val="24"/>
                <w:highlight w:val="none"/>
              </w:rPr>
            </w:pPr>
          </w:p>
        </w:tc>
      </w:tr>
    </w:tbl>
    <w:p>
      <w:pPr>
        <w:pStyle w:val="3"/>
        <w:tabs>
          <w:tab w:val="clear" w:pos="8280"/>
        </w:tabs>
        <w:ind w:right="23" w:firstLine="482" w:firstLineChars="200"/>
        <w:jc w:val="left"/>
        <w:rPr>
          <w:rFonts w:cs="宋体"/>
          <w:bCs/>
          <w:color w:val="auto"/>
          <w:sz w:val="24"/>
          <w:szCs w:val="24"/>
          <w:highlight w:val="none"/>
        </w:rPr>
      </w:pPr>
      <w:r>
        <w:rPr>
          <w:rFonts w:hint="eastAsia" w:cs="宋体"/>
          <w:bCs/>
          <w:color w:val="auto"/>
          <w:sz w:val="24"/>
          <w:szCs w:val="24"/>
          <w:highlight w:val="none"/>
        </w:rPr>
        <w:t>二、投标人的资格要求</w:t>
      </w:r>
      <w:bookmarkEnd w:id="6"/>
      <w:bookmarkEnd w:id="7"/>
      <w:bookmarkEnd w:id="8"/>
      <w:bookmarkEnd w:id="9"/>
    </w:p>
    <w:p>
      <w:pPr>
        <w:pStyle w:val="82"/>
        <w:spacing w:before="0" w:line="360" w:lineRule="auto"/>
        <w:ind w:left="0" w:right="0" w:firstLine="480" w:firstLineChars="200"/>
        <w:rPr>
          <w:rFonts w:ascii="宋体" w:eastAsia="宋体" w:cs="宋体"/>
          <w:color w:val="auto"/>
          <w:sz w:val="24"/>
          <w:szCs w:val="24"/>
          <w:highlight w:val="none"/>
        </w:rPr>
      </w:pPr>
      <w:bookmarkStart w:id="10" w:name="_Toc35393792"/>
      <w:bookmarkStart w:id="11" w:name="_Toc35393623"/>
      <w:bookmarkStart w:id="12" w:name="_Toc28359081"/>
      <w:bookmarkStart w:id="13" w:name="_Toc28359004"/>
      <w:r>
        <w:rPr>
          <w:rFonts w:hint="eastAsia" w:ascii="宋体" w:eastAsia="宋体" w:cs="宋体"/>
          <w:color w:val="auto"/>
          <w:sz w:val="24"/>
          <w:szCs w:val="24"/>
          <w:highlight w:val="none"/>
        </w:rPr>
        <w:t>（一）</w:t>
      </w:r>
      <w:r>
        <w:rPr>
          <w:rFonts w:hAnsi="方正书宋简体" w:cs="方正书宋简体"/>
          <w:color w:val="auto"/>
          <w:sz w:val="24"/>
          <w:szCs w:val="24"/>
          <w:highlight w:val="none"/>
          <w:shd w:val="clear" w:color="auto" w:fill="FFFFFF"/>
        </w:rPr>
        <w:t>具有独立承担民事责任的能力，具有良好的商业信誉和健全的财务会计制度。</w:t>
      </w:r>
    </w:p>
    <w:p>
      <w:pPr>
        <w:tabs>
          <w:tab w:val="left" w:pos="180"/>
          <w:tab w:val="left" w:pos="360"/>
          <w:tab w:val="left" w:pos="540"/>
          <w:tab w:val="left" w:pos="8280"/>
        </w:tabs>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（二）本项目供应商特定条件：</w:t>
      </w:r>
    </w:p>
    <w:p>
      <w:pPr>
        <w:tabs>
          <w:tab w:val="left" w:pos="180"/>
          <w:tab w:val="left" w:pos="360"/>
          <w:tab w:val="left" w:pos="540"/>
          <w:tab w:val="left" w:pos="8280"/>
        </w:tabs>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1、本项目不接受联合体投标。</w:t>
      </w:r>
    </w:p>
    <w:p>
      <w:pPr>
        <w:pStyle w:val="3"/>
        <w:tabs>
          <w:tab w:val="clear" w:pos="8280"/>
        </w:tabs>
        <w:ind w:right="23" w:firstLine="482" w:firstLineChars="200"/>
        <w:jc w:val="left"/>
        <w:rPr>
          <w:rFonts w:cs="宋体"/>
          <w:bCs/>
          <w:color w:val="auto"/>
          <w:sz w:val="24"/>
          <w:szCs w:val="24"/>
          <w:highlight w:val="none"/>
        </w:rPr>
      </w:pPr>
      <w:r>
        <w:rPr>
          <w:rFonts w:hint="eastAsia" w:cs="宋体"/>
          <w:bCs/>
          <w:color w:val="auto"/>
          <w:sz w:val="24"/>
          <w:szCs w:val="24"/>
          <w:highlight w:val="none"/>
        </w:rPr>
        <w:t>三、获取招标文件</w:t>
      </w:r>
      <w:bookmarkEnd w:id="10"/>
      <w:bookmarkEnd w:id="11"/>
      <w:bookmarkEnd w:id="12"/>
      <w:bookmarkEnd w:id="13"/>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（一）时间：项目发布之日起至</w:t>
      </w:r>
      <w:r>
        <w:rPr>
          <w:rFonts w:hint="eastAsia" w:ascii="宋体" w:hAnsi="宋体" w:cs="宋体"/>
          <w:color w:val="auto"/>
          <w:sz w:val="24"/>
          <w:highlight w:val="none"/>
          <w:u w:val="single"/>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color w:val="auto"/>
          <w:kern w:val="0"/>
          <w:sz w:val="24"/>
          <w:highlight w:val="none"/>
        </w:rPr>
      </w:pPr>
      <w:r>
        <w:rPr>
          <w:rFonts w:hint="eastAsia" w:ascii="宋体" w:hAnsi="宋体" w:cs="宋体"/>
          <w:color w:val="auto"/>
          <w:sz w:val="24"/>
          <w:highlight w:val="none"/>
        </w:rPr>
        <w:t>（二）方式：</w:t>
      </w:r>
      <w:r>
        <w:rPr>
          <w:rFonts w:hint="eastAsia" w:ascii="宋体" w:hAnsi="宋体" w:cs="宋体"/>
          <w:b/>
          <w:color w:val="auto"/>
          <w:kern w:val="0"/>
          <w:sz w:val="24"/>
          <w:highlight w:val="none"/>
        </w:rPr>
        <w:t>网上下载-台州湾新区小额工程电子交易平台（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pPr>
        <w:pStyle w:val="3"/>
        <w:ind w:right="0" w:firstLine="482" w:firstLineChars="200"/>
        <w:rPr>
          <w:rFonts w:cs="宋体"/>
          <w:bCs/>
          <w:color w:val="auto"/>
          <w:sz w:val="24"/>
          <w:szCs w:val="24"/>
          <w:highlight w:val="none"/>
        </w:rPr>
      </w:pPr>
      <w:bookmarkStart w:id="14" w:name="_Toc35393793"/>
      <w:bookmarkStart w:id="15" w:name="_Toc35393624"/>
      <w:bookmarkStart w:id="16" w:name="_Toc28359005"/>
      <w:bookmarkStart w:id="17" w:name="_Toc28359082"/>
      <w:r>
        <w:rPr>
          <w:rFonts w:hint="eastAsia" w:cs="宋体"/>
          <w:bCs/>
          <w:color w:val="auto"/>
          <w:sz w:val="24"/>
          <w:szCs w:val="24"/>
          <w:highlight w:val="none"/>
        </w:rPr>
        <w:t>四、提交投标文件</w:t>
      </w:r>
      <w:bookmarkEnd w:id="14"/>
      <w:bookmarkEnd w:id="15"/>
      <w:bookmarkEnd w:id="16"/>
      <w:bookmarkEnd w:id="17"/>
    </w:p>
    <w:p>
      <w:pPr>
        <w:spacing w:line="360" w:lineRule="auto"/>
        <w:ind w:firstLine="480" w:firstLineChars="200"/>
        <w:jc w:val="left"/>
        <w:rPr>
          <w:rFonts w:ascii="宋体" w:hAnsi="宋体" w:cs="宋体"/>
          <w:color w:val="auto"/>
          <w:sz w:val="24"/>
          <w:highlight w:val="none"/>
        </w:rPr>
      </w:pPr>
      <w:bookmarkStart w:id="18" w:name="_Toc28359084"/>
      <w:bookmarkStart w:id="19" w:name="_Toc35393794"/>
      <w:bookmarkStart w:id="20" w:name="_Toc35393625"/>
      <w:bookmarkStart w:id="21" w:name="_Toc28359007"/>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2024年04月</w:t>
      </w:r>
      <w:r>
        <w:rPr>
          <w:rFonts w:hint="eastAsia" w:ascii="宋体" w:hAnsi="宋体" w:cs="宋体"/>
          <w:bCs/>
          <w:color w:val="auto"/>
          <w:sz w:val="24"/>
          <w:highlight w:val="none"/>
          <w:u w:val="single"/>
          <w:lang w:val="en-US" w:eastAsia="zh-CN"/>
        </w:rPr>
        <w:t>29</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14</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w:t>
      </w:r>
      <w:r>
        <w:rPr>
          <w:rFonts w:hint="eastAsia" w:ascii="宋体" w:hAnsi="宋体" w:cs="宋体"/>
          <w:bCs/>
          <w:color w:val="auto"/>
          <w:sz w:val="24"/>
          <w:highlight w:val="none"/>
          <w:u w:val="single"/>
        </w:rPr>
        <w:t>0分</w:t>
      </w:r>
      <w:r>
        <w:rPr>
          <w:rFonts w:hint="eastAsia" w:ascii="宋体" w:hAnsi="宋体" w:cs="宋体"/>
          <w:color w:val="auto"/>
          <w:sz w:val="24"/>
          <w:highlight w:val="none"/>
        </w:rPr>
        <w:t>（北京时间）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（二）投标网址：台州湾新区小额工程电子交易平台（网址：</w:t>
      </w:r>
      <w:r>
        <w:rPr>
          <w:color w:val="auto"/>
          <w:sz w:val="24"/>
          <w:highlight w:val="none"/>
        </w:rPr>
        <w:t>http://www.tzwztb.com/</w:t>
      </w:r>
      <w:r>
        <w:rPr>
          <w:rFonts w:hint="eastAsia" w:ascii="宋体" w:hAnsi="宋体" w:cs="宋体"/>
          <w:color w:val="auto"/>
          <w:sz w:val="24"/>
          <w:highlight w:val="none"/>
        </w:rPr>
        <w:t>）</w:t>
      </w:r>
    </w:p>
    <w:bookmarkEnd w:id="18"/>
    <w:bookmarkEnd w:id="19"/>
    <w:bookmarkEnd w:id="20"/>
    <w:bookmarkEnd w:id="21"/>
    <w:p>
      <w:pPr>
        <w:pStyle w:val="27"/>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pPr>
        <w:pStyle w:val="27"/>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w:t>
      </w:r>
      <w:r>
        <w:rPr>
          <w:rFonts w:hint="eastAsia" w:ascii="宋体" w:hAnsi="宋体" w:cs="宋体"/>
          <w:color w:val="auto"/>
          <w:kern w:val="0"/>
          <w:sz w:val="24"/>
          <w:highlight w:val="none"/>
        </w:rPr>
        <w:t>浙江政府采购网（</w:t>
      </w:r>
      <w:r>
        <w:rPr>
          <w:rFonts w:hint="eastAsia" w:ascii="宋体" w:hAnsi="宋体" w:cs="宋体"/>
          <w:color w:val="auto"/>
          <w:sz w:val="24"/>
          <w:highlight w:val="none"/>
        </w:rPr>
        <w:t>https://zfcg.czt.zj.gov.cn</w:t>
      </w:r>
      <w:r>
        <w:rPr>
          <w:rFonts w:hint="eastAsia" w:ascii="宋体" w:hAnsi="宋体" w:cs="宋体"/>
          <w:color w:val="auto"/>
          <w:kern w:val="0"/>
          <w:sz w:val="24"/>
          <w:highlight w:val="none"/>
        </w:rPr>
        <w:t>）</w:t>
      </w:r>
    </w:p>
    <w:p>
      <w:pPr>
        <w:pStyle w:val="27"/>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pPr>
        <w:pStyle w:val="3"/>
        <w:ind w:right="0" w:firstLine="482" w:firstLineChars="200"/>
        <w:rPr>
          <w:rFonts w:cs="宋体"/>
          <w:bCs/>
          <w:color w:val="auto"/>
          <w:sz w:val="24"/>
          <w:szCs w:val="24"/>
          <w:highlight w:val="none"/>
        </w:rPr>
      </w:pPr>
      <w:bookmarkStart w:id="22" w:name="_Toc35393795"/>
      <w:bookmarkStart w:id="23" w:name="_Toc35393626"/>
      <w:r>
        <w:rPr>
          <w:rFonts w:hint="eastAsia" w:cs="宋体"/>
          <w:bCs/>
          <w:color w:val="auto"/>
          <w:sz w:val="24"/>
          <w:szCs w:val="24"/>
          <w:highlight w:val="none"/>
        </w:rPr>
        <w:t>六、</w:t>
      </w:r>
      <w:bookmarkEnd w:id="22"/>
      <w:bookmarkEnd w:id="23"/>
      <w:r>
        <w:rPr>
          <w:rFonts w:hint="eastAsia" w:cs="宋体"/>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投标人需登录</w:t>
      </w:r>
      <w:r>
        <w:rPr>
          <w:rFonts w:hint="eastAsia" w:ascii="宋体" w:hAnsi="宋体" w:cs="宋体"/>
          <w:b/>
          <w:color w:val="auto"/>
          <w:kern w:val="0"/>
          <w:sz w:val="24"/>
          <w:highlight w:val="none"/>
        </w:rPr>
        <w:t>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r>
        <w:rPr>
          <w:rFonts w:hint="eastAsia" w:ascii="宋体" w:hAnsi="宋体" w:cs="宋体"/>
          <w:color w:val="auto"/>
          <w:sz w:val="24"/>
          <w:highlight w:val="none"/>
        </w:rPr>
        <w:t>进行注册后报名。</w:t>
      </w:r>
    </w:p>
    <w:p>
      <w:pPr>
        <w:snapToGrid w:val="0"/>
        <w:spacing w:line="360" w:lineRule="auto"/>
        <w:ind w:firstLine="482" w:firstLineChars="200"/>
        <w:rPr>
          <w:rFonts w:ascii="宋体" w:hAnsi="宋体" w:cs="宋体"/>
          <w:color w:val="auto"/>
          <w:sz w:val="24"/>
          <w:szCs w:val="20"/>
          <w:highlight w:val="none"/>
        </w:rPr>
      </w:pPr>
      <w:r>
        <w:rPr>
          <w:rFonts w:hint="eastAsia" w:ascii="宋体" w:hAnsi="宋体" w:cs="宋体"/>
          <w:b/>
          <w:bCs/>
          <w:color w:val="auto"/>
          <w:sz w:val="24"/>
          <w:highlight w:val="none"/>
        </w:rPr>
        <w:t>七、投标保证金</w:t>
      </w:r>
      <w:r>
        <w:rPr>
          <w:rFonts w:hint="eastAsia" w:ascii="宋体" w:hAnsi="宋体" w:cs="宋体"/>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1.投标保证金金额：</w:t>
      </w:r>
      <w:r>
        <w:rPr>
          <w:rFonts w:hint="eastAsia" w:ascii="宋体" w:hAnsi="宋体" w:cs="宋体"/>
          <w:bCs/>
          <w:color w:val="auto"/>
          <w:kern w:val="0"/>
          <w:sz w:val="24"/>
          <w:highlight w:val="none"/>
          <w:u w:val="single"/>
        </w:rPr>
        <w:t xml:space="preserve"> 10000 </w:t>
      </w:r>
      <w:r>
        <w:rPr>
          <w:rFonts w:hint="eastAsia" w:ascii="宋体" w:hAnsi="宋体" w:cs="宋体"/>
          <w:bCs/>
          <w:color w:val="auto"/>
          <w:kern w:val="0"/>
          <w:sz w:val="24"/>
          <w:highlight w:val="none"/>
        </w:rPr>
        <w:t>元。</w:t>
      </w:r>
    </w:p>
    <w:p>
      <w:pPr>
        <w:pStyle w:val="27"/>
        <w:ind w:left="0" w:leftChars="0" w:firstLine="480"/>
        <w:jc w:val="left"/>
        <w:rPr>
          <w:rFonts w:ascii="宋体" w:hAnsi="宋体" w:cs="宋体"/>
          <w:bCs/>
          <w:color w:val="auto"/>
          <w:kern w:val="0"/>
          <w:sz w:val="24"/>
          <w:highlight w:val="none"/>
        </w:rPr>
      </w:pPr>
      <w:r>
        <w:rPr>
          <w:rFonts w:hint="eastAsia" w:ascii="宋体" w:hAnsi="宋体" w:cs="宋体"/>
          <w:bCs/>
          <w:color w:val="auto"/>
          <w:kern w:val="0"/>
          <w:sz w:val="24"/>
          <w:highlight w:val="none"/>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招标人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u w:val="single"/>
        </w:rPr>
      </w:pPr>
      <w:r>
        <w:rPr>
          <w:rFonts w:hint="eastAsia" w:ascii="宋体" w:hAnsi="宋体" w:cs="宋体"/>
          <w:bCs/>
          <w:color w:val="auto"/>
          <w:kern w:val="0"/>
          <w:sz w:val="24"/>
          <w:highlight w:val="none"/>
        </w:rPr>
        <w:t>①工程保函的受益人：</w:t>
      </w:r>
      <w:r>
        <w:rPr>
          <w:rFonts w:ascii="宋体" w:hAnsi="宋体" w:cs="宋体"/>
          <w:bCs/>
          <w:color w:val="auto"/>
          <w:kern w:val="0"/>
          <w:sz w:val="24"/>
          <w:highlight w:val="none"/>
        </w:rPr>
        <w:t>__</w:t>
      </w:r>
      <w:r>
        <w:rPr>
          <w:rFonts w:hint="eastAsia" w:ascii="宋体" w:hAnsi="宋体" w:cs="宋体"/>
          <w:bCs/>
          <w:color w:val="auto"/>
          <w:kern w:val="0"/>
          <w:sz w:val="24"/>
          <w:highlight w:val="none"/>
        </w:rPr>
        <w:t>台州东茂观光农业开发有限公司</w:t>
      </w:r>
      <w:r>
        <w:rPr>
          <w:rFonts w:ascii="宋体" w:hAnsi="宋体" w:cs="宋体"/>
          <w:bCs/>
          <w:color w:val="auto"/>
          <w:kern w:val="0"/>
          <w:sz w:val="24"/>
          <w:highlight w:val="none"/>
        </w:rPr>
        <w:t>__</w:t>
      </w:r>
      <w:r>
        <w:rPr>
          <w:rFonts w:hint="eastAsia" w:ascii="宋体" w:hAnsi="宋体" w:cs="宋体"/>
          <w:bCs/>
          <w:color w:val="auto"/>
          <w:kern w:val="0"/>
          <w:sz w:val="24"/>
          <w:highlight w:val="none"/>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u w:val="single"/>
        </w:rPr>
      </w:pPr>
      <w:r>
        <w:rPr>
          <w:rFonts w:hint="eastAsia" w:ascii="宋体" w:hAnsi="宋体" w:cs="宋体"/>
          <w:bCs/>
          <w:color w:val="auto"/>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highlight w:val="none"/>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（1）若是投标人的法定代表人递交工程保函的，应持法定代表人身份证明原件（姓名须与全国建设市场监管与诚信信息发布平台查询的相一致），否则工程保函不予签收。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（2）若是投标人委托代理人递交工程保函的，应持针对本工程的法定代表人授权委托书原件（投标文件格式十三）及身份证原件，否则工程保函不予签收。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（3）递交工程保函时所要求提供的法定代表人授权委托书或法定代表人身份证明中的人员须与投标文件组成中提供的人员一致，若提供的不一致则以无效标处理。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提交地点：</w:t>
      </w:r>
      <w:r>
        <w:rPr>
          <w:rFonts w:hint="eastAsia" w:ascii="宋体" w:hAnsi="宋体" w:cs="宋体"/>
          <w:bCs/>
          <w:color w:val="auto"/>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rPr>
        <w:t>提交时间：</w:t>
      </w:r>
      <w:r>
        <w:rPr>
          <w:rFonts w:hint="eastAsia" w:ascii="宋体" w:hAnsi="宋体" w:cs="宋体"/>
          <w:bCs/>
          <w:color w:val="auto"/>
          <w:kern w:val="0"/>
          <w:sz w:val="24"/>
          <w:highlight w:val="none"/>
          <w:u w:val="single"/>
        </w:rPr>
        <w:t>2024</w:t>
      </w:r>
      <w:r>
        <w:rPr>
          <w:rFonts w:ascii="宋体" w:hAnsi="宋体" w:cs="宋体"/>
          <w:bCs/>
          <w:color w:val="auto"/>
          <w:kern w:val="0"/>
          <w:sz w:val="24"/>
          <w:highlight w:val="none"/>
          <w:u w:val="single"/>
        </w:rPr>
        <w:t>年</w:t>
      </w:r>
      <w:r>
        <w:rPr>
          <w:rFonts w:hint="eastAsia" w:ascii="宋体" w:hAnsi="宋体" w:cs="宋体"/>
          <w:bCs/>
          <w:color w:val="auto"/>
          <w:kern w:val="0"/>
          <w:sz w:val="24"/>
          <w:highlight w:val="none"/>
          <w:u w:val="single"/>
        </w:rPr>
        <w:t>04</w:t>
      </w:r>
      <w:r>
        <w:rPr>
          <w:rFonts w:ascii="宋体" w:hAnsi="宋体" w:cs="宋体"/>
          <w:bCs/>
          <w:color w:val="auto"/>
          <w:kern w:val="0"/>
          <w:sz w:val="24"/>
          <w:highlight w:val="none"/>
          <w:u w:val="single"/>
        </w:rPr>
        <w:t>月</w:t>
      </w:r>
      <w:r>
        <w:rPr>
          <w:rFonts w:hint="eastAsia" w:ascii="宋体" w:hAnsi="宋体" w:cs="宋体"/>
          <w:bCs/>
          <w:color w:val="auto"/>
          <w:kern w:val="0"/>
          <w:sz w:val="24"/>
          <w:highlight w:val="none"/>
          <w:u w:val="single"/>
          <w:lang w:val="en-US" w:eastAsia="zh-CN"/>
        </w:rPr>
        <w:t>29</w:t>
      </w:r>
      <w:r>
        <w:rPr>
          <w:rFonts w:ascii="宋体" w:hAnsi="宋体" w:cs="宋体"/>
          <w:bCs/>
          <w:color w:val="auto"/>
          <w:kern w:val="0"/>
          <w:sz w:val="24"/>
          <w:highlight w:val="none"/>
          <w:u w:val="single"/>
        </w:rPr>
        <w:t>日</w:t>
      </w:r>
      <w:r>
        <w:rPr>
          <w:rFonts w:hint="eastAsia" w:ascii="宋体" w:hAnsi="宋体" w:cs="宋体"/>
          <w:bCs/>
          <w:color w:val="auto"/>
          <w:kern w:val="0"/>
          <w:sz w:val="24"/>
          <w:highlight w:val="none"/>
          <w:u w:val="single"/>
          <w:lang w:val="en-US" w:eastAsia="zh-CN"/>
        </w:rPr>
        <w:t>13</w:t>
      </w:r>
      <w:r>
        <w:rPr>
          <w:rFonts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3</w:t>
      </w:r>
      <w:r>
        <w:rPr>
          <w:rFonts w:hint="eastAsia" w:ascii="宋体" w:hAnsi="宋体" w:cs="宋体"/>
          <w:bCs/>
          <w:color w:val="auto"/>
          <w:kern w:val="0"/>
          <w:sz w:val="24"/>
          <w:highlight w:val="none"/>
          <w:u w:val="single"/>
        </w:rPr>
        <w:t>0-</w:t>
      </w:r>
      <w:r>
        <w:rPr>
          <w:rFonts w:hint="eastAsia" w:ascii="宋体" w:hAnsi="宋体" w:cs="宋体"/>
          <w:bCs/>
          <w:color w:val="auto"/>
          <w:kern w:val="0"/>
          <w:sz w:val="24"/>
          <w:highlight w:val="none"/>
          <w:u w:val="single"/>
          <w:lang w:val="en-US" w:eastAsia="zh-CN"/>
        </w:rPr>
        <w:t>14</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00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接收人：</w:t>
      </w:r>
      <w:r>
        <w:rPr>
          <w:rFonts w:hint="eastAsia" w:ascii="宋体" w:hAnsi="宋体" w:cs="宋体"/>
          <w:bCs/>
          <w:color w:val="auto"/>
          <w:kern w:val="0"/>
          <w:sz w:val="24"/>
          <w:highlight w:val="none"/>
          <w:u w:val="single"/>
        </w:rPr>
        <w:t>台州市建航工程管理有限公司</w:t>
      </w:r>
      <w:r>
        <w:rPr>
          <w:rFonts w:hint="eastAsia" w:ascii="宋体" w:hAnsi="宋体" w:cs="宋体"/>
          <w:bCs/>
          <w:color w:val="auto"/>
          <w:kern w:val="0"/>
          <w:sz w:val="24"/>
          <w:highlight w:val="none"/>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接收人联系方式：</w:t>
      </w:r>
      <w:r>
        <w:rPr>
          <w:rFonts w:hint="eastAsia" w:ascii="宋体" w:hAnsi="宋体" w:cs="宋体"/>
          <w:bCs/>
          <w:color w:val="auto"/>
          <w:kern w:val="0"/>
          <w:sz w:val="24"/>
          <w:highlight w:val="none"/>
          <w:u w:val="single"/>
        </w:rPr>
        <w:t>13750630032</w:t>
      </w:r>
      <w:r>
        <w:rPr>
          <w:rFonts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Cs/>
          <w:color w:val="auto"/>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3、注意事项</w:t>
      </w:r>
    </w:p>
    <w:p>
      <w:pPr>
        <w:pStyle w:val="3"/>
        <w:ind w:firstLine="480" w:firstLineChars="200"/>
        <w:rPr>
          <w:rFonts w:cs="宋体"/>
          <w:b w:val="0"/>
          <w:bCs/>
          <w:color w:val="auto"/>
          <w:kern w:val="0"/>
          <w:sz w:val="24"/>
          <w:szCs w:val="24"/>
          <w:highlight w:val="none"/>
        </w:rPr>
      </w:pPr>
      <w:r>
        <w:rPr>
          <w:rFonts w:hint="eastAsia" w:cs="宋体"/>
          <w:b w:val="0"/>
          <w:bCs/>
          <w:color w:val="auto"/>
          <w:kern w:val="0"/>
          <w:sz w:val="24"/>
          <w:szCs w:val="24"/>
          <w:highlight w:val="none"/>
        </w:rPr>
        <w:t>① 若招标文件允许联合体投标且投标人以联合体身份投标的，由联合体牵头人提交投标保证金；</w:t>
      </w:r>
    </w:p>
    <w:p>
      <w:pPr>
        <w:pStyle w:val="3"/>
        <w:ind w:firstLine="480" w:firstLineChars="200"/>
        <w:rPr>
          <w:rFonts w:cs="宋体"/>
          <w:b w:val="0"/>
          <w:bCs/>
          <w:color w:val="auto"/>
          <w:kern w:val="0"/>
          <w:sz w:val="24"/>
          <w:szCs w:val="24"/>
          <w:highlight w:val="none"/>
        </w:rPr>
      </w:pPr>
      <w:r>
        <w:rPr>
          <w:rFonts w:hint="eastAsia" w:cs="宋体"/>
          <w:b w:val="0"/>
          <w:bCs/>
          <w:color w:val="auto"/>
          <w:kern w:val="0"/>
          <w:sz w:val="24"/>
          <w:szCs w:val="24"/>
          <w:highlight w:val="none"/>
        </w:rPr>
        <w:t>② 现金转账账号根据不同工程（标段）由系统随机生成，此账号只在本工程（标段）中使用有效，请注意核对。账号漏填、混填或错填均视为未按时缴纳保证金。</w:t>
      </w:r>
    </w:p>
    <w:p>
      <w:pPr>
        <w:pStyle w:val="3"/>
        <w:ind w:firstLine="482" w:firstLineChars="200"/>
        <w:rPr>
          <w:rFonts w:cs="宋体"/>
          <w:color w:val="auto"/>
          <w:kern w:val="0"/>
          <w:sz w:val="24"/>
          <w:szCs w:val="24"/>
          <w:highlight w:val="none"/>
        </w:rPr>
      </w:pPr>
      <w:r>
        <w:rPr>
          <w:rFonts w:hint="eastAsia" w:cs="宋体"/>
          <w:color w:val="auto"/>
          <w:kern w:val="0"/>
          <w:sz w:val="24"/>
          <w:szCs w:val="24"/>
          <w:highlight w:val="none"/>
        </w:rPr>
        <w:t>③ 以现金转账形式提交的投标保证金应当从投标人基本账户转出，购买工程保函的费用应当从投标人基本账户支付；</w:t>
      </w:r>
    </w:p>
    <w:p>
      <w:pPr>
        <w:pStyle w:val="3"/>
        <w:ind w:firstLine="482" w:firstLineChars="200"/>
        <w:rPr>
          <w:rFonts w:cs="宋体"/>
          <w:color w:val="auto"/>
          <w:kern w:val="0"/>
          <w:sz w:val="24"/>
          <w:szCs w:val="24"/>
          <w:highlight w:val="none"/>
        </w:rPr>
      </w:pPr>
      <w:r>
        <w:rPr>
          <w:rFonts w:hint="eastAsia" w:cs="宋体"/>
          <w:color w:val="auto"/>
          <w:kern w:val="0"/>
          <w:sz w:val="24"/>
          <w:szCs w:val="24"/>
          <w:highlight w:val="none"/>
        </w:rPr>
        <w:t>④ 电子保函或现金转账的缴款凭证，其扫描件（加盖公章）放进投标文件中。</w:t>
      </w:r>
    </w:p>
    <w:p>
      <w:pPr>
        <w:pStyle w:val="3"/>
        <w:ind w:firstLine="480" w:firstLineChars="200"/>
        <w:rPr>
          <w:rFonts w:cs="宋体"/>
          <w:b w:val="0"/>
          <w:bCs/>
          <w:color w:val="auto"/>
          <w:kern w:val="0"/>
          <w:sz w:val="24"/>
          <w:szCs w:val="24"/>
          <w:highlight w:val="none"/>
        </w:rPr>
      </w:pPr>
      <w:r>
        <w:rPr>
          <w:rFonts w:hint="eastAsia" w:cs="宋体"/>
          <w:b w:val="0"/>
          <w:bCs/>
          <w:color w:val="auto"/>
          <w:kern w:val="0"/>
          <w:sz w:val="24"/>
          <w:szCs w:val="24"/>
          <w:highlight w:val="none"/>
        </w:rPr>
        <w:t>⑤ 若有疑问，请咨询技术服务热线：0576-88865501</w:t>
      </w:r>
    </w:p>
    <w:p>
      <w:pPr>
        <w:pStyle w:val="3"/>
        <w:ind w:firstLine="480" w:firstLineChars="200"/>
        <w:rPr>
          <w:rFonts w:cs="宋体"/>
          <w:b w:val="0"/>
          <w:bCs/>
          <w:color w:val="auto"/>
          <w:kern w:val="0"/>
          <w:sz w:val="24"/>
          <w:szCs w:val="24"/>
          <w:highlight w:val="none"/>
        </w:rPr>
      </w:pPr>
      <w:r>
        <w:rPr>
          <w:rFonts w:hint="eastAsia" w:cs="宋体"/>
          <w:b w:val="0"/>
          <w:bCs/>
          <w:color w:val="auto"/>
          <w:kern w:val="0"/>
          <w:sz w:val="24"/>
          <w:szCs w:val="24"/>
          <w:highlight w:val="none"/>
        </w:rPr>
        <w:t>⑥ 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auto"/>
          <w:sz w:val="24"/>
          <w:highlight w:val="none"/>
        </w:rPr>
      </w:pPr>
      <w:r>
        <w:rPr>
          <w:rFonts w:hint="eastAsia" w:ascii="宋体" w:hAnsi="宋体" w:cs="宋体"/>
          <w:b/>
          <w:color w:val="auto"/>
          <w:kern w:val="0"/>
          <w:sz w:val="24"/>
          <w:highlight w:val="none"/>
        </w:rPr>
        <w:t>4、</w:t>
      </w:r>
      <w:r>
        <w:rPr>
          <w:rFonts w:hint="eastAsia" w:ascii="宋体" w:hAnsi="宋体" w:cs="宋体"/>
          <w:bCs/>
          <w:color w:val="auto"/>
          <w:kern w:val="0"/>
          <w:sz w:val="24"/>
          <w:highlight w:val="none"/>
        </w:rPr>
        <w:t>购买工程电子保函截止时间：</w:t>
      </w:r>
      <w:r>
        <w:rPr>
          <w:rFonts w:hint="eastAsia" w:ascii="宋体" w:hAnsi="宋体" w:cs="宋体"/>
          <w:b/>
          <w:bCs/>
          <w:color w:val="auto"/>
          <w:kern w:val="0"/>
          <w:sz w:val="24"/>
          <w:highlight w:val="none"/>
          <w:u w:val="single"/>
        </w:rPr>
        <w:t xml:space="preserve"> 2024 </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u w:val="single"/>
        </w:rPr>
        <w:t xml:space="preserve">  04   </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28</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下午16点前</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bookmarkStart w:id="24" w:name="_Toc28359010"/>
      <w:bookmarkStart w:id="25" w:name="_Toc28359087"/>
      <w:r>
        <w:rPr>
          <w:rFonts w:hint="eastAsia" w:ascii="宋体" w:hAnsi="宋体" w:cs="宋体"/>
          <w:b/>
          <w:color w:val="auto"/>
          <w:kern w:val="0"/>
          <w:sz w:val="24"/>
          <w:highlight w:val="none"/>
        </w:rPr>
        <w:t>八、公告期限 </w:t>
      </w:r>
    </w:p>
    <w:p>
      <w:pPr>
        <w:spacing w:line="360" w:lineRule="auto"/>
        <w:ind w:firstLine="480" w:firstLineChars="200"/>
        <w:rPr>
          <w:color w:val="auto"/>
          <w:highlight w:val="none"/>
        </w:rPr>
      </w:pPr>
      <w:r>
        <w:rPr>
          <w:rFonts w:hint="eastAsia" w:ascii="宋体" w:hAnsi="宋体" w:cs="宋体"/>
          <w:color w:val="auto"/>
          <w:sz w:val="24"/>
          <w:highlight w:val="none"/>
        </w:rPr>
        <w:t>自本公告发布之日起5个工作日。</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九、相关注意事项：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文件公告期限届满之日（公告期限届满后获取采购文件的，以公告期限届满之日为准）起3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人监督管理部门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2、本项目所有公告发布网站：“台州湾新区小额工程电子交易平台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（http://www.tzwztb.com）及“浙江省政府采购网”（http:// www.zjzfcg.gov.cn）。</w:t>
      </w:r>
    </w:p>
    <w:p>
      <w:pPr>
        <w:snapToGrid w:val="0"/>
        <w:spacing w:line="360" w:lineRule="auto"/>
        <w:ind w:firstLine="241" w:firstLineChars="100"/>
        <w:rPr>
          <w:rFonts w:ascii="宋体" w:hAnsi="宋体" w:cs="宋体"/>
          <w:b/>
          <w:color w:val="auto"/>
          <w:sz w:val="24"/>
          <w:szCs w:val="20"/>
          <w:highlight w:val="none"/>
        </w:rPr>
      </w:pPr>
      <w:r>
        <w:rPr>
          <w:rFonts w:hint="eastAsia" w:ascii="宋体" w:hAnsi="宋体" w:cs="宋体"/>
          <w:b/>
          <w:color w:val="auto"/>
          <w:sz w:val="24"/>
          <w:highlight w:val="none"/>
        </w:rPr>
        <w:t>十、联系方式：</w:t>
      </w:r>
    </w:p>
    <w:p>
      <w:pPr>
        <w:spacing w:line="360" w:lineRule="auto"/>
        <w:ind w:firstLine="482" w:firstLineChars="200"/>
        <w:rPr>
          <w:rFonts w:ascii="宋体" w:cs="宋体"/>
          <w:b/>
          <w:bCs/>
          <w:color w:val="auto"/>
          <w:sz w:val="24"/>
          <w:highlight w:val="none"/>
        </w:rPr>
      </w:pPr>
      <w:r>
        <w:rPr>
          <w:rFonts w:hint="eastAsia" w:ascii="宋体" w:cs="宋体"/>
          <w:b/>
          <w:bCs/>
          <w:color w:val="auto"/>
          <w:sz w:val="24"/>
          <w:highlight w:val="none"/>
        </w:rPr>
        <w:t>（一）采购代理机构</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名    称：台州市建航工程管理有限公司</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联 系 人：小施</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联系电话：0576-88810077</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 xml:space="preserve">地    址：浙江省台州市经济开发区天和路95号天和大厦B幢1104 </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 xml:space="preserve">（二）采购人 </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名    称：台州东茂观光农业开发有限公司</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 xml:space="preserve">联 系 人：李先生      </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 xml:space="preserve">联系电话：13616685015 </w:t>
      </w:r>
    </w:p>
    <w:p>
      <w:pPr>
        <w:spacing w:line="360" w:lineRule="auto"/>
        <w:ind w:firstLine="480" w:firstLineChars="200"/>
        <w:rPr>
          <w:rFonts w:ascii="宋体" w:cs="Arial"/>
          <w:color w:val="auto"/>
          <w:sz w:val="24"/>
          <w:highlight w:val="none"/>
        </w:rPr>
      </w:pPr>
      <w:r>
        <w:rPr>
          <w:rFonts w:hint="eastAsia" w:ascii="宋体" w:cs="Arial"/>
          <w:color w:val="auto"/>
          <w:sz w:val="24"/>
          <w:highlight w:val="none"/>
        </w:rPr>
        <w:t>地   址：台州市甲南大道东段9号</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（三）同级采购监管机构</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台州湾新区行政审批与投资服务局</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台州市甲南大道东段9号</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徐先生</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0576-88538849</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（四）台州湾新区小额工程电子交易平台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蔡先生、王女士</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台州市建航工程管理有限公司</w:t>
      </w:r>
      <w:r>
        <w:rPr>
          <w:rFonts w:hint="eastAsia" w:ascii="宋体" w:hAnsi="宋体" w:cs="宋体"/>
          <w:color w:val="auto"/>
          <w:kern w:val="0"/>
          <w:sz w:val="24"/>
          <w:highlight w:val="none"/>
        </w:rPr>
        <w:t xml:space="preserve">  </w:t>
      </w:r>
    </w:p>
    <w:p>
      <w:pPr>
        <w:widowControl/>
        <w:spacing w:line="360" w:lineRule="auto"/>
        <w:ind w:firstLine="200"/>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2024年04月</w:t>
      </w:r>
    </w:p>
    <w:p>
      <w:pPr>
        <w:pStyle w:val="3"/>
        <w:rPr>
          <w:color w:val="auto"/>
          <w:highlight w:val="none"/>
        </w:rPr>
      </w:pPr>
    </w:p>
    <w:bookmarkEnd w:id="24"/>
    <w:bookmarkEnd w:id="25"/>
    <w:p>
      <w:pPr>
        <w:numPr>
          <w:ilvl w:val="0"/>
          <w:numId w:val="7"/>
        </w:numPr>
        <w:spacing w:line="360" w:lineRule="auto"/>
        <w:jc w:val="center"/>
        <w:rPr>
          <w:rFonts w:ascii="宋体" w:hAnsi="宋体"/>
          <w:b/>
          <w:color w:val="auto"/>
          <w:sz w:val="36"/>
          <w:szCs w:val="36"/>
          <w:highlight w:val="none"/>
        </w:rPr>
      </w:pPr>
      <w:bookmarkStart w:id="26" w:name="_Toc25017_WPSOffice_Level1"/>
      <w:r>
        <w:rPr>
          <w:rFonts w:hint="eastAsia" w:ascii="宋体" w:hAnsi="宋体"/>
          <w:b/>
          <w:color w:val="auto"/>
          <w:sz w:val="36"/>
          <w:szCs w:val="36"/>
          <w:highlight w:val="none"/>
        </w:rPr>
        <w:t>投标人须知</w:t>
      </w:r>
      <w:bookmarkEnd w:id="26"/>
    </w:p>
    <w:p>
      <w:pPr>
        <w:numPr>
          <w:ilvl w:val="0"/>
          <w:numId w:val="8"/>
        </w:numPr>
        <w:ind w:firstLine="482" w:firstLineChars="200"/>
        <w:rPr>
          <w:color w:val="auto"/>
          <w:highlight w:val="none"/>
        </w:rPr>
      </w:pPr>
      <w:r>
        <w:rPr>
          <w:rFonts w:hint="eastAsia" w:ascii="宋体" w:hAnsi="宋体"/>
          <w:b/>
          <w:color w:val="auto"/>
          <w:sz w:val="24"/>
          <w:highlight w:val="none"/>
        </w:rPr>
        <w:t>前附表</w:t>
      </w:r>
    </w:p>
    <w:tbl>
      <w:tblPr>
        <w:tblStyle w:val="28"/>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auto"/>
                <w:highlight w:val="none"/>
              </w:rPr>
            </w:pPr>
            <w:r>
              <w:rPr>
                <w:rFonts w:hint="eastAsia" w:ascii="宋体" w:hAnsi="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auto"/>
                <w:highlight w:val="none"/>
              </w:rPr>
            </w:pPr>
            <w:r>
              <w:rPr>
                <w:rFonts w:hint="eastAsia" w:ascii="宋体" w:hAnsi="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auto"/>
                <w:highlight w:val="none"/>
              </w:rPr>
            </w:pPr>
            <w:r>
              <w:rPr>
                <w:rFonts w:hint="eastAsia" w:ascii="宋体" w:hAnsi="宋体" w:cs="宋体"/>
                <w:color w:val="auto"/>
                <w:highlight w:val="none"/>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2、电子投标文件上传步骤：</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 台州湾新区小额工程电子交易平台（网址：http://www.tzwztb.com/）；</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 投标人应提前办好ca锁（办理网址：http://www.tseal.cn/tcloud/common.xhtml?projId=295），绑定平台账户。</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投标与开标</w:t>
            </w:r>
          </w:p>
          <w:p>
            <w:pPr>
              <w:spacing w:line="300" w:lineRule="auto"/>
              <w:jc w:val="center"/>
              <w:rPr>
                <w:rFonts w:ascii="宋体" w:hAnsi="宋体" w:cs="宋体"/>
                <w:color w:val="auto"/>
                <w:highlight w:val="none"/>
              </w:rPr>
            </w:pPr>
            <w:r>
              <w:rPr>
                <w:rFonts w:hint="eastAsia" w:ascii="宋体" w:hAnsi="宋体" w:cs="宋体"/>
                <w:color w:val="auto"/>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1.本项目实行电子投标，投标人自行承担投标一切费用。</w:t>
            </w:r>
          </w:p>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auto"/>
                <w:highlight w:val="none"/>
              </w:rPr>
            </w:pPr>
            <w:r>
              <w:rPr>
                <w:rFonts w:hint="eastAsia" w:ascii="宋体" w:hAnsi="宋体" w:cs="宋体"/>
                <w:color w:val="auto"/>
                <w:highlight w:val="none"/>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中标人须自合同签订之日起10日内缴纳本项目履约保证金</w:t>
            </w:r>
            <w:r>
              <w:rPr>
                <w:rFonts w:hint="eastAsia" w:ascii="宋体" w:hAnsi="宋体" w:cs="宋体"/>
                <w:color w:val="auto"/>
                <w:highlight w:val="none"/>
                <w:lang w:val="en-US" w:eastAsia="zh-CN"/>
              </w:rPr>
              <w:t>10000</w:t>
            </w:r>
            <w:r>
              <w:rPr>
                <w:rFonts w:hint="eastAsia" w:ascii="宋体" w:hAnsi="宋体" w:cs="宋体"/>
                <w:color w:val="auto"/>
                <w:highlight w:val="none"/>
              </w:rPr>
              <w:t>元。</w:t>
            </w:r>
          </w:p>
        </w:tc>
      </w:tr>
    </w:tbl>
    <w:p>
      <w:pPr>
        <w:pStyle w:val="13"/>
        <w:snapToGrid w:val="0"/>
        <w:spacing w:line="360" w:lineRule="auto"/>
        <w:rPr>
          <w:rFonts w:hAnsi="宋体"/>
          <w:b/>
          <w:color w:val="auto"/>
          <w:sz w:val="24"/>
          <w:highlight w:val="none"/>
        </w:rPr>
        <w:sectPr>
          <w:headerReference r:id="rId7" w:type="default"/>
          <w:footerReference r:id="rId8" w:type="default"/>
          <w:pgSz w:w="11906" w:h="16838"/>
          <w:pgMar w:top="1247" w:right="1361" w:bottom="1247" w:left="1361" w:header="851" w:footer="851" w:gutter="0"/>
          <w:pgNumType w:fmt="numberInDash"/>
          <w:cols w:space="720" w:num="1"/>
          <w:docGrid w:type="lines" w:linePitch="312" w:charSpace="0"/>
        </w:sectPr>
      </w:pPr>
    </w:p>
    <w:p>
      <w:pPr>
        <w:pStyle w:val="13"/>
        <w:snapToGrid w:val="0"/>
        <w:spacing w:line="360" w:lineRule="auto"/>
        <w:ind w:firstLine="482" w:firstLineChars="200"/>
        <w:rPr>
          <w:rFonts w:hAnsi="宋体"/>
          <w:b/>
          <w:color w:val="auto"/>
          <w:sz w:val="24"/>
          <w:highlight w:val="none"/>
        </w:rPr>
      </w:pPr>
      <w:r>
        <w:rPr>
          <w:rFonts w:hint="eastAsia" w:hAnsi="宋体"/>
          <w:b/>
          <w:color w:val="auto"/>
          <w:sz w:val="24"/>
          <w:highlight w:val="none"/>
        </w:rPr>
        <w:t>二、说 明</w:t>
      </w:r>
    </w:p>
    <w:p>
      <w:pPr>
        <w:pStyle w:val="14"/>
        <w:numPr>
          <w:ilvl w:val="0"/>
          <w:numId w:val="9"/>
        </w:numPr>
        <w:spacing w:line="360" w:lineRule="auto"/>
        <w:ind w:left="0" w:leftChars="0"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总则</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宋体" w:hAnsi="宋体"/>
          <w:color w:val="auto"/>
          <w:sz w:val="24"/>
          <w:highlight w:val="none"/>
        </w:rPr>
        <w:t>投标</w:t>
      </w:r>
      <w:r>
        <w:rPr>
          <w:rFonts w:hint="eastAsia" w:ascii="宋体" w:hAnsi="宋体"/>
          <w:color w:val="auto"/>
          <w:sz w:val="24"/>
          <w:highlight w:val="none"/>
        </w:rPr>
        <w:t>人</w:t>
      </w:r>
      <w:r>
        <w:rPr>
          <w:rFonts w:hint="eastAsia"/>
          <w:color w:val="auto"/>
          <w:sz w:val="24"/>
          <w:highlight w:val="none"/>
        </w:rPr>
        <w:t>承担。</w:t>
      </w:r>
    </w:p>
    <w:p>
      <w:pPr>
        <w:numPr>
          <w:ilvl w:val="0"/>
          <w:numId w:val="9"/>
        </w:num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适用范围</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bCs/>
          <w:color w:val="auto"/>
          <w:sz w:val="24"/>
          <w:highlight w:val="none"/>
        </w:rPr>
        <w:t>本次</w:t>
      </w:r>
      <w:r>
        <w:rPr>
          <w:rFonts w:hint="eastAsia" w:ascii="宋体" w:hAnsi="宋体"/>
          <w:color w:val="auto"/>
          <w:sz w:val="24"/>
          <w:highlight w:val="none"/>
        </w:rPr>
        <w:t>项目的招标、投标、评标、定标、验收、合同履约、付款等行为（法律、法规另有规定的，从其规定）。</w:t>
      </w:r>
    </w:p>
    <w:p>
      <w:pPr>
        <w:pStyle w:val="10"/>
        <w:spacing w:line="360" w:lineRule="auto"/>
        <w:ind w:firstLine="480" w:firstLineChars="200"/>
        <w:rPr>
          <w:color w:val="auto"/>
          <w:highlight w:val="none"/>
        </w:rPr>
      </w:pPr>
      <w:r>
        <w:rPr>
          <w:color w:val="auto"/>
          <w:highlight w:val="none"/>
        </w:rPr>
        <w:t>本招标文件仅适用于本次招标公告中所涉及的项目和内容。</w:t>
      </w:r>
    </w:p>
    <w:p>
      <w:pPr>
        <w:snapToGrid w:val="0"/>
        <w:spacing w:before="156" w:before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（三）当事人</w:t>
      </w:r>
    </w:p>
    <w:p>
      <w:pPr>
        <w:pStyle w:val="4"/>
        <w:keepNext w:val="0"/>
        <w:keepLines w:val="0"/>
        <w:tabs>
          <w:tab w:val="left" w:pos="0"/>
          <w:tab w:val="left" w:pos="851"/>
        </w:tabs>
        <w:snapToGrid w:val="0"/>
        <w:spacing w:before="0" w:after="0" w:line="360" w:lineRule="auto"/>
        <w:ind w:firstLine="480" w:firstLineChars="200"/>
        <w:rPr>
          <w:rFonts w:ascii="宋体" w:hAnsi="宋体"/>
          <w:bCs w:val="0"/>
          <w:color w:val="auto"/>
          <w:sz w:val="24"/>
          <w:szCs w:val="24"/>
          <w:highlight w:val="none"/>
        </w:rPr>
      </w:pPr>
      <w:r>
        <w:rPr>
          <w:rFonts w:hint="eastAsia" w:ascii="宋体" w:hAnsi="宋体"/>
          <w:color w:val="auto"/>
          <w:sz w:val="24"/>
          <w:szCs w:val="24"/>
          <w:highlight w:val="none"/>
        </w:rPr>
        <w:t>1.</w:t>
      </w:r>
      <w:r>
        <w:rPr>
          <w:rFonts w:hint="eastAsia"/>
          <w:bCs w:val="0"/>
          <w:color w:val="auto"/>
          <w:sz w:val="24"/>
          <w:szCs w:val="24"/>
          <w:highlight w:val="none"/>
          <w:lang w:val="zh-CN"/>
        </w:rPr>
        <w:t>采购组织机构：</w:t>
      </w:r>
      <w:r>
        <w:rPr>
          <w:rFonts w:hint="eastAsia" w:ascii="宋体" w:hAnsi="宋体"/>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2.采购人：是指依法进行采购的国家机关、事业单位和团体组织；</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投标人</w:t>
      </w:r>
      <w:r>
        <w:rPr>
          <w:rFonts w:hint="eastAsia" w:ascii="宋体" w:hAnsi="宋体"/>
          <w:color w:val="auto"/>
          <w:sz w:val="24"/>
          <w:highlight w:val="none"/>
        </w:rPr>
        <w:t>：是</w:t>
      </w:r>
      <w:r>
        <w:rPr>
          <w:rFonts w:ascii="宋体" w:hAnsi="宋体"/>
          <w:color w:val="auto"/>
          <w:sz w:val="24"/>
          <w:highlight w:val="none"/>
        </w:rPr>
        <w:t>指</w:t>
      </w:r>
      <w:r>
        <w:rPr>
          <w:rFonts w:hint="eastAsia" w:ascii="宋体" w:hAnsi="宋体"/>
          <w:color w:val="auto"/>
          <w:sz w:val="24"/>
          <w:highlight w:val="none"/>
        </w:rPr>
        <w:t>响应招标、参加投标竞争的法人、其他组织或者自然人；</w:t>
      </w:r>
    </w:p>
    <w:p>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p>
    <w:p>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本项目不接受联合体投标。</w:t>
      </w:r>
    </w:p>
    <w:p>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1.投标文件以及投标人与</w:t>
      </w:r>
      <w:r>
        <w:rPr>
          <w:rFonts w:hint="eastAsia" w:ascii="宋体" w:hAnsi="宋体" w:cs="宋体"/>
          <w:color w:val="auto"/>
          <w:kern w:val="0"/>
          <w:sz w:val="24"/>
          <w:highlight w:val="none"/>
        </w:rPr>
        <w:t>台州市建航工程管理有限公司</w:t>
      </w:r>
      <w:r>
        <w:rPr>
          <w:rFonts w:hint="eastAsia" w:ascii="宋体" w:hAnsi="宋体"/>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2.所有计量均采用中国法定的计量单位。</w:t>
      </w:r>
    </w:p>
    <w:p>
      <w:pPr>
        <w:snapToGrid w:val="0"/>
        <w:spacing w:line="360" w:lineRule="auto"/>
        <w:ind w:firstLine="480" w:firstLineChars="200"/>
        <w:rPr>
          <w:color w:val="auto"/>
          <w:sz w:val="24"/>
          <w:highlight w:val="none"/>
        </w:rPr>
      </w:pPr>
      <w:r>
        <w:rPr>
          <w:rFonts w:hint="eastAsia" w:ascii="宋体" w:hAnsi="宋体"/>
          <w:color w:val="auto"/>
          <w:sz w:val="24"/>
          <w:highlight w:val="none"/>
        </w:rPr>
        <w:t>3.所有</w:t>
      </w:r>
      <w:r>
        <w:rPr>
          <w:color w:val="auto"/>
          <w:sz w:val="24"/>
          <w:highlight w:val="none"/>
        </w:rPr>
        <w:t>报价一律使用人民币，货币单位：元。</w:t>
      </w:r>
    </w:p>
    <w:p>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1.本项目不组织现场踏勘。</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2.投标人自行承担踏勘现场发生的责任、风险和自身费用。</w:t>
      </w:r>
    </w:p>
    <w:p>
      <w:pPr>
        <w:snapToGrid w:val="0"/>
        <w:spacing w:line="360" w:lineRule="auto"/>
        <w:ind w:firstLine="480" w:firstLineChars="200"/>
        <w:rPr>
          <w:color w:val="auto"/>
          <w:sz w:val="24"/>
          <w:highlight w:val="none"/>
        </w:rPr>
      </w:pPr>
      <w:r>
        <w:rPr>
          <w:rFonts w:hint="eastAsia" w:ascii="宋体" w:hAnsi="宋体"/>
          <w:color w:val="auto"/>
          <w:sz w:val="24"/>
          <w:highlight w:val="none"/>
        </w:rPr>
        <w:t>3.采购人</w:t>
      </w:r>
      <w:r>
        <w:rPr>
          <w:color w:val="auto"/>
          <w:sz w:val="24"/>
          <w:highlight w:val="none"/>
        </w:rPr>
        <w:t>在踏勘现场中介绍的资料和数据等，不构成对招标文件的修改或不作为投标人编制投标文件的依据。</w:t>
      </w:r>
    </w:p>
    <w:p>
      <w:pPr>
        <w:pStyle w:val="13"/>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（七）特别说明</w:t>
      </w:r>
    </w:p>
    <w:p>
      <w:pPr>
        <w:pStyle w:val="13"/>
        <w:snapToGrid w:val="0"/>
        <w:spacing w:line="360" w:lineRule="auto"/>
        <w:ind w:left="2" w:leftChars="1"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投标人投标所使用的资格、信誉、荣誉、业绩与企业认证必须为本法人所拥有</w:t>
      </w:r>
      <w:r>
        <w:rPr>
          <w:rFonts w:hint="eastAsia" w:hAnsi="宋体"/>
          <w:color w:val="auto"/>
          <w:sz w:val="24"/>
          <w:highlight w:val="none"/>
        </w:rPr>
        <w:t>且所提供的资料都是真实有效的</w:t>
      </w:r>
      <w:r>
        <w:rPr>
          <w:rFonts w:hAnsi="宋体"/>
          <w:color w:val="auto"/>
          <w:sz w:val="24"/>
          <w:highlight w:val="none"/>
        </w:rPr>
        <w:t>。投标人投标所使用的采购项目实施人员必须为本法人员工。</w:t>
      </w:r>
    </w:p>
    <w:p>
      <w:pPr>
        <w:pStyle w:val="38"/>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三、招标文件</w:t>
      </w:r>
    </w:p>
    <w:p>
      <w:pPr>
        <w:pStyle w:val="38"/>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（一）招标文件由招标文件目录所列内容组成。</w:t>
      </w:r>
    </w:p>
    <w:p>
      <w:pPr>
        <w:pStyle w:val="38"/>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（二）投标人在规定的时间内未对招标文件提出疑问、质疑或要求澄清的，将视其为无异议。</w:t>
      </w:r>
    </w:p>
    <w:p>
      <w:pPr>
        <w:pStyle w:val="38"/>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（三）对招标文件中描述有歧义或前后不一致的地方，评标委员会有权进行评判，但对同一条款的评判应适用于每个投标人。</w:t>
      </w:r>
    </w:p>
    <w:p>
      <w:pPr>
        <w:pStyle w:val="38"/>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pPr>
        <w:tabs>
          <w:tab w:val="left" w:pos="1418"/>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四、投标文件</w:t>
      </w:r>
    </w:p>
    <w:p>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（一）投标文件的编制</w:t>
      </w:r>
    </w:p>
    <w:p>
      <w:pPr>
        <w:pStyle w:val="5"/>
        <w:spacing w:line="360" w:lineRule="auto"/>
        <w:ind w:firstLine="480" w:firstLineChars="200"/>
        <w:rPr>
          <w:rFonts w:ascii="宋体" w:hAnsi="宋体"/>
          <w:bCs/>
          <w:color w:val="auto"/>
          <w:kern w:val="0"/>
          <w:sz w:val="24"/>
          <w:highlight w:val="none"/>
        </w:rPr>
      </w:pPr>
      <w:r>
        <w:rPr>
          <w:rFonts w:hint="eastAsia" w:ascii="宋体" w:hAnsi="宋体"/>
          <w:color w:val="auto"/>
          <w:kern w:val="0"/>
          <w:sz w:val="24"/>
          <w:highlight w:val="none"/>
        </w:rPr>
        <w:t>投标人获取招标文件后，按照采购组织机构的要求提供：资格标、技术标</w:t>
      </w:r>
      <w:r>
        <w:rPr>
          <w:rFonts w:hint="eastAsia" w:ascii="宋体" w:hAnsi="宋体"/>
          <w:color w:val="auto"/>
          <w:kern w:val="0"/>
          <w:sz w:val="24"/>
          <w:highlight w:val="none"/>
          <w:lang w:val="zh-CN"/>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宋体" w:hAnsi="宋体"/>
          <w:color w:val="auto"/>
          <w:kern w:val="0"/>
          <w:sz w:val="24"/>
          <w:highlight w:val="none"/>
        </w:rPr>
      </w:pPr>
      <w:r>
        <w:rPr>
          <w:rFonts w:hint="eastAsia" w:ascii="宋体" w:hAnsi="宋体" w:cs="宋体"/>
          <w:b/>
          <w:color w:val="auto"/>
          <w:sz w:val="24"/>
          <w:highlight w:val="none"/>
        </w:rPr>
        <w:t>▲</w:t>
      </w:r>
      <w:r>
        <w:rPr>
          <w:rFonts w:hint="eastAsia" w:ascii="宋体" w:hAnsi="宋体"/>
          <w:b/>
          <w:color w:val="auto"/>
          <w:sz w:val="24"/>
          <w:highlight w:val="none"/>
        </w:rPr>
        <w:t>1.资格标组成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（1）投标声明书（附件1）；</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（7）需要说明的其他资料。</w:t>
      </w:r>
    </w:p>
    <w:p>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2.技术标组成</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（1）投标人基本情况表；</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（2）技术需求响应表；</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（3）资信及商务需求响应表 ；</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（4）证书一览表；</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（5）同类业绩证明</w:t>
      </w:r>
      <w:r>
        <w:rPr>
          <w:rFonts w:hint="eastAsia" w:ascii="Calibri" w:hAnsi="Calibri" w:cs="Calibri"/>
          <w:color w:val="auto"/>
          <w:sz w:val="24"/>
          <w:highlight w:val="none"/>
        </w:rPr>
        <w:t>；</w:t>
      </w:r>
    </w:p>
    <w:p>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（6）报价清单；</w:t>
      </w:r>
    </w:p>
    <w:p>
      <w:pPr>
        <w:pStyle w:val="5"/>
        <w:spacing w:line="360" w:lineRule="auto"/>
        <w:ind w:left="420" w:firstLine="0"/>
        <w:rPr>
          <w:rFonts w:hint="eastAsia" w:ascii="宋体" w:hAnsi="宋体"/>
          <w:bCs/>
          <w:color w:val="auto"/>
          <w:sz w:val="24"/>
          <w:highlight w:val="none"/>
        </w:rPr>
      </w:pPr>
      <w:r>
        <w:rPr>
          <w:rFonts w:hint="eastAsia" w:ascii="宋体" w:hAnsi="宋体"/>
          <w:bCs/>
          <w:color w:val="auto"/>
          <w:sz w:val="24"/>
          <w:highlight w:val="none"/>
        </w:rPr>
        <w:t>（7）符合招标文件规定的其他证明文件及评分标准中涉及的其他材料。</w:t>
      </w:r>
    </w:p>
    <w:p>
      <w:pPr>
        <w:autoSpaceDE w:val="0"/>
        <w:autoSpaceDN w:val="0"/>
        <w:adjustRightInd w:val="0"/>
        <w:spacing w:line="360" w:lineRule="auto"/>
        <w:ind w:left="426" w:firstLine="65" w:firstLineChars="27"/>
        <w:rPr>
          <w:rFonts w:ascii="宋体" w:hAnsi="宋体" w:eastAsia="宋体"/>
          <w:b/>
          <w:color w:val="auto"/>
          <w:kern w:val="0"/>
          <w:sz w:val="24"/>
          <w:highlight w:val="none"/>
        </w:rPr>
      </w:pPr>
      <w:r>
        <w:rPr>
          <w:rFonts w:hint="eastAsia" w:ascii="宋体" w:hAnsi="宋体" w:eastAsia="宋体"/>
          <w:b/>
          <w:color w:val="auto"/>
          <w:kern w:val="0"/>
          <w:sz w:val="24"/>
          <w:highlight w:val="none"/>
        </w:rPr>
        <w:t>3、商务标组成</w:t>
      </w:r>
    </w:p>
    <w:p>
      <w:pPr>
        <w:autoSpaceDE w:val="0"/>
        <w:autoSpaceDN w:val="0"/>
        <w:adjustRightIn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（1）开标一览表；</w:t>
      </w:r>
    </w:p>
    <w:p>
      <w:pPr>
        <w:autoSpaceDE w:val="0"/>
        <w:autoSpaceDN w:val="0"/>
        <w:adjustRightInd w:val="0"/>
        <w:spacing w:line="360" w:lineRule="auto"/>
        <w:ind w:firstLine="480" w:firstLineChars="200"/>
        <w:rPr>
          <w:color w:val="auto"/>
          <w:highlight w:val="none"/>
        </w:rPr>
      </w:pPr>
      <w:r>
        <w:rPr>
          <w:rFonts w:hint="eastAsia" w:ascii="宋体" w:hAnsi="宋体" w:eastAsia="宋体"/>
          <w:color w:val="auto"/>
          <w:kern w:val="0"/>
          <w:sz w:val="24"/>
          <w:highlight w:val="none"/>
        </w:rPr>
        <w:t>（2）针对报价投标人认为其他需要说明的。</w:t>
      </w:r>
    </w:p>
    <w:p>
      <w:pPr>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（二）投标报价</w:t>
      </w:r>
    </w:p>
    <w:p>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1.投标人应按照招标需求内容、责任范围以及合同条款进行报价。并按“开标一览表”规定的格式报出总价。投标总价中不得包含招标文件要求以外的内容，否则，在评标时不予核减。</w:t>
      </w:r>
    </w:p>
    <w:p>
      <w:pPr>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2.投标报价是履行合同的最终价格，包括产品价格、运输费用（全覆盖运输）、保险费用、税费、装车费用、技术服务费、售后服务费、政策性文件规定及合同包含的所有风险、责任等所有费用。供应商须充分考虑实际服务内容和需求，针对自身实际情况，核算所需的成本及合理的利润，自行报价，结算时由供应商开具正式发票。总报价以人民币元计。</w:t>
      </w:r>
    </w:p>
    <w:p>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3.投标报价不得为选择性报价和附有条件的报价。</w:t>
      </w:r>
    </w:p>
    <w:p>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（三）投标文件的有效期</w:t>
      </w:r>
    </w:p>
    <w:p>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1.投标文件有效期为</w:t>
      </w:r>
      <w:r>
        <w:rPr>
          <w:rFonts w:hint="eastAsia" w:ascii="宋体" w:hAnsi="宋体" w:cs="宋体"/>
          <w:color w:val="auto"/>
          <w:sz w:val="24"/>
          <w:highlight w:val="none"/>
          <w:lang w:val="en-GB"/>
        </w:rPr>
        <w:t>投标截止日起90天。</w:t>
      </w:r>
    </w:p>
    <w:p>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s="宋体"/>
          <w:color w:val="auto"/>
          <w:sz w:val="24"/>
          <w:highlight w:val="none"/>
          <w:lang w:val="en-GB"/>
        </w:rPr>
        <w:t>在特殊情况下，采购人可与投标人协商延长投标文件的有效期。</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3.中标人的投标文件自开标之日起至合同履行完毕均应保持有效。</w:t>
      </w:r>
    </w:p>
    <w:p>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（四）投标文件的签署</w:t>
      </w:r>
    </w:p>
    <w:p>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1.投标文件需由法定代表人或经其正式授权的代表签字或盖章。授权代表须出具书面授权证明，其《法定代表人授权书》应附在投标文件中。</w:t>
      </w:r>
    </w:p>
    <w:p>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2.投标文件中所有的插字、涂改和增删，必须由法定代表人或经其正式授权的代表在旁边签字或盖章才有效。</w:t>
      </w:r>
    </w:p>
    <w:p>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3.投标文件中要求加盖公章处，可使用有效安全的电子签章替代。</w:t>
      </w:r>
    </w:p>
    <w:p>
      <w:pPr>
        <w:autoSpaceDE w:val="0"/>
        <w:autoSpaceDN w:val="0"/>
        <w:adjustRightIn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（五）投标文件的递交要求</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s="宋体"/>
          <w:color w:val="auto"/>
          <w:sz w:val="24"/>
          <w:highlight w:val="none"/>
        </w:rPr>
        <w:t>按照前附表要求提交，</w:t>
      </w:r>
      <w:r>
        <w:rPr>
          <w:rFonts w:hint="eastAsia" w:ascii="宋体" w:hAnsi="宋体"/>
          <w:color w:val="auto"/>
          <w:kern w:val="0"/>
          <w:sz w:val="24"/>
          <w:highlight w:val="none"/>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五、开标</w:t>
      </w:r>
    </w:p>
    <w:p>
      <w:pPr>
        <w:pStyle w:val="13"/>
        <w:snapToGrid w:val="0"/>
        <w:spacing w:line="360" w:lineRule="auto"/>
        <w:ind w:firstLine="413" w:firstLineChars="196"/>
        <w:rPr>
          <w:rFonts w:hAnsi="宋体"/>
          <w:b/>
          <w:bCs/>
          <w:color w:val="auto"/>
          <w:highlight w:val="none"/>
        </w:rPr>
      </w:pPr>
      <w:r>
        <w:rPr>
          <w:rFonts w:hAnsi="宋体"/>
          <w:b/>
          <w:bCs/>
          <w:color w:val="auto"/>
          <w:highlight w:val="none"/>
        </w:rPr>
        <w:t>（一）开标</w:t>
      </w:r>
    </w:p>
    <w:p>
      <w:pPr>
        <w:pStyle w:val="23"/>
        <w:widowControl w:val="0"/>
        <w:snapToGrid w:val="0"/>
        <w:spacing w:before="156" w:beforeLines="50" w:beforeAutospacing="0" w:after="0" w:afterAutospacing="0" w:line="360" w:lineRule="auto"/>
        <w:ind w:firstLine="480" w:firstLineChars="200"/>
        <w:jc w:val="both"/>
        <w:rPr>
          <w:rFonts w:hint="default"/>
          <w:bCs/>
          <w:color w:val="auto"/>
          <w:highlight w:val="none"/>
        </w:rPr>
      </w:pPr>
      <w:r>
        <w:rPr>
          <w:color w:val="auto"/>
          <w:szCs w:val="21"/>
          <w:highlight w:val="none"/>
        </w:rPr>
        <w:t>投标人代表一律不参加现场开标，通过在线直播参与监督开标过程。直播网络地址：</w:t>
      </w:r>
      <w:r>
        <w:rPr>
          <w:color w:val="auto"/>
          <w:highlight w:val="none"/>
        </w:rPr>
        <w:fldChar w:fldCharType="begin"/>
      </w:r>
      <w:r>
        <w:rPr>
          <w:color w:val="auto"/>
          <w:highlight w:val="none"/>
        </w:rPr>
        <w:instrText xml:space="preserve"> HYPERLINK "http://www.tzwztb.com/live/" </w:instrText>
      </w:r>
      <w:r>
        <w:rPr>
          <w:color w:val="auto"/>
          <w:highlight w:val="none"/>
        </w:rPr>
        <w:fldChar w:fldCharType="separate"/>
      </w:r>
      <w:r>
        <w:rPr>
          <w:rStyle w:val="31"/>
          <w:color w:val="auto"/>
          <w:highlight w:val="none"/>
        </w:rPr>
        <w:t>http://www.tzwztb.com/live/</w:t>
      </w:r>
      <w:r>
        <w:rPr>
          <w:rStyle w:val="31"/>
          <w:color w:val="auto"/>
          <w:highlight w:val="none"/>
        </w:rPr>
        <w:fldChar w:fldCharType="end"/>
      </w:r>
      <w:r>
        <w:rPr>
          <w:rFonts w:hint="default"/>
          <w:color w:val="auto"/>
          <w:highlight w:val="none"/>
        </w:rPr>
        <w:t xml:space="preserve"> </w:t>
      </w:r>
      <w:r>
        <w:rPr>
          <w:color w:val="auto"/>
          <w:highlight w:val="none"/>
        </w:rPr>
        <w:t>。</w:t>
      </w:r>
    </w:p>
    <w:p>
      <w:pPr>
        <w:pStyle w:val="13"/>
        <w:snapToGrid w:val="0"/>
        <w:spacing w:before="120" w:after="120" w:line="360" w:lineRule="auto"/>
        <w:ind w:firstLine="482" w:firstLineChars="200"/>
        <w:rPr>
          <w:rFonts w:hAnsi="宋体"/>
          <w:b/>
          <w:bCs/>
          <w:color w:val="auto"/>
          <w:sz w:val="24"/>
          <w:highlight w:val="none"/>
        </w:rPr>
      </w:pPr>
      <w:r>
        <w:rPr>
          <w:rFonts w:hAnsi="宋体"/>
          <w:b/>
          <w:bCs/>
          <w:color w:val="auto"/>
          <w:sz w:val="24"/>
          <w:highlight w:val="none"/>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3、采购人依法对资格文件进行审查，评标委员会对技术文件进行评审。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4、技术文件评审完成后，主持人宣告技术文件评审无效投标人名称及理由，公布经技术文件评审符合采购需求的投标人名单以及技术文件得分情况。</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5、开启各投标人</w:t>
      </w:r>
      <w:r>
        <w:rPr>
          <w:rFonts w:hint="eastAsia" w:ascii="宋体" w:hAnsi="宋体" w:cs="宋体"/>
          <w:color w:val="auto"/>
          <w:sz w:val="24"/>
          <w:highlight w:val="none"/>
        </w:rPr>
        <w:t>商务</w:t>
      </w:r>
      <w:r>
        <w:rPr>
          <w:rFonts w:ascii="宋体" w:hAnsi="宋体" w:cs="宋体"/>
          <w:color w:val="auto"/>
          <w:sz w:val="24"/>
          <w:highlight w:val="none"/>
        </w:rPr>
        <w:t>文件。</w:t>
      </w:r>
    </w:p>
    <w:p>
      <w:pPr>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7、评标结束后，主持人公布投标</w:t>
      </w:r>
      <w:r>
        <w:rPr>
          <w:rFonts w:hint="eastAsia" w:ascii="宋体" w:hAnsi="宋体" w:cs="宋体"/>
          <w:color w:val="auto"/>
          <w:sz w:val="24"/>
          <w:highlight w:val="none"/>
        </w:rPr>
        <w:t>商务</w:t>
      </w:r>
      <w:r>
        <w:rPr>
          <w:rFonts w:ascii="宋体" w:hAnsi="宋体" w:cs="宋体"/>
          <w:color w:val="auto"/>
          <w:sz w:val="24"/>
          <w:highlight w:val="none"/>
        </w:rPr>
        <w:t>得分、综合得分以及推荐中标候选人排序名单。</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8、开标会议结束。</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9、其他注意事项：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color w:val="auto"/>
          <w:sz w:val="24"/>
          <w:highlight w:val="none"/>
        </w:rPr>
      </w:pPr>
      <w:r>
        <w:rPr>
          <w:rFonts w:hint="eastAsia" w:ascii="宋体" w:hAnsi="宋体"/>
          <w:b/>
          <w:color w:val="auto"/>
          <w:sz w:val="24"/>
          <w:highlight w:val="none"/>
        </w:rPr>
        <w:t>重要事项说明：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（1）开标项目的时间均以国家授时中心发布的时间为准。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（2）若投标人已申请多把CA锁，请注意使用差别。因ca锁使用错误引发的问题，由投标人自己负责。</w:t>
      </w:r>
    </w:p>
    <w:p>
      <w:pPr>
        <w:snapToGrid w:val="0"/>
        <w:spacing w:line="360" w:lineRule="auto"/>
        <w:ind w:firstLine="480" w:firstLineChars="200"/>
        <w:rPr>
          <w:rFonts w:hAnsi="宋体"/>
          <w:bCs/>
          <w:color w:val="auto"/>
          <w:highlight w:val="none"/>
        </w:rPr>
      </w:pPr>
      <w:r>
        <w:rPr>
          <w:rFonts w:hint="eastAsia" w:ascii="宋体" w:hAnsi="宋体" w:cs="宋体"/>
          <w:color w:val="auto"/>
          <w:sz w:val="24"/>
          <w:highlight w:val="none"/>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color w:val="auto"/>
          <w:kern w:val="0"/>
          <w:sz w:val="24"/>
          <w:highlight w:val="none"/>
        </w:rPr>
      </w:pPr>
      <w:r>
        <w:rPr>
          <w:rFonts w:hint="eastAsia" w:ascii="宋体" w:hAnsi="宋体"/>
          <w:b/>
          <w:color w:val="auto"/>
          <w:kern w:val="0"/>
          <w:sz w:val="24"/>
          <w:highlight w:val="none"/>
        </w:rPr>
        <w:t>（三） 异常情况处理：</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1、电子交易平台发生故障而无法登录访问的；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2、电子交易平台应用或数据库出现错误，不能进行正常操作的；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3、电子交易平台发现严重安全漏洞，有潜在泄密危险的；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4、病毒发作导致不能进行正常操作的；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5、其他无法保证电子交易的公平、公正和安全的情况。</w:t>
      </w:r>
    </w:p>
    <w:p>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出现前款规定情形，不影响采购公平、公正性的，采购组织机构可以待上述情形消除后继续组织电子交易活动。</w:t>
      </w:r>
    </w:p>
    <w:p>
      <w:pPr>
        <w:pStyle w:val="5"/>
        <w:spacing w:line="360" w:lineRule="auto"/>
        <w:ind w:firstLine="723" w:firstLineChars="300"/>
        <w:rPr>
          <w:b/>
          <w:bCs/>
          <w:color w:val="auto"/>
          <w:sz w:val="24"/>
          <w:szCs w:val="22"/>
          <w:highlight w:val="none"/>
        </w:rPr>
      </w:pPr>
      <w:r>
        <w:rPr>
          <w:rFonts w:hint="eastAsia"/>
          <w:b/>
          <w:bCs/>
          <w:color w:val="auto"/>
          <w:sz w:val="24"/>
          <w:szCs w:val="22"/>
          <w:highlight w:val="none"/>
        </w:rPr>
        <w:t>（四）开标异议</w:t>
      </w:r>
    </w:p>
    <w:p>
      <w:pPr>
        <w:pStyle w:val="5"/>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5"/>
        <w:spacing w:line="360" w:lineRule="auto"/>
        <w:ind w:firstLine="723" w:firstLineChars="300"/>
        <w:rPr>
          <w:color w:val="auto"/>
          <w:sz w:val="24"/>
          <w:szCs w:val="22"/>
          <w:highlight w:val="none"/>
        </w:rPr>
      </w:pPr>
      <w:r>
        <w:rPr>
          <w:rFonts w:hint="eastAsia"/>
          <w:b/>
          <w:bCs/>
          <w:color w:val="auto"/>
          <w:sz w:val="24"/>
          <w:szCs w:val="22"/>
          <w:highlight w:val="none"/>
        </w:rPr>
        <w:t>（五）</w:t>
      </w:r>
      <w:r>
        <w:rPr>
          <w:rFonts w:hint="eastAsia"/>
          <w:color w:val="auto"/>
          <w:sz w:val="24"/>
          <w:szCs w:val="22"/>
          <w:highlight w:val="none"/>
        </w:rPr>
        <w:t>投标人不足三家，不得开标。</w:t>
      </w:r>
    </w:p>
    <w:p>
      <w:pPr>
        <w:pStyle w:val="13"/>
        <w:snapToGrid w:val="0"/>
        <w:spacing w:line="360" w:lineRule="auto"/>
        <w:ind w:firstLine="482" w:firstLineChars="200"/>
        <w:rPr>
          <w:rFonts w:hAnsi="宋体"/>
          <w:b/>
          <w:color w:val="auto"/>
          <w:sz w:val="24"/>
          <w:highlight w:val="none"/>
        </w:rPr>
      </w:pPr>
      <w:r>
        <w:rPr>
          <w:rFonts w:hint="eastAsia" w:hAnsi="宋体"/>
          <w:b/>
          <w:color w:val="auto"/>
          <w:sz w:val="24"/>
          <w:highlight w:val="none"/>
        </w:rPr>
        <w:t>五、评标（详见第四章）</w:t>
      </w:r>
    </w:p>
    <w:p>
      <w:pPr>
        <w:pStyle w:val="23"/>
        <w:spacing w:before="0" w:beforeAutospacing="0" w:after="0" w:afterAutospacing="0" w:line="360" w:lineRule="auto"/>
        <w:ind w:firstLine="482" w:firstLineChars="200"/>
        <w:jc w:val="both"/>
        <w:rPr>
          <w:rFonts w:hint="default"/>
          <w:b/>
          <w:color w:val="auto"/>
          <w:highlight w:val="none"/>
        </w:rPr>
      </w:pPr>
      <w:r>
        <w:rPr>
          <w:b/>
          <w:color w:val="auto"/>
          <w:highlight w:val="none"/>
        </w:rPr>
        <w:t>六、定标</w:t>
      </w:r>
    </w:p>
    <w:p>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1、</w:t>
      </w:r>
      <w:r>
        <w:rPr>
          <w:rFonts w:cs="宋体"/>
          <w:color w:val="auto"/>
          <w:highlight w:val="none"/>
          <w:lang w:val="en-GB"/>
        </w:rPr>
        <w:t>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2、发布中标结果公告。采购组织机构应当自中标人确定之日起2个工作日内，在相关网站上公告中标结果，招标文件应当随中标结果同时公告。</w:t>
      </w:r>
    </w:p>
    <w:p>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3、发出中标通知书。采购组织机构在发布中标结果的同时，向中标人发出中标通知书。</w:t>
      </w:r>
    </w:p>
    <w:p>
      <w:pPr>
        <w:spacing w:line="360" w:lineRule="auto"/>
        <w:ind w:firstLine="482" w:firstLineChars="200"/>
        <w:rPr>
          <w:rFonts w:ascii="宋体" w:hAnsi="宋体"/>
          <w:color w:val="auto"/>
          <w:kern w:val="0"/>
          <w:sz w:val="24"/>
          <w:highlight w:val="none"/>
        </w:rPr>
      </w:pPr>
      <w:r>
        <w:rPr>
          <w:rFonts w:hint="eastAsia" w:ascii="宋体" w:hAnsi="宋体"/>
          <w:b/>
          <w:color w:val="auto"/>
          <w:sz w:val="24"/>
          <w:highlight w:val="none"/>
        </w:rPr>
        <w:t>七</w:t>
      </w:r>
      <w:r>
        <w:rPr>
          <w:rFonts w:ascii="宋体" w:hAnsi="宋体"/>
          <w:b/>
          <w:color w:val="auto"/>
          <w:sz w:val="24"/>
          <w:highlight w:val="none"/>
        </w:rPr>
        <w:t>、</w:t>
      </w:r>
      <w:r>
        <w:rPr>
          <w:rFonts w:hint="eastAsia" w:ascii="宋体" w:hAnsi="宋体"/>
          <w:b/>
          <w:color w:val="auto"/>
          <w:kern w:val="0"/>
          <w:sz w:val="24"/>
          <w:highlight w:val="none"/>
        </w:rPr>
        <w:t>合同签订</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2.采购人不得向中标人提出任何不合理的要求作为签订合同的条件。</w:t>
      </w:r>
    </w:p>
    <w:p>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3.中标人无故拖延、拒签合同的，将取消中标资格。</w:t>
      </w:r>
    </w:p>
    <w:p>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4.中标人拒绝与采购人签订合同的，采购人可以按照评标报告推荐的中标候选人名单排序，确定下一候选人为中标人，也可以重新开展采购活动。同时，拒绝与采购人签订合同的中标人，由同级财政部门依法作出处理。</w:t>
      </w:r>
    </w:p>
    <w:p>
      <w:pPr>
        <w:pStyle w:val="23"/>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5.询问或者质疑事项可能影响中标结果的，采购人应当暂停签订合同，已经签订合同的，应当中止履行合同。</w:t>
      </w:r>
    </w:p>
    <w:p>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1.报名本项目的投标人认为招标文件、采购过程和中标结果使自己的权益受到损害的，通过书面形式一次性向采购人或采购组织机构提出质疑：</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2.采购人或采购组织机构在收到投标人的书面质疑后7个工作日内作出答复，并以书面形式回复质疑投标人和其他有关投标人，但答复内容不涉及商业秘密。</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捏造事实、提供虚假材料或者以非法手段取得证明材料不能作为质疑、投诉的证明材料）。</w:t>
      </w:r>
    </w:p>
    <w:p>
      <w:pPr>
        <w:pStyle w:val="9"/>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pPr>
        <w:pStyle w:val="9"/>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投标人对采购人或采购组织机构的质疑答复不满意或在规定时间内未得到答复的，可以在答复期满后15个工作日内，向监督管理机构投诉。</w:t>
      </w:r>
    </w:p>
    <w:p>
      <w:pPr>
        <w:pStyle w:val="9"/>
        <w:spacing w:line="360" w:lineRule="auto"/>
        <w:ind w:firstLine="480" w:firstLineChars="200"/>
        <w:jc w:val="both"/>
        <w:rPr>
          <w:rFonts w:ascii="宋体" w:hAnsi="宋体"/>
          <w:b/>
          <w:color w:val="auto"/>
          <w:sz w:val="36"/>
          <w:szCs w:val="36"/>
          <w:highlight w:val="none"/>
        </w:rPr>
      </w:pPr>
      <w:r>
        <w:rPr>
          <w:rFonts w:hint="eastAsia" w:ascii="宋体" w:hAnsi="宋体"/>
          <w:color w:val="auto"/>
          <w:sz w:val="24"/>
          <w:highlight w:val="none"/>
        </w:rPr>
        <w:br w:type="page"/>
      </w:r>
    </w:p>
    <w:p>
      <w:pPr>
        <w:numPr>
          <w:ilvl w:val="0"/>
          <w:numId w:val="7"/>
        </w:numPr>
        <w:spacing w:line="360" w:lineRule="auto"/>
        <w:jc w:val="center"/>
        <w:rPr>
          <w:rFonts w:ascii="宋体" w:hAnsi="宋体"/>
          <w:b/>
          <w:color w:val="auto"/>
          <w:sz w:val="36"/>
          <w:szCs w:val="36"/>
          <w:highlight w:val="none"/>
        </w:rPr>
      </w:pPr>
      <w:bookmarkStart w:id="27" w:name="_Toc13072_WPSOffice_Level1"/>
      <w:r>
        <w:rPr>
          <w:rFonts w:hint="eastAsia" w:ascii="宋体" w:hAnsi="宋体"/>
          <w:b/>
          <w:color w:val="auto"/>
          <w:sz w:val="36"/>
          <w:szCs w:val="36"/>
          <w:highlight w:val="none"/>
        </w:rPr>
        <w:t>招标需求</w:t>
      </w:r>
      <w:bookmarkEnd w:id="27"/>
    </w:p>
    <w:p>
      <w:pPr>
        <w:pStyle w:val="13"/>
        <w:spacing w:line="360" w:lineRule="auto"/>
        <w:jc w:val="left"/>
        <w:rPr>
          <w:rFonts w:hAnsi="宋体"/>
          <w:b/>
          <w:color w:val="auto"/>
          <w:sz w:val="22"/>
          <w:szCs w:val="20"/>
          <w:highlight w:val="none"/>
        </w:rPr>
      </w:pPr>
      <w:r>
        <w:rPr>
          <w:rFonts w:hint="eastAsia" w:hAnsi="宋体"/>
          <w:b/>
          <w:color w:val="auto"/>
          <w:sz w:val="24"/>
          <w:highlight w:val="none"/>
        </w:rPr>
        <w:t>一、招标项目一览表</w:t>
      </w:r>
    </w:p>
    <w:p>
      <w:pPr>
        <w:pStyle w:val="13"/>
        <w:spacing w:line="360" w:lineRule="auto"/>
        <w:jc w:val="left"/>
        <w:rPr>
          <w:rFonts w:hAnsi="宋体"/>
          <w:b/>
          <w:color w:val="auto"/>
          <w:sz w:val="24"/>
          <w:highlight w:val="none"/>
        </w:rPr>
      </w:pPr>
      <w:r>
        <w:rPr>
          <w:rFonts w:hint="eastAsia" w:hAnsi="宋体"/>
          <w:b/>
          <w:color w:val="auto"/>
          <w:sz w:val="24"/>
          <w:highlight w:val="none"/>
        </w:rPr>
        <w:t>本次招标项目，具体内容如下表：</w:t>
      </w:r>
    </w:p>
    <w:tbl>
      <w:tblPr>
        <w:tblStyle w:val="28"/>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833"/>
        <w:gridCol w:w="1380"/>
        <w:gridCol w:w="915"/>
        <w:gridCol w:w="795"/>
        <w:gridCol w:w="1440"/>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89" w:type="dxa"/>
            <w:vAlign w:val="center"/>
          </w:tcPr>
          <w:p>
            <w:pPr>
              <w:tabs>
                <w:tab w:val="left" w:pos="8280"/>
              </w:tabs>
              <w:autoSpaceDE w:val="0"/>
              <w:autoSpaceDN w:val="0"/>
              <w:adjustRightInd w:val="0"/>
              <w:ind w:right="25"/>
              <w:jc w:val="left"/>
              <w:rPr>
                <w:rFonts w:ascii="宋体" w:hAnsi="宋体" w:cs="宋体"/>
                <w:b/>
                <w:color w:val="auto"/>
                <w:sz w:val="24"/>
                <w:highlight w:val="none"/>
              </w:rPr>
            </w:pPr>
            <w:r>
              <w:rPr>
                <w:rFonts w:hint="eastAsia" w:ascii="宋体" w:hAnsi="宋体" w:cs="宋体"/>
                <w:b/>
                <w:color w:val="auto"/>
                <w:sz w:val="24"/>
                <w:highlight w:val="none"/>
              </w:rPr>
              <w:t>标段号</w:t>
            </w:r>
          </w:p>
        </w:tc>
        <w:tc>
          <w:tcPr>
            <w:tcW w:w="2833"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380"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kern w:val="0"/>
                <w:sz w:val="24"/>
                <w:highlight w:val="none"/>
              </w:rPr>
              <w:t>简要要求</w:t>
            </w:r>
          </w:p>
        </w:tc>
        <w:tc>
          <w:tcPr>
            <w:tcW w:w="915"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795"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440"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预算</w:t>
            </w:r>
          </w:p>
        </w:tc>
        <w:tc>
          <w:tcPr>
            <w:tcW w:w="1148" w:type="dxa"/>
            <w:vAlign w:val="center"/>
          </w:tcPr>
          <w:p>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8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一</w:t>
            </w:r>
          </w:p>
        </w:tc>
        <w:tc>
          <w:tcPr>
            <w:tcW w:w="2833" w:type="dxa"/>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台州东茂观光农业开发有限公司2024年度第一批农药、化肥、农用薄膜采购项目</w:t>
            </w:r>
          </w:p>
        </w:tc>
        <w:tc>
          <w:tcPr>
            <w:tcW w:w="13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详见招标需求</w:t>
            </w:r>
          </w:p>
        </w:tc>
        <w:tc>
          <w:tcPr>
            <w:tcW w:w="91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440" w:type="dxa"/>
            <w:vAlign w:val="center"/>
          </w:tcPr>
          <w:p>
            <w:pPr>
              <w:widowControl/>
              <w:jc w:val="center"/>
              <w:rPr>
                <w:rFonts w:ascii="宋体" w:hAnsi="宋体" w:cs="宋体"/>
                <w:color w:val="auto"/>
                <w:kern w:val="0"/>
                <w:sz w:val="24"/>
                <w:highlight w:val="none"/>
              </w:rPr>
            </w:pPr>
            <w:r>
              <w:rPr>
                <w:rFonts w:hint="eastAsia" w:ascii="宋体" w:hAnsi="宋体"/>
                <w:color w:val="auto"/>
                <w:sz w:val="24"/>
                <w:highlight w:val="none"/>
                <w:lang w:val="en-US" w:eastAsia="zh-CN"/>
              </w:rPr>
              <w:t>本年度采购总额不超过200万元（不含）</w:t>
            </w:r>
          </w:p>
        </w:tc>
        <w:tc>
          <w:tcPr>
            <w:tcW w:w="1148" w:type="dxa"/>
            <w:vAlign w:val="center"/>
          </w:tcPr>
          <w:p>
            <w:pPr>
              <w:jc w:val="center"/>
              <w:rPr>
                <w:rFonts w:ascii="宋体" w:hAnsi="宋体" w:cs="宋体"/>
                <w:color w:val="auto"/>
                <w:szCs w:val="21"/>
                <w:highlight w:val="none"/>
              </w:rPr>
            </w:pPr>
          </w:p>
        </w:tc>
      </w:tr>
    </w:tbl>
    <w:p>
      <w:pPr>
        <w:pStyle w:val="13"/>
        <w:spacing w:line="360" w:lineRule="auto"/>
        <w:jc w:val="left"/>
        <w:rPr>
          <w:rFonts w:hAnsi="宋体"/>
          <w:b/>
          <w:color w:val="auto"/>
          <w:sz w:val="24"/>
          <w:highlight w:val="none"/>
        </w:rPr>
      </w:pPr>
      <w:r>
        <w:rPr>
          <w:rFonts w:hint="eastAsia" w:hAnsi="宋体"/>
          <w:b/>
          <w:color w:val="auto"/>
          <w:sz w:val="24"/>
          <w:highlight w:val="none"/>
        </w:rPr>
        <w:t>二、项目内容</w:t>
      </w:r>
    </w:p>
    <w:tbl>
      <w:tblPr>
        <w:tblStyle w:val="28"/>
        <w:tblW w:w="538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636"/>
        <w:gridCol w:w="1895"/>
        <w:gridCol w:w="1404"/>
        <w:gridCol w:w="1469"/>
        <w:gridCol w:w="2381"/>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编号</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类别</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基准单价</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主要功能或特点</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剂型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314" w:type="pct"/>
            <w:vMerge w:val="restart"/>
            <w:tcBorders>
              <w:top w:val="nil"/>
              <w:left w:val="single" w:color="000000" w:sz="4" w:space="0"/>
              <w:bottom w:val="nil"/>
              <w:right w:val="single" w:color="000000" w:sz="4" w:space="0"/>
            </w:tcBorders>
            <w:shd w:val="clear" w:color="auto" w:fill="FFFFFF"/>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杀菌剂</w:t>
            </w:r>
          </w:p>
        </w:tc>
        <w:tc>
          <w:tcPr>
            <w:tcW w:w="936" w:type="pc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80%代森锰锌</w:t>
            </w:r>
          </w:p>
        </w:tc>
        <w:tc>
          <w:tcPr>
            <w:tcW w:w="6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1kg*10</w:t>
            </w:r>
          </w:p>
        </w:tc>
        <w:tc>
          <w:tcPr>
            <w:tcW w:w="72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450元/箱</w:t>
            </w:r>
          </w:p>
        </w:tc>
        <w:tc>
          <w:tcPr>
            <w:tcW w:w="117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综合性真菌保护剂</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WP（可湿性粉剂）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32.5%苯甲·嘧菌酯</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100ml*100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防治炭疽病/黑点/纹枯等真菌性病害</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25%吡唑醚菌酯</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500g*20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防治炭疽病、霜霉等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40%苯醚甲环唑</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500g*20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防治炭疽病、锈病、叶斑等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60%吡唑醚菌酯+代森联</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140g*50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防治炭疽病、黑点病等真菌性病害</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WG（水分散粒剂）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6</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20%苯醚甲环唑+氟唑菌酰羟胺(美甜)</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1L*10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防治白粉病，炭疽病等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7</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42.8%氟菌.肟菌酯(露娜森)</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100ml*50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防治白粉病等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8</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35%氟菌·戊唑醇（露娜润）</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100ml*50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防治炭疽病、锈病等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9</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50%啶酰菌胺</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100g*100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防治灰霉病、菌核等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WG（水分散粒剂）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10</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28%氟噻唑.双炔酰（傲亮）</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100ml*100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防治霜霉，疫病等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11</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40%噁酮·霜脲氰</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200g*50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防治霜霉，疫病等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12</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33.5%喹啉铜</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1kg*10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防治溃疡病、穿孔等细菌性病害</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13</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40%噻唑锌（碧火）</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1000ml*10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防治溃疡病、穿孔等细菌性病害</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14</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20%氟唑菌酰羟胺（麦甜）</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5L*2</w:t>
            </w: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麦甜套餐5800元/套（箱）</w:t>
            </w:r>
          </w:p>
        </w:tc>
        <w:tc>
          <w:tcPr>
            <w:tcW w:w="1176"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防治赤霉病等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15</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25%丙环唑（麦甜伴侣）</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3.5kg*2</w:t>
            </w: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1176"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16</w:t>
            </w:r>
          </w:p>
        </w:tc>
        <w:tc>
          <w:tcPr>
            <w:tcW w:w="314" w:type="pct"/>
            <w:vMerge w:val="restart"/>
            <w:tcBorders>
              <w:top w:val="single" w:color="000000" w:sz="4" w:space="0"/>
              <w:left w:val="single" w:color="000000" w:sz="4" w:space="0"/>
              <w:bottom w:val="nil"/>
              <w:right w:val="single" w:color="000000" w:sz="4" w:space="0"/>
            </w:tcBorders>
            <w:shd w:val="clear" w:color="auto" w:fill="FFFFFF"/>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杀虫剂</w:t>
            </w:r>
          </w:p>
        </w:tc>
        <w:tc>
          <w:tcPr>
            <w:tcW w:w="936" w:type="pc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99%矿物油</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4L*4</w:t>
            </w:r>
          </w:p>
        </w:tc>
        <w:tc>
          <w:tcPr>
            <w:tcW w:w="726" w:type="pc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450元/箱</w:t>
            </w:r>
          </w:p>
        </w:tc>
        <w:tc>
          <w:tcPr>
            <w:tcW w:w="117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防治红蜘蛛、介壳虫、黑点病等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EC（乳油）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17</w:t>
            </w:r>
          </w:p>
        </w:tc>
        <w:tc>
          <w:tcPr>
            <w:tcW w:w="314" w:type="pct"/>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28%阿维.螺虫酯</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500ml*20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防治红蜘蛛、锈壁虱、卷叶蛾等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18</w:t>
            </w:r>
          </w:p>
        </w:tc>
        <w:tc>
          <w:tcPr>
            <w:tcW w:w="314" w:type="pct"/>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5%阿维菌素</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1L*12</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防治红蜘蛛、锈壁虱、卷叶蛾等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EC（乳油）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19</w:t>
            </w:r>
          </w:p>
        </w:tc>
        <w:tc>
          <w:tcPr>
            <w:tcW w:w="314" w:type="pct"/>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20%乙螨唑</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500ml*20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防治红蜘蛛</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20</w:t>
            </w:r>
          </w:p>
        </w:tc>
        <w:tc>
          <w:tcPr>
            <w:tcW w:w="314" w:type="pct"/>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43%联苯肼酯</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500ml*20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防治红蜘蛛</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21</w:t>
            </w:r>
          </w:p>
        </w:tc>
        <w:tc>
          <w:tcPr>
            <w:tcW w:w="314" w:type="pct"/>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30%乙唑螨腈</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500ml*20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3350元/箱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防治红蜘蛛</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22</w:t>
            </w:r>
          </w:p>
        </w:tc>
        <w:tc>
          <w:tcPr>
            <w:tcW w:w="314" w:type="pct"/>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70%吡虫啉</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30g*200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防治蚜虫、木虱等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WDG（水分散粒剂）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23</w:t>
            </w:r>
          </w:p>
        </w:tc>
        <w:tc>
          <w:tcPr>
            <w:tcW w:w="314" w:type="pct"/>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50%吡蚜酮</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100g*100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防治稻飞虱等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WG（水分散粒剂）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24</w:t>
            </w:r>
          </w:p>
        </w:tc>
        <w:tc>
          <w:tcPr>
            <w:tcW w:w="314" w:type="pct"/>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20%啶虫脒</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1kg*10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防治蚜虫、木虱等</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SL（可溶液剂）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25</w:t>
            </w:r>
          </w:p>
        </w:tc>
        <w:tc>
          <w:tcPr>
            <w:tcW w:w="314" w:type="pct"/>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2.5%高效氯氟氰菊酯</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100g*50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防治蚜虫、介壳虫、卷叶蛾等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EC（乳油）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26</w:t>
            </w:r>
          </w:p>
        </w:tc>
        <w:tc>
          <w:tcPr>
            <w:tcW w:w="314" w:type="pct"/>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5%高氯·啶虫脒</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1L*10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防治蚜虫、介壳虫、卷叶蛾等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ME（微乳剂）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27</w:t>
            </w:r>
          </w:p>
        </w:tc>
        <w:tc>
          <w:tcPr>
            <w:tcW w:w="314" w:type="pct"/>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10%顺势氯氰菊酯</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100g*50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防治蚜虫、介壳虫、卷叶蛾等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EW（水乳剂）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28</w:t>
            </w:r>
          </w:p>
        </w:tc>
        <w:tc>
          <w:tcPr>
            <w:tcW w:w="314" w:type="pct"/>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5%甲氨基阿维菌素苯甲酸盐</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1L*10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防治夜蛾、卷叶蛾等鳞翅目害虫</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ME（微乳剂）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29</w:t>
            </w:r>
          </w:p>
        </w:tc>
        <w:tc>
          <w:tcPr>
            <w:tcW w:w="314" w:type="pct"/>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15%茚虫威</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100g*50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防治夜蛾、卷叶蛾，菜青虫等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30</w:t>
            </w:r>
          </w:p>
        </w:tc>
        <w:tc>
          <w:tcPr>
            <w:tcW w:w="314" w:type="pct"/>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22.4%螺虫乙酯</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100ml*50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3050元/箱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防治粉虱、蚜虫等若虫</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31</w:t>
            </w:r>
          </w:p>
        </w:tc>
        <w:tc>
          <w:tcPr>
            <w:tcW w:w="314" w:type="pct"/>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6%乙基多杀菌素（艾绿士）</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150ml*40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防治蓟马、螟虫等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32</w:t>
            </w:r>
          </w:p>
        </w:tc>
        <w:tc>
          <w:tcPr>
            <w:tcW w:w="314" w:type="pct"/>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20%呋虫胺</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200g*40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防治白粉虱等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33</w:t>
            </w:r>
          </w:p>
        </w:tc>
        <w:tc>
          <w:tcPr>
            <w:tcW w:w="314" w:type="pct"/>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20%四唑虫酰胺</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100ml*50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防治菜青虫，稻纵卷叶螟等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34</w:t>
            </w:r>
          </w:p>
        </w:tc>
        <w:tc>
          <w:tcPr>
            <w:tcW w:w="314" w:type="pct"/>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34%乙多.甲氧虫</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100ml*50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防治二化螟，稻纵卷叶螟等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35</w:t>
            </w:r>
          </w:p>
        </w:tc>
        <w:tc>
          <w:tcPr>
            <w:tcW w:w="314" w:type="pct"/>
            <w:vMerge w:val="continue"/>
            <w:tcBorders>
              <w:top w:val="single" w:color="000000" w:sz="4" w:space="0"/>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10%阿维.甲氧虫酰肼</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500g*20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防治稻纵卷叶螟等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36</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除草剂</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13%二甲四氯</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300ml*30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除阔叶草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AS（水剂）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37</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40%氰氟草酯</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1kg*12</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水稻除草剂</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OD（可分散油悬浮剂）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38</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3%氯氟吡啶酯</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100ml*50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水稻除草剂</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EC（乳油）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39</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10.8%高效氟吡甲禾灵</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20ml*50*5</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打尖叶</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EC（乳油）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40</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20%氯氟吡氧乙酸</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100ml*50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打阔叶</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EC（乳油）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41</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25%啶嘧磺隆</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2g*25*8</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草坪除杂草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WDG（水分散粒剂）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42</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33%草甘膦</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10kg</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150元/桶</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灭生性除草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AS（水剂）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43</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20%草铵膦</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1kg*12</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灭生性除草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AS（水剂）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44</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10%精草铵膦铵盐</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1kg*12</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灭生性除草</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SL（可溶液剂）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45</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10%精草铵膦铵盐</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5kg*4</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灭生性除草</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SL（可溶液剂）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46</w:t>
            </w:r>
          </w:p>
        </w:tc>
        <w:tc>
          <w:tcPr>
            <w:tcW w:w="314" w:type="pct"/>
            <w:vMerge w:val="restart"/>
            <w:tcBorders>
              <w:top w:val="nil"/>
              <w:left w:val="single" w:color="000000" w:sz="4" w:space="0"/>
              <w:bottom w:val="nil"/>
              <w:right w:val="single" w:color="000000" w:sz="4" w:space="0"/>
            </w:tcBorders>
            <w:shd w:val="clear" w:color="auto" w:fill="FFFFFF"/>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肥料</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48%阿康(俄罗斯进口)复合肥(氯)16-16-16(红马)</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50kg</w:t>
            </w:r>
          </w:p>
        </w:tc>
        <w:tc>
          <w:tcPr>
            <w:tcW w:w="726" w:type="pct"/>
            <w:tcBorders>
              <w:top w:val="nil"/>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4500元/吨</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47</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45%雅冉（挪威进口）复合肥(硫)15-15-15</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50kg</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5800元/吨</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48</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41%狮马复合肥12-12-17（硫）</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50kg</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6000元/吨</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49</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45%狮马复合肥15-15-15（硫）</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50kg</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6000元/吨</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50</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41%狮马复合肥17-7-17（硫）</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40kg</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5800元/吨</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51</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40%狮马复合肥15-5-20（硫）</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40kg</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6000元/吨</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52</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40%狮马复合肥20-5-15（硫）</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40kg</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5800元/吨</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53</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磷酸二氢钾(成都)</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400g*50</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350元/箱</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54</w:t>
            </w:r>
          </w:p>
        </w:tc>
        <w:tc>
          <w:tcPr>
            <w:tcW w:w="314" w:type="pct"/>
            <w:vMerge w:val="continue"/>
            <w:tcBorders>
              <w:top w:val="nil"/>
              <w:left w:val="single" w:color="000000" w:sz="4" w:space="0"/>
              <w:bottom w:val="nil"/>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50%红牛硫酸钾</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50kg</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7400元/吨</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55</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尿素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46%河南心连心尿素(聚能网)</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40kg</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2600元/吨</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56</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46%灵谷（宜兴）外省尿素</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50kg</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2470元/吨</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57</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46%河南心连心（黑力旺腐植酸）尿素</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40kg</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2750元/吨</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58</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46%河南心连心尿素(中颗粒)</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50kg</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2500元/吨</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59</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有机肥</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有机肥（动物粪便）</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50kg</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580元/吨</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60</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基质</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育苗基质（泥炭、椰糠、珍珠岩）</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50L</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26元/包</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61</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农用薄膜</w:t>
            </w: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6丝大棚膜</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6.7元/斤</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62</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12丝大棚膜</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r>
              <w:rPr>
                <w:rStyle w:val="90"/>
                <w:color w:val="auto"/>
                <w:highlight w:val="none"/>
                <w:lang w:val="en-US" w:eastAsia="zh-CN" w:bidi="ar"/>
              </w:rPr>
              <w:t>4元/斤</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63</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1.6丝有流滴地膜</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r>
              <w:rPr>
                <w:rStyle w:val="91"/>
                <w:color w:val="auto"/>
                <w:highlight w:val="none"/>
                <w:lang w:val="en-US" w:eastAsia="zh-CN" w:bidi="ar"/>
              </w:rPr>
              <w:t>.2元/斤</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64</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1.6丝无流滴地膜</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6元/斤</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4"/>
                <w:szCs w:val="24"/>
                <w:highlight w:val="none"/>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65</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1.6丝黑地膜</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6.5元/斤</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66</w:t>
            </w: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FFFFF"/>
            <w:noWrap/>
            <w:textDirection w:val="tbRlV"/>
            <w:vAlign w:val="center"/>
          </w:tcPr>
          <w:p>
            <w:pPr>
              <w:jc w:val="center"/>
              <w:rPr>
                <w:rFonts w:hint="eastAsia" w:ascii="宋体" w:hAnsi="宋体" w:eastAsia="宋体" w:cs="宋体"/>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2丝银黑地膜</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r>
              <w:rPr>
                <w:rStyle w:val="91"/>
                <w:color w:val="auto"/>
                <w:highlight w:val="none"/>
                <w:lang w:val="en-US" w:eastAsia="zh-CN" w:bidi="ar"/>
              </w:rPr>
              <w:t>8元/斤</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防草、驱虫、反光</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4"/>
                <w:szCs w:val="24"/>
                <w:highlight w:val="none"/>
                <w:u w:val="none"/>
              </w:rPr>
            </w:pPr>
          </w:p>
        </w:tc>
      </w:tr>
    </w:tbl>
    <w:p>
      <w:pPr>
        <w:tabs>
          <w:tab w:val="left" w:pos="2520"/>
        </w:tabs>
        <w:spacing w:line="460" w:lineRule="exact"/>
        <w:jc w:val="left"/>
        <w:rPr>
          <w:rFonts w:ascii="宋体" w:hAnsi="宋体" w:cs="宋体"/>
          <w:b/>
          <w:color w:val="auto"/>
          <w:sz w:val="24"/>
          <w:highlight w:val="none"/>
        </w:rPr>
      </w:pPr>
      <w:r>
        <w:rPr>
          <w:rFonts w:hint="eastAsia" w:ascii="宋体" w:hAnsi="宋体" w:cs="宋体"/>
          <w:b/>
          <w:color w:val="auto"/>
          <w:sz w:val="24"/>
          <w:highlight w:val="none"/>
        </w:rPr>
        <w:t>三、商务需求</w:t>
      </w:r>
    </w:p>
    <w:p>
      <w:pPr>
        <w:pStyle w:val="87"/>
        <w:spacing w:line="360" w:lineRule="auto"/>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1.质量要求：投标人须保证全部货物均为近期生产的优质产品，保证所提供货物完全符合招标文件规定的质量、规格和性能的要求。要求肥料要有生产合格证，农药要达到国家要求的低毒、环保要求。</w:t>
      </w:r>
    </w:p>
    <w:p>
      <w:pPr>
        <w:pStyle w:val="87"/>
        <w:spacing w:line="360" w:lineRule="auto"/>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2.招标人有权要求中标人提供每批次产品的质量检测报告。</w:t>
      </w:r>
    </w:p>
    <w:p>
      <w:pPr>
        <w:pStyle w:val="87"/>
        <w:spacing w:line="360" w:lineRule="auto"/>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3.货物交付时，应附有下列资料：详细装箱单；产品合格证及检验记录；税务发票其他技术文档。</w:t>
      </w:r>
    </w:p>
    <w:p>
      <w:pPr>
        <w:pStyle w:val="87"/>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4.货物交付时，招标人有权对该批货物进行现场封样，委托第三方进行质量检测，检测费用由中标人承担。</w:t>
      </w:r>
    </w:p>
    <w:p>
      <w:pPr>
        <w:pStyle w:val="87"/>
        <w:spacing w:line="360" w:lineRule="auto"/>
        <w:ind w:firstLine="480" w:firstLineChars="200"/>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5.供货期限：合同签订后1年或累计实际结算金额达到200万（不含)时，合同自动终止。</w:t>
      </w:r>
    </w:p>
    <w:p>
      <w:pPr>
        <w:pStyle w:val="87"/>
        <w:spacing w:line="360" w:lineRule="auto"/>
        <w:rPr>
          <w:rFonts w:ascii="宋体" w:hAnsi="宋体" w:eastAsia="宋体" w:cs="宋体"/>
          <w:b/>
          <w:color w:val="auto"/>
          <w:highlight w:val="none"/>
        </w:rPr>
      </w:pPr>
      <w:r>
        <w:rPr>
          <w:rFonts w:hint="eastAsia" w:ascii="宋体" w:hAnsi="宋体" w:eastAsia="宋体" w:cs="宋体"/>
          <w:b/>
          <w:color w:val="auto"/>
          <w:highlight w:val="none"/>
        </w:rPr>
        <w:t>四、供货方式</w:t>
      </w:r>
    </w:p>
    <w:p>
      <w:pPr>
        <w:pStyle w:val="87"/>
        <w:spacing w:line="360" w:lineRule="auto"/>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1.本招标清单内所需货物非一次性供货，中标人按招标人需求数量，分批次供货。</w:t>
      </w:r>
    </w:p>
    <w:p>
      <w:pPr>
        <w:pStyle w:val="87"/>
        <w:spacing w:line="360" w:lineRule="auto"/>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2.按招标人货物需求通知</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以电子邮件形式）</w:t>
      </w:r>
      <w:r>
        <w:rPr>
          <w:rFonts w:hint="eastAsia" w:ascii="宋体" w:hAnsi="宋体" w:eastAsia="宋体" w:cs="宋体"/>
          <w:bCs/>
          <w:color w:val="auto"/>
          <w:highlight w:val="none"/>
        </w:rPr>
        <w:t>后按时交货至招标人指定地点，招标人不保证中标人的最低供货数量，最终供货数量以招标人实际需要数量为准。</w:t>
      </w:r>
    </w:p>
    <w:p>
      <w:pPr>
        <w:pStyle w:val="87"/>
        <w:spacing w:line="360" w:lineRule="auto"/>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3.延期交货处罚：延期交货每3天，中标人按</w:t>
      </w:r>
      <w:r>
        <w:rPr>
          <w:rFonts w:hint="eastAsia" w:ascii="宋体" w:hAnsi="宋体" w:eastAsia="宋体" w:cs="宋体"/>
          <w:bCs/>
          <w:color w:val="auto"/>
          <w:highlight w:val="none"/>
          <w:lang w:val="en-US" w:eastAsia="zh-CN"/>
        </w:rPr>
        <w:t>该</w:t>
      </w:r>
      <w:r>
        <w:rPr>
          <w:rFonts w:hint="eastAsia" w:ascii="宋体" w:hAnsi="宋体" w:eastAsia="宋体" w:cs="宋体"/>
          <w:bCs/>
          <w:color w:val="auto"/>
          <w:highlight w:val="none"/>
          <w:lang w:val="en-US" w:eastAsia="zh-CN"/>
        </w:rPr>
        <w:t>批次货物</w:t>
      </w:r>
      <w:r>
        <w:rPr>
          <w:rFonts w:hint="eastAsia" w:ascii="宋体" w:hAnsi="宋体" w:eastAsia="宋体" w:cs="宋体"/>
          <w:bCs/>
          <w:color w:val="auto"/>
          <w:highlight w:val="none"/>
        </w:rPr>
        <w:t>总价</w:t>
      </w:r>
      <w:r>
        <w:rPr>
          <w:rFonts w:hint="eastAsia" w:ascii="宋体" w:hAnsi="宋体" w:eastAsia="宋体" w:cs="宋体"/>
          <w:bCs/>
          <w:color w:val="auto"/>
          <w:highlight w:val="none"/>
        </w:rPr>
        <w:t>的3%支付给招标人延期交货违约金，不足3天按3天计，依次累计。1个月内如连续发生2次无故不按时供货的中标人，招标人有权提前单方中止合同，且不予支付货款。</w:t>
      </w:r>
    </w:p>
    <w:p>
      <w:pPr>
        <w:pStyle w:val="87"/>
        <w:spacing w:line="360" w:lineRule="auto"/>
        <w:rPr>
          <w:rFonts w:ascii="宋体" w:hAnsi="宋体" w:eastAsia="宋体" w:cs="宋体"/>
          <w:b/>
          <w:color w:val="auto"/>
          <w:highlight w:val="none"/>
        </w:rPr>
      </w:pPr>
      <w:r>
        <w:rPr>
          <w:rFonts w:hint="eastAsia" w:ascii="宋体" w:hAnsi="宋体" w:eastAsia="宋体" w:cs="宋体"/>
          <w:b/>
          <w:color w:val="auto"/>
          <w:highlight w:val="none"/>
        </w:rPr>
        <w:t>五、质保期及售后服务</w:t>
      </w:r>
    </w:p>
    <w:p>
      <w:pPr>
        <w:pStyle w:val="87"/>
        <w:spacing w:line="360" w:lineRule="auto"/>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1.质保期为验收合格之日起</w:t>
      </w:r>
      <w:r>
        <w:rPr>
          <w:rFonts w:hint="eastAsia" w:ascii="宋体" w:hAnsi="宋体" w:eastAsia="宋体" w:cs="宋体"/>
          <w:bCs/>
          <w:color w:val="auto"/>
          <w:highlight w:val="none"/>
          <w:lang w:val="en-US" w:eastAsia="zh-CN"/>
        </w:rPr>
        <w:t>不少于3个月</w:t>
      </w:r>
      <w:r>
        <w:rPr>
          <w:rFonts w:hint="eastAsia" w:ascii="宋体" w:hAnsi="宋体" w:eastAsia="宋体" w:cs="宋体"/>
          <w:bCs/>
          <w:color w:val="auto"/>
          <w:highlight w:val="none"/>
        </w:rPr>
        <w:t>；</w:t>
      </w:r>
    </w:p>
    <w:p>
      <w:pPr>
        <w:pStyle w:val="87"/>
        <w:spacing w:line="360" w:lineRule="auto"/>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2.如在使用过程中发生质量问题，中标人在接到招标人通知后24小时内到达现场。</w:t>
      </w:r>
    </w:p>
    <w:p>
      <w:pPr>
        <w:pStyle w:val="87"/>
        <w:spacing w:line="360" w:lineRule="auto"/>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3.在服务期内，中标人应对货物出现的质量及安全问题负责处理解决并承担一切费用。</w:t>
      </w:r>
    </w:p>
    <w:p>
      <w:pPr>
        <w:pStyle w:val="87"/>
        <w:spacing w:line="360" w:lineRule="auto"/>
        <w:ind w:firstLine="480" w:firstLineChars="200"/>
        <w:rPr>
          <w:rFonts w:ascii="宋体" w:hAnsi="宋体" w:eastAsia="宋体" w:cs="宋体"/>
          <w:bCs/>
          <w:color w:val="auto"/>
          <w:highlight w:val="none"/>
        </w:rPr>
      </w:pPr>
      <w:r>
        <w:rPr>
          <w:rFonts w:hint="eastAsia" w:ascii="宋体" w:hAnsi="宋体" w:eastAsia="宋体" w:cs="宋体"/>
          <w:bCs/>
          <w:color w:val="auto"/>
          <w:highlight w:val="none"/>
        </w:rPr>
        <w:t>4.其他售后服务按国家质量监督检验检疫总局和国家其他有关规定执行，国家没有规定的按厂商规定执行。国家规定标准低于厂商标准的按厂商标准执行。</w:t>
      </w:r>
    </w:p>
    <w:p>
      <w:pPr>
        <w:pStyle w:val="87"/>
        <w:spacing w:line="360" w:lineRule="auto"/>
        <w:rPr>
          <w:rFonts w:ascii="宋体" w:hAnsi="宋体" w:eastAsia="宋体" w:cs="宋体"/>
          <w:b/>
          <w:color w:val="auto"/>
          <w:highlight w:val="none"/>
        </w:rPr>
      </w:pPr>
      <w:r>
        <w:rPr>
          <w:rFonts w:hint="eastAsia" w:ascii="宋体" w:hAnsi="宋体" w:eastAsia="宋体" w:cs="宋体"/>
          <w:b/>
          <w:color w:val="auto"/>
          <w:highlight w:val="none"/>
        </w:rPr>
        <w:t>六、商务要求</w:t>
      </w:r>
    </w:p>
    <w:p>
      <w:pPr>
        <w:widowControl/>
        <w:snapToGrid w:val="0"/>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付款方式：</w:t>
      </w:r>
      <w:r>
        <w:rPr>
          <w:rFonts w:hint="eastAsia" w:ascii="宋体" w:hAnsi="宋体" w:eastAsia="宋体" w:cs="宋体"/>
          <w:color w:val="auto"/>
          <w:sz w:val="24"/>
          <w:szCs w:val="24"/>
          <w:highlight w:val="none"/>
          <w:lang w:val="en-GB"/>
        </w:rPr>
        <w:t>每月按实结算，货到验收合格后，每月25日（含25日）结算一次。</w:t>
      </w:r>
      <w:r>
        <w:rPr>
          <w:rFonts w:hint="eastAsia" w:ascii="宋体" w:hAnsi="宋体" w:eastAsia="宋体" w:cs="宋体"/>
          <w:color w:val="auto"/>
          <w:sz w:val="24"/>
          <w:szCs w:val="24"/>
          <w:highlight w:val="none"/>
          <w:lang w:val="en-GB" w:eastAsia="zh-CN"/>
        </w:rPr>
        <w:t>中标人</w:t>
      </w:r>
      <w:r>
        <w:rPr>
          <w:rFonts w:hint="eastAsia" w:ascii="宋体" w:hAnsi="宋体" w:eastAsia="宋体" w:cs="宋体"/>
          <w:color w:val="auto"/>
          <w:sz w:val="24"/>
          <w:szCs w:val="24"/>
          <w:highlight w:val="none"/>
          <w:lang w:val="en-GB"/>
        </w:rPr>
        <w:t>凭送货凭证、发票办理货款支付申请手续。</w:t>
      </w:r>
      <w:r>
        <w:rPr>
          <w:rFonts w:hint="eastAsia" w:ascii="宋体" w:hAnsi="宋体" w:eastAsia="宋体" w:cs="宋体"/>
          <w:color w:val="auto"/>
          <w:sz w:val="24"/>
          <w:szCs w:val="24"/>
          <w:highlight w:val="none"/>
          <w:lang w:val="en-GB" w:eastAsia="zh-CN"/>
        </w:rPr>
        <w:t>采购人</w:t>
      </w:r>
      <w:r>
        <w:rPr>
          <w:rFonts w:hint="eastAsia" w:ascii="宋体" w:hAnsi="宋体" w:eastAsia="宋体" w:cs="宋体"/>
          <w:color w:val="auto"/>
          <w:sz w:val="24"/>
          <w:szCs w:val="24"/>
          <w:highlight w:val="none"/>
          <w:lang w:val="en-GB"/>
        </w:rPr>
        <w:t>在申请手续办理完毕后</w:t>
      </w:r>
      <w:r>
        <w:rPr>
          <w:rFonts w:hint="eastAsia" w:ascii="宋体" w:hAnsi="宋体" w:eastAsia="宋体" w:cs="宋体"/>
          <w:color w:val="auto"/>
          <w:sz w:val="24"/>
          <w:szCs w:val="24"/>
          <w:highlight w:val="none"/>
          <w:lang w:val="en-US" w:eastAsia="zh-CN"/>
        </w:rPr>
        <w:t>30天</w:t>
      </w:r>
      <w:r>
        <w:rPr>
          <w:rFonts w:hint="eastAsia" w:ascii="宋体" w:hAnsi="宋体" w:eastAsia="宋体" w:cs="宋体"/>
          <w:color w:val="auto"/>
          <w:sz w:val="24"/>
          <w:szCs w:val="24"/>
          <w:highlight w:val="none"/>
          <w:lang w:val="en-GB"/>
        </w:rPr>
        <w:t>内支付货款。</w:t>
      </w:r>
    </w:p>
    <w:p>
      <w:pPr>
        <w:pStyle w:val="87"/>
        <w:spacing w:line="360" w:lineRule="auto"/>
        <w:rPr>
          <w:rFonts w:ascii="宋体" w:hAnsi="宋体" w:eastAsia="宋体" w:cs="宋体"/>
          <w:b/>
          <w:color w:val="auto"/>
          <w:highlight w:val="none"/>
        </w:rPr>
      </w:pPr>
      <w:r>
        <w:rPr>
          <w:rFonts w:hint="eastAsia" w:ascii="宋体" w:hAnsi="宋体" w:eastAsia="宋体" w:cs="宋体"/>
          <w:b/>
          <w:color w:val="auto"/>
          <w:highlight w:val="none"/>
        </w:rPr>
        <w:t>七、验收要求</w:t>
      </w:r>
    </w:p>
    <w:p>
      <w:pPr>
        <w:pStyle w:val="87"/>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所有产品须正规厂家生产、供货时提供相关证书，招标人按国家规范和合同要求及承诺进行现场验收，如有必要有权对药品进行抽样检测，费用由中标人提供。因质量问题造成的损失由中标人承担，由此产生的一切费用及责任由中标人自行负责。</w:t>
      </w:r>
    </w:p>
    <w:p>
      <w:pPr>
        <w:pStyle w:val="87"/>
        <w:numPr>
          <w:ilvl w:val="0"/>
          <w:numId w:val="0"/>
        </w:numPr>
        <w:spacing w:line="360" w:lineRule="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八、其他</w:t>
      </w:r>
    </w:p>
    <w:p>
      <w:pPr>
        <w:spacing w:line="360" w:lineRule="auto"/>
        <w:ind w:firstLine="482"/>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投标报价采用费率报价，投标报价应是招标文件所确定的招标范围内全部工作内容的价格表现，供应商应综合考虑招标文件、合同条款、如有招标答疑明确的涉及由供应商承担的费用。基准单价为全费用综合单价，费用包括所投产品价格、运输费用（全覆盖运输）、保险费用、税费、装车费用、技术服务费、售后服务费、政策性文件规定及合同包含的所有风险、责任等所有费用。</w:t>
      </w:r>
    </w:p>
    <w:p>
      <w:pPr>
        <w:spacing w:line="360" w:lineRule="auto"/>
        <w:ind w:firstLine="482"/>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结算方式：某品种化肥农药薄膜结算单价=该品种化肥农药薄膜基准单价*中标费率；结算时，某品种化肥农药薄膜结算总价=该品种化肥农药薄膜实际采购数量*该品种化肥农药薄膜基准单价*中标费率，其余依次类推。</w:t>
      </w:r>
    </w:p>
    <w:p>
      <w:pPr>
        <w:pStyle w:val="87"/>
        <w:numPr>
          <w:ilvl w:val="0"/>
          <w:numId w:val="0"/>
        </w:numPr>
        <w:spacing w:line="360" w:lineRule="auto"/>
        <w:rPr>
          <w:rFonts w:hint="eastAsia" w:ascii="宋体" w:hAnsi="宋体" w:eastAsia="宋体" w:cs="宋体"/>
          <w:b/>
          <w:color w:val="auto"/>
          <w:highlight w:val="none"/>
          <w:lang w:val="en-US" w:eastAsia="zh-CN"/>
        </w:rPr>
      </w:pPr>
    </w:p>
    <w:p>
      <w:pPr>
        <w:pStyle w:val="87"/>
        <w:numPr>
          <w:ilvl w:val="0"/>
          <w:numId w:val="0"/>
        </w:numPr>
        <w:spacing w:line="360" w:lineRule="auto"/>
        <w:ind w:left="360" w:leftChars="0"/>
        <w:rPr>
          <w:rFonts w:hint="eastAsia" w:ascii="宋体" w:hAnsi="宋体" w:eastAsia="宋体" w:cs="宋体"/>
          <w:b/>
          <w:color w:val="auto"/>
          <w:highlight w:val="none"/>
          <w:lang w:val="en-US" w:eastAsia="zh-CN"/>
        </w:rPr>
      </w:pPr>
    </w:p>
    <w:p>
      <w:pPr>
        <w:pStyle w:val="87"/>
        <w:widowControl w:val="0"/>
        <w:numPr>
          <w:ilvl w:val="0"/>
          <w:numId w:val="0"/>
        </w:numPr>
        <w:autoSpaceDE w:val="0"/>
        <w:autoSpaceDN w:val="0"/>
        <w:adjustRightInd w:val="0"/>
        <w:spacing w:line="360" w:lineRule="auto"/>
        <w:rPr>
          <w:rFonts w:hint="default" w:ascii="宋体" w:hAnsi="宋体" w:eastAsia="宋体" w:cs="宋体"/>
          <w:bCs/>
          <w:color w:val="auto"/>
          <w:highlight w:val="none"/>
          <w:lang w:val="en-US" w:eastAsia="zh-CN"/>
        </w:rPr>
        <w:sectPr>
          <w:headerReference r:id="rId9" w:type="default"/>
          <w:footerReference r:id="rId10" w:type="default"/>
          <w:pgSz w:w="11906" w:h="16838"/>
          <w:pgMar w:top="1247" w:right="1361" w:bottom="1247" w:left="1361" w:header="851" w:footer="851" w:gutter="0"/>
          <w:pgNumType w:fmt="numberInDash"/>
          <w:cols w:space="720" w:num="1"/>
          <w:docGrid w:type="lines" w:linePitch="312" w:charSpace="0"/>
        </w:sectPr>
      </w:pPr>
    </w:p>
    <w:p>
      <w:pPr>
        <w:numPr>
          <w:ilvl w:val="0"/>
          <w:numId w:val="7"/>
        </w:numPr>
        <w:spacing w:line="360" w:lineRule="auto"/>
        <w:jc w:val="center"/>
        <w:rPr>
          <w:rFonts w:ascii="宋体" w:hAnsi="宋体"/>
          <w:b/>
          <w:color w:val="auto"/>
          <w:sz w:val="36"/>
          <w:szCs w:val="36"/>
          <w:highlight w:val="none"/>
        </w:rPr>
      </w:pPr>
      <w:bookmarkStart w:id="28" w:name="_Toc31173_WPSOffice_Level1"/>
      <w:r>
        <w:rPr>
          <w:rFonts w:hint="eastAsia" w:ascii="宋体" w:hAnsi="宋体"/>
          <w:b/>
          <w:color w:val="auto"/>
          <w:sz w:val="36"/>
          <w:szCs w:val="36"/>
          <w:highlight w:val="none"/>
        </w:rPr>
        <w:t>评标</w:t>
      </w:r>
      <w:bookmarkEnd w:id="28"/>
      <w:r>
        <w:rPr>
          <w:rFonts w:hint="eastAsia" w:ascii="宋体" w:hAnsi="宋体"/>
          <w:b/>
          <w:color w:val="auto"/>
          <w:sz w:val="36"/>
          <w:szCs w:val="36"/>
          <w:highlight w:val="none"/>
        </w:rPr>
        <w:t>办法</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一、采购组织机构将组织评标委员会，对投标人提供的投标文件进行综合评审。</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二、本次招标项目的评标方法为综合评分法，总计100分。评标标准按以下内容及分值进行评审。</w:t>
      </w:r>
    </w:p>
    <w:tbl>
      <w:tblPr>
        <w:tblStyle w:val="28"/>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4"/>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764" w:type="dxa"/>
            <w:tcBorders>
              <w:tl2br w:val="single" w:color="auto" w:sz="4" w:space="0"/>
            </w:tcBorders>
          </w:tcPr>
          <w:p>
            <w:pPr>
              <w:autoSpaceDE w:val="0"/>
              <w:autoSpaceDN w:val="0"/>
              <w:adjustRightInd w:val="0"/>
              <w:jc w:val="left"/>
              <w:rPr>
                <w:rFonts w:ascii="宋体" w:cs="宋体"/>
                <w:color w:val="auto"/>
                <w:szCs w:val="21"/>
                <w:highlight w:val="none"/>
              </w:rPr>
            </w:pPr>
            <w:r>
              <w:rPr>
                <w:rFonts w:hint="eastAsia" w:ascii="宋体" w:cs="宋体"/>
                <w:color w:val="auto"/>
                <w:szCs w:val="21"/>
                <w:highlight w:val="none"/>
              </w:rPr>
              <w:t xml:space="preserve">          标段</w:t>
            </w:r>
          </w:p>
          <w:p>
            <w:pPr>
              <w:autoSpaceDE w:val="0"/>
              <w:autoSpaceDN w:val="0"/>
              <w:adjustRightInd w:val="0"/>
              <w:jc w:val="left"/>
              <w:rPr>
                <w:rFonts w:ascii="宋体" w:cs="宋体"/>
                <w:color w:val="auto"/>
                <w:szCs w:val="21"/>
                <w:highlight w:val="none"/>
              </w:rPr>
            </w:pPr>
            <w:r>
              <w:rPr>
                <w:rFonts w:hint="eastAsia" w:ascii="宋体" w:cs="宋体"/>
                <w:color w:val="auto"/>
                <w:szCs w:val="21"/>
                <w:highlight w:val="none"/>
              </w:rPr>
              <w:t>类别</w:t>
            </w:r>
          </w:p>
        </w:tc>
        <w:tc>
          <w:tcPr>
            <w:tcW w:w="4455" w:type="dxa"/>
            <w:vAlign w:val="center"/>
          </w:tcPr>
          <w:p>
            <w:pPr>
              <w:autoSpaceDE w:val="0"/>
              <w:autoSpaceDN w:val="0"/>
              <w:adjustRightInd w:val="0"/>
              <w:spacing w:line="480" w:lineRule="auto"/>
              <w:jc w:val="center"/>
              <w:rPr>
                <w:rFonts w:ascii="宋体" w:cs="宋体"/>
                <w:color w:val="auto"/>
                <w:szCs w:val="21"/>
                <w:highlight w:val="none"/>
              </w:rPr>
            </w:pPr>
            <w:r>
              <w:rPr>
                <w:rFonts w:hint="eastAsia" w:ascii="宋体" w:cs="宋体"/>
                <w:color w:val="auto"/>
                <w:szCs w:val="21"/>
                <w:highlight w:val="none"/>
              </w:rPr>
              <w:fldChar w:fldCharType="begin"/>
            </w:r>
            <w:r>
              <w:rPr>
                <w:rFonts w:hint="eastAsia" w:ascii="宋体" w:cs="宋体"/>
                <w:color w:val="auto"/>
                <w:szCs w:val="21"/>
                <w:highlight w:val="none"/>
              </w:rPr>
              <w:instrText xml:space="preserve">= 1 \* CHINESENUM3</w:instrText>
            </w:r>
            <w:r>
              <w:rPr>
                <w:rFonts w:hint="eastAsia" w:ascii="宋体" w:cs="宋体"/>
                <w:color w:val="auto"/>
                <w:szCs w:val="21"/>
                <w:highlight w:val="none"/>
              </w:rPr>
              <w:fldChar w:fldCharType="separate"/>
            </w:r>
            <w:r>
              <w:rPr>
                <w:rFonts w:hint="eastAsia" w:ascii="宋体" w:cs="宋体"/>
                <w:color w:val="auto"/>
                <w:szCs w:val="21"/>
                <w:highlight w:val="none"/>
              </w:rPr>
              <w:t>一</w:t>
            </w:r>
            <w:r>
              <w:rPr>
                <w:rFonts w:hint="eastAsia" w:ascii="宋体" w:cs="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64" w:type="dxa"/>
            <w:vAlign w:val="center"/>
          </w:tcPr>
          <w:p>
            <w:pPr>
              <w:widowControl/>
              <w:spacing w:line="360" w:lineRule="auto"/>
              <w:jc w:val="center"/>
              <w:rPr>
                <w:rFonts w:ascii="宋体" w:cs="宋体"/>
                <w:color w:val="auto"/>
                <w:szCs w:val="21"/>
                <w:highlight w:val="none"/>
              </w:rPr>
            </w:pPr>
            <w:r>
              <w:rPr>
                <w:rFonts w:hint="eastAsia" w:ascii="Arial" w:hAnsi="Arial" w:cs="Arial"/>
                <w:color w:val="auto"/>
                <w:szCs w:val="21"/>
                <w:highlight w:val="none"/>
              </w:rPr>
              <w:t>资信技术</w:t>
            </w:r>
          </w:p>
        </w:tc>
        <w:tc>
          <w:tcPr>
            <w:tcW w:w="4455" w:type="dxa"/>
            <w:vAlign w:val="center"/>
          </w:tcPr>
          <w:p>
            <w:pPr>
              <w:autoSpaceDE w:val="0"/>
              <w:autoSpaceDN w:val="0"/>
              <w:adjustRightInd w:val="0"/>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764" w:type="dxa"/>
            <w:vAlign w:val="center"/>
          </w:tcPr>
          <w:p>
            <w:pPr>
              <w:widowControl/>
              <w:spacing w:line="360" w:lineRule="auto"/>
              <w:jc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商务</w:t>
            </w:r>
          </w:p>
        </w:tc>
        <w:tc>
          <w:tcPr>
            <w:tcW w:w="4455" w:type="dxa"/>
            <w:vAlign w:val="center"/>
          </w:tcPr>
          <w:p>
            <w:pPr>
              <w:autoSpaceDE w:val="0"/>
              <w:autoSpaceDN w:val="0"/>
              <w:adjustRightInd w:val="0"/>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40</w:t>
            </w:r>
          </w:p>
        </w:tc>
      </w:tr>
    </w:tbl>
    <w:p>
      <w:pPr>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（一）资信技术文件中的客观分由评标委员会讨论后统一打分；其余在规定的分值内单独评定打分</w:t>
      </w:r>
      <w:r>
        <w:rPr>
          <w:rFonts w:hint="eastAsia" w:ascii="宋体" w:cs="宋体"/>
          <w:color w:val="auto"/>
          <w:szCs w:val="21"/>
          <w:highlight w:val="none"/>
        </w:rPr>
        <w:t>（小数点后保留1位）</w:t>
      </w:r>
      <w:r>
        <w:rPr>
          <w:rFonts w:hint="eastAsia" w:ascii="宋体" w:cs="宋体"/>
          <w:color w:val="auto"/>
          <w:szCs w:val="21"/>
          <w:highlight w:val="none"/>
          <w:lang w:val="zh-CN"/>
        </w:rPr>
        <w:t>。</w:t>
      </w:r>
    </w:p>
    <w:p>
      <w:pPr>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（二）各投标人资信技术文件得分按照评标委员会成员的独立评分结果汇总后的算术平均分计算</w:t>
      </w:r>
      <w:r>
        <w:rPr>
          <w:rFonts w:hint="eastAsia" w:ascii="宋体" w:cs="宋体"/>
          <w:color w:val="auto"/>
          <w:szCs w:val="21"/>
          <w:highlight w:val="none"/>
        </w:rPr>
        <w:t>（小数点后保留2位）</w:t>
      </w:r>
      <w:r>
        <w:rPr>
          <w:rFonts w:hint="eastAsia" w:ascii="宋体" w:cs="宋体"/>
          <w:color w:val="auto"/>
          <w:szCs w:val="21"/>
          <w:highlight w:val="none"/>
          <w:lang w:val="zh-CN"/>
        </w:rPr>
        <w:t>，计算公式为：</w:t>
      </w:r>
    </w:p>
    <w:p>
      <w:pPr>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资信技术文件</w:t>
      </w:r>
      <w:r>
        <w:rPr>
          <w:rFonts w:hint="eastAsia" w:ascii="宋体" w:cs="宋体"/>
          <w:color w:val="auto"/>
          <w:szCs w:val="21"/>
          <w:highlight w:val="none"/>
        </w:rPr>
        <w:t>得分</w:t>
      </w:r>
      <w:r>
        <w:rPr>
          <w:rFonts w:hint="eastAsia" w:ascii="宋体" w:cs="宋体"/>
          <w:color w:val="auto"/>
          <w:szCs w:val="21"/>
          <w:highlight w:val="none"/>
          <w:lang w:val="zh-CN"/>
        </w:rPr>
        <w:t>=评标委员会所有成员评分合计数/评标委员会组成人员数。</w:t>
      </w:r>
    </w:p>
    <w:p>
      <w:pPr>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（三）投标报价得分满分</w:t>
      </w:r>
      <w:r>
        <w:rPr>
          <w:rFonts w:hint="eastAsia" w:ascii="宋体" w:cs="宋体"/>
          <w:color w:val="auto"/>
          <w:szCs w:val="21"/>
          <w:highlight w:val="none"/>
          <w:lang w:val="en-US" w:eastAsia="zh-CN"/>
        </w:rPr>
        <w:t>40</w:t>
      </w:r>
      <w:r>
        <w:rPr>
          <w:rFonts w:hint="eastAsia" w:ascii="宋体" w:cs="宋体"/>
          <w:color w:val="auto"/>
          <w:szCs w:val="21"/>
          <w:highlight w:val="none"/>
        </w:rPr>
        <w:t>分</w:t>
      </w:r>
      <w:r>
        <w:rPr>
          <w:rFonts w:hint="eastAsia" w:ascii="宋体" w:cs="宋体"/>
          <w:color w:val="auto"/>
          <w:szCs w:val="21"/>
          <w:highlight w:val="none"/>
          <w:lang w:val="zh-CN"/>
        </w:rPr>
        <w:t>，即满足招标文件要求且投标报价（</w:t>
      </w:r>
      <w:r>
        <w:rPr>
          <w:rFonts w:hint="eastAsia" w:ascii="宋体" w:cs="宋体"/>
          <w:color w:val="auto"/>
          <w:szCs w:val="21"/>
          <w:highlight w:val="none"/>
          <w:lang w:val="en-US" w:eastAsia="zh-CN"/>
        </w:rPr>
        <w:t>结算率）</w:t>
      </w:r>
      <w:r>
        <w:rPr>
          <w:rFonts w:hint="eastAsia" w:ascii="宋体" w:cs="宋体"/>
          <w:color w:val="auto"/>
          <w:szCs w:val="21"/>
          <w:highlight w:val="none"/>
          <w:lang w:val="zh-CN"/>
        </w:rPr>
        <w:t>最低的投标报价为评标基准价，其报价得满分。其他投标人的投标报价得分按下列公式计算：</w:t>
      </w:r>
    </w:p>
    <w:p>
      <w:pPr>
        <w:spacing w:line="360" w:lineRule="auto"/>
        <w:ind w:firstLine="420" w:firstLineChars="200"/>
        <w:rPr>
          <w:rFonts w:ascii="宋体" w:cs="宋体"/>
          <w:color w:val="auto"/>
          <w:szCs w:val="21"/>
          <w:highlight w:val="none"/>
          <w:u w:val="single"/>
          <w:lang w:val="zh-CN"/>
        </w:rPr>
      </w:pPr>
      <w:r>
        <w:rPr>
          <w:rFonts w:hint="eastAsia" w:ascii="宋体" w:cs="宋体"/>
          <w:color w:val="auto"/>
          <w:szCs w:val="21"/>
          <w:highlight w:val="none"/>
          <w:u w:val="single"/>
          <w:lang w:val="zh-CN"/>
        </w:rPr>
        <w:t>投标报价得分=(评标基准价</w:t>
      </w:r>
      <w:r>
        <w:rPr>
          <w:rFonts w:hint="eastAsia" w:ascii="宋体" w:cs="宋体"/>
          <w:color w:val="auto"/>
          <w:szCs w:val="21"/>
          <w:highlight w:val="none"/>
          <w:u w:val="single"/>
        </w:rPr>
        <w:t>/</w:t>
      </w:r>
      <w:r>
        <w:rPr>
          <w:rFonts w:hint="eastAsia" w:ascii="宋体" w:cs="宋体"/>
          <w:color w:val="auto"/>
          <w:szCs w:val="21"/>
          <w:highlight w:val="none"/>
          <w:u w:val="single"/>
          <w:lang w:val="zh-CN"/>
        </w:rPr>
        <w:t>投标报价)×</w:t>
      </w:r>
      <w:r>
        <w:rPr>
          <w:rFonts w:hint="eastAsia" w:ascii="宋体" w:cs="宋体"/>
          <w:color w:val="auto"/>
          <w:szCs w:val="21"/>
          <w:highlight w:val="none"/>
          <w:u w:val="single"/>
          <w:lang w:val="en-US" w:eastAsia="zh-CN"/>
        </w:rPr>
        <w:t>4</w:t>
      </w:r>
      <w:r>
        <w:rPr>
          <w:rFonts w:hint="eastAsia" w:ascii="宋体" w:cs="宋体"/>
          <w:color w:val="auto"/>
          <w:szCs w:val="21"/>
          <w:highlight w:val="none"/>
          <w:u w:val="single"/>
        </w:rPr>
        <w:t>0%</w:t>
      </w:r>
      <w:r>
        <w:rPr>
          <w:rFonts w:hint="eastAsia" w:ascii="宋体" w:cs="宋体"/>
          <w:color w:val="auto"/>
          <w:szCs w:val="21"/>
          <w:highlight w:val="none"/>
          <w:u w:val="single"/>
          <w:lang w:val="zh-CN"/>
        </w:rPr>
        <w:t>×100 。（得分保留2位小数,小数点后第三位四舍五入） 。</w:t>
      </w:r>
    </w:p>
    <w:p>
      <w:pPr>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三、在最大限度地满足招标文件实质性要求前提下，评标委员会按照招标文件中规定的各项因素进行综合评审后，</w:t>
      </w:r>
      <w:r>
        <w:rPr>
          <w:rFonts w:hint="eastAsia" w:ascii="宋体" w:hAnsi="宋体" w:cs="宋体"/>
          <w:color w:val="auto"/>
          <w:szCs w:val="21"/>
          <w:highlight w:val="none"/>
          <w:lang w:val="zh-CN"/>
        </w:rPr>
        <w:t>以评标总得分第一的投标人为第一中标候选人，以评标总得分第二的投标人为第二中标候选人。</w:t>
      </w:r>
    </w:p>
    <w:p>
      <w:pPr>
        <w:autoSpaceDE w:val="0"/>
        <w:autoSpaceDN w:val="0"/>
        <w:adjustRightInd w:val="0"/>
        <w:spacing w:line="360" w:lineRule="auto"/>
        <w:ind w:right="85" w:firstLine="420" w:firstLineChars="200"/>
        <w:rPr>
          <w:rFonts w:ascii="宋体" w:cs="宋体"/>
          <w:color w:val="auto"/>
          <w:szCs w:val="21"/>
          <w:highlight w:val="none"/>
          <w:lang w:val="zh-CN"/>
        </w:rPr>
      </w:pPr>
      <w:r>
        <w:rPr>
          <w:rFonts w:hint="eastAsia" w:ascii="宋体" w:cs="宋体"/>
          <w:color w:val="auto"/>
          <w:szCs w:val="21"/>
          <w:highlight w:val="none"/>
          <w:lang w:val="zh-CN"/>
        </w:rPr>
        <w:t>四、中标候选人放弃中标、因不可抗力提出不能履行合同，或者招标文件规定应当提交履约保证金而在规定的期限内未能提交的，招标人可以确定排名次之的中标候选人为中标人。</w:t>
      </w:r>
    </w:p>
    <w:p>
      <w:pPr>
        <w:autoSpaceDE w:val="0"/>
        <w:autoSpaceDN w:val="0"/>
        <w:adjustRightInd w:val="0"/>
        <w:spacing w:line="360" w:lineRule="auto"/>
        <w:ind w:right="85" w:firstLine="420" w:firstLineChars="200"/>
        <w:rPr>
          <w:rFonts w:ascii="宋体" w:cs="宋体"/>
          <w:color w:val="auto"/>
          <w:szCs w:val="21"/>
          <w:highlight w:val="none"/>
          <w:lang w:val="zh-CN"/>
        </w:rPr>
      </w:pPr>
      <w:r>
        <w:rPr>
          <w:rFonts w:hint="eastAsia" w:ascii="宋体" w:cs="宋体"/>
          <w:color w:val="auto"/>
          <w:szCs w:val="21"/>
          <w:highlight w:val="none"/>
          <w:lang w:val="zh-CN"/>
        </w:rPr>
        <w:t>五、如综合得分相同，最后报价低者为先；如综合得分且最后报价相同的，以</w:t>
      </w:r>
      <w:r>
        <w:rPr>
          <w:rFonts w:hint="eastAsia" w:ascii="宋体" w:cs="宋体"/>
          <w:color w:val="auto"/>
          <w:szCs w:val="21"/>
          <w:highlight w:val="none"/>
        </w:rPr>
        <w:t>商务</w:t>
      </w:r>
      <w:r>
        <w:rPr>
          <w:rFonts w:hint="eastAsia" w:ascii="宋体" w:cs="宋体"/>
          <w:color w:val="auto"/>
          <w:szCs w:val="21"/>
          <w:highlight w:val="none"/>
          <w:lang w:val="zh-CN"/>
        </w:rPr>
        <w:t>得分较高者为先。</w:t>
      </w:r>
    </w:p>
    <w:p>
      <w:pPr>
        <w:autoSpaceDE w:val="0"/>
        <w:autoSpaceDN w:val="0"/>
        <w:adjustRightInd w:val="0"/>
        <w:spacing w:line="360" w:lineRule="auto"/>
        <w:ind w:right="85" w:firstLine="420" w:firstLineChars="200"/>
        <w:rPr>
          <w:color w:val="auto"/>
          <w:highlight w:val="none"/>
          <w:lang w:val="zh-CN"/>
        </w:rPr>
      </w:pPr>
      <w:r>
        <w:rPr>
          <w:rFonts w:hint="eastAsia"/>
          <w:color w:val="auto"/>
          <w:highlight w:val="none"/>
          <w:lang w:val="zh-CN"/>
        </w:rPr>
        <w:t>评标办法的解释权归招标人。</w:t>
      </w:r>
    </w:p>
    <w:p>
      <w:pPr>
        <w:spacing w:line="360" w:lineRule="auto"/>
        <w:ind w:firstLine="420" w:firstLineChars="200"/>
        <w:rPr>
          <w:rFonts w:ascii="宋体" w:cs="宋体"/>
          <w:color w:val="auto"/>
          <w:sz w:val="24"/>
          <w:highlight w:val="none"/>
          <w:lang w:val="zh-CN"/>
        </w:rPr>
      </w:pPr>
      <w:r>
        <w:rPr>
          <w:rFonts w:hint="eastAsia" w:ascii="宋体" w:cs="宋体"/>
          <w:color w:val="auto"/>
          <w:szCs w:val="21"/>
          <w:highlight w:val="none"/>
          <w:lang w:val="zh-CN"/>
        </w:rPr>
        <w:t>六、本次评分具体分值细化条款如下表：</w:t>
      </w:r>
      <w:r>
        <w:rPr>
          <w:rFonts w:hint="eastAsia" w:ascii="宋体" w:cs="宋体"/>
          <w:color w:val="auto"/>
          <w:sz w:val="24"/>
          <w:highlight w:val="none"/>
          <w:lang w:val="zh-CN"/>
        </w:rPr>
        <w:t xml:space="preserve">  </w:t>
      </w:r>
    </w:p>
    <w:tbl>
      <w:tblPr>
        <w:tblStyle w:val="29"/>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828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blHeader/>
          <w:jc w:val="center"/>
        </w:trPr>
        <w:tc>
          <w:tcPr>
            <w:tcW w:w="860" w:type="dxa"/>
            <w:vAlign w:val="center"/>
          </w:tcPr>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8286" w:type="dxa"/>
            <w:vAlign w:val="center"/>
          </w:tcPr>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评标标准</w:t>
            </w:r>
          </w:p>
        </w:tc>
        <w:tc>
          <w:tcPr>
            <w:tcW w:w="793" w:type="dxa"/>
            <w:vAlign w:val="center"/>
          </w:tcPr>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60" w:type="dxa"/>
            <w:vAlign w:val="center"/>
          </w:tcPr>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8286" w:type="dxa"/>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投标人业绩：投标人提供自2021年1月1日以来类似项目为业绩（以合同签订时间为准），每提供一项有效业绩，得1分，本项最高得</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p>
          <w:p>
            <w:pPr>
              <w:spacing w:line="360" w:lineRule="auto"/>
              <w:rPr>
                <w:rFonts w:ascii="宋体" w:hAnsi="宋体" w:cs="宋体"/>
                <w:color w:val="auto"/>
                <w:sz w:val="22"/>
                <w:szCs w:val="22"/>
                <w:highlight w:val="none"/>
              </w:rPr>
            </w:pPr>
            <w:r>
              <w:rPr>
                <w:rFonts w:hint="eastAsia" w:ascii="宋体" w:hAnsi="宋体" w:cs="宋体"/>
                <w:b/>
                <w:bCs/>
                <w:color w:val="auto"/>
                <w:sz w:val="22"/>
                <w:szCs w:val="22"/>
                <w:highlight w:val="none"/>
              </w:rPr>
              <w:t>投标人需提供项目合同扫描件并加盖公章，否则不得分。</w:t>
            </w:r>
          </w:p>
        </w:tc>
        <w:tc>
          <w:tcPr>
            <w:tcW w:w="793" w:type="dxa"/>
            <w:vAlign w:val="center"/>
          </w:tcPr>
          <w:p>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60" w:type="dxa"/>
            <w:vAlign w:val="center"/>
          </w:tcPr>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8286" w:type="dxa"/>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根据供应商的</w:t>
            </w:r>
            <w:r>
              <w:rPr>
                <w:rFonts w:hint="eastAsia" w:ascii="宋体" w:hAnsi="宋体" w:cs="宋体"/>
                <w:color w:val="auto"/>
                <w:sz w:val="22"/>
                <w:szCs w:val="22"/>
                <w:highlight w:val="none"/>
              </w:rPr>
              <w:t>服务响应时间（自收到采购人供货通知开始）</w:t>
            </w:r>
            <w:r>
              <w:rPr>
                <w:rFonts w:hint="eastAsia" w:ascii="宋体" w:hAnsi="宋体" w:cs="宋体"/>
                <w:color w:val="auto"/>
                <w:sz w:val="22"/>
                <w:szCs w:val="22"/>
                <w:highlight w:val="none"/>
                <w:lang w:val="en-US" w:eastAsia="zh-CN"/>
              </w:rPr>
              <w:t>进行评审</w:t>
            </w:r>
            <w:r>
              <w:rPr>
                <w:rFonts w:hint="eastAsia" w:ascii="宋体" w:hAnsi="宋体" w:cs="宋体"/>
                <w:color w:val="auto"/>
                <w:sz w:val="22"/>
                <w:szCs w:val="22"/>
                <w:highlight w:val="none"/>
              </w:rPr>
              <w:t>：响应时间短</w:t>
            </w:r>
            <w:r>
              <w:rPr>
                <w:rFonts w:hint="eastAsia" w:ascii="宋体" w:hAnsi="宋体" w:cs="宋体"/>
                <w:color w:val="auto"/>
                <w:sz w:val="22"/>
                <w:szCs w:val="22"/>
                <w:highlight w:val="none"/>
                <w:lang w:val="en-US" w:eastAsia="zh-CN"/>
              </w:rPr>
              <w:t>的</w:t>
            </w:r>
            <w:r>
              <w:rPr>
                <w:rFonts w:hint="eastAsia" w:ascii="宋体" w:hAnsi="宋体" w:cs="宋体"/>
                <w:color w:val="auto"/>
                <w:sz w:val="22"/>
                <w:szCs w:val="22"/>
                <w:highlight w:val="none"/>
              </w:rPr>
              <w:t>得</w:t>
            </w:r>
            <w:r>
              <w:rPr>
                <w:rFonts w:hint="eastAsia" w:ascii="宋体" w:hAnsi="宋体" w:cs="宋体"/>
                <w:color w:val="auto"/>
                <w:sz w:val="22"/>
                <w:szCs w:val="22"/>
                <w:highlight w:val="none"/>
                <w:lang w:val="en-US" w:eastAsia="zh-CN"/>
              </w:rPr>
              <w:t>3-2</w:t>
            </w:r>
            <w:r>
              <w:rPr>
                <w:rFonts w:hint="eastAsia" w:ascii="宋体" w:hAnsi="宋体" w:cs="宋体"/>
                <w:color w:val="auto"/>
                <w:sz w:val="22"/>
                <w:szCs w:val="22"/>
                <w:highlight w:val="none"/>
              </w:rPr>
              <w:t>分，响应时间一般</w:t>
            </w:r>
            <w:r>
              <w:rPr>
                <w:rFonts w:hint="eastAsia" w:ascii="宋体" w:hAnsi="宋体" w:cs="宋体"/>
                <w:color w:val="auto"/>
                <w:sz w:val="22"/>
                <w:szCs w:val="22"/>
                <w:highlight w:val="none"/>
                <w:lang w:val="en-US" w:eastAsia="zh-CN"/>
              </w:rPr>
              <w:t>的</w:t>
            </w:r>
            <w:r>
              <w:rPr>
                <w:rFonts w:hint="eastAsia" w:ascii="宋体" w:hAnsi="宋体" w:cs="宋体"/>
                <w:color w:val="auto"/>
                <w:sz w:val="22"/>
                <w:szCs w:val="22"/>
                <w:highlight w:val="none"/>
              </w:rPr>
              <w:t>得</w:t>
            </w:r>
            <w:r>
              <w:rPr>
                <w:rFonts w:hint="eastAsia" w:ascii="宋体" w:hAnsi="宋体" w:cs="宋体"/>
                <w:color w:val="auto"/>
                <w:sz w:val="22"/>
                <w:szCs w:val="22"/>
                <w:highlight w:val="none"/>
                <w:lang w:val="en-US" w:eastAsia="zh-CN"/>
              </w:rPr>
              <w:t>1.9-1</w:t>
            </w:r>
            <w:r>
              <w:rPr>
                <w:rFonts w:hint="eastAsia" w:ascii="宋体" w:hAnsi="宋体" w:cs="宋体"/>
                <w:color w:val="auto"/>
                <w:sz w:val="22"/>
                <w:szCs w:val="22"/>
                <w:highlight w:val="none"/>
              </w:rPr>
              <w:t>分，响应时间长</w:t>
            </w:r>
            <w:r>
              <w:rPr>
                <w:rFonts w:hint="eastAsia" w:ascii="宋体" w:hAnsi="宋体" w:cs="宋体"/>
                <w:color w:val="auto"/>
                <w:sz w:val="22"/>
                <w:szCs w:val="22"/>
                <w:highlight w:val="none"/>
                <w:lang w:val="en-US" w:eastAsia="zh-CN"/>
              </w:rPr>
              <w:t>的得0</w:t>
            </w:r>
            <w:r>
              <w:rPr>
                <w:rFonts w:hint="eastAsia" w:ascii="宋体" w:hAnsi="宋体" w:cs="宋体"/>
                <w:color w:val="auto"/>
                <w:sz w:val="22"/>
                <w:szCs w:val="22"/>
                <w:highlight w:val="none"/>
              </w:rPr>
              <w:t>.9-0分。</w:t>
            </w:r>
          </w:p>
        </w:tc>
        <w:tc>
          <w:tcPr>
            <w:tcW w:w="793" w:type="dxa"/>
            <w:vAlign w:val="center"/>
          </w:tcPr>
          <w:p>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60" w:type="dxa"/>
            <w:vAlign w:val="center"/>
          </w:tcPr>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8286" w:type="dxa"/>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2021年1月1日以来，在浙江省内无市场抽检不合格记录或无制假售假的不良记录的得</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分，其他不得分。</w:t>
            </w:r>
          </w:p>
          <w:p>
            <w:pPr>
              <w:spacing w:line="360" w:lineRule="auto"/>
              <w:rPr>
                <w:rFonts w:ascii="宋体" w:hAnsi="宋体" w:cs="宋体"/>
                <w:color w:val="auto"/>
                <w:sz w:val="22"/>
                <w:szCs w:val="22"/>
                <w:highlight w:val="none"/>
              </w:rPr>
            </w:pPr>
            <w:r>
              <w:rPr>
                <w:rFonts w:hint="eastAsia" w:ascii="宋体" w:hAnsi="宋体" w:cs="宋体"/>
                <w:b/>
                <w:bCs/>
                <w:color w:val="auto"/>
                <w:sz w:val="22"/>
                <w:szCs w:val="22"/>
                <w:highlight w:val="none"/>
              </w:rPr>
              <w:t>备注：提供浙江政务网行政处罚网截图，未提供不得分。</w:t>
            </w:r>
          </w:p>
        </w:tc>
        <w:tc>
          <w:tcPr>
            <w:tcW w:w="793" w:type="dxa"/>
            <w:vAlign w:val="center"/>
          </w:tcPr>
          <w:p>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vAlign w:val="center"/>
          </w:tcPr>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8286" w:type="dxa"/>
            <w:vAlign w:val="center"/>
          </w:tcPr>
          <w:p>
            <w:pPr>
              <w:numPr>
                <w:ilvl w:val="0"/>
                <w:numId w:val="10"/>
              </w:numPr>
              <w:spacing w:line="360" w:lineRule="auto"/>
              <w:rPr>
                <w:rFonts w:ascii="宋体" w:hAnsi="宋体" w:cs="宋体"/>
                <w:b/>
                <w:bCs/>
                <w:color w:val="auto"/>
                <w:sz w:val="22"/>
                <w:szCs w:val="22"/>
                <w:highlight w:val="none"/>
              </w:rPr>
            </w:pPr>
            <w:r>
              <w:rPr>
                <w:rFonts w:hint="eastAsia" w:ascii="宋体" w:hAnsi="宋体" w:cs="宋体"/>
                <w:color w:val="auto"/>
                <w:sz w:val="22"/>
                <w:szCs w:val="22"/>
                <w:highlight w:val="none"/>
              </w:rPr>
              <w:t>投标人运输车辆情况，每提供一辆车（轻型或小型货车）得2分，最多得</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分</w:t>
            </w:r>
            <w:r>
              <w:rPr>
                <w:rFonts w:hint="eastAsia" w:ascii="宋体" w:hAnsi="宋体" w:cs="宋体"/>
                <w:b/>
                <w:bCs/>
                <w:color w:val="auto"/>
                <w:sz w:val="22"/>
                <w:szCs w:val="22"/>
                <w:highlight w:val="none"/>
              </w:rPr>
              <w:t>（提供车辆照片、行驶证或车辆能有效使用的证明或租赁合同复印件）</w:t>
            </w:r>
          </w:p>
          <w:p>
            <w:pPr>
              <w:spacing w:line="360" w:lineRule="auto"/>
              <w:rPr>
                <w:rFonts w:ascii="Arial" w:hAnsi="Arial"/>
                <w:color w:val="auto"/>
                <w:highlight w:val="none"/>
              </w:rPr>
            </w:pPr>
            <w:r>
              <w:rPr>
                <w:rFonts w:hint="eastAsia" w:ascii="Arial" w:hAnsi="Arial"/>
                <w:color w:val="auto"/>
                <w:highlight w:val="none"/>
              </w:rPr>
              <w:t>2、有可靠的运输措施的得</w:t>
            </w:r>
            <w:r>
              <w:rPr>
                <w:rFonts w:hint="eastAsia" w:ascii="Arial" w:hAnsi="Arial"/>
                <w:color w:val="auto"/>
                <w:highlight w:val="none"/>
                <w:lang w:val="en-US" w:eastAsia="zh-CN"/>
              </w:rPr>
              <w:t>4-2</w:t>
            </w:r>
            <w:r>
              <w:rPr>
                <w:rFonts w:hint="eastAsia" w:ascii="Arial" w:hAnsi="Arial"/>
                <w:color w:val="auto"/>
                <w:highlight w:val="none"/>
              </w:rPr>
              <w:t>分；运输措施不全面的，保障性差的得</w:t>
            </w:r>
            <w:r>
              <w:rPr>
                <w:rFonts w:hint="eastAsia" w:ascii="Arial" w:hAnsi="Arial"/>
                <w:color w:val="auto"/>
                <w:highlight w:val="none"/>
                <w:lang w:val="en-US" w:eastAsia="zh-CN"/>
              </w:rPr>
              <w:t>1</w:t>
            </w:r>
            <w:r>
              <w:rPr>
                <w:rFonts w:hint="eastAsia" w:ascii="Arial" w:hAnsi="Arial"/>
                <w:color w:val="auto"/>
                <w:highlight w:val="none"/>
              </w:rPr>
              <w:t>.9-1分；未提供运输措施的不得分。</w:t>
            </w:r>
          </w:p>
        </w:tc>
        <w:tc>
          <w:tcPr>
            <w:tcW w:w="793" w:type="dxa"/>
            <w:vAlign w:val="center"/>
          </w:tcPr>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60" w:type="dxa"/>
            <w:vAlign w:val="center"/>
          </w:tcPr>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8286" w:type="dxa"/>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售后服务方案，包括但不限于</w:t>
            </w:r>
            <w:r>
              <w:rPr>
                <w:rFonts w:hint="eastAsia" w:ascii="宋体" w:hAnsi="宋体" w:cs="宋体"/>
                <w:color w:val="auto"/>
                <w:sz w:val="22"/>
                <w:szCs w:val="22"/>
                <w:highlight w:val="none"/>
                <w:lang w:val="en-US" w:eastAsia="zh-CN"/>
              </w:rPr>
              <w:t>使用指导、</w:t>
            </w:r>
            <w:r>
              <w:rPr>
                <w:rFonts w:hint="eastAsia" w:ascii="宋体" w:hAnsi="宋体" w:cs="宋体"/>
                <w:color w:val="auto"/>
                <w:sz w:val="22"/>
                <w:szCs w:val="22"/>
                <w:highlight w:val="none"/>
              </w:rPr>
              <w:t>服务响应时间、应急情况解决方案，响应时间短，解决方案充分得</w:t>
            </w:r>
            <w:r>
              <w:rPr>
                <w:rFonts w:hint="eastAsia" w:ascii="宋体" w:hAnsi="宋体" w:cs="宋体"/>
                <w:color w:val="auto"/>
                <w:sz w:val="22"/>
                <w:szCs w:val="22"/>
                <w:highlight w:val="none"/>
                <w:lang w:val="en-US" w:eastAsia="zh-CN"/>
              </w:rPr>
              <w:t>6-4</w:t>
            </w:r>
            <w:r>
              <w:rPr>
                <w:rFonts w:hint="eastAsia" w:ascii="宋体" w:hAnsi="宋体" w:cs="宋体"/>
                <w:color w:val="auto"/>
                <w:sz w:val="22"/>
                <w:szCs w:val="22"/>
                <w:highlight w:val="none"/>
              </w:rPr>
              <w:t>分，响应时间一般，解决方案较合理得</w:t>
            </w:r>
            <w:r>
              <w:rPr>
                <w:rFonts w:hint="eastAsia" w:ascii="宋体" w:hAnsi="宋体" w:cs="宋体"/>
                <w:color w:val="auto"/>
                <w:sz w:val="22"/>
                <w:szCs w:val="22"/>
                <w:highlight w:val="none"/>
                <w:lang w:val="en-US" w:eastAsia="zh-CN"/>
              </w:rPr>
              <w:t>3.9-2</w:t>
            </w:r>
            <w:r>
              <w:rPr>
                <w:rFonts w:hint="eastAsia" w:ascii="宋体" w:hAnsi="宋体" w:cs="宋体"/>
                <w:color w:val="auto"/>
                <w:sz w:val="22"/>
                <w:szCs w:val="22"/>
                <w:highlight w:val="none"/>
              </w:rPr>
              <w:t>分，响应时间长，解决方案一般</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.9-0分。</w:t>
            </w:r>
          </w:p>
        </w:tc>
        <w:tc>
          <w:tcPr>
            <w:tcW w:w="793" w:type="dxa"/>
            <w:vAlign w:val="center"/>
          </w:tcPr>
          <w:p>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860" w:type="dxa"/>
            <w:vAlign w:val="center"/>
          </w:tcPr>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8286" w:type="dxa"/>
            <w:vAlign w:val="center"/>
          </w:tcPr>
          <w:p>
            <w:pPr>
              <w:numPr>
                <w:ilvl w:val="0"/>
                <w:numId w:val="11"/>
              </w:num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供应商仓储能力（符合农药存储规范）大于或等于500平方米的得2分</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300（含）</w:t>
            </w:r>
            <w:r>
              <w:rPr>
                <w:rFonts w:hint="eastAsia" w:ascii="宋体" w:hAnsi="宋体" w:cs="宋体"/>
                <w:color w:val="auto"/>
                <w:sz w:val="22"/>
                <w:szCs w:val="22"/>
                <w:highlight w:val="none"/>
              </w:rPr>
              <w:t>平方米</w:t>
            </w:r>
            <w:r>
              <w:rPr>
                <w:rFonts w:hint="eastAsia" w:ascii="宋体" w:hAnsi="宋体" w:cs="宋体"/>
                <w:color w:val="auto"/>
                <w:sz w:val="22"/>
                <w:szCs w:val="22"/>
                <w:highlight w:val="none"/>
                <w:lang w:val="en-US" w:eastAsia="zh-CN"/>
              </w:rPr>
              <w:t>-500（不含）</w:t>
            </w:r>
            <w:r>
              <w:rPr>
                <w:rFonts w:hint="eastAsia" w:ascii="宋体" w:hAnsi="宋体" w:cs="宋体"/>
                <w:color w:val="auto"/>
                <w:sz w:val="22"/>
                <w:szCs w:val="22"/>
                <w:highlight w:val="none"/>
              </w:rPr>
              <w:t>平方米的得1分</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其余</w:t>
            </w:r>
            <w:r>
              <w:rPr>
                <w:rFonts w:hint="eastAsia" w:ascii="宋体" w:hAnsi="宋体" w:cs="宋体"/>
                <w:color w:val="auto"/>
                <w:sz w:val="22"/>
                <w:szCs w:val="22"/>
                <w:highlight w:val="none"/>
              </w:rPr>
              <w:t>不得分。</w:t>
            </w:r>
          </w:p>
          <w:p>
            <w:pPr>
              <w:numPr>
                <w:ilvl w:val="0"/>
                <w:numId w:val="11"/>
              </w:num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供应商仓库储存条件良好，设施设备齐全，符合存储标准得</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分，设备不齐全，符合存储标准得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.9-0分。</w:t>
            </w:r>
          </w:p>
          <w:p>
            <w:pPr>
              <w:spacing w:line="360" w:lineRule="auto"/>
              <w:rPr>
                <w:rFonts w:ascii="宋体" w:hAnsi="宋体" w:cs="宋体"/>
                <w:color w:val="auto"/>
                <w:sz w:val="22"/>
                <w:szCs w:val="22"/>
                <w:highlight w:val="none"/>
              </w:rPr>
            </w:pPr>
            <w:r>
              <w:rPr>
                <w:rFonts w:hint="eastAsia" w:ascii="宋体" w:hAnsi="宋体" w:cs="宋体"/>
                <w:b/>
                <w:bCs/>
                <w:color w:val="auto"/>
                <w:sz w:val="22"/>
                <w:szCs w:val="22"/>
                <w:highlight w:val="none"/>
              </w:rPr>
              <w:t>(注：供应商仓储具有自有场地的提供房产证明，租用场地的提供租赁合同证明，不提供不得分)</w:t>
            </w:r>
          </w:p>
        </w:tc>
        <w:tc>
          <w:tcPr>
            <w:tcW w:w="793" w:type="dxa"/>
            <w:vAlign w:val="center"/>
          </w:tcPr>
          <w:p>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vAlign w:val="center"/>
          </w:tcPr>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8286" w:type="dxa"/>
            <w:vAlign w:val="center"/>
          </w:tcPr>
          <w:p>
            <w:pPr>
              <w:pStyle w:val="88"/>
              <w:spacing w:line="360" w:lineRule="auto"/>
              <w:ind w:firstLine="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根据供应商</w:t>
            </w:r>
            <w:r>
              <w:rPr>
                <w:rFonts w:hint="eastAsia" w:ascii="宋体" w:hAnsi="宋体" w:cs="宋体"/>
                <w:color w:val="auto"/>
                <w:sz w:val="22"/>
                <w:szCs w:val="22"/>
                <w:highlight w:val="none"/>
              </w:rPr>
              <w:t>建立</w:t>
            </w:r>
            <w:r>
              <w:rPr>
                <w:rFonts w:hint="eastAsia" w:ascii="宋体" w:hAnsi="宋体" w:cs="宋体"/>
                <w:color w:val="auto"/>
                <w:sz w:val="22"/>
                <w:szCs w:val="22"/>
                <w:highlight w:val="none"/>
                <w:lang w:val="en-US" w:eastAsia="zh-CN"/>
              </w:rPr>
              <w:t>的</w:t>
            </w:r>
            <w:r>
              <w:rPr>
                <w:rFonts w:hint="eastAsia" w:ascii="宋体" w:hAnsi="宋体" w:cs="宋体"/>
                <w:color w:val="auto"/>
                <w:sz w:val="22"/>
                <w:szCs w:val="22"/>
                <w:highlight w:val="none"/>
              </w:rPr>
              <w:t>仓库消防安全责任制进行打分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制度详细，消防措施严谨的4-2分；制度及消防措施基本符合要求的得</w:t>
            </w:r>
            <w:r>
              <w:rPr>
                <w:rFonts w:hint="eastAsia" w:ascii="宋体" w:hAnsi="宋体" w:cs="宋体"/>
                <w:color w:val="auto"/>
                <w:spacing w:val="4"/>
                <w:kern w:val="2"/>
                <w:sz w:val="22"/>
                <w:szCs w:val="22"/>
                <w:highlight w:val="none"/>
                <w:lang w:val="en-US" w:eastAsia="zh-CN"/>
              </w:rPr>
              <w:t>1.9-0</w:t>
            </w:r>
            <w:r>
              <w:rPr>
                <w:rFonts w:hint="eastAsia" w:ascii="宋体" w:hAnsi="宋体" w:cs="宋体"/>
                <w:color w:val="auto"/>
                <w:spacing w:val="4"/>
                <w:kern w:val="2"/>
                <w:sz w:val="22"/>
                <w:szCs w:val="22"/>
                <w:highlight w:val="none"/>
              </w:rPr>
              <w:t>分。</w:t>
            </w:r>
          </w:p>
        </w:tc>
        <w:tc>
          <w:tcPr>
            <w:tcW w:w="793" w:type="dxa"/>
            <w:vAlign w:val="center"/>
          </w:tcPr>
          <w:p>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pacing w:val="4"/>
                <w:sz w:val="22"/>
                <w:szCs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60" w:type="dxa"/>
            <w:vAlign w:val="center"/>
          </w:tcPr>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8286" w:type="dxa"/>
            <w:vAlign w:val="center"/>
          </w:tcPr>
          <w:p>
            <w:pPr>
              <w:pStyle w:val="88"/>
              <w:spacing w:line="360" w:lineRule="auto"/>
              <w:ind w:firstLine="0"/>
              <w:rPr>
                <w:rFonts w:ascii="宋体" w:hAnsi="宋体" w:cs="宋体"/>
                <w:color w:val="auto"/>
                <w:sz w:val="22"/>
                <w:szCs w:val="22"/>
                <w:highlight w:val="none"/>
              </w:rPr>
            </w:pPr>
            <w:r>
              <w:rPr>
                <w:rFonts w:hint="eastAsia" w:ascii="宋体" w:hAnsi="宋体" w:cs="宋体"/>
                <w:color w:val="auto"/>
                <w:sz w:val="22"/>
                <w:szCs w:val="22"/>
                <w:highlight w:val="none"/>
              </w:rPr>
              <w:t>管理方案：管理方案有条理，有严谨规范的制度得</w:t>
            </w:r>
            <w:r>
              <w:rPr>
                <w:rFonts w:hint="eastAsia" w:ascii="宋体" w:hAnsi="宋体" w:cs="宋体"/>
                <w:color w:val="auto"/>
                <w:sz w:val="22"/>
                <w:szCs w:val="22"/>
                <w:highlight w:val="none"/>
                <w:lang w:val="en-US" w:eastAsia="zh-CN"/>
              </w:rPr>
              <w:t>5-4</w:t>
            </w:r>
            <w:r>
              <w:rPr>
                <w:rFonts w:hint="eastAsia" w:ascii="宋体" w:hAnsi="宋体" w:cs="宋体"/>
                <w:color w:val="auto"/>
                <w:sz w:val="22"/>
                <w:szCs w:val="22"/>
                <w:highlight w:val="none"/>
              </w:rPr>
              <w:t>分；管理方案比较明确，制度比较规范有条理得</w:t>
            </w:r>
            <w:r>
              <w:rPr>
                <w:rFonts w:hint="eastAsia" w:ascii="宋体" w:hAnsi="宋体" w:cs="宋体"/>
                <w:color w:val="auto"/>
                <w:sz w:val="22"/>
                <w:szCs w:val="22"/>
                <w:highlight w:val="none"/>
                <w:lang w:val="en-US" w:eastAsia="zh-CN"/>
              </w:rPr>
              <w:t>3.9-3</w:t>
            </w:r>
            <w:r>
              <w:rPr>
                <w:rFonts w:hint="eastAsia" w:ascii="宋体" w:hAnsi="宋体" w:cs="宋体"/>
                <w:color w:val="auto"/>
                <w:sz w:val="22"/>
                <w:szCs w:val="22"/>
                <w:highlight w:val="none"/>
              </w:rPr>
              <w:t>分；管理方案不够有条理，制度不够规范得</w:t>
            </w:r>
            <w:r>
              <w:rPr>
                <w:rFonts w:hint="eastAsia" w:ascii="宋体" w:hAnsi="宋体" w:cs="宋体"/>
                <w:color w:val="auto"/>
                <w:sz w:val="22"/>
                <w:szCs w:val="22"/>
                <w:highlight w:val="none"/>
                <w:lang w:val="en-US" w:eastAsia="zh-CN"/>
              </w:rPr>
              <w:t>2.9-2</w:t>
            </w:r>
            <w:r>
              <w:rPr>
                <w:rFonts w:hint="eastAsia" w:ascii="宋体" w:hAnsi="宋体" w:cs="宋体"/>
                <w:color w:val="auto"/>
                <w:sz w:val="22"/>
                <w:szCs w:val="22"/>
                <w:highlight w:val="none"/>
              </w:rPr>
              <w:t>分；管理方案内容简单，制度不够完善得</w:t>
            </w:r>
            <w:r>
              <w:rPr>
                <w:rFonts w:hint="eastAsia" w:ascii="宋体" w:hAnsi="宋体" w:cs="宋体"/>
                <w:color w:val="auto"/>
                <w:sz w:val="22"/>
                <w:szCs w:val="22"/>
                <w:highlight w:val="none"/>
                <w:lang w:val="en-US" w:eastAsia="zh-CN"/>
              </w:rPr>
              <w:t>1.9-0.5</w:t>
            </w:r>
            <w:r>
              <w:rPr>
                <w:rFonts w:hint="eastAsia" w:ascii="宋体" w:hAnsi="宋体" w:cs="宋体"/>
                <w:color w:val="auto"/>
                <w:sz w:val="22"/>
                <w:szCs w:val="22"/>
                <w:highlight w:val="none"/>
              </w:rPr>
              <w:t>分，无得0分。</w:t>
            </w:r>
          </w:p>
        </w:tc>
        <w:tc>
          <w:tcPr>
            <w:tcW w:w="793" w:type="dxa"/>
            <w:vAlign w:val="center"/>
          </w:tcPr>
          <w:p>
            <w:pPr>
              <w:spacing w:line="360" w:lineRule="auto"/>
              <w:jc w:val="center"/>
              <w:rPr>
                <w:rFonts w:hint="eastAsia" w:ascii="宋体" w:hAnsi="宋体" w:eastAsia="宋体" w:cs="宋体"/>
                <w:color w:val="auto"/>
                <w:spacing w:val="4"/>
                <w:sz w:val="22"/>
                <w:szCs w:val="22"/>
                <w:highlight w:val="none"/>
                <w:lang w:eastAsia="zh-CN"/>
              </w:rPr>
            </w:pPr>
            <w:r>
              <w:rPr>
                <w:rFonts w:hint="eastAsia" w:ascii="宋体" w:hAnsi="宋体" w:cs="宋体"/>
                <w:color w:val="auto"/>
                <w:spacing w:val="4"/>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60" w:type="dxa"/>
            <w:vAlign w:val="center"/>
          </w:tcPr>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8286" w:type="dxa"/>
            <w:vAlign w:val="center"/>
          </w:tcPr>
          <w:p>
            <w:pPr>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根据投标人提供的化肥、农药入库储备及质量保障方案：能切实保障化肥、农药入库储备工作及时轮换，确保化肥、农药质量把控严格、详尽进行打分：方案剖析深入准确、科学合理可行的得</w:t>
            </w:r>
            <w:r>
              <w:rPr>
                <w:rFonts w:hint="eastAsia" w:ascii="宋体" w:hAnsi="宋体" w:cs="宋体"/>
                <w:color w:val="auto"/>
                <w:kern w:val="0"/>
                <w:sz w:val="22"/>
                <w:szCs w:val="22"/>
                <w:highlight w:val="none"/>
                <w:lang w:val="en-US" w:eastAsia="zh-CN"/>
              </w:rPr>
              <w:t>6-4</w:t>
            </w:r>
            <w:r>
              <w:rPr>
                <w:rFonts w:hint="eastAsia" w:ascii="宋体" w:hAnsi="宋体" w:cs="宋体"/>
                <w:color w:val="auto"/>
                <w:kern w:val="0"/>
                <w:sz w:val="22"/>
                <w:szCs w:val="22"/>
                <w:highlight w:val="none"/>
              </w:rPr>
              <w:t>分；方案分析不够充分，有所欠缺的得</w:t>
            </w:r>
            <w:r>
              <w:rPr>
                <w:rFonts w:hint="eastAsia" w:ascii="宋体" w:hAnsi="宋体" w:cs="宋体"/>
                <w:color w:val="auto"/>
                <w:kern w:val="0"/>
                <w:sz w:val="22"/>
                <w:szCs w:val="22"/>
                <w:highlight w:val="none"/>
                <w:lang w:val="en-US" w:eastAsia="zh-CN"/>
              </w:rPr>
              <w:t>3.9-2</w:t>
            </w:r>
            <w:r>
              <w:rPr>
                <w:rFonts w:hint="eastAsia" w:ascii="宋体" w:hAnsi="宋体" w:cs="宋体"/>
                <w:color w:val="auto"/>
                <w:kern w:val="0"/>
                <w:sz w:val="22"/>
                <w:szCs w:val="22"/>
                <w:highlight w:val="none"/>
              </w:rPr>
              <w:t>分；方案分析不足，欠缺合理的得</w:t>
            </w:r>
            <w:r>
              <w:rPr>
                <w:rFonts w:hint="eastAsia" w:ascii="宋体" w:hAnsi="宋体" w:cs="宋体"/>
                <w:color w:val="auto"/>
                <w:kern w:val="0"/>
                <w:sz w:val="22"/>
                <w:szCs w:val="22"/>
                <w:highlight w:val="none"/>
                <w:lang w:val="en-US" w:eastAsia="zh-CN"/>
              </w:rPr>
              <w:t>1.9</w:t>
            </w:r>
            <w:r>
              <w:rPr>
                <w:rFonts w:hint="eastAsia" w:ascii="宋体" w:hAnsi="宋体" w:cs="宋体"/>
                <w:color w:val="auto"/>
                <w:kern w:val="0"/>
                <w:sz w:val="22"/>
                <w:szCs w:val="22"/>
                <w:highlight w:val="none"/>
              </w:rPr>
              <w:t>-0分。</w:t>
            </w:r>
          </w:p>
        </w:tc>
        <w:tc>
          <w:tcPr>
            <w:tcW w:w="793" w:type="dxa"/>
            <w:vAlign w:val="center"/>
          </w:tcPr>
          <w:p>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860" w:type="dxa"/>
            <w:vAlign w:val="center"/>
          </w:tcPr>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8286" w:type="dxa"/>
            <w:vAlign w:val="center"/>
          </w:tcPr>
          <w:p>
            <w:pPr>
              <w:spacing w:line="360" w:lineRule="auto"/>
              <w:rPr>
                <w:rFonts w:ascii="宋体" w:hAnsi="宋体" w:cs="宋体"/>
                <w:color w:val="auto"/>
                <w:sz w:val="22"/>
                <w:szCs w:val="22"/>
                <w:highlight w:val="none"/>
              </w:rPr>
            </w:pPr>
            <w:r>
              <w:rPr>
                <w:rFonts w:hint="eastAsia" w:ascii="宋体" w:hAnsi="宋体" w:cs="宋体"/>
                <w:bCs/>
                <w:color w:val="auto"/>
                <w:sz w:val="22"/>
                <w:szCs w:val="22"/>
                <w:highlight w:val="none"/>
              </w:rPr>
              <w:t>供货方案：</w:t>
            </w:r>
            <w:r>
              <w:rPr>
                <w:rFonts w:hint="eastAsia" w:ascii="宋体" w:hAnsi="宋体" w:cs="宋体"/>
                <w:color w:val="auto"/>
                <w:spacing w:val="4"/>
                <w:sz w:val="22"/>
                <w:szCs w:val="22"/>
                <w:highlight w:val="none"/>
              </w:rPr>
              <w:t>根据投标人针对</w:t>
            </w:r>
            <w:r>
              <w:rPr>
                <w:rFonts w:hint="eastAsia" w:ascii="宋体" w:hAnsi="宋体" w:cs="宋体"/>
                <w:color w:val="auto"/>
                <w:sz w:val="22"/>
                <w:szCs w:val="22"/>
                <w:highlight w:val="none"/>
                <w:lang w:val="zh-CN"/>
              </w:rPr>
              <w:t>农药的供货、验收标准及方案的</w:t>
            </w:r>
            <w:r>
              <w:rPr>
                <w:rFonts w:hint="eastAsia" w:ascii="宋体" w:hAnsi="宋体" w:cs="宋体"/>
                <w:color w:val="auto"/>
                <w:spacing w:val="4"/>
                <w:sz w:val="22"/>
                <w:szCs w:val="22"/>
                <w:highlight w:val="none"/>
              </w:rPr>
              <w:t>合理性、可行性情况进行打分：</w:t>
            </w:r>
            <w:r>
              <w:rPr>
                <w:rFonts w:hint="eastAsia" w:ascii="Arial" w:hAnsi="Arial"/>
                <w:bCs/>
                <w:color w:val="auto"/>
                <w:sz w:val="22"/>
                <w:szCs w:val="22"/>
                <w:highlight w:val="none"/>
              </w:rPr>
              <w:t>方案内容完善可实施性强得</w:t>
            </w:r>
            <w:r>
              <w:rPr>
                <w:rFonts w:hint="eastAsia" w:ascii="Arial" w:hAnsi="Arial"/>
                <w:bCs/>
                <w:color w:val="auto"/>
                <w:sz w:val="22"/>
                <w:szCs w:val="22"/>
                <w:highlight w:val="none"/>
                <w:lang w:val="en-US" w:eastAsia="zh-CN"/>
              </w:rPr>
              <w:t>5-4</w:t>
            </w:r>
            <w:r>
              <w:rPr>
                <w:rFonts w:hint="eastAsia" w:ascii="Arial" w:hAnsi="Arial"/>
                <w:bCs/>
                <w:color w:val="auto"/>
                <w:sz w:val="22"/>
                <w:szCs w:val="22"/>
                <w:highlight w:val="none"/>
              </w:rPr>
              <w:t>分，方案内容较完善可实施得</w:t>
            </w:r>
            <w:r>
              <w:rPr>
                <w:rFonts w:hint="eastAsia" w:ascii="Arial" w:hAnsi="Arial"/>
                <w:bCs/>
                <w:color w:val="auto"/>
                <w:sz w:val="22"/>
                <w:szCs w:val="22"/>
                <w:highlight w:val="none"/>
                <w:lang w:val="en-US" w:eastAsia="zh-CN"/>
              </w:rPr>
              <w:t>3.9-2</w:t>
            </w:r>
            <w:r>
              <w:rPr>
                <w:rFonts w:hint="eastAsia" w:ascii="Arial" w:hAnsi="Arial"/>
                <w:bCs/>
                <w:color w:val="auto"/>
                <w:sz w:val="22"/>
                <w:szCs w:val="22"/>
                <w:highlight w:val="none"/>
              </w:rPr>
              <w:t>分，方案内容简单基本可行得</w:t>
            </w:r>
            <w:r>
              <w:rPr>
                <w:rFonts w:hint="eastAsia" w:ascii="Arial" w:hAnsi="Arial"/>
                <w:bCs/>
                <w:color w:val="auto"/>
                <w:sz w:val="22"/>
                <w:szCs w:val="22"/>
                <w:highlight w:val="none"/>
                <w:lang w:val="en-US" w:eastAsia="zh-CN"/>
              </w:rPr>
              <w:t>1</w:t>
            </w:r>
            <w:r>
              <w:rPr>
                <w:rFonts w:hint="eastAsia" w:ascii="Arial" w:hAnsi="Arial"/>
                <w:bCs/>
                <w:color w:val="auto"/>
                <w:sz w:val="22"/>
                <w:szCs w:val="22"/>
                <w:highlight w:val="none"/>
              </w:rPr>
              <w:t>.9-0分。</w:t>
            </w:r>
          </w:p>
        </w:tc>
        <w:tc>
          <w:tcPr>
            <w:tcW w:w="793" w:type="dxa"/>
            <w:vAlign w:val="center"/>
          </w:tcPr>
          <w:p>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60" w:type="dxa"/>
            <w:vAlign w:val="center"/>
          </w:tcPr>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8286" w:type="dxa"/>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项目总体要求的理解：根据投标人对项目背景和现状、相关标准及规范、需求的描述与用户需求吻合程度进行打分。项目总体要求理解吻合程度，具有针对性，提出详细、具体、明确内容的，得</w:t>
            </w:r>
            <w:r>
              <w:rPr>
                <w:rFonts w:hint="eastAsia" w:ascii="宋体" w:hAnsi="宋体" w:cs="宋体"/>
                <w:color w:val="auto"/>
                <w:sz w:val="22"/>
                <w:szCs w:val="22"/>
                <w:highlight w:val="none"/>
                <w:lang w:val="en-US" w:eastAsia="zh-CN"/>
              </w:rPr>
              <w:t>3-2</w:t>
            </w:r>
            <w:r>
              <w:rPr>
                <w:rFonts w:hint="eastAsia" w:ascii="宋体" w:hAnsi="宋体" w:cs="宋体"/>
                <w:color w:val="auto"/>
                <w:sz w:val="22"/>
                <w:szCs w:val="22"/>
                <w:highlight w:val="none"/>
              </w:rPr>
              <w:t>分；项目理解及分析基本符合招标现状，具有基本针对性的，得</w:t>
            </w:r>
            <w:r>
              <w:rPr>
                <w:rFonts w:hint="eastAsia" w:ascii="宋体" w:hAnsi="宋体" w:cs="宋体"/>
                <w:color w:val="auto"/>
                <w:sz w:val="22"/>
                <w:szCs w:val="22"/>
                <w:highlight w:val="none"/>
                <w:lang w:val="en-US" w:eastAsia="zh-CN"/>
              </w:rPr>
              <w:t>1.9-1</w:t>
            </w:r>
            <w:r>
              <w:rPr>
                <w:rFonts w:hint="eastAsia" w:ascii="宋体" w:hAnsi="宋体" w:cs="宋体"/>
                <w:color w:val="auto"/>
                <w:sz w:val="22"/>
                <w:szCs w:val="22"/>
                <w:highlight w:val="none"/>
              </w:rPr>
              <w:t>分；需求理解及分析未达到招标现状，针对性一般的，得</w:t>
            </w:r>
            <w:r>
              <w:rPr>
                <w:rFonts w:hint="eastAsia" w:ascii="宋体" w:hAnsi="宋体" w:cs="宋体"/>
                <w:color w:val="auto"/>
                <w:sz w:val="22"/>
                <w:szCs w:val="22"/>
                <w:highlight w:val="none"/>
                <w:lang w:val="en-US" w:eastAsia="zh-CN"/>
              </w:rPr>
              <w:t>0</w:t>
            </w:r>
            <w:r>
              <w:rPr>
                <w:rFonts w:hint="eastAsia" w:ascii="宋体" w:hAnsi="宋体" w:cs="宋体"/>
                <w:color w:val="auto"/>
                <w:sz w:val="22"/>
                <w:szCs w:val="22"/>
                <w:highlight w:val="none"/>
              </w:rPr>
              <w:t>.9-0分。</w:t>
            </w:r>
          </w:p>
        </w:tc>
        <w:tc>
          <w:tcPr>
            <w:tcW w:w="793" w:type="dxa"/>
            <w:vAlign w:val="center"/>
          </w:tcPr>
          <w:p>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60" w:type="dxa"/>
            <w:vAlign w:val="center"/>
          </w:tcPr>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8286" w:type="dxa"/>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应急服务措施及其他服务措施（包括应急情况分析及响应时间、人员安排及处置措施）、承诺的内容。提出详细、具体、明确的内容，可操作性强且合理可行的得</w:t>
            </w:r>
            <w:r>
              <w:rPr>
                <w:rFonts w:hint="eastAsia" w:ascii="宋体" w:hAnsi="宋体" w:cs="宋体"/>
                <w:color w:val="auto"/>
                <w:sz w:val="22"/>
                <w:szCs w:val="22"/>
                <w:highlight w:val="none"/>
                <w:lang w:val="en-US" w:eastAsia="zh-CN"/>
              </w:rPr>
              <w:t>5-4</w:t>
            </w:r>
            <w:r>
              <w:rPr>
                <w:rFonts w:hint="eastAsia" w:ascii="宋体" w:hAnsi="宋体" w:cs="宋体"/>
                <w:color w:val="auto"/>
                <w:sz w:val="22"/>
                <w:szCs w:val="22"/>
                <w:highlight w:val="none"/>
              </w:rPr>
              <w:t>分；基本能满足项目实施的,内容具备基本可操作性的得</w:t>
            </w:r>
            <w:r>
              <w:rPr>
                <w:rFonts w:hint="eastAsia" w:ascii="宋体" w:hAnsi="宋体" w:cs="宋体"/>
                <w:color w:val="auto"/>
                <w:sz w:val="22"/>
                <w:szCs w:val="22"/>
                <w:highlight w:val="none"/>
                <w:lang w:val="en-US" w:eastAsia="zh-CN"/>
              </w:rPr>
              <w:t>3.9-2</w:t>
            </w:r>
            <w:r>
              <w:rPr>
                <w:rFonts w:hint="eastAsia" w:ascii="宋体" w:hAnsi="宋体" w:cs="宋体"/>
                <w:color w:val="auto"/>
                <w:sz w:val="22"/>
                <w:szCs w:val="22"/>
                <w:highlight w:val="none"/>
              </w:rPr>
              <w:t>分；方案内容较简单，可操作性一般的，得</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.9-0分。</w:t>
            </w:r>
          </w:p>
        </w:tc>
        <w:tc>
          <w:tcPr>
            <w:tcW w:w="793" w:type="dxa"/>
            <w:vAlign w:val="center"/>
          </w:tcPr>
          <w:p>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r>
    </w:tbl>
    <w:p>
      <w:pPr>
        <w:pStyle w:val="26"/>
        <w:ind w:firstLine="723"/>
        <w:rPr>
          <w:rFonts w:ascii="仿宋" w:hAnsi="仿宋" w:eastAsia="仿宋" w:cs="仿宋"/>
          <w:b/>
          <w:color w:val="auto"/>
          <w:sz w:val="36"/>
          <w:szCs w:val="36"/>
          <w:highlight w:val="none"/>
        </w:rPr>
      </w:pPr>
    </w:p>
    <w:p>
      <w:pPr>
        <w:rPr>
          <w:rFonts w:ascii="仿宋" w:hAnsi="仿宋" w:eastAsia="仿宋" w:cs="仿宋"/>
          <w:b/>
          <w:color w:val="auto"/>
          <w:sz w:val="36"/>
          <w:szCs w:val="36"/>
          <w:highlight w:val="none"/>
        </w:rPr>
      </w:pPr>
    </w:p>
    <w:p>
      <w:pPr>
        <w:pStyle w:val="24"/>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numPr>
          <w:ilvl w:val="0"/>
          <w:numId w:val="7"/>
        </w:num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拟签订的合同文本</w:t>
      </w:r>
    </w:p>
    <w:p>
      <w:pPr>
        <w:jc w:val="center"/>
        <w:rPr>
          <w:b/>
          <w:bCs/>
          <w:color w:val="auto"/>
          <w:sz w:val="52"/>
          <w:szCs w:val="52"/>
          <w:highlight w:val="none"/>
        </w:rPr>
      </w:pPr>
    </w:p>
    <w:p>
      <w:pPr>
        <w:jc w:val="center"/>
        <w:rPr>
          <w:b/>
          <w:bCs/>
          <w:color w:val="auto"/>
          <w:sz w:val="52"/>
          <w:szCs w:val="52"/>
          <w:highlight w:val="none"/>
        </w:rPr>
      </w:pPr>
      <w:r>
        <w:rPr>
          <w:rFonts w:hint="eastAsia"/>
          <w:b/>
          <w:bCs/>
          <w:color w:val="auto"/>
          <w:sz w:val="52"/>
          <w:szCs w:val="52"/>
          <w:highlight w:val="none"/>
          <w:lang w:eastAsia="zh-CN"/>
        </w:rPr>
        <w:t>台州东茂观光农业开发有限公司2024年度第一批农药、化肥、农用薄膜采购项目</w:t>
      </w:r>
      <w:r>
        <w:rPr>
          <w:rFonts w:hint="eastAsia"/>
          <w:b/>
          <w:bCs/>
          <w:color w:val="auto"/>
          <w:sz w:val="52"/>
          <w:szCs w:val="52"/>
          <w:highlight w:val="none"/>
        </w:rPr>
        <w:t>合同</w:t>
      </w:r>
    </w:p>
    <w:p>
      <w:pPr>
        <w:rPr>
          <w:b/>
          <w:bCs/>
          <w:color w:val="auto"/>
          <w:highlight w:val="none"/>
        </w:rPr>
      </w:pPr>
    </w:p>
    <w:p>
      <w:pPr>
        <w:rPr>
          <w:b/>
          <w:bCs/>
          <w:color w:val="auto"/>
          <w:highlight w:val="none"/>
        </w:rPr>
      </w:pPr>
    </w:p>
    <w:p>
      <w:pPr>
        <w:rPr>
          <w:b/>
          <w:bCs/>
          <w:color w:val="auto"/>
          <w:highlight w:val="none"/>
        </w:rPr>
      </w:pPr>
      <w:bookmarkStart w:id="58" w:name="_GoBack"/>
      <w:bookmarkEnd w:id="58"/>
    </w:p>
    <w:p>
      <w:pPr>
        <w:rPr>
          <w:b/>
          <w:bCs/>
          <w:color w:val="auto"/>
          <w:highlight w:val="none"/>
        </w:rPr>
      </w:pPr>
    </w:p>
    <w:p>
      <w:pPr>
        <w:rPr>
          <w:b/>
          <w:bCs/>
          <w:color w:val="auto"/>
          <w:highlight w:val="none"/>
        </w:rPr>
      </w:pPr>
    </w:p>
    <w:p>
      <w:pPr>
        <w:rPr>
          <w:b/>
          <w:bCs/>
          <w:color w:val="auto"/>
          <w:highlight w:val="none"/>
        </w:rPr>
      </w:pPr>
    </w:p>
    <w:p>
      <w:pPr>
        <w:rPr>
          <w:b/>
          <w:bCs/>
          <w:color w:val="auto"/>
          <w:highlight w:val="none"/>
        </w:rPr>
      </w:pPr>
    </w:p>
    <w:p>
      <w:pPr>
        <w:rPr>
          <w:b/>
          <w:bCs/>
          <w:color w:val="auto"/>
          <w:sz w:val="30"/>
          <w:szCs w:val="30"/>
          <w:highlight w:val="none"/>
        </w:rPr>
      </w:pPr>
    </w:p>
    <w:p>
      <w:pPr>
        <w:ind w:firstLine="1807" w:firstLineChars="600"/>
        <w:rPr>
          <w:b/>
          <w:bCs/>
          <w:color w:val="auto"/>
          <w:sz w:val="30"/>
          <w:szCs w:val="30"/>
          <w:highlight w:val="none"/>
        </w:rPr>
      </w:pPr>
    </w:p>
    <w:p>
      <w:pPr>
        <w:ind w:firstLine="1807" w:firstLineChars="600"/>
        <w:rPr>
          <w:b/>
          <w:bCs/>
          <w:color w:val="auto"/>
          <w:sz w:val="30"/>
          <w:szCs w:val="30"/>
          <w:highlight w:val="none"/>
        </w:rPr>
      </w:pPr>
    </w:p>
    <w:p>
      <w:pPr>
        <w:ind w:firstLine="1807" w:firstLineChars="600"/>
        <w:rPr>
          <w:b/>
          <w:bCs/>
          <w:color w:val="auto"/>
          <w:sz w:val="30"/>
          <w:szCs w:val="30"/>
          <w:highlight w:val="none"/>
        </w:rPr>
      </w:pPr>
    </w:p>
    <w:p>
      <w:pPr>
        <w:widowControl/>
        <w:snapToGrid w:val="0"/>
        <w:spacing w:before="100" w:beforeAutospacing="1" w:after="100" w:afterAutospacing="1" w:line="320" w:lineRule="atLeast"/>
        <w:ind w:firstLine="420" w:firstLineChars="150"/>
        <w:jc w:val="left"/>
        <w:rPr>
          <w:rFonts w:hint="eastAsia" w:ascii="宋体" w:hAnsi="宋体" w:eastAsia="宋体" w:cs="宋体"/>
          <w:color w:val="auto"/>
          <w:kern w:val="0"/>
          <w:sz w:val="28"/>
          <w:szCs w:val="28"/>
          <w:highlight w:val="none"/>
          <w:u w:val="single"/>
          <w:lang w:eastAsia="zh-CN"/>
        </w:rPr>
      </w:pPr>
      <w:r>
        <w:rPr>
          <w:rFonts w:hint="eastAsia" w:ascii="宋体" w:hAnsi="宋体" w:cs="宋体"/>
          <w:color w:val="auto"/>
          <w:kern w:val="0"/>
          <w:sz w:val="28"/>
          <w:szCs w:val="28"/>
          <w:highlight w:val="none"/>
        </w:rPr>
        <w:t>项  目 名  称：</w:t>
      </w:r>
      <w:r>
        <w:rPr>
          <w:rFonts w:hint="eastAsia" w:ascii="宋体" w:hAnsi="宋体" w:cs="宋体"/>
          <w:color w:val="auto"/>
          <w:kern w:val="0"/>
          <w:sz w:val="28"/>
          <w:szCs w:val="28"/>
          <w:highlight w:val="none"/>
          <w:u w:val="single"/>
          <w:lang w:eastAsia="zh-CN"/>
        </w:rPr>
        <w:t>台州东茂观光农业开发有限公司2024年度第一批农药、化肥、农用薄膜采购项目</w:t>
      </w:r>
    </w:p>
    <w:p>
      <w:pPr>
        <w:widowControl/>
        <w:tabs>
          <w:tab w:val="left" w:pos="1442"/>
        </w:tabs>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  目 地  点：</w:t>
      </w:r>
      <w:r>
        <w:rPr>
          <w:rFonts w:hint="eastAsia" w:ascii="宋体" w:hAnsi="宋体" w:cs="宋体"/>
          <w:color w:val="auto"/>
          <w:kern w:val="0"/>
          <w:sz w:val="28"/>
          <w:szCs w:val="28"/>
          <w:highlight w:val="none"/>
          <w:u w:val="single"/>
        </w:rPr>
        <w:t xml:space="preserve">                台州湾新区                     </w:t>
      </w:r>
    </w:p>
    <w:p>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发  包  人：</w:t>
      </w:r>
      <w:r>
        <w:rPr>
          <w:rFonts w:hint="eastAsia" w:ascii="宋体" w:hAnsi="宋体" w:cs="宋体"/>
          <w:color w:val="auto"/>
          <w:kern w:val="0"/>
          <w:sz w:val="28"/>
          <w:szCs w:val="28"/>
          <w:highlight w:val="none"/>
          <w:u w:val="single"/>
        </w:rPr>
        <w:t xml:space="preserve"> </w:t>
      </w:r>
      <w:r>
        <w:rPr>
          <w:rFonts w:hint="eastAsia" w:ascii="宋体" w:hAnsi="宋体"/>
          <w:color w:val="auto"/>
          <w:sz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承  包  人：</w:t>
      </w:r>
      <w:r>
        <w:rPr>
          <w:rFonts w:hint="eastAsia" w:ascii="宋体" w:hAnsi="宋体" w:cs="宋体"/>
          <w:color w:val="auto"/>
          <w:kern w:val="0"/>
          <w:sz w:val="28"/>
          <w:szCs w:val="28"/>
          <w:highlight w:val="none"/>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签  订  日  期：</w:t>
      </w:r>
      <w:r>
        <w:rPr>
          <w:rFonts w:hint="eastAsia" w:ascii="宋体" w:hAnsi="宋体" w:cs="宋体"/>
          <w:color w:val="auto"/>
          <w:kern w:val="0"/>
          <w:sz w:val="28"/>
          <w:szCs w:val="28"/>
          <w:highlight w:val="none"/>
          <w:u w:val="single"/>
        </w:rPr>
        <w:t xml:space="preserve">                                              </w:t>
      </w:r>
    </w:p>
    <w:p>
      <w:pPr>
        <w:pStyle w:val="24"/>
        <w:rPr>
          <w:color w:val="auto"/>
          <w:highlight w:val="none"/>
        </w:rPr>
      </w:pPr>
    </w:p>
    <w:p>
      <w:pPr>
        <w:rPr>
          <w:b/>
          <w:bCs/>
          <w:color w:val="auto"/>
          <w:sz w:val="30"/>
          <w:szCs w:val="30"/>
          <w:highlight w:val="none"/>
        </w:rPr>
      </w:pPr>
    </w:p>
    <w:p>
      <w:pPr>
        <w:rPr>
          <w:b/>
          <w:bCs/>
          <w:color w:val="auto"/>
          <w:highlight w:val="none"/>
        </w:rPr>
      </w:pPr>
    </w:p>
    <w:p>
      <w:pPr>
        <w:rPr>
          <w:b/>
          <w:bCs/>
          <w:color w:val="auto"/>
          <w:highlight w:val="none"/>
        </w:rPr>
      </w:pPr>
    </w:p>
    <w:p>
      <w:pPr>
        <w:pStyle w:val="6"/>
        <w:rPr>
          <w:b/>
          <w:color w:val="auto"/>
          <w:highlight w:val="none"/>
        </w:rPr>
      </w:pPr>
    </w:p>
    <w:p>
      <w:pPr>
        <w:rPr>
          <w:b/>
          <w:bCs/>
          <w:color w:val="auto"/>
          <w:highlight w:val="none"/>
        </w:rPr>
      </w:pPr>
    </w:p>
    <w:p>
      <w:pPr>
        <w:adjustRightInd w:val="0"/>
        <w:snapToGrid w:val="0"/>
        <w:spacing w:line="324" w:lineRule="auto"/>
        <w:jc w:val="center"/>
        <w:outlineLvl w:val="0"/>
        <w:rPr>
          <w:rFonts w:ascii="黑体"/>
          <w:b/>
          <w:color w:val="auto"/>
          <w:sz w:val="30"/>
          <w:szCs w:val="30"/>
          <w:highlight w:val="none"/>
        </w:rPr>
      </w:pPr>
      <w:bookmarkStart w:id="29" w:name="_Toc5209"/>
      <w:r>
        <w:rPr>
          <w:rFonts w:hint="eastAsia" w:ascii="黑体"/>
          <w:b/>
          <w:color w:val="auto"/>
          <w:sz w:val="30"/>
          <w:szCs w:val="30"/>
          <w:highlight w:val="none"/>
        </w:rPr>
        <w:t>合同条款</w:t>
      </w:r>
      <w:bookmarkEnd w:id="29"/>
    </w:p>
    <w:p>
      <w:pPr>
        <w:pStyle w:val="13"/>
        <w:snapToGrid w:val="0"/>
        <w:spacing w:before="120" w:after="120" w:line="360" w:lineRule="auto"/>
        <w:ind w:firstLine="480"/>
        <w:rPr>
          <w:rFonts w:hAnsi="宋体"/>
          <w:color w:val="auto"/>
          <w:highlight w:val="none"/>
        </w:rPr>
      </w:pPr>
      <w:bookmarkStart w:id="30" w:name="_Toc251160747"/>
      <w:r>
        <w:rPr>
          <w:rFonts w:hint="eastAsia" w:hAnsi="宋体"/>
          <w:color w:val="auto"/>
          <w:highlight w:val="none"/>
        </w:rPr>
        <w:t xml:space="preserve">甲方：（采购单位）                                                             </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 xml:space="preserve">乙方：（中标供应商）                                                         </w:t>
      </w:r>
    </w:p>
    <w:p>
      <w:pPr>
        <w:pStyle w:val="13"/>
        <w:snapToGrid w:val="0"/>
        <w:spacing w:before="120" w:after="120" w:line="360" w:lineRule="auto"/>
        <w:ind w:firstLine="480"/>
        <w:rPr>
          <w:rFonts w:hAnsi="宋体"/>
          <w:b/>
          <w:color w:val="auto"/>
          <w:highlight w:val="none"/>
        </w:rPr>
      </w:pPr>
      <w:r>
        <w:rPr>
          <w:rFonts w:hint="eastAsia" w:hAnsi="宋体"/>
          <w:color w:val="auto"/>
          <w:highlight w:val="none"/>
        </w:rPr>
        <w:t>甲、乙双方根据</w:t>
      </w:r>
      <w:r>
        <w:rPr>
          <w:rFonts w:hint="eastAsia" w:hAnsi="宋体"/>
          <w:b/>
          <w:bCs/>
          <w:color w:val="auto"/>
          <w:highlight w:val="none"/>
          <w:u w:val="single"/>
        </w:rPr>
        <w:t xml:space="preserve">     </w:t>
      </w:r>
      <w:r>
        <w:rPr>
          <w:rFonts w:hint="eastAsia" w:hAnsi="宋体"/>
          <w:color w:val="auto"/>
          <w:highlight w:val="none"/>
        </w:rPr>
        <w:t>的成交结果，签署本合同。</w:t>
      </w:r>
    </w:p>
    <w:p>
      <w:pPr>
        <w:pStyle w:val="13"/>
        <w:snapToGrid w:val="0"/>
        <w:spacing w:before="120" w:after="120" w:line="360" w:lineRule="auto"/>
        <w:ind w:firstLine="482"/>
        <w:rPr>
          <w:rFonts w:hAnsi="宋体"/>
          <w:color w:val="auto"/>
          <w:highlight w:val="none"/>
        </w:rPr>
      </w:pPr>
      <w:r>
        <w:rPr>
          <w:rFonts w:hint="eastAsia" w:hAnsi="宋体"/>
          <w:b/>
          <w:color w:val="auto"/>
          <w:highlight w:val="none"/>
        </w:rPr>
        <w:t>一、货物内容</w:t>
      </w:r>
    </w:p>
    <w:p>
      <w:pPr>
        <w:pStyle w:val="13"/>
        <w:snapToGrid w:val="0"/>
        <w:spacing w:before="120" w:after="120" w:line="360" w:lineRule="auto"/>
        <w:ind w:firstLine="482"/>
        <w:rPr>
          <w:rFonts w:hAnsi="宋体"/>
          <w:b/>
          <w:color w:val="auto"/>
          <w:highlight w:val="none"/>
        </w:rPr>
      </w:pPr>
      <w:r>
        <w:rPr>
          <w:rFonts w:hint="eastAsia" w:hAnsi="宋体"/>
          <w:b/>
          <w:color w:val="auto"/>
          <w:highlight w:val="none"/>
        </w:rPr>
        <w:t>二、合同金额</w:t>
      </w:r>
    </w:p>
    <w:p>
      <w:pPr>
        <w:pStyle w:val="13"/>
        <w:snapToGrid w:val="0"/>
        <w:spacing w:before="120" w:after="120" w:line="360" w:lineRule="auto"/>
        <w:ind w:firstLine="480"/>
        <w:rPr>
          <w:rFonts w:hint="eastAsia" w:hAnsi="宋体"/>
          <w:color w:val="auto"/>
          <w:highlight w:val="none"/>
        </w:rPr>
      </w:pPr>
      <w:r>
        <w:rPr>
          <w:rFonts w:hint="eastAsia" w:hAnsi="宋体"/>
          <w:color w:val="auto"/>
          <w:highlight w:val="none"/>
        </w:rPr>
        <w:t>本合同</w:t>
      </w:r>
      <w:r>
        <w:rPr>
          <w:rFonts w:hint="eastAsia" w:hAnsi="宋体"/>
          <w:color w:val="auto"/>
          <w:highlight w:val="none"/>
          <w:lang w:val="en-US" w:eastAsia="zh-CN"/>
        </w:rPr>
        <w:t>结算率</w:t>
      </w:r>
      <w:r>
        <w:rPr>
          <w:rFonts w:hint="eastAsia" w:hAnsi="宋体"/>
          <w:color w:val="auto"/>
          <w:highlight w:val="none"/>
        </w:rPr>
        <w:t>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。该</w:t>
      </w:r>
      <w:r>
        <w:rPr>
          <w:rFonts w:hint="eastAsia" w:hAnsi="宋体"/>
          <w:color w:val="auto"/>
          <w:highlight w:val="none"/>
          <w:lang w:val="en-US" w:eastAsia="zh-CN"/>
        </w:rPr>
        <w:t>费用包含</w:t>
      </w:r>
      <w:r>
        <w:rPr>
          <w:rFonts w:hint="eastAsia" w:hAnsi="宋体"/>
          <w:color w:val="auto"/>
          <w:highlight w:val="none"/>
        </w:rPr>
        <w:t>产品价格、运输费用（全覆盖运输）、保险费用、税费、装车费用、技术服务费、售后服务费、政策性文件规定及合同包含的所有风险、责任等所有费用。合同包含的所有风险责任等有关的一切费用和价款，在本合同履行期间乙方不得再以任何理由向甲方计取除违约责任外的任何费用。</w:t>
      </w:r>
    </w:p>
    <w:p>
      <w:pPr>
        <w:pStyle w:val="13"/>
        <w:snapToGrid w:val="0"/>
        <w:spacing w:before="120" w:after="120" w:line="360" w:lineRule="auto"/>
        <w:ind w:firstLine="482"/>
        <w:rPr>
          <w:rFonts w:hint="default"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三、供货期限：</w:t>
      </w:r>
      <w:r>
        <w:rPr>
          <w:rFonts w:hint="eastAsia" w:ascii="宋体" w:hAnsi="宋体" w:eastAsia="宋体" w:cs="宋体"/>
          <w:b/>
          <w:color w:val="auto"/>
          <w:highlight w:val="none"/>
          <w:lang w:val="en-US" w:eastAsia="zh-CN"/>
        </w:rPr>
        <w:t>合同签订后1年或累计实际结算金额达到200万（不含)时，合同自动终止。</w:t>
      </w:r>
    </w:p>
    <w:p>
      <w:pPr>
        <w:pStyle w:val="13"/>
        <w:snapToGrid w:val="0"/>
        <w:spacing w:before="120" w:after="120" w:line="360" w:lineRule="auto"/>
        <w:ind w:firstLine="482"/>
        <w:rPr>
          <w:rFonts w:hAnsi="宋体"/>
          <w:b/>
          <w:color w:val="auto"/>
          <w:highlight w:val="none"/>
        </w:rPr>
      </w:pPr>
      <w:r>
        <w:rPr>
          <w:rFonts w:hint="eastAsia" w:hAnsi="宋体"/>
          <w:b/>
          <w:color w:val="auto"/>
          <w:highlight w:val="none"/>
          <w:lang w:val="en-US" w:eastAsia="zh-CN"/>
        </w:rPr>
        <w:t>四</w:t>
      </w:r>
      <w:r>
        <w:rPr>
          <w:rFonts w:hint="eastAsia" w:hAnsi="宋体"/>
          <w:b/>
          <w:color w:val="auto"/>
          <w:highlight w:val="none"/>
        </w:rPr>
        <w:t>、技术资料</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1.乙方应按采购文件规定的时间向甲方提供使用货物的有关技术资料。</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before="120" w:after="120" w:line="360" w:lineRule="auto"/>
        <w:ind w:firstLine="482"/>
        <w:rPr>
          <w:rFonts w:hAnsi="宋体"/>
          <w:b/>
          <w:color w:val="auto"/>
          <w:highlight w:val="none"/>
        </w:rPr>
      </w:pPr>
      <w:r>
        <w:rPr>
          <w:rFonts w:hint="eastAsia" w:hAnsi="宋体"/>
          <w:b/>
          <w:color w:val="auto"/>
          <w:highlight w:val="none"/>
          <w:lang w:val="en-US" w:eastAsia="zh-CN"/>
        </w:rPr>
        <w:t>五</w:t>
      </w:r>
      <w:r>
        <w:rPr>
          <w:rFonts w:hint="eastAsia" w:hAnsi="宋体"/>
          <w:b/>
          <w:color w:val="auto"/>
          <w:highlight w:val="none"/>
        </w:rPr>
        <w:t>、知识产权</w:t>
      </w:r>
    </w:p>
    <w:p>
      <w:pPr>
        <w:pStyle w:val="13"/>
        <w:snapToGrid w:val="0"/>
        <w:spacing w:before="120" w:after="120" w:line="360" w:lineRule="auto"/>
        <w:ind w:firstLine="480"/>
        <w:rPr>
          <w:rFonts w:hAnsi="宋体"/>
          <w:bCs/>
          <w:color w:val="auto"/>
          <w:highlight w:val="none"/>
        </w:rPr>
      </w:pPr>
      <w:r>
        <w:rPr>
          <w:rFonts w:hint="eastAsia" w:hAnsi="宋体"/>
          <w:color w:val="auto"/>
          <w:highlight w:val="none"/>
        </w:rPr>
        <w:t>乙方应保证所提供的货物或其任何一部分均不会侵犯任何第三方的知识产权</w:t>
      </w:r>
      <w:r>
        <w:rPr>
          <w:rFonts w:hint="eastAsia" w:hAnsi="宋体"/>
          <w:bCs/>
          <w:color w:val="auto"/>
          <w:highlight w:val="none"/>
        </w:rPr>
        <w:t>。若乙方交付的货物侵犯了第三方产权或存在产权瑕疵，由此可能发生的一切法律责任及费用均由乙方承担，与甲方无关。</w:t>
      </w:r>
    </w:p>
    <w:p>
      <w:pPr>
        <w:pStyle w:val="13"/>
        <w:snapToGrid w:val="0"/>
        <w:spacing w:before="120" w:after="120" w:line="360" w:lineRule="auto"/>
        <w:ind w:firstLine="482"/>
        <w:rPr>
          <w:rFonts w:hAnsi="宋体"/>
          <w:color w:val="auto"/>
          <w:highlight w:val="none"/>
          <w:u w:val="single"/>
        </w:rPr>
      </w:pPr>
      <w:r>
        <w:rPr>
          <w:rFonts w:hint="eastAsia" w:hAnsi="宋体"/>
          <w:b/>
          <w:color w:val="auto"/>
          <w:highlight w:val="none"/>
          <w:lang w:val="en-US" w:eastAsia="zh-CN"/>
        </w:rPr>
        <w:t>六</w:t>
      </w:r>
      <w:r>
        <w:rPr>
          <w:rFonts w:hint="eastAsia" w:hAnsi="宋体"/>
          <w:b/>
          <w:color w:val="auto"/>
          <w:highlight w:val="none"/>
        </w:rPr>
        <w:t>、产权担保</w:t>
      </w:r>
    </w:p>
    <w:p>
      <w:pPr>
        <w:pStyle w:val="13"/>
        <w:snapToGrid w:val="0"/>
        <w:spacing w:before="120" w:after="120" w:line="360" w:lineRule="auto"/>
        <w:ind w:firstLine="480"/>
        <w:rPr>
          <w:rFonts w:hAnsi="宋体"/>
          <w:color w:val="auto"/>
          <w:highlight w:val="none"/>
          <w:u w:val="single"/>
        </w:rPr>
      </w:pPr>
      <w:r>
        <w:rPr>
          <w:rFonts w:hint="eastAsia" w:hAnsi="宋体"/>
          <w:color w:val="auto"/>
          <w:highlight w:val="none"/>
        </w:rPr>
        <w:t>乙方保证所交付的货物的所有权完全属于乙方且无任何抵押、查封等产权瑕疵。</w:t>
      </w:r>
    </w:p>
    <w:p>
      <w:pPr>
        <w:pStyle w:val="13"/>
        <w:numPr>
          <w:ilvl w:val="0"/>
          <w:numId w:val="0"/>
        </w:numPr>
        <w:tabs>
          <w:tab w:val="left" w:pos="0"/>
        </w:tabs>
        <w:snapToGrid w:val="0"/>
        <w:spacing w:before="120" w:after="120" w:line="360" w:lineRule="auto"/>
        <w:ind w:left="482" w:leftChars="0"/>
        <w:rPr>
          <w:rFonts w:hAnsi="宋体"/>
          <w:color w:val="auto"/>
          <w:sz w:val="24"/>
          <w:highlight w:val="none"/>
        </w:rPr>
      </w:pPr>
      <w:r>
        <w:rPr>
          <w:rFonts w:hint="eastAsia" w:hAnsi="宋体"/>
          <w:b/>
          <w:color w:val="auto"/>
          <w:highlight w:val="none"/>
          <w:lang w:val="en-US" w:eastAsia="zh-CN"/>
        </w:rPr>
        <w:t>七、</w:t>
      </w:r>
      <w:r>
        <w:rPr>
          <w:rFonts w:hint="eastAsia" w:hAnsi="宋体"/>
          <w:b/>
          <w:color w:val="auto"/>
          <w:highlight w:val="none"/>
        </w:rPr>
        <w:t>履约保证金：</w:t>
      </w:r>
    </w:p>
    <w:p>
      <w:pPr>
        <w:pStyle w:val="13"/>
        <w:snapToGrid w:val="0"/>
        <w:spacing w:before="120" w:after="120" w:line="360" w:lineRule="auto"/>
        <w:ind w:firstLine="482"/>
        <w:rPr>
          <w:rFonts w:hAnsi="宋体"/>
          <w:b/>
          <w:color w:val="auto"/>
          <w:highlight w:val="none"/>
        </w:rPr>
      </w:pPr>
      <w:r>
        <w:rPr>
          <w:rFonts w:hint="eastAsia" w:hAnsi="宋体"/>
          <w:b/>
          <w:color w:val="auto"/>
          <w:highlight w:val="none"/>
          <w:lang w:val="en-US" w:eastAsia="zh-CN"/>
        </w:rPr>
        <w:t>八</w:t>
      </w:r>
      <w:r>
        <w:rPr>
          <w:rFonts w:hint="eastAsia" w:hAnsi="宋体"/>
          <w:b/>
          <w:color w:val="auto"/>
          <w:highlight w:val="none"/>
        </w:rPr>
        <w:t>、转包或分包</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rPr>
        <w:t>1.本合同范围的货物，应由乙方直接供应，不得转让他人供应；</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rPr>
        <w:t>2.除非得到甲方的书面同意，乙方不得将本合同范围的货物全部或部分分包给他人供应；</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rPr>
        <w:t>3.如有转让和未经甲方同意的分包行为，甲方有权解除合同，没收履约保证金并要求乙方承担</w:t>
      </w:r>
      <w:r>
        <w:rPr>
          <w:rFonts w:hint="eastAsia" w:ascii="宋体" w:hAnsi="宋体" w:cs="宋体"/>
          <w:color w:val="auto"/>
          <w:highlight w:val="none"/>
          <w:lang w:val="en-US" w:eastAsia="zh-CN"/>
        </w:rPr>
        <w:t>10万元</w:t>
      </w:r>
      <w:r>
        <w:rPr>
          <w:rFonts w:hint="eastAsia" w:ascii="宋体" w:hAnsi="宋体" w:cs="宋体"/>
          <w:color w:val="auto"/>
          <w:highlight w:val="none"/>
        </w:rPr>
        <w:t>的违约责任。</w:t>
      </w:r>
    </w:p>
    <w:p>
      <w:pPr>
        <w:pStyle w:val="13"/>
        <w:snapToGrid w:val="0"/>
        <w:spacing w:before="120" w:after="120" w:line="360" w:lineRule="auto"/>
        <w:ind w:firstLine="482"/>
        <w:rPr>
          <w:rFonts w:hAnsi="宋体"/>
          <w:color w:val="auto"/>
          <w:highlight w:val="none"/>
        </w:rPr>
      </w:pPr>
      <w:r>
        <w:rPr>
          <w:rFonts w:hint="eastAsia" w:hAnsi="宋体"/>
          <w:b/>
          <w:color w:val="auto"/>
          <w:highlight w:val="none"/>
          <w:lang w:val="en-US" w:eastAsia="zh-CN"/>
        </w:rPr>
        <w:t>九</w:t>
      </w:r>
      <w:r>
        <w:rPr>
          <w:rFonts w:hint="eastAsia" w:hAnsi="宋体"/>
          <w:b/>
          <w:color w:val="auto"/>
          <w:highlight w:val="none"/>
        </w:rPr>
        <w:t>、质保期</w:t>
      </w:r>
    </w:p>
    <w:p>
      <w:pPr>
        <w:pStyle w:val="13"/>
        <w:snapToGrid w:val="0"/>
        <w:spacing w:before="120" w:after="120" w:line="360" w:lineRule="auto"/>
        <w:ind w:firstLine="480"/>
        <w:rPr>
          <w:rFonts w:hint="eastAsia" w:hAnsi="宋体" w:eastAsia="宋体"/>
          <w:color w:val="auto"/>
          <w:highlight w:val="none"/>
          <w:lang w:eastAsia="zh-CN"/>
        </w:rPr>
      </w:pPr>
      <w:r>
        <w:rPr>
          <w:rFonts w:hint="eastAsia" w:hAnsi="宋体"/>
          <w:color w:val="auto"/>
          <w:highlight w:val="none"/>
        </w:rPr>
        <w:t>1. 质保期验收合格之日起不少于3个月</w:t>
      </w:r>
      <w:r>
        <w:rPr>
          <w:rFonts w:hint="eastAsia" w:hAnsi="宋体"/>
          <w:color w:val="auto"/>
          <w:highlight w:val="none"/>
          <w:lang w:eastAsia="zh-CN"/>
        </w:rPr>
        <w:t>。</w:t>
      </w:r>
    </w:p>
    <w:p>
      <w:pPr>
        <w:pStyle w:val="13"/>
        <w:snapToGrid w:val="0"/>
        <w:spacing w:before="120" w:after="120" w:line="360" w:lineRule="auto"/>
        <w:ind w:firstLine="482"/>
        <w:rPr>
          <w:rFonts w:hAnsi="宋体"/>
          <w:b/>
          <w:color w:val="auto"/>
          <w:highlight w:val="none"/>
        </w:rPr>
      </w:pPr>
      <w:r>
        <w:rPr>
          <w:rFonts w:hint="eastAsia" w:hAnsi="宋体"/>
          <w:b/>
          <w:color w:val="auto"/>
          <w:highlight w:val="none"/>
          <w:lang w:val="en-US" w:eastAsia="zh-CN"/>
        </w:rPr>
        <w:t>十</w:t>
      </w:r>
      <w:r>
        <w:rPr>
          <w:rFonts w:hint="eastAsia" w:hAnsi="宋体"/>
          <w:b/>
          <w:color w:val="auto"/>
          <w:highlight w:val="none"/>
        </w:rPr>
        <w:t>、交货期及交货地点</w:t>
      </w:r>
    </w:p>
    <w:p>
      <w:pPr>
        <w:pStyle w:val="13"/>
        <w:snapToGrid w:val="0"/>
        <w:spacing w:before="120" w:after="120" w:line="360" w:lineRule="auto"/>
        <w:ind w:firstLine="480"/>
        <w:rPr>
          <w:rFonts w:hAnsi="宋体"/>
          <w:bCs/>
          <w:color w:val="auto"/>
          <w:highlight w:val="none"/>
        </w:rPr>
      </w:pPr>
      <w:r>
        <w:rPr>
          <w:rFonts w:hint="eastAsia" w:hAnsi="宋体"/>
          <w:bCs/>
          <w:color w:val="auto"/>
          <w:highlight w:val="none"/>
        </w:rPr>
        <w:t>1. 交货期：</w:t>
      </w:r>
      <w:r>
        <w:rPr>
          <w:rFonts w:hint="eastAsia" w:hAnsi="宋体"/>
          <w:color w:val="auto"/>
          <w:highlight w:val="none"/>
        </w:rPr>
        <w:t xml:space="preserve"> </w:t>
      </w:r>
    </w:p>
    <w:p>
      <w:pPr>
        <w:pStyle w:val="13"/>
        <w:snapToGrid w:val="0"/>
        <w:spacing w:before="120" w:after="120" w:line="360" w:lineRule="auto"/>
        <w:ind w:firstLine="480"/>
        <w:rPr>
          <w:rFonts w:hAnsi="宋体"/>
          <w:b/>
          <w:color w:val="auto"/>
          <w:highlight w:val="none"/>
        </w:rPr>
      </w:pPr>
      <w:r>
        <w:rPr>
          <w:rFonts w:hint="eastAsia" w:hAnsi="宋体"/>
          <w:bCs/>
          <w:color w:val="auto"/>
          <w:highlight w:val="none"/>
        </w:rPr>
        <w:t>2. 交货地点：</w:t>
      </w:r>
    </w:p>
    <w:p>
      <w:pPr>
        <w:pStyle w:val="13"/>
        <w:snapToGrid w:val="0"/>
        <w:spacing w:before="120" w:after="120" w:line="360" w:lineRule="auto"/>
        <w:ind w:firstLine="482"/>
        <w:rPr>
          <w:rFonts w:hAnsi="宋体"/>
          <w:b/>
          <w:color w:val="auto"/>
          <w:highlight w:val="none"/>
        </w:rPr>
      </w:pPr>
      <w:r>
        <w:rPr>
          <w:rFonts w:hint="eastAsia" w:hAnsi="宋体"/>
          <w:b/>
          <w:color w:val="auto"/>
          <w:highlight w:val="none"/>
        </w:rPr>
        <w:t>十</w:t>
      </w:r>
      <w:r>
        <w:rPr>
          <w:rFonts w:hint="eastAsia" w:hAnsi="宋体"/>
          <w:b/>
          <w:color w:val="auto"/>
          <w:highlight w:val="none"/>
          <w:lang w:val="en-US" w:eastAsia="zh-CN"/>
        </w:rPr>
        <w:t>一</w:t>
      </w:r>
      <w:r>
        <w:rPr>
          <w:rFonts w:hint="eastAsia" w:hAnsi="宋体"/>
          <w:b/>
          <w:color w:val="auto"/>
          <w:highlight w:val="none"/>
        </w:rPr>
        <w:t>、货款支付</w:t>
      </w:r>
    </w:p>
    <w:p>
      <w:pPr>
        <w:pStyle w:val="13"/>
        <w:snapToGrid w:val="0"/>
        <w:spacing w:before="120" w:after="120" w:line="360" w:lineRule="auto"/>
        <w:ind w:firstLine="480"/>
        <w:rPr>
          <w:rFonts w:hAnsi="宋体"/>
          <w:bCs/>
          <w:color w:val="auto"/>
          <w:highlight w:val="none"/>
        </w:rPr>
      </w:pPr>
      <w:r>
        <w:rPr>
          <w:rFonts w:hint="eastAsia" w:hAnsi="宋体"/>
          <w:bCs/>
          <w:color w:val="auto"/>
          <w:highlight w:val="none"/>
        </w:rPr>
        <w:t>付款方式：每月按实结算，货到验收合格后，每月25日（含25日）结算一次。</w:t>
      </w:r>
      <w:r>
        <w:rPr>
          <w:rFonts w:hint="eastAsia" w:hAnsi="宋体"/>
          <w:bCs/>
          <w:color w:val="auto"/>
          <w:highlight w:val="none"/>
          <w:lang w:val="en-US" w:eastAsia="zh-CN"/>
        </w:rPr>
        <w:t>乙方</w:t>
      </w:r>
      <w:r>
        <w:rPr>
          <w:rFonts w:hint="eastAsia" w:hAnsi="宋体"/>
          <w:bCs/>
          <w:color w:val="auto"/>
          <w:highlight w:val="none"/>
        </w:rPr>
        <w:t>凭送货凭证、发票办理货款支付申请手续。</w:t>
      </w:r>
      <w:r>
        <w:rPr>
          <w:rFonts w:hint="eastAsia" w:hAnsi="宋体"/>
          <w:bCs/>
          <w:color w:val="auto"/>
          <w:highlight w:val="none"/>
          <w:lang w:val="en-US" w:eastAsia="zh-CN"/>
        </w:rPr>
        <w:t>甲方</w:t>
      </w:r>
      <w:r>
        <w:rPr>
          <w:rFonts w:hint="eastAsia" w:hAnsi="宋体"/>
          <w:bCs/>
          <w:color w:val="auto"/>
          <w:highlight w:val="none"/>
        </w:rPr>
        <w:t>在申请手续办理完毕后30天内支付货款。</w:t>
      </w:r>
    </w:p>
    <w:p>
      <w:pPr>
        <w:snapToGrid w:val="0"/>
        <w:spacing w:line="360" w:lineRule="auto"/>
        <w:ind w:firstLine="482"/>
        <w:rPr>
          <w:rFonts w:ascii="宋体" w:hAnsi="宋体" w:cs="宋体"/>
          <w:b/>
          <w:color w:val="auto"/>
          <w:highlight w:val="none"/>
        </w:rPr>
      </w:pPr>
      <w:r>
        <w:rPr>
          <w:rFonts w:hint="eastAsia" w:ascii="宋体" w:hAnsi="宋体" w:cs="宋体"/>
          <w:b/>
          <w:color w:val="auto"/>
          <w:highlight w:val="none"/>
        </w:rPr>
        <w:t>十</w:t>
      </w:r>
      <w:r>
        <w:rPr>
          <w:rFonts w:hint="eastAsia" w:ascii="宋体" w:hAnsi="宋体" w:cs="宋体"/>
          <w:b/>
          <w:color w:val="auto"/>
          <w:highlight w:val="none"/>
          <w:lang w:val="en-US" w:eastAsia="zh-CN"/>
        </w:rPr>
        <w:t>二</w:t>
      </w:r>
      <w:r>
        <w:rPr>
          <w:rFonts w:hint="eastAsia" w:ascii="宋体" w:hAnsi="宋体" w:cs="宋体"/>
          <w:b/>
          <w:color w:val="auto"/>
          <w:highlight w:val="none"/>
        </w:rPr>
        <w:t>、税费</w:t>
      </w:r>
    </w:p>
    <w:p>
      <w:pPr>
        <w:snapToGrid w:val="0"/>
        <w:spacing w:line="360" w:lineRule="auto"/>
        <w:ind w:firstLine="480"/>
        <w:rPr>
          <w:rFonts w:ascii="宋体" w:hAnsi="宋体" w:cs="宋体"/>
          <w:color w:val="auto"/>
          <w:highlight w:val="none"/>
        </w:rPr>
      </w:pPr>
      <w:r>
        <w:rPr>
          <w:rFonts w:hint="eastAsia" w:ascii="宋体" w:hAnsi="宋体" w:cs="宋体"/>
          <w:color w:val="auto"/>
          <w:highlight w:val="none"/>
        </w:rPr>
        <w:t>本合同执行中相关的一切税费均由乙方负担。</w:t>
      </w:r>
    </w:p>
    <w:p>
      <w:pPr>
        <w:pStyle w:val="13"/>
        <w:snapToGrid w:val="0"/>
        <w:spacing w:before="120" w:after="120" w:line="360" w:lineRule="auto"/>
        <w:ind w:firstLine="482"/>
        <w:rPr>
          <w:rFonts w:hAnsi="宋体"/>
          <w:color w:val="auto"/>
          <w:highlight w:val="none"/>
        </w:rPr>
      </w:pPr>
      <w:r>
        <w:rPr>
          <w:rFonts w:hint="eastAsia" w:hAnsi="宋体"/>
          <w:b/>
          <w:color w:val="auto"/>
          <w:highlight w:val="none"/>
        </w:rPr>
        <w:t>十</w:t>
      </w:r>
      <w:r>
        <w:rPr>
          <w:rFonts w:hint="eastAsia" w:hAnsi="宋体"/>
          <w:b/>
          <w:color w:val="auto"/>
          <w:highlight w:val="none"/>
          <w:lang w:val="en-US" w:eastAsia="zh-CN"/>
        </w:rPr>
        <w:t>三</w:t>
      </w:r>
      <w:r>
        <w:rPr>
          <w:rFonts w:hint="eastAsia" w:hAnsi="宋体"/>
          <w:b/>
          <w:color w:val="auto"/>
          <w:highlight w:val="none"/>
        </w:rPr>
        <w:t>、质量保证及售后服务</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1. 乙方应按采购文件规定的货物性能、技术要求、质量标准向甲方提供未经使用的全新产品。</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2. 乙方提供的货物在质保期内因货物本身的质量问题，乙方应负责免费更换。对达不到技术要求者，根据实际情况，经双方协商，可按以下办法处理：</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⑴更换：由乙方承担所发生的全部费用。</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⑵退货处理：乙方应退还甲方支付的合同款，同时应承担该货物的直接费用（运输、保险、检验、货款利息及银行手续费等）。</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3. 如在使用过程中发生质量问题，乙方在接到甲方通知后</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u w:val="single"/>
          <w:lang w:val="en-US" w:eastAsia="zh-CN"/>
        </w:rPr>
        <w:t>2</w:t>
      </w:r>
      <w:r>
        <w:rPr>
          <w:rFonts w:hint="eastAsia" w:hAnsi="宋体"/>
          <w:color w:val="auto"/>
          <w:highlight w:val="none"/>
          <w:u w:val="single"/>
        </w:rPr>
        <w:t xml:space="preserve"> </w:t>
      </w:r>
      <w:r>
        <w:rPr>
          <w:rFonts w:hint="eastAsia" w:hAnsi="宋体"/>
          <w:color w:val="auto"/>
          <w:highlight w:val="none"/>
        </w:rPr>
        <w:t>小时</w:t>
      </w:r>
      <w:r>
        <w:rPr>
          <w:rFonts w:hint="eastAsia" w:hAnsi="宋体"/>
          <w:color w:val="auto"/>
          <w:highlight w:val="none"/>
        </w:rPr>
        <w:t>内到达甲方现场。</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4. 在质保期内，乙方应对货物出现的质量及安全问题负责处理解决并承担一切费用。</w:t>
      </w:r>
    </w:p>
    <w:p>
      <w:pPr>
        <w:pStyle w:val="13"/>
        <w:snapToGrid w:val="0"/>
        <w:spacing w:before="120" w:after="120" w:line="360" w:lineRule="auto"/>
        <w:ind w:firstLine="482"/>
        <w:rPr>
          <w:rFonts w:hAnsi="宋体"/>
          <w:b/>
          <w:color w:val="auto"/>
          <w:highlight w:val="none"/>
        </w:rPr>
      </w:pPr>
      <w:r>
        <w:rPr>
          <w:rFonts w:hint="eastAsia" w:hAnsi="宋体"/>
          <w:b/>
          <w:color w:val="auto"/>
          <w:highlight w:val="none"/>
        </w:rPr>
        <w:t>十</w:t>
      </w:r>
      <w:r>
        <w:rPr>
          <w:rFonts w:hint="eastAsia" w:hAnsi="宋体"/>
          <w:b/>
          <w:color w:val="auto"/>
          <w:highlight w:val="none"/>
          <w:lang w:val="en-US" w:eastAsia="zh-CN"/>
        </w:rPr>
        <w:t>四</w:t>
      </w:r>
      <w:r>
        <w:rPr>
          <w:rFonts w:hint="eastAsia" w:hAnsi="宋体"/>
          <w:b/>
          <w:color w:val="auto"/>
          <w:highlight w:val="none"/>
        </w:rPr>
        <w:t>、调试和验收</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1. 甲方对乙方提交的货物依据采购文件上的技术规格要求和国家有关质量标准进行现场初步验收，外观、说明书符合采购文件技术要求的，给予签收，初步验收不合格的不予签收。货到后，甲方需在</w:t>
      </w:r>
      <w:r>
        <w:rPr>
          <w:rFonts w:hint="eastAsia" w:hAnsi="宋体"/>
          <w:color w:val="auto"/>
          <w:highlight w:val="none"/>
          <w:u w:val="single"/>
        </w:rPr>
        <w:t xml:space="preserve">  7   </w:t>
      </w:r>
      <w:r>
        <w:rPr>
          <w:rFonts w:hint="eastAsia" w:hAnsi="宋体"/>
          <w:color w:val="auto"/>
          <w:highlight w:val="none"/>
        </w:rPr>
        <w:t>个工作日内验收。</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2. 乙方交货前应对产品作出全面检查和对验收文件进行整理，并列出清单，作为甲方收货验收和使用的技术条件依据，检验的结果应随货物交甲方。</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3. 质量标准及验收方式：采购单位专人在指定地点现场验收，采购单位有权拒收不符合质量和过期的农药化肥，并签字确认的实际供货数量。</w:t>
      </w:r>
    </w:p>
    <w:p>
      <w:pPr>
        <w:pStyle w:val="13"/>
        <w:snapToGrid w:val="0"/>
        <w:spacing w:before="120" w:after="120" w:line="360" w:lineRule="auto"/>
        <w:ind w:firstLine="482"/>
        <w:rPr>
          <w:rFonts w:hAnsi="宋体"/>
          <w:b/>
          <w:color w:val="auto"/>
          <w:highlight w:val="none"/>
        </w:rPr>
      </w:pPr>
      <w:r>
        <w:rPr>
          <w:rFonts w:hint="eastAsia" w:hAnsi="宋体"/>
          <w:b/>
          <w:color w:val="auto"/>
          <w:highlight w:val="none"/>
        </w:rPr>
        <w:t>十</w:t>
      </w:r>
      <w:r>
        <w:rPr>
          <w:rFonts w:hint="eastAsia" w:hAnsi="宋体"/>
          <w:b/>
          <w:color w:val="auto"/>
          <w:highlight w:val="none"/>
          <w:lang w:val="en-US" w:eastAsia="zh-CN"/>
        </w:rPr>
        <w:t>五</w:t>
      </w:r>
      <w:r>
        <w:rPr>
          <w:rFonts w:hint="eastAsia" w:hAnsi="宋体"/>
          <w:b/>
          <w:color w:val="auto"/>
          <w:highlight w:val="none"/>
        </w:rPr>
        <w:t>、货物包装、发运及运输</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1. 乙方应在货物发运前对其进行满足运输距离、防潮、防震和防破损装卸等要求包装，以保证货物安全运达甲方指定地点。</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2. 使用说明书、质量检验证明书、随配附件和工具以及清单一并附于货物内。</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3. 乙方在货物发运手续办理完毕后24小时内或货到甲方48小时前通知甲方，以准备接货。</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4. 货物在交付甲方前发生的风险均由乙方负责。</w:t>
      </w:r>
    </w:p>
    <w:p>
      <w:pPr>
        <w:pStyle w:val="13"/>
        <w:snapToGrid w:val="0"/>
        <w:spacing w:line="360" w:lineRule="auto"/>
        <w:ind w:firstLine="480"/>
        <w:rPr>
          <w:rFonts w:hAnsi="宋体"/>
          <w:color w:val="auto"/>
          <w:highlight w:val="none"/>
        </w:rPr>
      </w:pPr>
      <w:r>
        <w:rPr>
          <w:rFonts w:hint="eastAsia" w:hAnsi="宋体"/>
          <w:color w:val="auto"/>
          <w:highlight w:val="none"/>
        </w:rPr>
        <w:t>5. 货物在规定的交付期限内由乙方送达甲方指定的地点视为交付，乙方同时需通知甲方货物已送达。</w:t>
      </w:r>
    </w:p>
    <w:p>
      <w:pPr>
        <w:pStyle w:val="13"/>
        <w:snapToGrid w:val="0"/>
        <w:spacing w:before="120" w:after="120" w:line="360" w:lineRule="auto"/>
        <w:ind w:firstLine="482"/>
        <w:rPr>
          <w:rFonts w:hAnsi="宋体"/>
          <w:b/>
          <w:color w:val="auto"/>
          <w:highlight w:val="none"/>
        </w:rPr>
      </w:pPr>
      <w:r>
        <w:rPr>
          <w:rFonts w:hint="eastAsia" w:hAnsi="宋体"/>
          <w:b/>
          <w:color w:val="auto"/>
          <w:highlight w:val="none"/>
        </w:rPr>
        <w:t>十</w:t>
      </w:r>
      <w:r>
        <w:rPr>
          <w:rFonts w:hint="eastAsia" w:hAnsi="宋体"/>
          <w:b/>
          <w:color w:val="auto"/>
          <w:highlight w:val="none"/>
          <w:lang w:val="en-US" w:eastAsia="zh-CN"/>
        </w:rPr>
        <w:t>六</w:t>
      </w:r>
      <w:r>
        <w:rPr>
          <w:rFonts w:hint="eastAsia" w:hAnsi="宋体"/>
          <w:b/>
          <w:color w:val="auto"/>
          <w:highlight w:val="none"/>
        </w:rPr>
        <w:t>、违约责任</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1. 甲方无正当理由拒收货物的，甲方向乙方偿付拒收货款总值的</w:t>
      </w:r>
      <w:r>
        <w:rPr>
          <w:rFonts w:hint="eastAsia" w:hAnsi="宋体"/>
          <w:color w:val="auto"/>
          <w:highlight w:val="none"/>
          <w:u w:val="single"/>
        </w:rPr>
        <w:t>百分之五</w:t>
      </w:r>
      <w:r>
        <w:rPr>
          <w:rFonts w:hint="eastAsia" w:hAnsi="宋体"/>
          <w:color w:val="auto"/>
          <w:highlight w:val="none"/>
        </w:rPr>
        <w:t>违约金。</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2. 甲方无故逾期验收和办理货款支付手续的,甲方应按逾期付款总额每日</w:t>
      </w:r>
      <w:r>
        <w:rPr>
          <w:rFonts w:hint="eastAsia" w:hAnsi="宋体"/>
          <w:color w:val="auto"/>
          <w:highlight w:val="none"/>
          <w:u w:val="single"/>
        </w:rPr>
        <w:t>万分之五</w:t>
      </w:r>
      <w:r>
        <w:rPr>
          <w:rFonts w:hint="eastAsia" w:hAnsi="宋体"/>
          <w:color w:val="auto"/>
          <w:highlight w:val="none"/>
        </w:rPr>
        <w:t>向乙方支付违约金。</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 xml:space="preserve">3. </w:t>
      </w:r>
      <w:r>
        <w:rPr>
          <w:rFonts w:hint="eastAsia" w:hAnsi="宋体"/>
          <w:color w:val="auto"/>
          <w:highlight w:val="none"/>
          <w:lang w:val="en-US" w:eastAsia="zh-CN"/>
        </w:rPr>
        <w:t>乙方</w:t>
      </w:r>
      <w:r>
        <w:rPr>
          <w:rFonts w:hint="eastAsia" w:hAnsi="宋体"/>
          <w:color w:val="auto"/>
          <w:highlight w:val="none"/>
        </w:rPr>
        <w:t>延期交货每3天，</w:t>
      </w:r>
      <w:r>
        <w:rPr>
          <w:rFonts w:hint="eastAsia" w:hAnsi="宋体"/>
          <w:color w:val="auto"/>
          <w:highlight w:val="none"/>
          <w:lang w:val="en-US" w:eastAsia="zh-CN"/>
        </w:rPr>
        <w:t>乙方</w:t>
      </w:r>
      <w:r>
        <w:rPr>
          <w:rFonts w:hint="eastAsia" w:hAnsi="宋体"/>
          <w:color w:val="auto"/>
          <w:highlight w:val="none"/>
        </w:rPr>
        <w:t>按该批次货物总价的3%支付给</w:t>
      </w:r>
      <w:r>
        <w:rPr>
          <w:rFonts w:hint="eastAsia" w:hAnsi="宋体"/>
          <w:color w:val="auto"/>
          <w:highlight w:val="none"/>
          <w:lang w:val="en-US" w:eastAsia="zh-CN"/>
        </w:rPr>
        <w:t>甲方</w:t>
      </w:r>
      <w:r>
        <w:rPr>
          <w:rFonts w:hint="eastAsia" w:hAnsi="宋体"/>
          <w:color w:val="auto"/>
          <w:highlight w:val="none"/>
        </w:rPr>
        <w:t>延期交货违约金，不足3天按3天计，依次累计。1个月内如连续发生2次无故不按时供货的</w:t>
      </w:r>
      <w:r>
        <w:rPr>
          <w:rFonts w:hint="eastAsia" w:hAnsi="宋体"/>
          <w:color w:val="auto"/>
          <w:highlight w:val="none"/>
          <w:lang w:val="en-US" w:eastAsia="zh-CN"/>
        </w:rPr>
        <w:t>乙方</w:t>
      </w:r>
      <w:r>
        <w:rPr>
          <w:rFonts w:hint="eastAsia" w:hAnsi="宋体"/>
          <w:color w:val="auto"/>
          <w:highlight w:val="none"/>
        </w:rPr>
        <w:t>，</w:t>
      </w:r>
      <w:r>
        <w:rPr>
          <w:rFonts w:hint="eastAsia" w:hAnsi="宋体"/>
          <w:color w:val="auto"/>
          <w:highlight w:val="none"/>
          <w:lang w:val="en-US" w:eastAsia="zh-CN"/>
        </w:rPr>
        <w:t>甲方</w:t>
      </w:r>
      <w:r>
        <w:rPr>
          <w:rFonts w:hint="eastAsia" w:hAnsi="宋体"/>
          <w:color w:val="auto"/>
          <w:highlight w:val="none"/>
        </w:rPr>
        <w:t>有权提前单方中止合同，且不予支付货款。</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4. 乙方所交的货物品种、型号、规格、技术参数、质量不符合合同规定及采购文件规定标准的，甲方有权拒收该货物，乙方愿意更换货物但逾期交货的，按乙方逾期交货处理。乙方拒绝更换货物的，甲方可单方面解除合同，乙方除应向甲方偿还已支付的金额及按月2%计算的利息外，并没收履约保证金及支付合同总值5%的违约金，如造成甲方损失超过违约金的，超出部分由乙方继续承担赔偿责任。</w:t>
      </w:r>
    </w:p>
    <w:p>
      <w:pPr>
        <w:pStyle w:val="13"/>
        <w:snapToGrid w:val="0"/>
        <w:spacing w:before="120" w:after="120" w:line="360" w:lineRule="auto"/>
        <w:ind w:firstLine="482"/>
        <w:rPr>
          <w:rFonts w:hAnsi="宋体"/>
          <w:b/>
          <w:color w:val="auto"/>
          <w:highlight w:val="none"/>
        </w:rPr>
      </w:pPr>
      <w:r>
        <w:rPr>
          <w:rFonts w:hint="eastAsia" w:hAnsi="宋体"/>
          <w:b/>
          <w:color w:val="auto"/>
          <w:highlight w:val="none"/>
        </w:rPr>
        <w:t>十</w:t>
      </w:r>
      <w:r>
        <w:rPr>
          <w:rFonts w:hint="eastAsia" w:hAnsi="宋体"/>
          <w:b/>
          <w:color w:val="auto"/>
          <w:highlight w:val="none"/>
          <w:lang w:val="en-US" w:eastAsia="zh-CN"/>
        </w:rPr>
        <w:t>七</w:t>
      </w:r>
      <w:r>
        <w:rPr>
          <w:rFonts w:hint="eastAsia" w:hAnsi="宋体"/>
          <w:b/>
          <w:color w:val="auto"/>
          <w:highlight w:val="none"/>
        </w:rPr>
        <w:t>、不可抗力事件处理</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1. 在合同有效期内，任何一方因不可抗力事件导致不能履行合同，则合同履行期可延长，其延长期与不可抗力影响期相同。</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2. 不可抗力事件发生后，应立即通知对方，并寄送有关权威机构出具的证明。</w:t>
      </w:r>
    </w:p>
    <w:p>
      <w:pPr>
        <w:pStyle w:val="13"/>
        <w:snapToGrid w:val="0"/>
        <w:spacing w:before="120" w:after="120" w:line="360" w:lineRule="auto"/>
        <w:ind w:firstLine="480"/>
        <w:rPr>
          <w:rFonts w:hAnsi="宋体"/>
          <w:color w:val="auto"/>
          <w:highlight w:val="none"/>
        </w:rPr>
      </w:pPr>
      <w:r>
        <w:rPr>
          <w:rFonts w:hint="eastAsia" w:hAnsi="宋体"/>
          <w:color w:val="auto"/>
          <w:highlight w:val="none"/>
        </w:rPr>
        <w:t>3. 不可抗力事件延续120天以上，双方应通过友好协商，确定是否继续履行合同。</w:t>
      </w:r>
    </w:p>
    <w:p>
      <w:pPr>
        <w:pStyle w:val="13"/>
        <w:snapToGrid w:val="0"/>
        <w:spacing w:before="120" w:after="120" w:line="360" w:lineRule="auto"/>
        <w:ind w:firstLine="482"/>
        <w:rPr>
          <w:rFonts w:hAnsi="宋体"/>
          <w:b/>
          <w:color w:val="auto"/>
          <w:highlight w:val="none"/>
        </w:rPr>
      </w:pPr>
      <w:r>
        <w:rPr>
          <w:rFonts w:hint="eastAsia" w:hAnsi="宋体"/>
          <w:b/>
          <w:color w:val="auto"/>
          <w:highlight w:val="none"/>
        </w:rPr>
        <w:t>十</w:t>
      </w:r>
      <w:r>
        <w:rPr>
          <w:rFonts w:hint="eastAsia" w:hAnsi="宋体"/>
          <w:b/>
          <w:color w:val="auto"/>
          <w:highlight w:val="none"/>
          <w:lang w:val="en-US" w:eastAsia="zh-CN"/>
        </w:rPr>
        <w:t>八</w:t>
      </w:r>
      <w:r>
        <w:rPr>
          <w:rFonts w:hint="eastAsia" w:hAnsi="宋体"/>
          <w:b/>
          <w:color w:val="auto"/>
          <w:highlight w:val="none"/>
        </w:rPr>
        <w:t>、解决争议的方法</w:t>
      </w:r>
    </w:p>
    <w:p>
      <w:pPr>
        <w:pStyle w:val="10"/>
        <w:widowControl/>
        <w:spacing w:line="360" w:lineRule="auto"/>
        <w:ind w:firstLine="480"/>
        <w:rPr>
          <w:rFonts w:ascii="宋体" w:hAnsi="宋体" w:cs="宋体"/>
          <w:color w:val="auto"/>
          <w:highlight w:val="none"/>
        </w:rPr>
      </w:pPr>
      <w:r>
        <w:rPr>
          <w:rFonts w:hint="eastAsia" w:ascii="宋体" w:hAnsi="宋体" w:cs="宋体"/>
          <w:color w:val="auto"/>
          <w:highlight w:val="none"/>
        </w:rPr>
        <w:t>1.当事人可以通过和解或者调解解决合同争议。当事人不愿和解、调解或者和解、调解不成的，按下述</w:t>
      </w:r>
      <w:r>
        <w:rPr>
          <w:rFonts w:hint="eastAsia" w:ascii="宋体" w:hAnsi="宋体" w:cs="宋体"/>
          <w:color w:val="auto"/>
          <w:highlight w:val="none"/>
          <w:u w:val="single"/>
        </w:rPr>
        <w:t>（2）</w:t>
      </w:r>
      <w:r>
        <w:rPr>
          <w:rFonts w:hint="eastAsia" w:ascii="宋体" w:hAnsi="宋体" w:cs="宋体"/>
          <w:color w:val="auto"/>
          <w:highlight w:val="none"/>
        </w:rPr>
        <w:t>种方式解决；</w:t>
      </w:r>
    </w:p>
    <w:p>
      <w:pPr>
        <w:pStyle w:val="10"/>
        <w:widowControl/>
        <w:numPr>
          <w:ilvl w:val="0"/>
          <w:numId w:val="12"/>
        </w:numPr>
        <w:spacing w:line="360" w:lineRule="auto"/>
        <w:ind w:left="0" w:firstLine="480"/>
        <w:rPr>
          <w:rFonts w:ascii="宋体" w:hAnsi="宋体" w:cs="宋体"/>
          <w:color w:val="auto"/>
          <w:highlight w:val="none"/>
        </w:rPr>
      </w:pPr>
      <w:r>
        <w:rPr>
          <w:rFonts w:hint="eastAsia" w:ascii="宋体" w:hAnsi="宋体" w:cs="宋体"/>
          <w:color w:val="auto"/>
          <w:highlight w:val="none"/>
        </w:rPr>
        <w:t>提交</w:t>
      </w:r>
      <w:r>
        <w:rPr>
          <w:rFonts w:hint="eastAsia" w:ascii="宋体" w:hAnsi="宋体" w:cs="宋体"/>
          <w:color w:val="auto"/>
          <w:highlight w:val="none"/>
          <w:u w:val="single"/>
        </w:rPr>
        <w:t>_台州_</w:t>
      </w:r>
      <w:r>
        <w:rPr>
          <w:rFonts w:hint="eastAsia" w:ascii="宋体" w:hAnsi="宋体" w:cs="宋体"/>
          <w:color w:val="auto"/>
          <w:highlight w:val="none"/>
        </w:rPr>
        <w:t>仲裁委员会仲裁。</w:t>
      </w:r>
    </w:p>
    <w:p>
      <w:pPr>
        <w:pStyle w:val="10"/>
        <w:widowControl/>
        <w:numPr>
          <w:ilvl w:val="0"/>
          <w:numId w:val="12"/>
        </w:numPr>
        <w:spacing w:line="360" w:lineRule="auto"/>
        <w:ind w:left="0" w:firstLine="480"/>
        <w:rPr>
          <w:rFonts w:ascii="宋体" w:hAnsi="宋体" w:cs="宋体"/>
          <w:color w:val="auto"/>
          <w:highlight w:val="none"/>
        </w:rPr>
      </w:pPr>
      <w:r>
        <w:rPr>
          <w:rFonts w:hint="eastAsia" w:ascii="宋体" w:hAnsi="宋体" w:cs="宋体"/>
          <w:color w:val="auto"/>
          <w:highlight w:val="none"/>
        </w:rPr>
        <w:t>依法向甲方所在地人民法院提起诉讼。</w:t>
      </w:r>
    </w:p>
    <w:p>
      <w:pPr>
        <w:pStyle w:val="13"/>
        <w:tabs>
          <w:tab w:val="left" w:pos="5790"/>
        </w:tabs>
        <w:snapToGrid w:val="0"/>
        <w:spacing w:before="120" w:after="120" w:line="360" w:lineRule="auto"/>
        <w:ind w:firstLine="482"/>
        <w:rPr>
          <w:rFonts w:hAnsi="宋体"/>
          <w:b/>
          <w:color w:val="auto"/>
          <w:highlight w:val="none"/>
        </w:rPr>
      </w:pPr>
      <w:r>
        <w:rPr>
          <w:rFonts w:hint="eastAsia" w:hAnsi="宋体"/>
          <w:b/>
          <w:color w:val="auto"/>
          <w:highlight w:val="none"/>
        </w:rPr>
        <w:t>十</w:t>
      </w:r>
      <w:r>
        <w:rPr>
          <w:rFonts w:hint="eastAsia" w:hAnsi="宋体"/>
          <w:b/>
          <w:color w:val="auto"/>
          <w:highlight w:val="none"/>
          <w:lang w:val="en-US" w:eastAsia="zh-CN"/>
        </w:rPr>
        <w:t>九</w:t>
      </w:r>
      <w:r>
        <w:rPr>
          <w:rFonts w:hint="eastAsia" w:hAnsi="宋体"/>
          <w:b/>
          <w:color w:val="auto"/>
          <w:highlight w:val="none"/>
        </w:rPr>
        <w:t>、合同生效及其它</w:t>
      </w:r>
      <w:r>
        <w:rPr>
          <w:rFonts w:hint="eastAsia" w:hAnsi="宋体"/>
          <w:b/>
          <w:color w:val="auto"/>
          <w:highlight w:val="none"/>
        </w:rPr>
        <w:tab/>
      </w:r>
    </w:p>
    <w:p>
      <w:pPr>
        <w:pStyle w:val="10"/>
        <w:widowControl/>
        <w:spacing w:line="360" w:lineRule="auto"/>
        <w:ind w:firstLine="480"/>
        <w:rPr>
          <w:rFonts w:ascii="宋体" w:hAnsi="宋体" w:cs="宋体"/>
          <w:color w:val="auto"/>
          <w:highlight w:val="none"/>
        </w:rPr>
      </w:pPr>
      <w:r>
        <w:rPr>
          <w:rFonts w:hint="eastAsia" w:ascii="宋体" w:hAnsi="宋体" w:cs="宋体"/>
          <w:color w:val="auto"/>
          <w:highlight w:val="none"/>
        </w:rPr>
        <w:t>1. 合同经双方法定代表人或授权代表签字并加盖单位公章后生效。</w:t>
      </w:r>
    </w:p>
    <w:p>
      <w:pPr>
        <w:pStyle w:val="10"/>
        <w:widowControl/>
        <w:spacing w:line="360" w:lineRule="auto"/>
        <w:ind w:firstLine="480"/>
        <w:rPr>
          <w:rFonts w:ascii="宋体" w:hAnsi="宋体" w:cs="宋体"/>
          <w:color w:val="auto"/>
          <w:highlight w:val="none"/>
        </w:rPr>
      </w:pPr>
      <w:r>
        <w:rPr>
          <w:rFonts w:hint="eastAsia" w:ascii="宋体" w:hAnsi="宋体" w:cs="宋体"/>
          <w:color w:val="auto"/>
          <w:highlight w:val="none"/>
        </w:rPr>
        <w:t>2. 本合同未尽事宜，遵照《民法典》有关条文执行。</w:t>
      </w:r>
    </w:p>
    <w:p>
      <w:pPr>
        <w:pStyle w:val="10"/>
        <w:widowControl/>
        <w:spacing w:line="360" w:lineRule="auto"/>
        <w:ind w:firstLine="480"/>
        <w:rPr>
          <w:rFonts w:ascii="宋体" w:hAnsi="宋体" w:cs="宋体"/>
          <w:b/>
          <w:color w:val="auto"/>
          <w:highlight w:val="none"/>
        </w:rPr>
      </w:pPr>
      <w:r>
        <w:rPr>
          <w:rFonts w:hint="eastAsia" w:ascii="宋体" w:hAnsi="宋体" w:cs="宋体"/>
          <w:color w:val="auto"/>
          <w:highlight w:val="none"/>
        </w:rPr>
        <w:t>3. 本</w:t>
      </w:r>
      <w:r>
        <w:rPr>
          <w:rFonts w:hint="eastAsia" w:ascii="宋体" w:hAnsi="宋体" w:cs="宋体"/>
          <w:b/>
          <w:color w:val="auto"/>
          <w:highlight w:val="none"/>
        </w:rPr>
        <w:t>合同一式肆份。甲、乙双方各执贰份。本项目未尽事宜以采购文件、投标文件及澄清文件等为准。</w:t>
      </w:r>
    </w:p>
    <w:p>
      <w:pPr>
        <w:pStyle w:val="13"/>
        <w:snapToGrid w:val="0"/>
        <w:spacing w:before="120" w:after="120" w:line="360" w:lineRule="auto"/>
        <w:ind w:firstLine="480"/>
        <w:rPr>
          <w:rFonts w:hAnsi="宋体"/>
          <w:color w:val="auto"/>
          <w:highlight w:val="none"/>
        </w:rPr>
      </w:pPr>
    </w:p>
    <w:tbl>
      <w:tblPr>
        <w:tblStyle w:val="28"/>
        <w:tblpPr w:leftFromText="180" w:rightFromText="180" w:vertAnchor="text" w:horzAnchor="page" w:tblpX="1859" w:tblpY="469"/>
        <w:tblOverlap w:val="never"/>
        <w:tblW w:w="0" w:type="auto"/>
        <w:tblInd w:w="0" w:type="dxa"/>
        <w:tblLayout w:type="fixed"/>
        <w:tblCellMar>
          <w:top w:w="0" w:type="dxa"/>
          <w:left w:w="0" w:type="dxa"/>
          <w:bottom w:w="0" w:type="dxa"/>
          <w:right w:w="0" w:type="dxa"/>
        </w:tblCellMar>
      </w:tblPr>
      <w:tblGrid>
        <w:gridCol w:w="1670"/>
        <w:gridCol w:w="600"/>
        <w:gridCol w:w="600"/>
        <w:gridCol w:w="1620"/>
        <w:gridCol w:w="3890"/>
      </w:tblGrid>
      <w:tr>
        <w:tblPrEx>
          <w:tblCellMar>
            <w:top w:w="0" w:type="dxa"/>
            <w:left w:w="0" w:type="dxa"/>
            <w:bottom w:w="0" w:type="dxa"/>
            <w:right w:w="0" w:type="dxa"/>
          </w:tblCellMar>
        </w:tblPrEx>
        <w:trPr>
          <w:trHeight w:val="354" w:hRule="atLeast"/>
        </w:trPr>
        <w:tc>
          <w:tcPr>
            <w:tcW w:w="1670" w:type="dxa"/>
            <w:noWrap/>
          </w:tcPr>
          <w:p>
            <w:pPr>
              <w:pStyle w:val="57"/>
              <w:spacing w:line="360" w:lineRule="auto"/>
              <w:ind w:left="50"/>
              <w:rPr>
                <w:color w:val="auto"/>
                <w:sz w:val="24"/>
                <w:highlight w:val="none"/>
              </w:rPr>
            </w:pPr>
            <w:r>
              <w:rPr>
                <w:rFonts w:hint="eastAsia"/>
                <w:color w:val="auto"/>
                <w:sz w:val="24"/>
                <w:highlight w:val="none"/>
              </w:rPr>
              <w:t>甲方：</w:t>
            </w:r>
          </w:p>
        </w:tc>
        <w:tc>
          <w:tcPr>
            <w:tcW w:w="600" w:type="dxa"/>
            <w:noWrap/>
          </w:tcPr>
          <w:p>
            <w:pPr>
              <w:pStyle w:val="57"/>
              <w:spacing w:line="360" w:lineRule="auto"/>
              <w:rPr>
                <w:color w:val="auto"/>
                <w:sz w:val="24"/>
                <w:highlight w:val="none"/>
              </w:rPr>
            </w:pPr>
          </w:p>
        </w:tc>
        <w:tc>
          <w:tcPr>
            <w:tcW w:w="600" w:type="dxa"/>
            <w:noWrap/>
          </w:tcPr>
          <w:p>
            <w:pPr>
              <w:pStyle w:val="57"/>
              <w:spacing w:line="360" w:lineRule="auto"/>
              <w:rPr>
                <w:color w:val="auto"/>
                <w:sz w:val="24"/>
                <w:highlight w:val="none"/>
              </w:rPr>
            </w:pPr>
          </w:p>
        </w:tc>
        <w:tc>
          <w:tcPr>
            <w:tcW w:w="1620" w:type="dxa"/>
            <w:noWrap/>
          </w:tcPr>
          <w:p>
            <w:pPr>
              <w:pStyle w:val="57"/>
              <w:spacing w:line="360" w:lineRule="auto"/>
              <w:rPr>
                <w:color w:val="auto"/>
                <w:sz w:val="24"/>
                <w:highlight w:val="none"/>
              </w:rPr>
            </w:pPr>
          </w:p>
        </w:tc>
        <w:tc>
          <w:tcPr>
            <w:tcW w:w="3890" w:type="dxa"/>
            <w:noWrap/>
          </w:tcPr>
          <w:p>
            <w:pPr>
              <w:pStyle w:val="57"/>
              <w:spacing w:line="360" w:lineRule="auto"/>
              <w:rPr>
                <w:color w:val="auto"/>
                <w:sz w:val="24"/>
                <w:highlight w:val="none"/>
              </w:rPr>
            </w:pPr>
            <w:r>
              <w:rPr>
                <w:rFonts w:hint="eastAsia"/>
                <w:color w:val="auto"/>
                <w:sz w:val="24"/>
                <w:highlight w:val="none"/>
              </w:rPr>
              <w:t>乙方：</w:t>
            </w:r>
          </w:p>
        </w:tc>
      </w:tr>
      <w:tr>
        <w:tblPrEx>
          <w:tblCellMar>
            <w:top w:w="0" w:type="dxa"/>
            <w:left w:w="0" w:type="dxa"/>
            <w:bottom w:w="0" w:type="dxa"/>
            <w:right w:w="0" w:type="dxa"/>
          </w:tblCellMar>
        </w:tblPrEx>
        <w:trPr>
          <w:trHeight w:val="467" w:hRule="atLeast"/>
        </w:trPr>
        <w:tc>
          <w:tcPr>
            <w:tcW w:w="1670" w:type="dxa"/>
            <w:noWrap/>
          </w:tcPr>
          <w:p>
            <w:pPr>
              <w:pStyle w:val="57"/>
              <w:spacing w:line="360" w:lineRule="auto"/>
              <w:ind w:left="50"/>
              <w:rPr>
                <w:color w:val="auto"/>
                <w:sz w:val="24"/>
                <w:highlight w:val="none"/>
              </w:rPr>
            </w:pPr>
            <w:r>
              <w:rPr>
                <w:rFonts w:hint="eastAsia"/>
                <w:color w:val="auto"/>
                <w:sz w:val="24"/>
                <w:highlight w:val="none"/>
              </w:rPr>
              <w:t>地址：</w:t>
            </w:r>
          </w:p>
        </w:tc>
        <w:tc>
          <w:tcPr>
            <w:tcW w:w="600" w:type="dxa"/>
            <w:noWrap/>
          </w:tcPr>
          <w:p>
            <w:pPr>
              <w:pStyle w:val="57"/>
              <w:spacing w:line="360" w:lineRule="auto"/>
              <w:rPr>
                <w:color w:val="auto"/>
                <w:sz w:val="24"/>
                <w:highlight w:val="none"/>
              </w:rPr>
            </w:pPr>
          </w:p>
        </w:tc>
        <w:tc>
          <w:tcPr>
            <w:tcW w:w="600" w:type="dxa"/>
            <w:noWrap/>
          </w:tcPr>
          <w:p>
            <w:pPr>
              <w:pStyle w:val="57"/>
              <w:spacing w:line="360" w:lineRule="auto"/>
              <w:rPr>
                <w:color w:val="auto"/>
                <w:sz w:val="24"/>
                <w:highlight w:val="none"/>
              </w:rPr>
            </w:pPr>
          </w:p>
        </w:tc>
        <w:tc>
          <w:tcPr>
            <w:tcW w:w="1620" w:type="dxa"/>
            <w:noWrap/>
          </w:tcPr>
          <w:p>
            <w:pPr>
              <w:pStyle w:val="57"/>
              <w:spacing w:line="360" w:lineRule="auto"/>
              <w:rPr>
                <w:color w:val="auto"/>
                <w:sz w:val="24"/>
                <w:highlight w:val="none"/>
              </w:rPr>
            </w:pPr>
          </w:p>
        </w:tc>
        <w:tc>
          <w:tcPr>
            <w:tcW w:w="3890" w:type="dxa"/>
            <w:noWrap/>
          </w:tcPr>
          <w:p>
            <w:pPr>
              <w:pStyle w:val="57"/>
              <w:spacing w:line="360" w:lineRule="auto"/>
              <w:jc w:val="left"/>
              <w:rPr>
                <w:color w:val="auto"/>
                <w:sz w:val="24"/>
                <w:highlight w:val="none"/>
              </w:rPr>
            </w:pPr>
            <w:r>
              <w:rPr>
                <w:rFonts w:hint="eastAsia"/>
                <w:color w:val="auto"/>
                <w:sz w:val="24"/>
                <w:highlight w:val="none"/>
              </w:rPr>
              <w:t>地址：</w:t>
            </w:r>
          </w:p>
        </w:tc>
      </w:tr>
      <w:tr>
        <w:tblPrEx>
          <w:tblCellMar>
            <w:top w:w="0" w:type="dxa"/>
            <w:left w:w="0" w:type="dxa"/>
            <w:bottom w:w="0" w:type="dxa"/>
            <w:right w:w="0" w:type="dxa"/>
          </w:tblCellMar>
        </w:tblPrEx>
        <w:trPr>
          <w:trHeight w:val="468" w:hRule="atLeast"/>
        </w:trPr>
        <w:tc>
          <w:tcPr>
            <w:tcW w:w="1670" w:type="dxa"/>
            <w:noWrap/>
          </w:tcPr>
          <w:p>
            <w:pPr>
              <w:pStyle w:val="57"/>
              <w:spacing w:line="360" w:lineRule="auto"/>
              <w:ind w:left="50"/>
              <w:rPr>
                <w:color w:val="auto"/>
                <w:sz w:val="24"/>
                <w:highlight w:val="none"/>
              </w:rPr>
            </w:pPr>
            <w:r>
              <w:rPr>
                <w:rFonts w:hint="eastAsia"/>
                <w:color w:val="auto"/>
                <w:sz w:val="24"/>
                <w:highlight w:val="none"/>
              </w:rPr>
              <w:t>法定代表人：</w:t>
            </w:r>
          </w:p>
        </w:tc>
        <w:tc>
          <w:tcPr>
            <w:tcW w:w="600" w:type="dxa"/>
            <w:noWrap/>
          </w:tcPr>
          <w:p>
            <w:pPr>
              <w:pStyle w:val="57"/>
              <w:spacing w:line="360" w:lineRule="auto"/>
              <w:rPr>
                <w:color w:val="auto"/>
                <w:sz w:val="24"/>
                <w:highlight w:val="none"/>
              </w:rPr>
            </w:pPr>
          </w:p>
        </w:tc>
        <w:tc>
          <w:tcPr>
            <w:tcW w:w="600" w:type="dxa"/>
            <w:noWrap/>
          </w:tcPr>
          <w:p>
            <w:pPr>
              <w:pStyle w:val="57"/>
              <w:spacing w:line="360" w:lineRule="auto"/>
              <w:rPr>
                <w:color w:val="auto"/>
                <w:sz w:val="24"/>
                <w:highlight w:val="none"/>
              </w:rPr>
            </w:pPr>
          </w:p>
        </w:tc>
        <w:tc>
          <w:tcPr>
            <w:tcW w:w="1620" w:type="dxa"/>
            <w:noWrap/>
          </w:tcPr>
          <w:p>
            <w:pPr>
              <w:pStyle w:val="57"/>
              <w:spacing w:line="360" w:lineRule="auto"/>
              <w:rPr>
                <w:color w:val="auto"/>
                <w:sz w:val="24"/>
                <w:highlight w:val="none"/>
              </w:rPr>
            </w:pPr>
          </w:p>
        </w:tc>
        <w:tc>
          <w:tcPr>
            <w:tcW w:w="3890" w:type="dxa"/>
            <w:noWrap/>
          </w:tcPr>
          <w:p>
            <w:pPr>
              <w:pStyle w:val="57"/>
              <w:spacing w:line="360" w:lineRule="auto"/>
              <w:rPr>
                <w:color w:val="auto"/>
                <w:sz w:val="24"/>
                <w:highlight w:val="none"/>
              </w:rPr>
            </w:pPr>
            <w:r>
              <w:rPr>
                <w:rFonts w:hint="eastAsia"/>
                <w:color w:val="auto"/>
                <w:sz w:val="24"/>
                <w:highlight w:val="none"/>
              </w:rPr>
              <w:t>法定代表人（负责人）：</w:t>
            </w:r>
          </w:p>
        </w:tc>
      </w:tr>
      <w:tr>
        <w:tblPrEx>
          <w:tblCellMar>
            <w:top w:w="0" w:type="dxa"/>
            <w:left w:w="0" w:type="dxa"/>
            <w:bottom w:w="0" w:type="dxa"/>
            <w:right w:w="0" w:type="dxa"/>
          </w:tblCellMar>
        </w:tblPrEx>
        <w:trPr>
          <w:trHeight w:val="468" w:hRule="atLeast"/>
        </w:trPr>
        <w:tc>
          <w:tcPr>
            <w:tcW w:w="1670" w:type="dxa"/>
            <w:noWrap/>
          </w:tcPr>
          <w:p>
            <w:pPr>
              <w:pStyle w:val="57"/>
              <w:spacing w:line="360" w:lineRule="auto"/>
              <w:ind w:left="50"/>
              <w:rPr>
                <w:color w:val="auto"/>
                <w:sz w:val="24"/>
                <w:highlight w:val="none"/>
              </w:rPr>
            </w:pPr>
            <w:r>
              <w:rPr>
                <w:rFonts w:hint="eastAsia"/>
                <w:color w:val="auto"/>
                <w:sz w:val="24"/>
                <w:highlight w:val="none"/>
              </w:rPr>
              <w:t>联系方式：</w:t>
            </w:r>
          </w:p>
        </w:tc>
        <w:tc>
          <w:tcPr>
            <w:tcW w:w="600" w:type="dxa"/>
            <w:noWrap/>
          </w:tcPr>
          <w:p>
            <w:pPr>
              <w:pStyle w:val="57"/>
              <w:spacing w:line="360" w:lineRule="auto"/>
              <w:rPr>
                <w:color w:val="auto"/>
                <w:sz w:val="24"/>
                <w:highlight w:val="none"/>
              </w:rPr>
            </w:pPr>
          </w:p>
        </w:tc>
        <w:tc>
          <w:tcPr>
            <w:tcW w:w="600" w:type="dxa"/>
            <w:noWrap/>
          </w:tcPr>
          <w:p>
            <w:pPr>
              <w:pStyle w:val="57"/>
              <w:spacing w:line="360" w:lineRule="auto"/>
              <w:rPr>
                <w:color w:val="auto"/>
                <w:sz w:val="24"/>
                <w:highlight w:val="none"/>
              </w:rPr>
            </w:pPr>
          </w:p>
        </w:tc>
        <w:tc>
          <w:tcPr>
            <w:tcW w:w="1620" w:type="dxa"/>
            <w:noWrap/>
          </w:tcPr>
          <w:p>
            <w:pPr>
              <w:pStyle w:val="57"/>
              <w:spacing w:line="360" w:lineRule="auto"/>
              <w:rPr>
                <w:color w:val="auto"/>
                <w:sz w:val="24"/>
                <w:highlight w:val="none"/>
              </w:rPr>
            </w:pPr>
          </w:p>
        </w:tc>
        <w:tc>
          <w:tcPr>
            <w:tcW w:w="3890" w:type="dxa"/>
            <w:noWrap/>
          </w:tcPr>
          <w:p>
            <w:pPr>
              <w:pStyle w:val="57"/>
              <w:spacing w:line="360" w:lineRule="auto"/>
              <w:rPr>
                <w:color w:val="auto"/>
                <w:sz w:val="24"/>
                <w:highlight w:val="none"/>
              </w:rPr>
            </w:pPr>
            <w:r>
              <w:rPr>
                <w:rFonts w:hint="eastAsia"/>
                <w:color w:val="auto"/>
                <w:sz w:val="24"/>
                <w:highlight w:val="none"/>
              </w:rPr>
              <w:t>联系方式：</w:t>
            </w:r>
          </w:p>
        </w:tc>
      </w:tr>
      <w:tr>
        <w:tblPrEx>
          <w:tblCellMar>
            <w:top w:w="0" w:type="dxa"/>
            <w:left w:w="0" w:type="dxa"/>
            <w:bottom w:w="0" w:type="dxa"/>
            <w:right w:w="0" w:type="dxa"/>
          </w:tblCellMar>
        </w:tblPrEx>
        <w:trPr>
          <w:trHeight w:val="467" w:hRule="atLeast"/>
        </w:trPr>
        <w:tc>
          <w:tcPr>
            <w:tcW w:w="1670" w:type="dxa"/>
            <w:noWrap/>
          </w:tcPr>
          <w:p>
            <w:pPr>
              <w:pStyle w:val="57"/>
              <w:spacing w:line="360" w:lineRule="auto"/>
              <w:ind w:left="50"/>
              <w:rPr>
                <w:color w:val="auto"/>
                <w:sz w:val="24"/>
                <w:highlight w:val="none"/>
              </w:rPr>
            </w:pPr>
            <w:r>
              <w:rPr>
                <w:rFonts w:hint="eastAsia"/>
                <w:color w:val="auto"/>
                <w:sz w:val="24"/>
                <w:highlight w:val="none"/>
              </w:rPr>
              <w:t>开户行：</w:t>
            </w:r>
          </w:p>
        </w:tc>
        <w:tc>
          <w:tcPr>
            <w:tcW w:w="600" w:type="dxa"/>
            <w:noWrap/>
          </w:tcPr>
          <w:p>
            <w:pPr>
              <w:pStyle w:val="57"/>
              <w:spacing w:line="360" w:lineRule="auto"/>
              <w:rPr>
                <w:color w:val="auto"/>
                <w:sz w:val="24"/>
                <w:highlight w:val="none"/>
              </w:rPr>
            </w:pPr>
          </w:p>
        </w:tc>
        <w:tc>
          <w:tcPr>
            <w:tcW w:w="600" w:type="dxa"/>
            <w:noWrap/>
          </w:tcPr>
          <w:p>
            <w:pPr>
              <w:pStyle w:val="57"/>
              <w:spacing w:line="360" w:lineRule="auto"/>
              <w:rPr>
                <w:color w:val="auto"/>
                <w:sz w:val="24"/>
                <w:highlight w:val="none"/>
              </w:rPr>
            </w:pPr>
          </w:p>
        </w:tc>
        <w:tc>
          <w:tcPr>
            <w:tcW w:w="1620" w:type="dxa"/>
            <w:noWrap/>
          </w:tcPr>
          <w:p>
            <w:pPr>
              <w:pStyle w:val="57"/>
              <w:spacing w:line="360" w:lineRule="auto"/>
              <w:rPr>
                <w:color w:val="auto"/>
                <w:sz w:val="24"/>
                <w:highlight w:val="none"/>
              </w:rPr>
            </w:pPr>
          </w:p>
        </w:tc>
        <w:tc>
          <w:tcPr>
            <w:tcW w:w="3890" w:type="dxa"/>
            <w:noWrap/>
          </w:tcPr>
          <w:p>
            <w:pPr>
              <w:pStyle w:val="57"/>
              <w:spacing w:line="360" w:lineRule="auto"/>
              <w:rPr>
                <w:color w:val="auto"/>
                <w:sz w:val="24"/>
                <w:highlight w:val="none"/>
              </w:rPr>
            </w:pPr>
            <w:r>
              <w:rPr>
                <w:rFonts w:hint="eastAsia"/>
                <w:color w:val="auto"/>
                <w:sz w:val="24"/>
                <w:highlight w:val="none"/>
              </w:rPr>
              <w:t>开户行：</w:t>
            </w:r>
          </w:p>
        </w:tc>
      </w:tr>
      <w:tr>
        <w:tblPrEx>
          <w:tblCellMar>
            <w:top w:w="0" w:type="dxa"/>
            <w:left w:w="0" w:type="dxa"/>
            <w:bottom w:w="0" w:type="dxa"/>
            <w:right w:w="0" w:type="dxa"/>
          </w:tblCellMar>
        </w:tblPrEx>
        <w:trPr>
          <w:trHeight w:val="468" w:hRule="atLeast"/>
        </w:trPr>
        <w:tc>
          <w:tcPr>
            <w:tcW w:w="1670" w:type="dxa"/>
            <w:noWrap/>
          </w:tcPr>
          <w:p>
            <w:pPr>
              <w:pStyle w:val="57"/>
              <w:spacing w:line="360" w:lineRule="auto"/>
              <w:ind w:left="50"/>
              <w:rPr>
                <w:color w:val="auto"/>
                <w:sz w:val="24"/>
                <w:highlight w:val="none"/>
              </w:rPr>
            </w:pPr>
            <w:r>
              <w:rPr>
                <w:rFonts w:hint="eastAsia"/>
                <w:color w:val="auto"/>
                <w:sz w:val="24"/>
                <w:highlight w:val="none"/>
              </w:rPr>
              <w:t>账号：</w:t>
            </w:r>
          </w:p>
        </w:tc>
        <w:tc>
          <w:tcPr>
            <w:tcW w:w="600" w:type="dxa"/>
            <w:noWrap/>
          </w:tcPr>
          <w:p>
            <w:pPr>
              <w:pStyle w:val="57"/>
              <w:spacing w:line="360" w:lineRule="auto"/>
              <w:rPr>
                <w:color w:val="auto"/>
                <w:sz w:val="24"/>
                <w:highlight w:val="none"/>
              </w:rPr>
            </w:pPr>
          </w:p>
        </w:tc>
        <w:tc>
          <w:tcPr>
            <w:tcW w:w="600" w:type="dxa"/>
            <w:noWrap/>
          </w:tcPr>
          <w:p>
            <w:pPr>
              <w:pStyle w:val="57"/>
              <w:spacing w:line="360" w:lineRule="auto"/>
              <w:rPr>
                <w:color w:val="auto"/>
                <w:sz w:val="24"/>
                <w:highlight w:val="none"/>
              </w:rPr>
            </w:pPr>
          </w:p>
        </w:tc>
        <w:tc>
          <w:tcPr>
            <w:tcW w:w="1620" w:type="dxa"/>
            <w:noWrap/>
          </w:tcPr>
          <w:p>
            <w:pPr>
              <w:pStyle w:val="57"/>
              <w:spacing w:line="360" w:lineRule="auto"/>
              <w:rPr>
                <w:color w:val="auto"/>
                <w:sz w:val="24"/>
                <w:highlight w:val="none"/>
              </w:rPr>
            </w:pPr>
          </w:p>
        </w:tc>
        <w:tc>
          <w:tcPr>
            <w:tcW w:w="3890" w:type="dxa"/>
            <w:noWrap/>
          </w:tcPr>
          <w:p>
            <w:pPr>
              <w:pStyle w:val="57"/>
              <w:spacing w:line="360" w:lineRule="auto"/>
              <w:rPr>
                <w:color w:val="auto"/>
                <w:sz w:val="24"/>
                <w:highlight w:val="none"/>
              </w:rPr>
            </w:pPr>
            <w:r>
              <w:rPr>
                <w:rFonts w:hint="eastAsia"/>
                <w:color w:val="auto"/>
                <w:sz w:val="24"/>
                <w:highlight w:val="none"/>
              </w:rPr>
              <w:t>账号：</w:t>
            </w:r>
          </w:p>
        </w:tc>
      </w:tr>
      <w:tr>
        <w:tblPrEx>
          <w:tblCellMar>
            <w:top w:w="0" w:type="dxa"/>
            <w:left w:w="0" w:type="dxa"/>
            <w:bottom w:w="0" w:type="dxa"/>
            <w:right w:w="0" w:type="dxa"/>
          </w:tblCellMar>
        </w:tblPrEx>
        <w:trPr>
          <w:trHeight w:val="354" w:hRule="atLeast"/>
        </w:trPr>
        <w:tc>
          <w:tcPr>
            <w:tcW w:w="1670" w:type="dxa"/>
            <w:noWrap/>
          </w:tcPr>
          <w:p>
            <w:pPr>
              <w:pStyle w:val="57"/>
              <w:spacing w:line="360" w:lineRule="auto"/>
              <w:ind w:left="50" w:firstLine="360" w:firstLineChars="150"/>
              <w:rPr>
                <w:color w:val="auto"/>
                <w:sz w:val="24"/>
                <w:highlight w:val="none"/>
              </w:rPr>
            </w:pPr>
            <w:r>
              <w:rPr>
                <w:rFonts w:hint="eastAsia"/>
                <w:color w:val="auto"/>
                <w:sz w:val="24"/>
                <w:highlight w:val="none"/>
              </w:rPr>
              <w:t>签字日期：</w:t>
            </w:r>
          </w:p>
        </w:tc>
        <w:tc>
          <w:tcPr>
            <w:tcW w:w="600" w:type="dxa"/>
            <w:noWrap/>
          </w:tcPr>
          <w:p>
            <w:pPr>
              <w:pStyle w:val="57"/>
              <w:spacing w:line="360" w:lineRule="auto"/>
              <w:ind w:left="179"/>
              <w:rPr>
                <w:color w:val="auto"/>
                <w:sz w:val="24"/>
                <w:highlight w:val="none"/>
              </w:rPr>
            </w:pPr>
            <w:r>
              <w:rPr>
                <w:rFonts w:hint="eastAsia"/>
                <w:color w:val="auto"/>
                <w:sz w:val="24"/>
                <w:highlight w:val="none"/>
              </w:rPr>
              <w:t>年</w:t>
            </w:r>
          </w:p>
        </w:tc>
        <w:tc>
          <w:tcPr>
            <w:tcW w:w="600" w:type="dxa"/>
            <w:noWrap/>
          </w:tcPr>
          <w:p>
            <w:pPr>
              <w:pStyle w:val="57"/>
              <w:spacing w:line="360" w:lineRule="auto"/>
              <w:ind w:left="179"/>
              <w:rPr>
                <w:color w:val="auto"/>
                <w:sz w:val="24"/>
                <w:highlight w:val="none"/>
              </w:rPr>
            </w:pPr>
            <w:r>
              <w:rPr>
                <w:rFonts w:hint="eastAsia"/>
                <w:color w:val="auto"/>
                <w:sz w:val="24"/>
                <w:highlight w:val="none"/>
              </w:rPr>
              <w:t>月</w:t>
            </w:r>
          </w:p>
        </w:tc>
        <w:tc>
          <w:tcPr>
            <w:tcW w:w="1620" w:type="dxa"/>
            <w:noWrap/>
          </w:tcPr>
          <w:p>
            <w:pPr>
              <w:pStyle w:val="57"/>
              <w:spacing w:line="360" w:lineRule="auto"/>
              <w:ind w:left="179"/>
              <w:rPr>
                <w:color w:val="auto"/>
                <w:sz w:val="24"/>
                <w:highlight w:val="none"/>
              </w:rPr>
            </w:pPr>
            <w:r>
              <w:rPr>
                <w:rFonts w:hint="eastAsia"/>
                <w:color w:val="auto"/>
                <w:sz w:val="24"/>
                <w:highlight w:val="none"/>
              </w:rPr>
              <w:t>日</w:t>
            </w:r>
          </w:p>
        </w:tc>
        <w:tc>
          <w:tcPr>
            <w:tcW w:w="3890" w:type="dxa"/>
            <w:noWrap/>
          </w:tcPr>
          <w:p>
            <w:pPr>
              <w:pStyle w:val="57"/>
              <w:spacing w:line="360" w:lineRule="auto"/>
              <w:rPr>
                <w:color w:val="auto"/>
                <w:sz w:val="24"/>
                <w:highlight w:val="none"/>
              </w:rPr>
            </w:pPr>
          </w:p>
        </w:tc>
      </w:tr>
    </w:tbl>
    <w:p>
      <w:pPr>
        <w:spacing w:line="360" w:lineRule="auto"/>
        <w:ind w:firstLine="480"/>
        <w:rPr>
          <w:color w:val="auto"/>
          <w:highlight w:val="none"/>
        </w:rPr>
      </w:pPr>
    </w:p>
    <w:p>
      <w:pPr>
        <w:spacing w:line="360" w:lineRule="auto"/>
        <w:ind w:firstLine="4305" w:firstLineChars="2050"/>
        <w:rPr>
          <w:rFonts w:ascii="宋体" w:cs="宋体"/>
          <w:color w:val="auto"/>
          <w:highlight w:val="none"/>
        </w:rPr>
      </w:pPr>
    </w:p>
    <w:p>
      <w:pPr>
        <w:pStyle w:val="13"/>
        <w:snapToGrid w:val="0"/>
        <w:spacing w:line="360" w:lineRule="auto"/>
        <w:ind w:firstLine="210" w:firstLineChars="100"/>
        <w:rPr>
          <w:rFonts w:hAnsi="宋体"/>
          <w:color w:val="auto"/>
          <w:highlight w:val="none"/>
        </w:rPr>
      </w:pPr>
    </w:p>
    <w:p>
      <w:pPr>
        <w:pStyle w:val="14"/>
        <w:spacing w:line="360" w:lineRule="auto"/>
        <w:ind w:left="5250"/>
        <w:rPr>
          <w:rFonts w:hAnsi="宋体"/>
          <w:color w:val="auto"/>
          <w:highlight w:val="none"/>
        </w:rPr>
      </w:pPr>
    </w:p>
    <w:p>
      <w:pPr>
        <w:ind w:firstLine="480"/>
        <w:rPr>
          <w:rFonts w:hAnsi="宋体"/>
          <w:color w:val="auto"/>
          <w:highlight w:val="none"/>
        </w:rPr>
      </w:pPr>
    </w:p>
    <w:p>
      <w:pPr>
        <w:pStyle w:val="20"/>
        <w:rPr>
          <w:rFonts w:hAnsi="宋体"/>
          <w:color w:val="auto"/>
          <w:highlight w:val="none"/>
        </w:rPr>
      </w:pPr>
    </w:p>
    <w:p>
      <w:pPr>
        <w:ind w:firstLine="480"/>
        <w:rPr>
          <w:color w:val="auto"/>
          <w:highlight w:val="none"/>
        </w:rPr>
      </w:pPr>
    </w:p>
    <w:p>
      <w:pPr>
        <w:pStyle w:val="19"/>
        <w:tabs>
          <w:tab w:val="right" w:leader="dot" w:pos="8302"/>
        </w:tabs>
        <w:spacing w:before="156" w:after="156"/>
        <w:rPr>
          <w:color w:val="auto"/>
          <w:highlight w:val="none"/>
        </w:rPr>
      </w:pPr>
    </w:p>
    <w:p>
      <w:pPr>
        <w:pStyle w:val="13"/>
        <w:snapToGrid w:val="0"/>
        <w:spacing w:line="480" w:lineRule="exact"/>
        <w:ind w:firstLine="211" w:firstLineChars="100"/>
        <w:rPr>
          <w:rFonts w:hAnsi="宋体"/>
          <w:b/>
          <w:bCs/>
          <w:color w:val="auto"/>
          <w:highlight w:val="none"/>
        </w:rPr>
      </w:pPr>
      <w:r>
        <w:rPr>
          <w:rFonts w:hint="eastAsia" w:hAnsi="宋体"/>
          <w:b/>
          <w:bCs/>
          <w:color w:val="auto"/>
          <w:highlight w:val="none"/>
        </w:rPr>
        <w:t xml:space="preserve">                 </w:t>
      </w:r>
      <w:bookmarkEnd w:id="30"/>
    </w:p>
    <w:p>
      <w:pPr>
        <w:pStyle w:val="5"/>
        <w:rPr>
          <w:color w:val="auto"/>
          <w:highlight w:val="none"/>
        </w:rPr>
      </w:pPr>
    </w:p>
    <w:p>
      <w:pPr>
        <w:autoSpaceDE w:val="0"/>
        <w:autoSpaceDN w:val="0"/>
        <w:spacing w:line="360" w:lineRule="exact"/>
        <w:ind w:firstLine="767" w:firstLineChars="273"/>
        <w:jc w:val="center"/>
        <w:rPr>
          <w:rFonts w:hAnsi="宋体"/>
          <w:b/>
          <w:color w:val="auto"/>
          <w:sz w:val="28"/>
          <w:szCs w:val="28"/>
          <w:highlight w:val="none"/>
        </w:rPr>
        <w:sectPr>
          <w:pgSz w:w="11906" w:h="16838"/>
          <w:pgMar w:top="1247" w:right="1361" w:bottom="1247" w:left="1361" w:header="851" w:footer="851" w:gutter="0"/>
          <w:pgNumType w:fmt="numberInDash"/>
          <w:cols w:space="720" w:num="1"/>
          <w:docGrid w:type="lines" w:linePitch="312" w:charSpace="0"/>
        </w:sectPr>
      </w:pPr>
    </w:p>
    <w:p>
      <w:pPr>
        <w:spacing w:line="360" w:lineRule="auto"/>
        <w:jc w:val="center"/>
        <w:rPr>
          <w:rFonts w:ascii="宋体" w:hAnsi="宋体"/>
          <w:b/>
          <w:color w:val="auto"/>
          <w:sz w:val="36"/>
          <w:szCs w:val="36"/>
          <w:highlight w:val="none"/>
        </w:rPr>
      </w:pPr>
      <w:bookmarkStart w:id="31" w:name="_Toc5481_WPSOffice_Level1"/>
      <w:r>
        <w:rPr>
          <w:rFonts w:hint="eastAsia" w:ascii="宋体" w:hAnsi="宋体"/>
          <w:b/>
          <w:color w:val="auto"/>
          <w:sz w:val="36"/>
          <w:szCs w:val="36"/>
          <w:highlight w:val="none"/>
        </w:rPr>
        <w:t>第六章 投标文件格式</w:t>
      </w:r>
      <w:bookmarkEnd w:id="31"/>
    </w:p>
    <w:p>
      <w:pPr>
        <w:rPr>
          <w:rFonts w:ascii="宋体" w:hAnsi="宋体"/>
          <w:b/>
          <w:color w:val="auto"/>
          <w:sz w:val="30"/>
          <w:szCs w:val="30"/>
          <w:highlight w:val="none"/>
        </w:rPr>
      </w:pPr>
    </w:p>
    <w:p>
      <w:pPr>
        <w:rPr>
          <w:rFonts w:ascii="宋体" w:hAnsi="宋体"/>
          <w:b/>
          <w:color w:val="auto"/>
          <w:kern w:val="0"/>
          <w:sz w:val="28"/>
          <w:szCs w:val="28"/>
          <w:highlight w:val="none"/>
        </w:rPr>
      </w:pP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pPr>
        <w:spacing w:line="360" w:lineRule="auto"/>
        <w:rPr>
          <w:rFonts w:ascii="宋体" w:hAnsi="宋体"/>
          <w:b/>
          <w:color w:val="auto"/>
          <w:sz w:val="30"/>
          <w:szCs w:val="30"/>
          <w:highlight w:val="none"/>
        </w:rPr>
      </w:pPr>
    </w:p>
    <w:p>
      <w:pPr>
        <w:jc w:val="center"/>
        <w:rPr>
          <w:rFonts w:hint="eastAsia" w:eastAsia="宋体"/>
          <w:color w:val="auto"/>
          <w:sz w:val="44"/>
          <w:szCs w:val="44"/>
          <w:highlight w:val="none"/>
          <w:lang w:eastAsia="zh-CN"/>
        </w:rPr>
      </w:pPr>
      <w:r>
        <w:rPr>
          <w:rFonts w:hint="eastAsia"/>
          <w:color w:val="auto"/>
          <w:sz w:val="44"/>
          <w:szCs w:val="44"/>
          <w:highlight w:val="none"/>
          <w:lang w:eastAsia="zh-CN"/>
        </w:rPr>
        <w:t>台州东茂观光农业开发有限公司2024年度第一批农药、化肥、农用薄膜采购项目</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pPr>
        <w:pStyle w:val="27"/>
        <w:rPr>
          <w:color w:val="auto"/>
          <w:highlight w:val="none"/>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资格标）</w:t>
      </w:r>
    </w:p>
    <w:p>
      <w:pPr>
        <w:pStyle w:val="27"/>
        <w:rPr>
          <w:color w:val="auto"/>
          <w:highlight w:val="none"/>
        </w:rPr>
      </w:pP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pPr>
        <w:snapToGrid w:val="0"/>
        <w:spacing w:before="50" w:after="50" w:line="360" w:lineRule="auto"/>
        <w:rPr>
          <w:rFonts w:ascii="仿宋_GB2312" w:hAnsi="宋体" w:eastAsia="仿宋_GB2312"/>
          <w:b/>
          <w:color w:val="auto"/>
          <w:sz w:val="36"/>
          <w:szCs w:val="36"/>
          <w:highlight w:val="none"/>
        </w:rPr>
      </w:pPr>
    </w:p>
    <w:p>
      <w:pPr>
        <w:pStyle w:val="10"/>
        <w:rPr>
          <w:rFonts w:ascii="仿宋_GB2312" w:hAnsi="宋体" w:eastAsia="仿宋_GB2312"/>
          <w:b/>
          <w:color w:val="auto"/>
          <w:sz w:val="36"/>
          <w:szCs w:val="36"/>
          <w:highlight w:val="none"/>
        </w:rPr>
      </w:pPr>
    </w:p>
    <w:p>
      <w:pPr>
        <w:pStyle w:val="26"/>
        <w:ind w:firstLine="480"/>
        <w:rPr>
          <w:color w:val="auto"/>
          <w:highlight w:val="none"/>
        </w:rPr>
      </w:pPr>
    </w:p>
    <w:p>
      <w:pPr>
        <w:pStyle w:val="5"/>
        <w:rPr>
          <w:rFonts w:ascii="仿宋_GB2312" w:hAnsi="宋体" w:eastAsia="仿宋_GB2312"/>
          <w:b/>
          <w:color w:val="auto"/>
          <w:sz w:val="36"/>
          <w:szCs w:val="36"/>
          <w:highlight w:val="none"/>
        </w:rPr>
      </w:pPr>
    </w:p>
    <w:p>
      <w:pPr>
        <w:spacing w:line="360" w:lineRule="auto"/>
        <w:jc w:val="center"/>
        <w:rPr>
          <w:b/>
          <w:bCs/>
          <w:color w:val="auto"/>
          <w:sz w:val="36"/>
          <w:szCs w:val="36"/>
          <w:highlight w:val="none"/>
        </w:rPr>
      </w:pPr>
      <w:r>
        <w:rPr>
          <w:rFonts w:hint="eastAsia"/>
          <w:b/>
          <w:bCs/>
          <w:color w:val="auto"/>
          <w:sz w:val="36"/>
          <w:szCs w:val="36"/>
          <w:highlight w:val="none"/>
        </w:rPr>
        <w:t>资格标目录</w:t>
      </w:r>
    </w:p>
    <w:p>
      <w:pPr>
        <w:spacing w:line="360" w:lineRule="auto"/>
        <w:ind w:firstLine="560" w:firstLineChars="200"/>
        <w:rPr>
          <w:color w:val="auto"/>
          <w:sz w:val="28"/>
          <w:szCs w:val="36"/>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（1）投标声明书（附件1）；</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（7）需要说明的其他资料。</w:t>
      </w: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pStyle w:val="37"/>
        <w:rPr>
          <w:rFonts w:ascii="宋体" w:hAnsi="宋体"/>
          <w:b/>
          <w:color w:val="auto"/>
          <w:sz w:val="28"/>
          <w:highlight w:val="none"/>
        </w:rPr>
      </w:pPr>
    </w:p>
    <w:p>
      <w:pPr>
        <w:pStyle w:val="37"/>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rPr>
          <w:rFonts w:ascii="宋体" w:hAnsi="宋体"/>
          <w:b/>
          <w:color w:val="auto"/>
          <w:sz w:val="28"/>
          <w:highlight w:val="none"/>
        </w:rPr>
      </w:pPr>
    </w:p>
    <w:p>
      <w:pPr>
        <w:pStyle w:val="2"/>
        <w:numPr>
          <w:ilvl w:val="0"/>
          <w:numId w:val="0"/>
        </w:numPr>
        <w:ind w:left="425"/>
        <w:jc w:val="both"/>
        <w:rPr>
          <w:color w:val="auto"/>
          <w:highlight w:val="none"/>
        </w:rPr>
      </w:pPr>
    </w:p>
    <w:p>
      <w:pPr>
        <w:rPr>
          <w:color w:val="auto"/>
          <w:highlight w:val="none"/>
        </w:rPr>
      </w:pPr>
    </w:p>
    <w:p>
      <w:pPr>
        <w:pStyle w:val="5"/>
        <w:rPr>
          <w:rFonts w:ascii="宋体" w:hAnsi="宋体"/>
          <w:b/>
          <w:color w:val="auto"/>
          <w:sz w:val="28"/>
          <w:highlight w:val="none"/>
        </w:rPr>
      </w:pPr>
    </w:p>
    <w:p>
      <w:pPr>
        <w:pStyle w:val="5"/>
        <w:rPr>
          <w:rFonts w:ascii="宋体" w:hAnsi="宋体"/>
          <w:b/>
          <w:color w:val="auto"/>
          <w:sz w:val="28"/>
          <w:highlight w:val="none"/>
        </w:rPr>
      </w:pPr>
    </w:p>
    <w:p>
      <w:pPr>
        <w:rPr>
          <w:color w:val="auto"/>
          <w:highlight w:val="none"/>
        </w:rPr>
      </w:pPr>
    </w:p>
    <w:p>
      <w:pPr>
        <w:spacing w:line="312" w:lineRule="auto"/>
        <w:rPr>
          <w:rFonts w:ascii="宋体" w:hAnsi="宋体"/>
          <w:b/>
          <w:color w:val="auto"/>
          <w:sz w:val="28"/>
          <w:highlight w:val="none"/>
        </w:rPr>
      </w:pPr>
      <w:r>
        <w:rPr>
          <w:rFonts w:hint="eastAsia" w:ascii="宋体" w:hAnsi="宋体"/>
          <w:b/>
          <w:color w:val="auto"/>
          <w:sz w:val="28"/>
          <w:highlight w:val="none"/>
        </w:rPr>
        <w:t>附件1</w:t>
      </w:r>
    </w:p>
    <w:p>
      <w:pPr>
        <w:adjustRightInd w:val="0"/>
        <w:snapToGrid w:val="0"/>
        <w:spacing w:line="312" w:lineRule="auto"/>
        <w:ind w:right="480"/>
        <w:jc w:val="center"/>
        <w:rPr>
          <w:rFonts w:ascii="宋体" w:hAnsi="宋体"/>
          <w:b/>
          <w:color w:val="auto"/>
          <w:kern w:val="0"/>
          <w:sz w:val="32"/>
          <w:szCs w:val="32"/>
          <w:highlight w:val="none"/>
          <w:lang w:val="zh-CN"/>
        </w:rPr>
      </w:pPr>
      <w:bookmarkStart w:id="32" w:name="_Toc31708_WPSOffice_Level1"/>
      <w:bookmarkStart w:id="33" w:name="_Toc30723_WPSOffice_Level1"/>
      <w:r>
        <w:rPr>
          <w:rFonts w:hint="eastAsia" w:ascii="宋体" w:hAnsi="宋体"/>
          <w:b/>
          <w:color w:val="auto"/>
          <w:kern w:val="0"/>
          <w:sz w:val="32"/>
          <w:szCs w:val="32"/>
          <w:highlight w:val="none"/>
          <w:lang w:val="zh-CN"/>
        </w:rPr>
        <w:t>投标声明书</w:t>
      </w:r>
      <w:bookmarkEnd w:id="32"/>
      <w:bookmarkEnd w:id="33"/>
    </w:p>
    <w:p>
      <w:pPr>
        <w:snapToGrid w:val="0"/>
        <w:spacing w:before="156" w:beforeLines="50" w:after="50" w:line="312" w:lineRule="auto"/>
        <w:rPr>
          <w:rFonts w:ascii="宋体" w:hAnsi="宋体" w:cs="宋体"/>
          <w:color w:val="auto"/>
          <w:kern w:val="0"/>
          <w:sz w:val="24"/>
          <w:highlight w:val="none"/>
        </w:rPr>
      </w:pPr>
      <w:r>
        <w:rPr>
          <w:rFonts w:hint="eastAsia" w:ascii="宋体" w:hAnsi="宋体" w:cs="宋体"/>
          <w:color w:val="auto"/>
          <w:kern w:val="0"/>
          <w:sz w:val="24"/>
          <w:highlight w:val="none"/>
          <w:u w:val="single"/>
        </w:rPr>
        <w:t>台州市建航工程管理有限公司</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系中华人民共和国合法企业，经营地址。</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 xml:space="preserve">              招标项目名称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）的投标，为此，我公司就本次投标有关事项郑重声明如下：</w:t>
      </w:r>
    </w:p>
    <w:p>
      <w:pPr>
        <w:numPr>
          <w:ilvl w:val="0"/>
          <w:numId w:val="13"/>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3"/>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13"/>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pPr>
        <w:numPr>
          <w:ilvl w:val="0"/>
          <w:numId w:val="13"/>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numPr>
          <w:ilvl w:val="0"/>
          <w:numId w:val="13"/>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numPr>
          <w:ilvl w:val="0"/>
          <w:numId w:val="13"/>
        </w:numPr>
        <w:snapToGrid w:val="0"/>
        <w:spacing w:line="360" w:lineRule="auto"/>
        <w:ind w:left="5" w:firstLine="415"/>
        <w:rPr>
          <w:color w:val="auto"/>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adjustRightInd w:val="0"/>
        <w:snapToGrid w:val="0"/>
        <w:spacing w:line="360" w:lineRule="auto"/>
        <w:ind w:firstLine="4838" w:firstLineChars="2016"/>
        <w:rPr>
          <w:rFonts w:ascii="宋体" w:hAnsi="宋体"/>
          <w:b/>
          <w:color w:val="auto"/>
          <w:sz w:val="28"/>
          <w:highlight w:val="none"/>
        </w:rPr>
      </w:pPr>
      <w:r>
        <w:rPr>
          <w:rFonts w:hint="eastAsia" w:ascii="宋体" w:hAnsi="宋体" w:cs="仿宋_GB2312"/>
          <w:color w:val="auto"/>
          <w:kern w:val="0"/>
          <w:sz w:val="24"/>
          <w:highlight w:val="none"/>
          <w:lang w:val="zh-CN"/>
        </w:rPr>
        <w:t>日期：    年   月   日</w:t>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pPr>
        <w:spacing w:line="360" w:lineRule="auto"/>
        <w:ind w:firstLine="321" w:firstLineChars="100"/>
        <w:jc w:val="center"/>
        <w:rPr>
          <w:rFonts w:hAnsi="宋体"/>
          <w:b/>
          <w:color w:val="auto"/>
          <w:sz w:val="32"/>
          <w:szCs w:val="32"/>
          <w:highlight w:val="none"/>
          <w:u w:val="single"/>
        </w:rPr>
      </w:pPr>
      <w:bookmarkStart w:id="34" w:name="_Toc24373_WPSOffice_Level1"/>
      <w:bookmarkStart w:id="35"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34"/>
      <w:bookmarkEnd w:id="35"/>
    </w:p>
    <w:p>
      <w:pPr>
        <w:snapToGrid w:val="0"/>
        <w:spacing w:before="156" w:beforeLines="50" w:after="50" w:line="360" w:lineRule="auto"/>
        <w:rPr>
          <w:rFonts w:ascii="宋体" w:hAnsi="宋体" w:cs="宋体"/>
          <w:color w:val="auto"/>
          <w:kern w:val="0"/>
          <w:sz w:val="24"/>
          <w:highlight w:val="none"/>
        </w:rPr>
      </w:pPr>
      <w:r>
        <w:rPr>
          <w:rFonts w:hint="eastAsia" w:ascii="宋体" w:hAnsi="宋体" w:cs="宋体"/>
          <w:color w:val="auto"/>
          <w:kern w:val="0"/>
          <w:sz w:val="24"/>
          <w:highlight w:val="none"/>
          <w:u w:val="single"/>
        </w:rPr>
        <w:t>台州市建航工程管理有限公司</w:t>
      </w:r>
      <w:r>
        <w:rPr>
          <w:rFonts w:hint="eastAsia" w:ascii="宋体" w:hAnsi="宋体" w:cs="宋体"/>
          <w:color w:val="auto"/>
          <w:kern w:val="0"/>
          <w:sz w:val="24"/>
          <w:highlight w:val="none"/>
        </w:rPr>
        <w:t>：</w:t>
      </w:r>
    </w:p>
    <w:p>
      <w:pPr>
        <w:pStyle w:val="13"/>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w:t>
      </w:r>
      <w:r>
        <w:rPr>
          <w:rFonts w:hint="eastAsia" w:hAnsi="宋体"/>
          <w:color w:val="auto"/>
          <w:kern w:val="0"/>
          <w:sz w:val="24"/>
          <w:highlight w:val="none"/>
        </w:rPr>
        <w:t>（编号为</w:t>
      </w:r>
      <w:r>
        <w:rPr>
          <w:rFonts w:hint="eastAsia" w:hAnsi="宋体"/>
          <w:color w:val="auto"/>
          <w:kern w:val="0"/>
          <w:sz w:val="24"/>
          <w:highlight w:val="none"/>
          <w:u w:val="single"/>
        </w:rPr>
        <w:t xml:space="preserve">           </w:t>
      </w:r>
      <w:r>
        <w:rPr>
          <w:rFonts w:hint="eastAsia" w:hAnsi="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13"/>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3"/>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r>
        <w:rPr>
          <w:rFonts w:hint="eastAsia" w:ascii="宋体"/>
          <w:color w:val="auto"/>
          <w:sz w:val="24"/>
          <w:highlight w:val="none"/>
        </w:rPr>
        <w:t>投标人全称（公章）：                              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rPr>
          <w:rFonts w:ascii="宋体" w:hAnsi="宋体"/>
          <w:b/>
          <w:color w:val="auto"/>
          <w:sz w:val="28"/>
          <w:highlight w:val="none"/>
        </w:rPr>
      </w:pPr>
      <w:r>
        <w:rPr>
          <w:rFonts w:hint="eastAsia" w:ascii="宋体" w:hAnsi="宋体"/>
          <w:b/>
          <w:color w:val="auto"/>
          <w:sz w:val="28"/>
          <w:highlight w:val="none"/>
        </w:rPr>
        <w:br w:type="page"/>
      </w:r>
      <w:bookmarkStart w:id="36" w:name="_Toc26389_WPSOffice_Level1"/>
      <w:bookmarkStart w:id="37" w:name="_Toc12331_WPSOffice_Level1"/>
      <w:bookmarkStart w:id="38" w:name="_Toc16825_WPSOffice_Level1"/>
    </w:p>
    <w:p>
      <w:pPr>
        <w:rPr>
          <w:rFonts w:ascii="宋体" w:hAnsi="宋体"/>
          <w:b/>
          <w:color w:val="auto"/>
          <w:sz w:val="28"/>
          <w:highlight w:val="none"/>
        </w:rPr>
      </w:pPr>
      <w:r>
        <w:rPr>
          <w:rFonts w:hint="eastAsia" w:ascii="宋体" w:hAnsi="宋体"/>
          <w:b/>
          <w:color w:val="auto"/>
          <w:sz w:val="28"/>
          <w:highlight w:val="none"/>
        </w:rPr>
        <w:t>附件3</w:t>
      </w:r>
    </w:p>
    <w:p>
      <w:pPr>
        <w:widowControl/>
        <w:adjustRightInd w:val="0"/>
        <w:snapToGrid w:val="0"/>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pPr>
        <w:widowControl/>
        <w:adjustRightInd w:val="0"/>
        <w:snapToGrid w:val="0"/>
        <w:jc w:val="center"/>
        <w:rPr>
          <w:rFonts w:ascii="宋体" w:hAnsi="宋体"/>
          <w:b/>
          <w:color w:val="auto"/>
          <w:kern w:val="0"/>
          <w:sz w:val="32"/>
          <w:szCs w:val="32"/>
          <w:highlight w:val="none"/>
        </w:rPr>
      </w:pPr>
    </w:p>
    <w:p>
      <w:pPr>
        <w:adjustRightInd w:val="0"/>
        <w:snapToGrid w:val="0"/>
        <w:jc w:val="left"/>
        <w:rPr>
          <w:rFonts w:ascii="宋体" w:hAnsi="宋体"/>
          <w:b/>
          <w:color w:val="auto"/>
          <w:kern w:val="0"/>
          <w:sz w:val="32"/>
          <w:szCs w:val="32"/>
          <w:highlight w:val="none"/>
        </w:rPr>
      </w:pPr>
    </w:p>
    <w:p>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台州市建航工程管理有限公司</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pPr>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pPr>
        <w:jc w:val="center"/>
        <w:rPr>
          <w:rFonts w:ascii="宋体" w:hAnsi="宋体"/>
          <w:b/>
          <w:color w:val="auto"/>
          <w:kern w:val="0"/>
          <w:sz w:val="32"/>
          <w:szCs w:val="32"/>
          <w:highlight w:val="none"/>
        </w:rPr>
      </w:pPr>
    </w:p>
    <w:p>
      <w:pPr>
        <w:widowControl/>
        <w:shd w:val="clear" w:color="auto" w:fill="FFFFFF"/>
        <w:spacing w:before="100" w:beforeAutospacing="1" w:after="100" w:afterAutospacing="1"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台州市建航工程管理有限公司</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jc w:val="center"/>
        <w:rPr>
          <w:rFonts w:ascii="宋体" w:hAnsi="宋体"/>
          <w:b/>
          <w:color w:val="auto"/>
          <w:kern w:val="0"/>
          <w:sz w:val="32"/>
          <w:szCs w:val="32"/>
          <w:highlight w:val="none"/>
        </w:rPr>
      </w:pPr>
    </w:p>
    <w:p>
      <w:pPr>
        <w:jc w:val="center"/>
        <w:rPr>
          <w:rFonts w:ascii="宋体" w:hAnsi="宋体"/>
          <w:b/>
          <w:color w:val="auto"/>
          <w:kern w:val="0"/>
          <w:sz w:val="32"/>
          <w:szCs w:val="32"/>
          <w:highlight w:val="none"/>
        </w:rPr>
      </w:pPr>
    </w:p>
    <w:p>
      <w:pPr>
        <w:rPr>
          <w:rFonts w:ascii="宋体" w:hAnsi="宋体"/>
          <w:b/>
          <w:color w:val="auto"/>
          <w:kern w:val="0"/>
          <w:sz w:val="32"/>
          <w:szCs w:val="32"/>
          <w:highlight w:val="none"/>
        </w:rPr>
      </w:pPr>
      <w:r>
        <w:rPr>
          <w:rFonts w:ascii="宋体" w:hAnsi="宋体"/>
          <w:b/>
          <w:color w:val="auto"/>
          <w:kern w:val="0"/>
          <w:sz w:val="32"/>
          <w:szCs w:val="32"/>
          <w:highlight w:val="none"/>
        </w:rPr>
        <w:br w:type="page"/>
      </w:r>
    </w:p>
    <w:p>
      <w:pPr>
        <w:jc w:val="left"/>
        <w:rPr>
          <w:rFonts w:ascii="宋体" w:hAnsi="宋体"/>
          <w:b/>
          <w:color w:val="auto"/>
          <w:kern w:val="0"/>
          <w:sz w:val="32"/>
          <w:szCs w:val="32"/>
          <w:highlight w:val="none"/>
        </w:rPr>
      </w:pPr>
      <w:r>
        <w:rPr>
          <w:rFonts w:hint="eastAsia" w:ascii="宋体" w:hAnsi="宋体"/>
          <w:b/>
          <w:color w:val="auto"/>
          <w:kern w:val="0"/>
          <w:sz w:val="32"/>
          <w:szCs w:val="32"/>
          <w:highlight w:val="none"/>
        </w:rPr>
        <w:t>附件5</w:t>
      </w:r>
    </w:p>
    <w:p>
      <w:pPr>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pPr>
        <w:jc w:val="center"/>
        <w:rPr>
          <w:rFonts w:ascii="宋体" w:hAnsi="宋体"/>
          <w:b/>
          <w:color w:val="auto"/>
          <w:sz w:val="28"/>
          <w:highlight w:val="none"/>
        </w:rPr>
      </w:pPr>
    </w:p>
    <w:p>
      <w:pPr>
        <w:widowControl/>
        <w:shd w:val="clear" w:color="auto" w:fill="FFFFFF"/>
        <w:snapToGrid w:val="0"/>
        <w:spacing w:after="50" w:line="480" w:lineRule="auto"/>
        <w:jc w:val="left"/>
        <w:rPr>
          <w:rFonts w:ascii="宋体" w:hAnsi="宋体"/>
          <w:color w:val="auto"/>
          <w:kern w:val="0"/>
          <w:sz w:val="24"/>
          <w:highlight w:val="none"/>
        </w:rPr>
      </w:pPr>
      <w:r>
        <w:rPr>
          <w:rFonts w:hint="eastAsia" w:ascii="宋体" w:hAnsi="宋体"/>
          <w:color w:val="auto"/>
          <w:kern w:val="0"/>
          <w:sz w:val="24"/>
          <w:highlight w:val="none"/>
          <w:u w:val="single"/>
        </w:rPr>
        <w:t>台州市建航工程管理有限公司</w:t>
      </w:r>
      <w:r>
        <w:rPr>
          <w:rFonts w:ascii="宋体" w:hAnsi="宋体"/>
          <w:color w:val="auto"/>
          <w:kern w:val="0"/>
          <w:sz w:val="24"/>
          <w:highlight w:val="none"/>
        </w:rPr>
        <w:t>：</w:t>
      </w:r>
    </w:p>
    <w:p>
      <w:pPr>
        <w:widowControl/>
        <w:shd w:val="clear" w:color="auto" w:fill="FFFFFF"/>
        <w:spacing w:before="100" w:beforeAutospacing="1" w:after="100" w:afterAutospacing="1" w:line="48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sz w:val="24"/>
          <w:highlight w:val="none"/>
          <w:u w:val="single"/>
          <w:lang w:eastAsia="zh-CN"/>
        </w:rPr>
        <w:t>台州东茂观光农业开发有限公司2024年度第一批农药、化肥、农用薄膜采购项目</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    年   月   日</w:t>
      </w:r>
    </w:p>
    <w:p>
      <w:pPr>
        <w:jc w:val="center"/>
        <w:rPr>
          <w:color w:val="auto"/>
          <w:sz w:val="52"/>
          <w:szCs w:val="52"/>
          <w:highlight w:val="none"/>
        </w:rPr>
      </w:pPr>
    </w:p>
    <w:p>
      <w:pPr>
        <w:jc w:val="center"/>
        <w:rPr>
          <w:color w:val="auto"/>
          <w:sz w:val="52"/>
          <w:szCs w:val="52"/>
          <w:highlight w:val="none"/>
        </w:rPr>
      </w:pPr>
    </w:p>
    <w:p>
      <w:pPr>
        <w:jc w:val="center"/>
        <w:rPr>
          <w:color w:val="auto"/>
          <w:sz w:val="52"/>
          <w:szCs w:val="52"/>
          <w:highlight w:val="none"/>
        </w:rPr>
      </w:pPr>
    </w:p>
    <w:p>
      <w:pPr>
        <w:rPr>
          <w:color w:val="auto"/>
          <w:sz w:val="52"/>
          <w:szCs w:val="52"/>
          <w:highlight w:val="none"/>
        </w:rPr>
      </w:pPr>
    </w:p>
    <w:p>
      <w:pPr>
        <w:pStyle w:val="2"/>
        <w:numPr>
          <w:ilvl w:val="0"/>
          <w:numId w:val="0"/>
        </w:numPr>
        <w:jc w:val="both"/>
        <w:rPr>
          <w:color w:val="auto"/>
          <w:highlight w:val="none"/>
        </w:rPr>
      </w:pPr>
    </w:p>
    <w:p>
      <w:pPr>
        <w:jc w:val="center"/>
        <w:rPr>
          <w:color w:val="auto"/>
          <w:sz w:val="52"/>
          <w:szCs w:val="52"/>
          <w:highlight w:val="none"/>
        </w:rPr>
      </w:pPr>
    </w:p>
    <w:p>
      <w:pPr>
        <w:pStyle w:val="2"/>
        <w:numPr>
          <w:ilvl w:val="0"/>
          <w:numId w:val="0"/>
        </w:numPr>
        <w:ind w:left="425"/>
        <w:jc w:val="both"/>
        <w:rPr>
          <w:color w:val="auto"/>
          <w:highlight w:val="none"/>
        </w:rPr>
      </w:pPr>
    </w:p>
    <w:p>
      <w:pPr>
        <w:rPr>
          <w:color w:val="auto"/>
          <w:highlight w:val="none"/>
        </w:rPr>
      </w:pPr>
    </w:p>
    <w:bookmarkEnd w:id="36"/>
    <w:bookmarkEnd w:id="37"/>
    <w:bookmarkEnd w:id="38"/>
    <w:p>
      <w:pPr>
        <w:jc w:val="center"/>
        <w:rPr>
          <w:color w:val="auto"/>
          <w:highlight w:val="none"/>
        </w:rPr>
      </w:pPr>
    </w:p>
    <w:p>
      <w:pPr>
        <w:pStyle w:val="5"/>
        <w:rPr>
          <w:color w:val="auto"/>
          <w:highlight w:val="none"/>
        </w:rPr>
      </w:pPr>
    </w:p>
    <w:p>
      <w:pPr>
        <w:spacing w:before="312" w:beforeLines="100" w:line="360" w:lineRule="auto"/>
        <w:ind w:right="-108"/>
        <w:jc w:val="center"/>
        <w:rPr>
          <w:rFonts w:hint="eastAsia" w:ascii="宋体" w:hAnsi="宋体" w:eastAsia="宋体"/>
          <w:b/>
          <w:bCs/>
          <w:color w:val="auto"/>
          <w:sz w:val="52"/>
          <w:szCs w:val="52"/>
          <w:highlight w:val="none"/>
          <w:lang w:eastAsia="zh-CN"/>
        </w:rPr>
      </w:pPr>
      <w:r>
        <w:rPr>
          <w:rFonts w:hint="eastAsia" w:ascii="宋体" w:hAnsi="宋体"/>
          <w:b/>
          <w:bCs/>
          <w:color w:val="auto"/>
          <w:sz w:val="52"/>
          <w:szCs w:val="52"/>
          <w:highlight w:val="none"/>
          <w:lang w:eastAsia="zh-CN"/>
        </w:rPr>
        <w:t>台州东茂观光农业开发有限公司2024年度第一批农药、化肥、农用薄膜采购项目</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  ）</w:t>
      </w:r>
    </w:p>
    <w:p>
      <w:pPr>
        <w:autoSpaceDE w:val="0"/>
        <w:autoSpaceDN w:val="0"/>
        <w:adjustRightInd w:val="0"/>
        <w:spacing w:line="360" w:lineRule="auto"/>
        <w:jc w:val="center"/>
        <w:rPr>
          <w:rFonts w:ascii="宋体" w:hAnsi="宋体" w:cs="宋体"/>
          <w:color w:val="auto"/>
          <w:sz w:val="24"/>
          <w:highlight w:val="none"/>
          <w:lang w:val="zh-CN"/>
        </w:rPr>
      </w:pPr>
    </w:p>
    <w:p>
      <w:pPr>
        <w:pStyle w:val="5"/>
        <w:rPr>
          <w:rFonts w:ascii="宋体" w:hAnsi="宋体" w:cs="宋体"/>
          <w:color w:val="auto"/>
          <w:sz w:val="24"/>
          <w:highlight w:val="none"/>
          <w:lang w:val="zh-CN"/>
        </w:rPr>
      </w:pPr>
    </w:p>
    <w:p>
      <w:pPr>
        <w:rPr>
          <w:rFonts w:ascii="宋体" w:hAnsi="宋体" w:cs="宋体"/>
          <w:color w:val="auto"/>
          <w:sz w:val="24"/>
          <w:highlight w:val="none"/>
          <w:lang w:val="zh-CN"/>
        </w:rPr>
      </w:pPr>
    </w:p>
    <w:p>
      <w:pPr>
        <w:pStyle w:val="5"/>
        <w:rPr>
          <w:color w:val="auto"/>
          <w:highlight w:val="none"/>
          <w:lang w:val="zh-CN"/>
        </w:rPr>
      </w:pPr>
    </w:p>
    <w:p>
      <w:pPr>
        <w:jc w:val="center"/>
        <w:rPr>
          <w:color w:val="auto"/>
          <w:sz w:val="84"/>
          <w:szCs w:val="84"/>
          <w:highlight w:val="none"/>
          <w:lang w:val="zh-CN"/>
        </w:rPr>
      </w:pPr>
      <w:r>
        <w:rPr>
          <w:rFonts w:hint="eastAsia"/>
          <w:color w:val="auto"/>
          <w:sz w:val="84"/>
          <w:szCs w:val="84"/>
          <w:highlight w:val="none"/>
          <w:lang w:val="zh-CN"/>
        </w:rPr>
        <w:t>投</w:t>
      </w:r>
    </w:p>
    <w:p>
      <w:pPr>
        <w:jc w:val="center"/>
        <w:rPr>
          <w:color w:val="auto"/>
          <w:sz w:val="84"/>
          <w:szCs w:val="84"/>
          <w:highlight w:val="none"/>
          <w:lang w:val="zh-CN"/>
        </w:rPr>
      </w:pPr>
      <w:r>
        <w:rPr>
          <w:rFonts w:hint="eastAsia"/>
          <w:color w:val="auto"/>
          <w:sz w:val="84"/>
          <w:szCs w:val="84"/>
          <w:highlight w:val="none"/>
          <w:lang w:val="zh-CN"/>
        </w:rPr>
        <w:t>标</w:t>
      </w:r>
    </w:p>
    <w:p>
      <w:pPr>
        <w:jc w:val="center"/>
        <w:rPr>
          <w:color w:val="auto"/>
          <w:sz w:val="84"/>
          <w:szCs w:val="84"/>
          <w:highlight w:val="none"/>
        </w:rPr>
      </w:pPr>
      <w:r>
        <w:rPr>
          <w:rFonts w:hint="eastAsia"/>
          <w:color w:val="auto"/>
          <w:sz w:val="84"/>
          <w:szCs w:val="84"/>
          <w:highlight w:val="none"/>
          <w:lang w:val="zh-CN"/>
        </w:rPr>
        <w:t>文</w:t>
      </w:r>
    </w:p>
    <w:p>
      <w:pPr>
        <w:jc w:val="center"/>
        <w:rPr>
          <w:color w:val="auto"/>
          <w:sz w:val="84"/>
          <w:szCs w:val="84"/>
          <w:highlight w:val="none"/>
          <w:lang w:val="zh-CN"/>
        </w:rPr>
      </w:pPr>
      <w:r>
        <w:rPr>
          <w:rFonts w:hint="eastAsia"/>
          <w:color w:val="auto"/>
          <w:sz w:val="84"/>
          <w:szCs w:val="84"/>
          <w:highlight w:val="none"/>
          <w:lang w:val="zh-CN"/>
        </w:rPr>
        <w:t>件</w:t>
      </w:r>
    </w:p>
    <w:p>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rPr>
        <w:t>技术标</w:t>
      </w:r>
      <w:r>
        <w:rPr>
          <w:rFonts w:hint="eastAsia" w:ascii="宋体" w:hAnsi="宋体"/>
          <w:b/>
          <w:color w:val="auto"/>
          <w:sz w:val="28"/>
          <w:szCs w:val="28"/>
          <w:highlight w:val="none"/>
        </w:rPr>
        <w:t>）</w:t>
      </w:r>
    </w:p>
    <w:p>
      <w:pPr>
        <w:pStyle w:val="27"/>
        <w:rPr>
          <w:color w:val="auto"/>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rPr>
          <w:rFonts w:ascii="仿宋_GB2312" w:hAnsi="宋体" w:eastAsia="仿宋_GB2312"/>
          <w:b/>
          <w:color w:val="auto"/>
          <w:sz w:val="36"/>
          <w:szCs w:val="36"/>
          <w:highlight w:val="none"/>
        </w:rPr>
      </w:pPr>
    </w:p>
    <w:p>
      <w:pPr>
        <w:pStyle w:val="5"/>
        <w:rPr>
          <w:rFonts w:ascii="仿宋_GB2312" w:hAnsi="宋体" w:eastAsia="仿宋_GB2312"/>
          <w:b/>
          <w:color w:val="auto"/>
          <w:sz w:val="36"/>
          <w:szCs w:val="36"/>
          <w:highlight w:val="none"/>
        </w:rPr>
      </w:pPr>
    </w:p>
    <w:p>
      <w:pPr>
        <w:jc w:val="center"/>
        <w:rPr>
          <w:b/>
          <w:bCs/>
          <w:color w:val="auto"/>
          <w:sz w:val="36"/>
          <w:szCs w:val="36"/>
          <w:highlight w:val="none"/>
          <w:lang w:val="zh-CN"/>
        </w:rPr>
      </w:pPr>
      <w:bookmarkStart w:id="39" w:name="_Toc11308_WPSOffice_Level1"/>
      <w:bookmarkStart w:id="40" w:name="_Toc5889_WPSOffice_Level1"/>
    </w:p>
    <w:p>
      <w:pPr>
        <w:jc w:val="center"/>
        <w:rPr>
          <w:b/>
          <w:bCs/>
          <w:color w:val="auto"/>
          <w:sz w:val="36"/>
          <w:szCs w:val="36"/>
          <w:highlight w:val="none"/>
          <w:lang w:val="zh-CN"/>
        </w:rPr>
      </w:pPr>
    </w:p>
    <w:p>
      <w:pPr>
        <w:jc w:val="center"/>
        <w:rPr>
          <w:b/>
          <w:bCs/>
          <w:color w:val="auto"/>
          <w:sz w:val="36"/>
          <w:szCs w:val="36"/>
          <w:highlight w:val="none"/>
        </w:rPr>
      </w:pPr>
      <w:r>
        <w:rPr>
          <w:rFonts w:hint="eastAsia"/>
          <w:b/>
          <w:bCs/>
          <w:color w:val="auto"/>
          <w:sz w:val="36"/>
          <w:szCs w:val="36"/>
          <w:highlight w:val="none"/>
        </w:rPr>
        <w:t>技术标目录</w:t>
      </w:r>
      <w:bookmarkEnd w:id="39"/>
      <w:bookmarkEnd w:id="40"/>
    </w:p>
    <w:p>
      <w:pPr>
        <w:spacing w:line="360" w:lineRule="auto"/>
        <w:rPr>
          <w:color w:val="auto"/>
          <w:sz w:val="24"/>
          <w:highlight w:val="none"/>
        </w:rPr>
      </w:pP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（1）投标人基本情况表；</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（2）技术需求响应表；</w:t>
      </w:r>
    </w:p>
    <w:p>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（3）资信及商务需求响应表 ；</w:t>
      </w:r>
    </w:p>
    <w:p>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（4）同类业绩证明</w:t>
      </w:r>
      <w:r>
        <w:rPr>
          <w:rFonts w:hint="eastAsia" w:ascii="Calibri" w:hAnsi="Calibri" w:cs="Calibri"/>
          <w:color w:val="auto"/>
          <w:sz w:val="24"/>
          <w:highlight w:val="none"/>
        </w:rPr>
        <w:t>；</w:t>
      </w:r>
    </w:p>
    <w:p>
      <w:pPr>
        <w:pStyle w:val="5"/>
        <w:spacing w:line="360" w:lineRule="auto"/>
        <w:ind w:left="420" w:firstLine="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）报价清单；</w:t>
      </w:r>
    </w:p>
    <w:p>
      <w:pPr>
        <w:pStyle w:val="5"/>
        <w:spacing w:line="360" w:lineRule="auto"/>
        <w:ind w:left="420" w:firstLine="0"/>
        <w:rPr>
          <w:color w:val="auto"/>
          <w:sz w:val="28"/>
          <w:szCs w:val="28"/>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6</w:t>
      </w:r>
      <w:r>
        <w:rPr>
          <w:rFonts w:hint="eastAsia" w:ascii="宋体" w:hAnsi="宋体"/>
          <w:bCs/>
          <w:color w:val="auto"/>
          <w:sz w:val="24"/>
          <w:highlight w:val="none"/>
        </w:rPr>
        <w:t>）符合招标文件规定的其他证明文件及评分标准中涉及的其他材料。</w:t>
      </w:r>
    </w:p>
    <w:p>
      <w:pPr>
        <w:pStyle w:val="5"/>
        <w:spacing w:line="360" w:lineRule="auto"/>
        <w:ind w:firstLine="0"/>
        <w:rPr>
          <w:rFonts w:ascii="宋体" w:hAnsi="宋体"/>
          <w:bCs/>
          <w:color w:val="auto"/>
          <w:sz w:val="24"/>
          <w:highlight w:val="none"/>
        </w:rPr>
      </w:pPr>
    </w:p>
    <w:p>
      <w:pPr>
        <w:pStyle w:val="5"/>
        <w:spacing w:line="360" w:lineRule="auto"/>
        <w:ind w:firstLine="0"/>
        <w:rPr>
          <w:rFonts w:ascii="宋体" w:hAnsi="宋体"/>
          <w:bCs/>
          <w:color w:val="auto"/>
          <w:sz w:val="24"/>
          <w:highlight w:val="none"/>
        </w:rPr>
      </w:pPr>
    </w:p>
    <w:p>
      <w:pPr>
        <w:pStyle w:val="5"/>
        <w:spacing w:line="360" w:lineRule="auto"/>
        <w:ind w:firstLine="0"/>
        <w:rPr>
          <w:rFonts w:ascii="宋体" w:hAnsi="宋体"/>
          <w:bCs/>
          <w:color w:val="auto"/>
          <w:sz w:val="24"/>
          <w:highlight w:val="none"/>
        </w:rPr>
      </w:pPr>
    </w:p>
    <w:p>
      <w:pPr>
        <w:pStyle w:val="5"/>
        <w:spacing w:line="360" w:lineRule="auto"/>
        <w:ind w:firstLine="0"/>
        <w:rPr>
          <w:rFonts w:ascii="宋体" w:hAnsi="宋体"/>
          <w:bCs/>
          <w:color w:val="auto"/>
          <w:sz w:val="24"/>
          <w:highlight w:val="none"/>
        </w:rPr>
      </w:pPr>
    </w:p>
    <w:p>
      <w:pPr>
        <w:pStyle w:val="5"/>
        <w:spacing w:line="360" w:lineRule="auto"/>
        <w:ind w:firstLine="0"/>
        <w:rPr>
          <w:rFonts w:ascii="宋体" w:hAnsi="宋体"/>
          <w:bCs/>
          <w:color w:val="auto"/>
          <w:sz w:val="24"/>
          <w:highlight w:val="none"/>
        </w:rPr>
      </w:pPr>
    </w:p>
    <w:p>
      <w:pPr>
        <w:pStyle w:val="5"/>
        <w:spacing w:line="360" w:lineRule="auto"/>
        <w:ind w:firstLine="0"/>
        <w:rPr>
          <w:rFonts w:ascii="宋体" w:hAnsi="宋体"/>
          <w:bCs/>
          <w:color w:val="auto"/>
          <w:sz w:val="24"/>
          <w:highlight w:val="none"/>
        </w:rPr>
      </w:pPr>
    </w:p>
    <w:p>
      <w:pPr>
        <w:pStyle w:val="5"/>
        <w:spacing w:line="360" w:lineRule="auto"/>
        <w:ind w:firstLine="0"/>
        <w:rPr>
          <w:rFonts w:ascii="宋体" w:hAnsi="宋体"/>
          <w:bCs/>
          <w:color w:val="auto"/>
          <w:sz w:val="24"/>
          <w:highlight w:val="none"/>
        </w:rPr>
      </w:pPr>
    </w:p>
    <w:p>
      <w:pPr>
        <w:pStyle w:val="5"/>
        <w:spacing w:line="360" w:lineRule="auto"/>
        <w:ind w:firstLine="0"/>
        <w:rPr>
          <w:rFonts w:ascii="宋体" w:hAnsi="宋体"/>
          <w:bCs/>
          <w:color w:val="auto"/>
          <w:sz w:val="24"/>
          <w:highlight w:val="none"/>
        </w:rPr>
      </w:pPr>
    </w:p>
    <w:p>
      <w:pPr>
        <w:rPr>
          <w:rFonts w:ascii="宋体" w:hAnsi="宋体"/>
          <w:bCs/>
          <w:color w:val="auto"/>
          <w:sz w:val="24"/>
          <w:highlight w:val="none"/>
        </w:rPr>
      </w:pPr>
    </w:p>
    <w:p>
      <w:pPr>
        <w:pStyle w:val="5"/>
        <w:rPr>
          <w:color w:val="auto"/>
          <w:highlight w:val="none"/>
        </w:rPr>
      </w:pPr>
    </w:p>
    <w:p>
      <w:pPr>
        <w:rPr>
          <w:color w:val="auto"/>
          <w:highlight w:val="none"/>
        </w:rPr>
      </w:pPr>
    </w:p>
    <w:p>
      <w:pPr>
        <w:pStyle w:val="41"/>
        <w:shd w:val="clear" w:color="auto" w:fill="FFFFFF"/>
        <w:spacing w:before="0" w:beforeAutospacing="0" w:after="0" w:afterAutospacing="0" w:line="360" w:lineRule="auto"/>
        <w:rPr>
          <w:b/>
          <w:color w:val="auto"/>
          <w:sz w:val="28"/>
          <w:highlight w:val="none"/>
        </w:rPr>
      </w:pPr>
    </w:p>
    <w:p>
      <w:pPr>
        <w:pStyle w:val="41"/>
        <w:shd w:val="clear" w:color="auto" w:fill="FFFFFF"/>
        <w:spacing w:before="0" w:beforeAutospacing="0" w:after="0" w:afterAutospacing="0" w:line="360" w:lineRule="auto"/>
        <w:rPr>
          <w:b/>
          <w:color w:val="auto"/>
          <w:sz w:val="28"/>
          <w:highlight w:val="none"/>
        </w:rPr>
      </w:pPr>
    </w:p>
    <w:p>
      <w:pPr>
        <w:pStyle w:val="41"/>
        <w:shd w:val="clear" w:color="auto" w:fill="FFFFFF"/>
        <w:spacing w:before="0" w:beforeAutospacing="0" w:after="0" w:afterAutospacing="0" w:line="360" w:lineRule="auto"/>
        <w:rPr>
          <w:b/>
          <w:color w:val="auto"/>
          <w:sz w:val="28"/>
          <w:highlight w:val="none"/>
        </w:rPr>
      </w:pPr>
    </w:p>
    <w:p>
      <w:pPr>
        <w:pStyle w:val="41"/>
        <w:shd w:val="clear" w:color="auto" w:fill="FFFFFF"/>
        <w:spacing w:before="0" w:beforeAutospacing="0" w:after="0" w:afterAutospacing="0" w:line="360" w:lineRule="auto"/>
        <w:rPr>
          <w:b/>
          <w:color w:val="auto"/>
          <w:sz w:val="28"/>
          <w:highlight w:val="none"/>
        </w:rPr>
      </w:pPr>
    </w:p>
    <w:p>
      <w:pPr>
        <w:pStyle w:val="41"/>
        <w:shd w:val="clear" w:color="auto" w:fill="FFFFFF"/>
        <w:spacing w:before="0" w:beforeAutospacing="0" w:after="0" w:afterAutospacing="0" w:line="360" w:lineRule="auto"/>
        <w:rPr>
          <w:b/>
          <w:color w:val="auto"/>
          <w:sz w:val="28"/>
          <w:highlight w:val="none"/>
        </w:rPr>
      </w:pPr>
    </w:p>
    <w:p>
      <w:pPr>
        <w:pStyle w:val="41"/>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附件6</w:t>
      </w:r>
    </w:p>
    <w:p>
      <w:pPr>
        <w:pStyle w:val="41"/>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w:t>
      </w:r>
      <w:bookmarkStart w:id="41" w:name="_Toc13307_WPSOffice_Level1"/>
      <w:bookmarkStart w:id="42" w:name="_Toc14261_WPSOffice_Level1"/>
      <w:r>
        <w:rPr>
          <w:rFonts w:hint="eastAsia"/>
          <w:b/>
          <w:color w:val="auto"/>
          <w:sz w:val="32"/>
          <w:szCs w:val="32"/>
          <w:highlight w:val="none"/>
        </w:rPr>
        <w:t>投标</w:t>
      </w:r>
      <w:r>
        <w:rPr>
          <w:rFonts w:hint="eastAsia"/>
          <w:b/>
          <w:bCs/>
          <w:color w:val="auto"/>
          <w:sz w:val="32"/>
          <w:szCs w:val="32"/>
          <w:highlight w:val="none"/>
        </w:rPr>
        <w:t>人基本情况表</w:t>
      </w:r>
      <w:bookmarkEnd w:id="41"/>
      <w:bookmarkEnd w:id="42"/>
    </w:p>
    <w:tbl>
      <w:tblPr>
        <w:tblStyle w:val="28"/>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697"/>
        <w:gridCol w:w="904"/>
        <w:gridCol w:w="1155"/>
        <w:gridCol w:w="169"/>
        <w:gridCol w:w="1028"/>
        <w:gridCol w:w="380"/>
        <w:gridCol w:w="1268"/>
        <w:gridCol w:w="339"/>
        <w:gridCol w:w="1268"/>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5"/>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法人代表</w:t>
            </w:r>
          </w:p>
        </w:tc>
        <w:tc>
          <w:tcPr>
            <w:tcW w:w="2151" w:type="dxa"/>
            <w:gridSpan w:val="2"/>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79" w:type="dxa"/>
            <w:gridSpan w:val="5"/>
            <w:tcBorders>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910" w:type="dxa"/>
            <w:tcBorders>
              <w:top w:val="nil"/>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41"/>
              <w:shd w:val="clear" w:color="auto" w:fill="FFFFFF"/>
              <w:spacing w:before="0" w:beforeAutospacing="0" w:after="0" w:afterAutospacing="0"/>
              <w:jc w:val="center"/>
              <w:rPr>
                <w:bCs/>
                <w:color w:val="auto"/>
                <w:highlight w:val="none"/>
              </w:rPr>
            </w:pPr>
          </w:p>
        </w:tc>
        <w:tc>
          <w:tcPr>
            <w:tcW w:w="2001" w:type="dxa"/>
            <w:gridSpan w:val="3"/>
            <w:vMerge w:val="restart"/>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910" w:type="dxa"/>
            <w:tcBorders>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2001" w:type="dxa"/>
            <w:gridSpan w:val="3"/>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2151" w:type="dxa"/>
            <w:gridSpan w:val="2"/>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pPr>
              <w:pStyle w:val="41"/>
              <w:shd w:val="clear" w:color="auto" w:fill="FFFFFF"/>
              <w:spacing w:before="0" w:beforeAutospacing="0" w:after="0" w:afterAutospacing="0"/>
              <w:jc w:val="center"/>
              <w:rPr>
                <w:bCs/>
                <w:color w:val="auto"/>
                <w:highlight w:val="none"/>
              </w:rPr>
            </w:pPr>
            <w:r>
              <w:rPr>
                <w:rFonts w:hint="eastAsia"/>
                <w:bCs/>
                <w:color w:val="auto"/>
                <w:highlight w:val="none"/>
              </w:rPr>
              <w:t>企</w:t>
            </w:r>
          </w:p>
          <w:p>
            <w:pPr>
              <w:pStyle w:val="41"/>
              <w:shd w:val="clear" w:color="auto" w:fill="FFFFFF"/>
              <w:spacing w:before="0" w:beforeAutospacing="0" w:after="0" w:afterAutospacing="0"/>
              <w:jc w:val="center"/>
              <w:rPr>
                <w:bCs/>
                <w:color w:val="auto"/>
                <w:highlight w:val="none"/>
              </w:rPr>
            </w:pPr>
            <w:r>
              <w:rPr>
                <w:rFonts w:hint="eastAsia"/>
                <w:bCs/>
                <w:color w:val="auto"/>
                <w:highlight w:val="none"/>
              </w:rPr>
              <w:t>业</w:t>
            </w:r>
          </w:p>
          <w:p>
            <w:pPr>
              <w:pStyle w:val="41"/>
              <w:shd w:val="clear" w:color="auto" w:fill="FFFFFF"/>
              <w:spacing w:before="0" w:beforeAutospacing="0" w:after="0" w:afterAutospacing="0"/>
              <w:jc w:val="center"/>
              <w:rPr>
                <w:bCs/>
                <w:color w:val="auto"/>
                <w:highlight w:val="none"/>
              </w:rPr>
            </w:pPr>
            <w:r>
              <w:rPr>
                <w:rFonts w:hint="eastAsia"/>
                <w:bCs/>
                <w:color w:val="auto"/>
                <w:highlight w:val="none"/>
              </w:rPr>
              <w:t>概</w:t>
            </w:r>
          </w:p>
          <w:p>
            <w:pPr>
              <w:pStyle w:val="41"/>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10" w:type="dxa"/>
            <w:tcBorders>
              <w:top w:val="nil"/>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1163" w:type="dxa"/>
            <w:tcBorders>
              <w:top w:val="nil"/>
            </w:tcBorders>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widowControl/>
              <w:jc w:val="center"/>
              <w:rPr>
                <w:rFonts w:ascii="宋体" w:hAnsi="宋体" w:cs="宋体"/>
                <w:bCs/>
                <w:color w:val="auto"/>
                <w:kern w:val="0"/>
                <w:sz w:val="24"/>
                <w:highlight w:val="none"/>
              </w:rPr>
            </w:pPr>
          </w:p>
          <w:p>
            <w:pPr>
              <w:pStyle w:val="41"/>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41"/>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10"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color w:val="auto"/>
                <w:kern w:val="0"/>
                <w:sz w:val="24"/>
                <w:highlight w:val="none"/>
              </w:rPr>
            </w:pPr>
          </w:p>
          <w:p>
            <w:pPr>
              <w:pStyle w:val="41"/>
              <w:shd w:val="clear" w:color="auto" w:fill="FFFFFF"/>
              <w:spacing w:before="0" w:beforeAutospacing="0" w:after="0" w:afterAutospacing="0"/>
              <w:jc w:val="center"/>
              <w:rPr>
                <w:bCs/>
                <w:color w:val="auto"/>
                <w:highlight w:val="none"/>
              </w:rPr>
            </w:pPr>
          </w:p>
        </w:tc>
        <w:tc>
          <w:tcPr>
            <w:tcW w:w="1218"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9"/>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8131" w:type="dxa"/>
            <w:gridSpan w:val="10"/>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pPr>
              <w:pStyle w:val="41"/>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2"/>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41"/>
              <w:shd w:val="clear" w:color="auto" w:fill="FFFFFF"/>
              <w:spacing w:before="0" w:beforeAutospacing="0" w:after="0" w:afterAutospacing="0"/>
              <w:jc w:val="center"/>
              <w:rPr>
                <w:bCs/>
                <w:color w:val="auto"/>
                <w:highlight w:val="none"/>
              </w:rPr>
            </w:pPr>
          </w:p>
        </w:tc>
        <w:tc>
          <w:tcPr>
            <w:tcW w:w="1553" w:type="dxa"/>
            <w:gridSpan w:val="2"/>
            <w:vMerge w:val="continue"/>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p>
        </w:tc>
        <w:tc>
          <w:tcPr>
            <w:tcW w:w="1333" w:type="dxa"/>
            <w:gridSpan w:val="2"/>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pPr>
              <w:pStyle w:val="41"/>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pPr>
              <w:pStyle w:val="41"/>
              <w:spacing w:before="0" w:beforeAutospacing="0" w:after="0" w:afterAutospacing="0"/>
              <w:jc w:val="center"/>
              <w:rPr>
                <w:color w:val="auto"/>
                <w:highlight w:val="none"/>
              </w:rPr>
            </w:pPr>
          </w:p>
        </w:tc>
      </w:tr>
    </w:tbl>
    <w:p>
      <w:pPr>
        <w:pStyle w:val="41"/>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41"/>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ind w:left="420"/>
        <w:rPr>
          <w:rFonts w:ascii="宋体" w:hAnsi="宋体" w:cs="宋体"/>
          <w:color w:val="auto"/>
          <w:highlight w:val="none"/>
          <w:u w:val="single"/>
        </w:rPr>
      </w:pPr>
      <w:r>
        <w:rPr>
          <w:rFonts w:hint="eastAsia" w:ascii="宋体" w:hAnsi="宋体" w:cs="宋体"/>
          <w:color w:val="auto"/>
          <w:highlight w:val="none"/>
        </w:rPr>
        <w:t>投标人名称（盖章）：</w:t>
      </w:r>
    </w:p>
    <w:p>
      <w:pPr>
        <w:ind w:left="420"/>
        <w:rPr>
          <w:rFonts w:ascii="宋体" w:hAnsi="宋体" w:cs="宋体"/>
          <w:color w:val="auto"/>
          <w:highlight w:val="none"/>
        </w:rPr>
      </w:pPr>
    </w:p>
    <w:p>
      <w:pPr>
        <w:ind w:firstLine="435"/>
        <w:rPr>
          <w:rFonts w:ascii="宋体" w:hAnsi="宋体" w:cs="宋体"/>
          <w:color w:val="auto"/>
          <w:highlight w:val="none"/>
        </w:rPr>
      </w:pPr>
      <w:r>
        <w:rPr>
          <w:rFonts w:hint="eastAsia" w:ascii="宋体" w:hAnsi="宋体" w:cs="宋体"/>
          <w:color w:val="auto"/>
          <w:highlight w:val="none"/>
        </w:rPr>
        <w:t>法定代表人或授权委托人(签字或盖章)：</w:t>
      </w:r>
    </w:p>
    <w:p>
      <w:pPr>
        <w:ind w:firstLine="435"/>
        <w:rPr>
          <w:rFonts w:ascii="宋体" w:hAnsi="宋体" w:cs="宋体"/>
          <w:color w:val="auto"/>
          <w:highlight w:val="none"/>
        </w:rPr>
      </w:pPr>
    </w:p>
    <w:p>
      <w:pPr>
        <w:ind w:firstLine="435"/>
        <w:rPr>
          <w:rFonts w:ascii="宋体" w:hAnsi="宋体" w:cs="宋体"/>
          <w:color w:val="auto"/>
          <w:highlight w:val="none"/>
        </w:rPr>
      </w:pPr>
      <w:r>
        <w:rPr>
          <w:rFonts w:hint="eastAsia" w:ascii="宋体" w:hAnsi="宋体" w:cs="宋体"/>
          <w:color w:val="auto"/>
          <w:highlight w:val="none"/>
        </w:rPr>
        <w:t>日        期：</w:t>
      </w:r>
    </w:p>
    <w:p>
      <w:pPr>
        <w:rPr>
          <w:color w:val="auto"/>
          <w:highlight w:val="none"/>
        </w:rPr>
      </w:pPr>
    </w:p>
    <w:p>
      <w:pPr>
        <w:spacing w:line="360" w:lineRule="auto"/>
        <w:rPr>
          <w:rFonts w:ascii="宋体" w:hAnsi="宋体"/>
          <w:b/>
          <w:color w:val="auto"/>
          <w:sz w:val="24"/>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pStyle w:val="33"/>
        <w:rPr>
          <w:rFonts w:ascii="宋体" w:hAnsi="宋体"/>
          <w:b/>
          <w:color w:val="auto"/>
          <w:sz w:val="28"/>
          <w:highlight w:val="none"/>
        </w:rPr>
      </w:pPr>
    </w:p>
    <w:p>
      <w:pPr>
        <w:pStyle w:val="33"/>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jc w:val="left"/>
        <w:rPr>
          <w:rFonts w:ascii="宋体" w:hAnsi="宋体"/>
          <w:b/>
          <w:bCs/>
          <w:color w:val="auto"/>
          <w:kern w:val="0"/>
          <w:sz w:val="32"/>
          <w:szCs w:val="32"/>
          <w:highlight w:val="none"/>
        </w:rPr>
      </w:pPr>
      <w:bookmarkStart w:id="43" w:name="_Toc26601_WPSOffice_Level1"/>
      <w:bookmarkStart w:id="44" w:name="_Toc12856_WPSOffice_Level1"/>
      <w:r>
        <w:rPr>
          <w:rFonts w:hint="eastAsia" w:ascii="宋体" w:hAnsi="宋体"/>
          <w:b/>
          <w:bCs/>
          <w:color w:val="auto"/>
          <w:kern w:val="0"/>
          <w:sz w:val="32"/>
          <w:szCs w:val="32"/>
          <w:highlight w:val="none"/>
        </w:rPr>
        <w:t>附件7</w:t>
      </w:r>
    </w:p>
    <w:p>
      <w:pPr>
        <w:ind w:left="549" w:hanging="549" w:hangingChars="171"/>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技术需求响应表</w:t>
      </w:r>
    </w:p>
    <w:tbl>
      <w:tblPr>
        <w:tblStyle w:val="28"/>
        <w:tblW w:w="84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00"/>
        <w:gridCol w:w="1923"/>
        <w:gridCol w:w="1727"/>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06" w:type="dxa"/>
            <w:vAlign w:val="center"/>
          </w:tcPr>
          <w:p>
            <w:pPr>
              <w:rPr>
                <w:rFonts w:ascii="宋体" w:hAnsi="宋体" w:cs="宋体"/>
                <w:b/>
                <w:color w:val="auto"/>
                <w:highlight w:val="none"/>
              </w:rPr>
            </w:pPr>
            <w:r>
              <w:rPr>
                <w:rFonts w:hint="eastAsia" w:ascii="宋体" w:hAnsi="宋体" w:cs="宋体"/>
                <w:b/>
                <w:color w:val="auto"/>
                <w:highlight w:val="none"/>
              </w:rPr>
              <w:t>序号</w:t>
            </w:r>
          </w:p>
        </w:tc>
        <w:tc>
          <w:tcPr>
            <w:tcW w:w="2200" w:type="dxa"/>
            <w:vAlign w:val="center"/>
          </w:tcPr>
          <w:p>
            <w:pPr>
              <w:ind w:left="13" w:leftChars="6" w:firstLine="482"/>
              <w:rPr>
                <w:rFonts w:ascii="宋体" w:hAnsi="宋体" w:cs="宋体"/>
                <w:b/>
                <w:color w:val="auto"/>
                <w:highlight w:val="none"/>
              </w:rPr>
            </w:pPr>
            <w:r>
              <w:rPr>
                <w:rFonts w:hint="eastAsia" w:ascii="宋体" w:hAnsi="宋体" w:cs="宋体"/>
                <w:b/>
                <w:color w:val="auto"/>
                <w:highlight w:val="none"/>
              </w:rPr>
              <w:t>名称</w:t>
            </w:r>
          </w:p>
        </w:tc>
        <w:tc>
          <w:tcPr>
            <w:tcW w:w="1923" w:type="dxa"/>
            <w:vAlign w:val="center"/>
          </w:tcPr>
          <w:p>
            <w:pPr>
              <w:ind w:left="152"/>
              <w:rPr>
                <w:rFonts w:ascii="宋体" w:hAnsi="宋体" w:cs="宋体"/>
                <w:b/>
                <w:color w:val="auto"/>
                <w:highlight w:val="none"/>
              </w:rPr>
            </w:pPr>
            <w:r>
              <w:rPr>
                <w:rFonts w:hint="eastAsia" w:ascii="宋体" w:hAnsi="宋体" w:cs="宋体"/>
                <w:b/>
                <w:color w:val="auto"/>
                <w:highlight w:val="none"/>
              </w:rPr>
              <w:t>招标参数</w:t>
            </w:r>
          </w:p>
        </w:tc>
        <w:tc>
          <w:tcPr>
            <w:tcW w:w="1727" w:type="dxa"/>
            <w:vAlign w:val="center"/>
          </w:tcPr>
          <w:p>
            <w:pPr>
              <w:rPr>
                <w:rFonts w:ascii="宋体" w:hAnsi="宋体" w:cs="宋体"/>
                <w:b/>
                <w:color w:val="auto"/>
                <w:highlight w:val="none"/>
              </w:rPr>
            </w:pPr>
            <w:r>
              <w:rPr>
                <w:rFonts w:hint="eastAsia" w:ascii="宋体" w:hAnsi="宋体" w:cs="宋体"/>
                <w:b/>
                <w:color w:val="auto"/>
                <w:highlight w:val="none"/>
              </w:rPr>
              <w:t>投标参数</w:t>
            </w:r>
          </w:p>
        </w:tc>
        <w:tc>
          <w:tcPr>
            <w:tcW w:w="1682" w:type="dxa"/>
            <w:vAlign w:val="center"/>
          </w:tcPr>
          <w:p>
            <w:pPr>
              <w:rPr>
                <w:rFonts w:ascii="宋体" w:hAnsi="宋体" w:cs="宋体"/>
                <w:b/>
                <w:color w:val="auto"/>
                <w:highlight w:val="none"/>
              </w:rPr>
            </w:pPr>
            <w:r>
              <w:rPr>
                <w:rFonts w:hint="eastAsia" w:ascii="宋体" w:hAnsi="宋体" w:cs="宋体"/>
                <w:b/>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06" w:type="dxa"/>
            <w:vAlign w:val="center"/>
          </w:tcPr>
          <w:p>
            <w:pPr>
              <w:rPr>
                <w:rFonts w:ascii="宋体" w:hAnsi="宋体" w:cs="宋体"/>
                <w:color w:val="auto"/>
                <w:highlight w:val="none"/>
              </w:rPr>
            </w:pPr>
          </w:p>
        </w:tc>
        <w:tc>
          <w:tcPr>
            <w:tcW w:w="2200" w:type="dxa"/>
            <w:vAlign w:val="center"/>
          </w:tcPr>
          <w:p>
            <w:pPr>
              <w:rPr>
                <w:rFonts w:ascii="宋体" w:hAnsi="宋体" w:cs="宋体"/>
                <w:color w:val="auto"/>
                <w:highlight w:val="none"/>
              </w:rPr>
            </w:pPr>
          </w:p>
        </w:tc>
        <w:tc>
          <w:tcPr>
            <w:tcW w:w="1923" w:type="dxa"/>
            <w:vAlign w:val="center"/>
          </w:tcPr>
          <w:p>
            <w:pPr>
              <w:rPr>
                <w:rFonts w:ascii="宋体" w:hAnsi="宋体" w:cs="宋体"/>
                <w:color w:val="auto"/>
                <w:highlight w:val="none"/>
              </w:rPr>
            </w:pPr>
          </w:p>
        </w:tc>
        <w:tc>
          <w:tcPr>
            <w:tcW w:w="1727" w:type="dxa"/>
            <w:vAlign w:val="center"/>
          </w:tcPr>
          <w:p>
            <w:pPr>
              <w:rPr>
                <w:rFonts w:ascii="宋体" w:hAnsi="宋体" w:cs="宋体"/>
                <w:color w:val="auto"/>
                <w:highlight w:val="none"/>
              </w:rPr>
            </w:pPr>
          </w:p>
        </w:tc>
        <w:tc>
          <w:tcPr>
            <w:tcW w:w="1682" w:type="dxa"/>
            <w:vAlign w:val="center"/>
          </w:tcPr>
          <w:p>
            <w:pPr>
              <w:rPr>
                <w:rFonts w:ascii="宋体" w:hAnsi="宋体" w:cs="宋体"/>
                <w:color w:val="auto"/>
                <w:highlight w:val="none"/>
              </w:rPr>
            </w:pPr>
          </w:p>
        </w:tc>
      </w:tr>
    </w:tbl>
    <w:p>
      <w:pPr>
        <w:widowControl/>
        <w:tabs>
          <w:tab w:val="left" w:pos="360"/>
        </w:tabs>
        <w:ind w:right="84" w:rightChars="40"/>
        <w:jc w:val="left"/>
        <w:rPr>
          <w:rFonts w:ascii="宋体" w:hAnsi="宋体" w:cs="宋体"/>
          <w:b/>
          <w:color w:val="auto"/>
          <w:kern w:val="0"/>
          <w:szCs w:val="21"/>
          <w:highlight w:val="none"/>
        </w:rPr>
      </w:pPr>
      <w:r>
        <w:rPr>
          <w:rFonts w:hint="eastAsia" w:ascii="宋体" w:hAnsi="宋体" w:cs="宋体"/>
          <w:b/>
          <w:color w:val="auto"/>
          <w:kern w:val="0"/>
          <w:szCs w:val="21"/>
          <w:highlight w:val="none"/>
        </w:rPr>
        <w:t>要求：</w:t>
      </w:r>
    </w:p>
    <w:p>
      <w:pPr>
        <w:widowControl/>
        <w:ind w:right="84" w:rightChars="4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本表参照本采购文件第四章“第四章公开招标需求”内第二条“技术需求”填制，投标人应根据投标服务指标，对照采购文件要求在“偏离情况”栏注明“正偏离”、“负偏离”或“无偏离”。</w:t>
      </w:r>
    </w:p>
    <w:p>
      <w:pPr>
        <w:snapToGrid w:val="0"/>
        <w:spacing w:before="50" w:after="156" w:afterLines="50" w:line="360" w:lineRule="auto"/>
        <w:jc w:val="left"/>
        <w:rPr>
          <w:rFonts w:ascii="宋体" w:hAnsi="宋体"/>
          <w:color w:val="auto"/>
          <w:sz w:val="24"/>
          <w:szCs w:val="20"/>
          <w:highlight w:val="none"/>
        </w:rPr>
      </w:pPr>
    </w:p>
    <w:p>
      <w:pPr>
        <w:ind w:left="420"/>
        <w:rPr>
          <w:rFonts w:ascii="宋体" w:hAnsi="宋体" w:cs="宋体"/>
          <w:color w:val="auto"/>
          <w:highlight w:val="none"/>
          <w:u w:val="single"/>
        </w:rPr>
      </w:pPr>
      <w:r>
        <w:rPr>
          <w:rFonts w:hint="eastAsia" w:ascii="宋体" w:hAnsi="宋体" w:cs="宋体"/>
          <w:color w:val="auto"/>
          <w:highlight w:val="none"/>
        </w:rPr>
        <w:t>投标人名称（盖章）：</w:t>
      </w:r>
    </w:p>
    <w:p>
      <w:pPr>
        <w:ind w:left="420"/>
        <w:rPr>
          <w:rFonts w:ascii="宋体" w:hAnsi="宋体" w:cs="宋体"/>
          <w:color w:val="auto"/>
          <w:highlight w:val="none"/>
        </w:rPr>
      </w:pPr>
    </w:p>
    <w:p>
      <w:pPr>
        <w:ind w:firstLine="435"/>
        <w:rPr>
          <w:rFonts w:ascii="宋体" w:hAnsi="宋体" w:cs="宋体"/>
          <w:color w:val="auto"/>
          <w:highlight w:val="none"/>
        </w:rPr>
      </w:pPr>
      <w:r>
        <w:rPr>
          <w:rFonts w:hint="eastAsia" w:ascii="宋体" w:hAnsi="宋体" w:cs="宋体"/>
          <w:color w:val="auto"/>
          <w:highlight w:val="none"/>
        </w:rPr>
        <w:t>法定代表人或授权委托人(签字或盖章)：</w:t>
      </w:r>
    </w:p>
    <w:p>
      <w:pPr>
        <w:ind w:firstLine="435"/>
        <w:rPr>
          <w:rFonts w:ascii="宋体" w:hAnsi="宋体" w:cs="宋体"/>
          <w:color w:val="auto"/>
          <w:highlight w:val="none"/>
        </w:rPr>
      </w:pPr>
    </w:p>
    <w:p>
      <w:pPr>
        <w:ind w:firstLine="435"/>
        <w:rPr>
          <w:rFonts w:ascii="宋体" w:hAnsi="宋体" w:cs="宋体"/>
          <w:color w:val="auto"/>
          <w:highlight w:val="none"/>
        </w:rPr>
      </w:pPr>
      <w:r>
        <w:rPr>
          <w:rFonts w:hint="eastAsia" w:ascii="宋体" w:hAnsi="宋体" w:cs="宋体"/>
          <w:color w:val="auto"/>
          <w:highlight w:val="none"/>
        </w:rPr>
        <w:t>日        期：</w:t>
      </w:r>
    </w:p>
    <w:p>
      <w:pPr>
        <w:rPr>
          <w:color w:val="auto"/>
          <w:highlight w:val="none"/>
        </w:rPr>
      </w:pPr>
    </w:p>
    <w:p>
      <w:pPr>
        <w:jc w:val="left"/>
        <w:rPr>
          <w:rFonts w:ascii="宋体" w:hAnsi="宋体"/>
          <w:b/>
          <w:bCs/>
          <w:color w:val="auto"/>
          <w:kern w:val="0"/>
          <w:sz w:val="32"/>
          <w:szCs w:val="32"/>
          <w:highlight w:val="none"/>
        </w:rPr>
      </w:pPr>
    </w:p>
    <w:p>
      <w:pPr>
        <w:jc w:val="left"/>
        <w:rPr>
          <w:rFonts w:ascii="宋体" w:hAnsi="宋体"/>
          <w:b/>
          <w:bCs/>
          <w:color w:val="auto"/>
          <w:kern w:val="0"/>
          <w:sz w:val="32"/>
          <w:szCs w:val="32"/>
          <w:highlight w:val="none"/>
        </w:rPr>
      </w:pPr>
      <w:r>
        <w:rPr>
          <w:rFonts w:ascii="宋体" w:hAnsi="宋体"/>
          <w:b/>
          <w:bCs/>
          <w:color w:val="auto"/>
          <w:kern w:val="0"/>
          <w:sz w:val="32"/>
          <w:szCs w:val="32"/>
          <w:highlight w:val="none"/>
        </w:rPr>
        <w:br w:type="page"/>
      </w:r>
    </w:p>
    <w:p>
      <w:pPr>
        <w:spacing w:line="360" w:lineRule="auto"/>
        <w:jc w:val="left"/>
        <w:rPr>
          <w:rFonts w:ascii="宋体" w:hAnsi="宋体"/>
          <w:b/>
          <w:bCs/>
          <w:color w:val="auto"/>
          <w:kern w:val="0"/>
          <w:sz w:val="32"/>
          <w:szCs w:val="32"/>
          <w:highlight w:val="none"/>
        </w:rPr>
      </w:pPr>
      <w:r>
        <w:rPr>
          <w:rFonts w:hint="eastAsia" w:ascii="宋体" w:hAnsi="宋体"/>
          <w:b/>
          <w:bCs/>
          <w:color w:val="auto"/>
          <w:kern w:val="0"/>
          <w:sz w:val="32"/>
          <w:szCs w:val="32"/>
          <w:highlight w:val="none"/>
        </w:rPr>
        <w:t>附件8</w:t>
      </w:r>
    </w:p>
    <w:bookmarkEnd w:id="43"/>
    <w:bookmarkEnd w:id="44"/>
    <w:p>
      <w:pPr>
        <w:ind w:left="549" w:hanging="549" w:hangingChars="171"/>
        <w:jc w:val="center"/>
        <w:rPr>
          <w:rFonts w:ascii="宋体" w:hAnsi="宋体" w:cs="宋体"/>
          <w:b/>
          <w:color w:val="auto"/>
          <w:sz w:val="18"/>
          <w:szCs w:val="18"/>
          <w:highlight w:val="none"/>
        </w:rPr>
      </w:pPr>
      <w:r>
        <w:rPr>
          <w:rFonts w:hint="eastAsia" w:ascii="宋体" w:hAnsi="宋体" w:cs="宋体"/>
          <w:b/>
          <w:color w:val="auto"/>
          <w:sz w:val="32"/>
          <w:szCs w:val="32"/>
          <w:highlight w:val="none"/>
        </w:rPr>
        <w:t xml:space="preserve">资信及商务需求响应表 </w:t>
      </w:r>
    </w:p>
    <w:tbl>
      <w:tblPr>
        <w:tblStyle w:val="2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cs="宋体"/>
                <w:b/>
                <w:color w:val="auto"/>
                <w:highlight w:val="none"/>
              </w:rPr>
            </w:pPr>
            <w:r>
              <w:rPr>
                <w:rFonts w:hint="eastAsia" w:ascii="宋体" w:hAnsi="宋体" w:cs="宋体"/>
                <w:b/>
                <w:color w:val="auto"/>
                <w:highlight w:val="none"/>
              </w:rPr>
              <w:t>序号</w:t>
            </w:r>
          </w:p>
        </w:tc>
        <w:tc>
          <w:tcPr>
            <w:tcW w:w="1785" w:type="dxa"/>
            <w:vAlign w:val="center"/>
          </w:tcPr>
          <w:p>
            <w:pPr>
              <w:rPr>
                <w:rFonts w:ascii="宋体" w:hAnsi="宋体" w:cs="宋体"/>
                <w:b/>
                <w:color w:val="auto"/>
                <w:highlight w:val="none"/>
              </w:rPr>
            </w:pPr>
            <w:r>
              <w:rPr>
                <w:rFonts w:hint="eastAsia" w:ascii="宋体" w:hAnsi="宋体" w:cs="宋体"/>
                <w:b/>
                <w:color w:val="auto"/>
                <w:highlight w:val="none"/>
              </w:rPr>
              <w:t xml:space="preserve">   内容</w:t>
            </w:r>
          </w:p>
        </w:tc>
        <w:tc>
          <w:tcPr>
            <w:tcW w:w="1785" w:type="dxa"/>
            <w:vAlign w:val="center"/>
          </w:tcPr>
          <w:p>
            <w:pPr>
              <w:ind w:left="53" w:leftChars="25" w:firstLine="211" w:firstLineChars="100"/>
              <w:rPr>
                <w:rFonts w:ascii="宋体" w:hAnsi="宋体" w:cs="宋体"/>
                <w:b/>
                <w:color w:val="auto"/>
                <w:highlight w:val="none"/>
              </w:rPr>
            </w:pPr>
            <w:r>
              <w:rPr>
                <w:rFonts w:hint="eastAsia" w:ascii="宋体" w:hAnsi="宋体" w:cs="宋体"/>
                <w:b/>
                <w:color w:val="auto"/>
                <w:highlight w:val="none"/>
              </w:rPr>
              <w:t>招标需求</w:t>
            </w:r>
          </w:p>
        </w:tc>
        <w:tc>
          <w:tcPr>
            <w:tcW w:w="1365" w:type="dxa"/>
            <w:vAlign w:val="center"/>
          </w:tcPr>
          <w:p>
            <w:pPr>
              <w:ind w:left="152"/>
              <w:rPr>
                <w:rFonts w:ascii="宋体" w:hAnsi="宋体" w:cs="宋体"/>
                <w:b/>
                <w:color w:val="auto"/>
                <w:highlight w:val="none"/>
              </w:rPr>
            </w:pPr>
            <w:r>
              <w:rPr>
                <w:rFonts w:hint="eastAsia" w:ascii="宋体" w:hAnsi="宋体" w:cs="宋体"/>
                <w:b/>
                <w:color w:val="auto"/>
                <w:highlight w:val="none"/>
              </w:rPr>
              <w:t>是否响应</w:t>
            </w:r>
          </w:p>
        </w:tc>
        <w:tc>
          <w:tcPr>
            <w:tcW w:w="2625" w:type="dxa"/>
            <w:vAlign w:val="center"/>
          </w:tcPr>
          <w:p>
            <w:pPr>
              <w:jc w:val="center"/>
              <w:rPr>
                <w:rFonts w:ascii="宋体" w:hAnsi="宋体" w:cs="宋体"/>
                <w:b/>
                <w:color w:val="auto"/>
                <w:highlight w:val="none"/>
              </w:rPr>
            </w:pPr>
            <w:r>
              <w:rPr>
                <w:rFonts w:hint="eastAsia" w:ascii="宋体" w:hAnsi="宋体" w:cs="宋体"/>
                <w:b/>
                <w:color w:val="auto"/>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s="宋体"/>
                <w:color w:val="auto"/>
                <w:highlight w:val="none"/>
              </w:rPr>
            </w:pPr>
          </w:p>
        </w:tc>
        <w:tc>
          <w:tcPr>
            <w:tcW w:w="1785" w:type="dxa"/>
          </w:tcPr>
          <w:p>
            <w:pPr>
              <w:snapToGrid w:val="0"/>
              <w:rPr>
                <w:rFonts w:ascii="宋体" w:hAnsi="宋体"/>
                <w:color w:val="auto"/>
                <w:highlight w:val="none"/>
              </w:rPr>
            </w:pPr>
            <w:r>
              <w:rPr>
                <w:rFonts w:hint="eastAsia" w:ascii="宋体" w:hAnsi="宋体"/>
                <w:color w:val="auto"/>
                <w:highlight w:val="none"/>
              </w:rPr>
              <w:t>售后服务保障要求</w:t>
            </w:r>
          </w:p>
        </w:tc>
        <w:tc>
          <w:tcPr>
            <w:tcW w:w="1785" w:type="dxa"/>
            <w:vAlign w:val="center"/>
          </w:tcPr>
          <w:p>
            <w:pPr>
              <w:rPr>
                <w:rFonts w:ascii="宋体" w:hAnsi="宋体" w:cs="宋体"/>
                <w:color w:val="auto"/>
                <w:highlight w:val="none"/>
              </w:rPr>
            </w:pPr>
          </w:p>
        </w:tc>
        <w:tc>
          <w:tcPr>
            <w:tcW w:w="1365" w:type="dxa"/>
            <w:vAlign w:val="center"/>
          </w:tcPr>
          <w:p>
            <w:pPr>
              <w:rPr>
                <w:rFonts w:ascii="宋体" w:hAnsi="宋体" w:cs="宋体"/>
                <w:color w:val="auto"/>
                <w:highlight w:val="none"/>
              </w:rPr>
            </w:pPr>
          </w:p>
        </w:tc>
        <w:tc>
          <w:tcPr>
            <w:tcW w:w="2625"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highlight w:val="none"/>
              </w:rPr>
            </w:pPr>
          </w:p>
        </w:tc>
        <w:tc>
          <w:tcPr>
            <w:tcW w:w="1785" w:type="dxa"/>
          </w:tcPr>
          <w:p>
            <w:pPr>
              <w:snapToGrid w:val="0"/>
              <w:rPr>
                <w:rFonts w:ascii="宋体" w:hAnsi="宋体"/>
                <w:color w:val="auto"/>
                <w:highlight w:val="none"/>
              </w:rPr>
            </w:pPr>
            <w:r>
              <w:rPr>
                <w:rFonts w:hint="eastAsia" w:ascii="宋体" w:hAnsi="宋体"/>
                <w:color w:val="auto"/>
                <w:highlight w:val="none"/>
              </w:rPr>
              <w:t>服务</w:t>
            </w:r>
          </w:p>
          <w:p>
            <w:pPr>
              <w:snapToGrid w:val="0"/>
              <w:rPr>
                <w:rFonts w:ascii="宋体" w:hAnsi="宋体"/>
                <w:color w:val="auto"/>
                <w:highlight w:val="none"/>
              </w:rPr>
            </w:pPr>
            <w:r>
              <w:rPr>
                <w:rFonts w:hint="eastAsia" w:ascii="宋体" w:hAnsi="宋体"/>
                <w:color w:val="auto"/>
                <w:highlight w:val="none"/>
              </w:rPr>
              <w:t>时间及地点</w:t>
            </w:r>
          </w:p>
        </w:tc>
        <w:tc>
          <w:tcPr>
            <w:tcW w:w="1785" w:type="dxa"/>
            <w:vAlign w:val="center"/>
          </w:tcPr>
          <w:p>
            <w:pPr>
              <w:rPr>
                <w:rFonts w:ascii="宋体" w:hAnsi="宋体" w:cs="宋体"/>
                <w:color w:val="auto"/>
                <w:highlight w:val="none"/>
              </w:rPr>
            </w:pPr>
          </w:p>
        </w:tc>
        <w:tc>
          <w:tcPr>
            <w:tcW w:w="1365" w:type="dxa"/>
            <w:vAlign w:val="center"/>
          </w:tcPr>
          <w:p>
            <w:pPr>
              <w:rPr>
                <w:rFonts w:ascii="宋体" w:hAnsi="宋体" w:cs="宋体"/>
                <w:color w:val="auto"/>
                <w:highlight w:val="none"/>
              </w:rPr>
            </w:pPr>
          </w:p>
        </w:tc>
        <w:tc>
          <w:tcPr>
            <w:tcW w:w="2625"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highlight w:val="none"/>
              </w:rPr>
            </w:pPr>
          </w:p>
        </w:tc>
        <w:tc>
          <w:tcPr>
            <w:tcW w:w="1785" w:type="dxa"/>
          </w:tcPr>
          <w:p>
            <w:pPr>
              <w:snapToGrid w:val="0"/>
              <w:rPr>
                <w:rFonts w:ascii="宋体" w:hAnsi="宋体"/>
                <w:color w:val="auto"/>
                <w:highlight w:val="none"/>
              </w:rPr>
            </w:pPr>
            <w:r>
              <w:rPr>
                <w:rFonts w:hint="eastAsia" w:ascii="宋体" w:hAnsi="宋体"/>
                <w:color w:val="auto"/>
                <w:highlight w:val="none"/>
              </w:rPr>
              <w:t>付款条件</w:t>
            </w:r>
          </w:p>
        </w:tc>
        <w:tc>
          <w:tcPr>
            <w:tcW w:w="1785" w:type="dxa"/>
            <w:vAlign w:val="center"/>
          </w:tcPr>
          <w:p>
            <w:pPr>
              <w:rPr>
                <w:rFonts w:ascii="宋体" w:hAnsi="宋体" w:cs="宋体"/>
                <w:color w:val="auto"/>
                <w:highlight w:val="none"/>
              </w:rPr>
            </w:pPr>
          </w:p>
        </w:tc>
        <w:tc>
          <w:tcPr>
            <w:tcW w:w="1365" w:type="dxa"/>
            <w:vAlign w:val="center"/>
          </w:tcPr>
          <w:p>
            <w:pPr>
              <w:rPr>
                <w:rFonts w:ascii="宋体" w:hAnsi="宋体" w:cs="宋体"/>
                <w:color w:val="auto"/>
                <w:highlight w:val="none"/>
              </w:rPr>
            </w:pPr>
          </w:p>
        </w:tc>
        <w:tc>
          <w:tcPr>
            <w:tcW w:w="2625"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highlight w:val="none"/>
              </w:rPr>
            </w:pPr>
          </w:p>
        </w:tc>
        <w:tc>
          <w:tcPr>
            <w:tcW w:w="1785" w:type="dxa"/>
          </w:tcPr>
          <w:p>
            <w:pPr>
              <w:snapToGrid w:val="0"/>
              <w:rPr>
                <w:rFonts w:ascii="宋体" w:hAnsi="宋体"/>
                <w:color w:val="auto"/>
                <w:highlight w:val="none"/>
              </w:rPr>
            </w:pPr>
            <w:r>
              <w:rPr>
                <w:rFonts w:hint="eastAsia" w:ascii="宋体" w:hAnsi="宋体"/>
                <w:color w:val="auto"/>
                <w:highlight w:val="none"/>
              </w:rPr>
              <w:t>……</w:t>
            </w:r>
          </w:p>
        </w:tc>
        <w:tc>
          <w:tcPr>
            <w:tcW w:w="1785" w:type="dxa"/>
            <w:vAlign w:val="center"/>
          </w:tcPr>
          <w:p>
            <w:pPr>
              <w:rPr>
                <w:rFonts w:ascii="宋体" w:hAnsi="宋体" w:cs="宋体"/>
                <w:color w:val="auto"/>
                <w:highlight w:val="none"/>
              </w:rPr>
            </w:pPr>
          </w:p>
        </w:tc>
        <w:tc>
          <w:tcPr>
            <w:tcW w:w="1365" w:type="dxa"/>
            <w:vAlign w:val="center"/>
          </w:tcPr>
          <w:p>
            <w:pPr>
              <w:rPr>
                <w:rFonts w:ascii="宋体" w:hAnsi="宋体" w:cs="宋体"/>
                <w:color w:val="auto"/>
                <w:highlight w:val="none"/>
              </w:rPr>
            </w:pPr>
          </w:p>
        </w:tc>
        <w:tc>
          <w:tcPr>
            <w:tcW w:w="2625"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s="宋体"/>
                <w:color w:val="auto"/>
                <w:highlight w:val="none"/>
              </w:rPr>
            </w:pPr>
          </w:p>
        </w:tc>
        <w:tc>
          <w:tcPr>
            <w:tcW w:w="1785" w:type="dxa"/>
          </w:tcPr>
          <w:p>
            <w:pPr>
              <w:snapToGrid w:val="0"/>
              <w:rPr>
                <w:rFonts w:ascii="宋体" w:hAnsi="宋体" w:cs="宋体"/>
                <w:color w:val="auto"/>
                <w:highlight w:val="none"/>
              </w:rPr>
            </w:pPr>
          </w:p>
        </w:tc>
        <w:tc>
          <w:tcPr>
            <w:tcW w:w="1785" w:type="dxa"/>
            <w:vAlign w:val="center"/>
          </w:tcPr>
          <w:p>
            <w:pPr>
              <w:rPr>
                <w:rFonts w:ascii="宋体" w:hAnsi="宋体" w:cs="宋体"/>
                <w:color w:val="auto"/>
                <w:highlight w:val="none"/>
              </w:rPr>
            </w:pPr>
          </w:p>
        </w:tc>
        <w:tc>
          <w:tcPr>
            <w:tcW w:w="1365" w:type="dxa"/>
            <w:vAlign w:val="center"/>
          </w:tcPr>
          <w:p>
            <w:pPr>
              <w:rPr>
                <w:rFonts w:ascii="宋体" w:hAnsi="宋体" w:cs="宋体"/>
                <w:color w:val="auto"/>
                <w:highlight w:val="none"/>
              </w:rPr>
            </w:pPr>
          </w:p>
        </w:tc>
        <w:tc>
          <w:tcPr>
            <w:tcW w:w="2625"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color w:val="auto"/>
                <w:highlight w:val="none"/>
              </w:rPr>
            </w:pPr>
          </w:p>
        </w:tc>
        <w:tc>
          <w:tcPr>
            <w:tcW w:w="1785" w:type="dxa"/>
          </w:tcPr>
          <w:p>
            <w:pPr>
              <w:snapToGrid w:val="0"/>
              <w:rPr>
                <w:rFonts w:ascii="宋体" w:hAnsi="宋体" w:cs="宋体"/>
                <w:color w:val="auto"/>
                <w:highlight w:val="none"/>
              </w:rPr>
            </w:pPr>
          </w:p>
        </w:tc>
        <w:tc>
          <w:tcPr>
            <w:tcW w:w="1785" w:type="dxa"/>
            <w:vAlign w:val="center"/>
          </w:tcPr>
          <w:p>
            <w:pPr>
              <w:rPr>
                <w:rFonts w:ascii="宋体" w:hAnsi="宋体" w:cs="宋体"/>
                <w:color w:val="auto"/>
                <w:highlight w:val="none"/>
              </w:rPr>
            </w:pPr>
          </w:p>
        </w:tc>
        <w:tc>
          <w:tcPr>
            <w:tcW w:w="1365" w:type="dxa"/>
            <w:vAlign w:val="center"/>
          </w:tcPr>
          <w:p>
            <w:pPr>
              <w:rPr>
                <w:rFonts w:ascii="宋体" w:hAnsi="宋体" w:cs="宋体"/>
                <w:color w:val="auto"/>
                <w:highlight w:val="none"/>
              </w:rPr>
            </w:pPr>
          </w:p>
        </w:tc>
        <w:tc>
          <w:tcPr>
            <w:tcW w:w="2625" w:type="dxa"/>
            <w:vAlign w:val="center"/>
          </w:tcPr>
          <w:p>
            <w:pPr>
              <w:rPr>
                <w:rFonts w:ascii="宋体" w:hAnsi="宋体" w:cs="宋体"/>
                <w:color w:val="auto"/>
                <w:highlight w:val="none"/>
              </w:rPr>
            </w:pPr>
          </w:p>
        </w:tc>
      </w:tr>
    </w:tbl>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投标人名称（盖章）：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ind w:firstLine="435"/>
        <w:rPr>
          <w:rFonts w:ascii="宋体" w:hAnsi="宋体"/>
          <w:color w:val="auto"/>
          <w:sz w:val="32"/>
          <w:szCs w:val="32"/>
          <w:highlight w:val="none"/>
          <w:lang w:val="en-GB"/>
        </w:rPr>
      </w:pPr>
      <w:r>
        <w:rPr>
          <w:rFonts w:hint="eastAsia" w:ascii="宋体" w:hAnsi="宋体" w:cs="宋体"/>
          <w:color w:val="auto"/>
          <w:sz w:val="24"/>
          <w:highlight w:val="none"/>
        </w:rPr>
        <w:t>日        期：</w:t>
      </w:r>
    </w:p>
    <w:p>
      <w:pPr>
        <w:spacing w:line="360" w:lineRule="auto"/>
        <w:rPr>
          <w:rFonts w:ascii="宋体" w:hAnsi="宋体"/>
          <w:b/>
          <w:color w:val="auto"/>
          <w:sz w:val="28"/>
          <w:highlight w:val="none"/>
        </w:rPr>
      </w:pPr>
    </w:p>
    <w:p>
      <w:pPr>
        <w:rPr>
          <w:rFonts w:ascii="宋体" w:hAnsi="宋体"/>
          <w:b/>
          <w:color w:val="auto"/>
          <w:sz w:val="28"/>
          <w:highlight w:val="none"/>
        </w:rPr>
      </w:pPr>
      <w:r>
        <w:rPr>
          <w:rFonts w:hint="eastAsia" w:ascii="宋体" w:hAnsi="宋体"/>
          <w:b/>
          <w:color w:val="auto"/>
          <w:sz w:val="28"/>
          <w:highlight w:val="none"/>
        </w:rPr>
        <w:br w:type="page"/>
      </w:r>
    </w:p>
    <w:p>
      <w:pPr>
        <w:pStyle w:val="44"/>
        <w:spacing w:line="360" w:lineRule="auto"/>
        <w:jc w:val="left"/>
        <w:rPr>
          <w:rFonts w:ascii="宋体" w:hAnsi="宋体"/>
          <w:b/>
          <w:color w:val="auto"/>
          <w:sz w:val="28"/>
          <w:highlight w:val="none"/>
        </w:rPr>
      </w:pPr>
      <w:r>
        <w:rPr>
          <w:rFonts w:hint="eastAsia" w:ascii="宋体" w:hAnsi="宋体"/>
          <w:b/>
          <w:color w:val="auto"/>
          <w:sz w:val="28"/>
          <w:highlight w:val="none"/>
        </w:rPr>
        <w:t>附件9</w:t>
      </w:r>
    </w:p>
    <w:p>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8"/>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宋体" w:hAnsi="宋体" w:cs="宋体"/>
                <w:b/>
                <w:bCs/>
                <w:color w:val="auto"/>
                <w:szCs w:val="21"/>
                <w:highlight w:val="none"/>
              </w:rPr>
            </w:pPr>
            <w:r>
              <w:rPr>
                <w:rFonts w:hint="eastAsia" w:ascii="宋体" w:hAnsi="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宋体" w:hAnsi="宋体" w:cs="宋体"/>
                <w:b/>
                <w:bCs/>
                <w:color w:val="auto"/>
                <w:szCs w:val="21"/>
                <w:highlight w:val="none"/>
              </w:rPr>
            </w:pPr>
            <w:r>
              <w:rPr>
                <w:rFonts w:hint="eastAsia" w:ascii="宋体" w:hAnsi="宋体" w:cs="宋体"/>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宋体" w:hAnsi="宋体" w:cs="宋体"/>
                <w:b/>
                <w:bCs/>
                <w:color w:val="auto"/>
                <w:szCs w:val="21"/>
                <w:highlight w:val="none"/>
              </w:rPr>
            </w:pPr>
            <w:r>
              <w:rPr>
                <w:rFonts w:hint="eastAsia" w:ascii="宋体" w:hAnsi="宋体" w:cs="宋体"/>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宋体" w:hAnsi="宋体" w:cs="宋体"/>
                <w:b/>
                <w:bCs/>
                <w:color w:val="auto"/>
                <w:szCs w:val="21"/>
                <w:highlight w:val="none"/>
              </w:rPr>
            </w:pPr>
            <w:r>
              <w:rPr>
                <w:rFonts w:hint="eastAsia" w:ascii="宋体" w:hAnsi="宋体" w:cs="宋体"/>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4"/>
              <w:jc w:val="center"/>
              <w:rPr>
                <w:rFonts w:ascii="宋体" w:hAnsi="宋体" w:cs="宋体"/>
                <w:b/>
                <w:bCs/>
                <w:color w:val="auto"/>
                <w:szCs w:val="21"/>
                <w:highlight w:val="none"/>
              </w:rPr>
            </w:pPr>
            <w:r>
              <w:rPr>
                <w:rFonts w:hint="eastAsia" w:ascii="宋体" w:hAnsi="宋体" w:cs="宋体"/>
                <w:b/>
                <w:bCs/>
                <w:color w:val="auto"/>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4"/>
              <w:spacing w:line="360" w:lineRule="auto"/>
              <w:rPr>
                <w:rFonts w:ascii="宋体" w:hAnsi="宋体" w:cs="宋体"/>
                <w:color w:val="auto"/>
                <w:szCs w:val="21"/>
                <w:highlight w:val="none"/>
              </w:rPr>
            </w:pPr>
          </w:p>
        </w:tc>
      </w:tr>
    </w:tbl>
    <w:p>
      <w:pPr>
        <w:autoSpaceDE w:val="0"/>
        <w:autoSpaceDN w:val="0"/>
        <w:adjustRightInd w:val="0"/>
        <w:spacing w:before="156"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56"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可只提供首页、含金额页、盖章页并加盖投标人公章</w:t>
      </w:r>
      <w:r>
        <w:rPr>
          <w:rFonts w:ascii="宋体" w:hAnsi="宋体" w:cs="Arial"/>
          <w:color w:val="auto"/>
          <w:szCs w:val="21"/>
          <w:highlight w:val="none"/>
        </w:rPr>
        <w:t>）</w:t>
      </w:r>
      <w:r>
        <w:rPr>
          <w:rFonts w:hint="eastAsia" w:ascii="宋体" w:hAnsi="宋体" w:cs="Arial"/>
          <w:color w:val="auto"/>
          <w:szCs w:val="21"/>
          <w:highlight w:val="none"/>
        </w:rPr>
        <w:t>。</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pStyle w:val="27"/>
        <w:rPr>
          <w:color w:val="auto"/>
          <w:highlight w:val="none"/>
        </w:rPr>
      </w:pPr>
    </w:p>
    <w:p>
      <w:pPr>
        <w:spacing w:line="360" w:lineRule="auto"/>
        <w:ind w:left="420"/>
        <w:rPr>
          <w:rFonts w:ascii="宋体" w:hAnsi="宋体" w:cs="宋体"/>
          <w:color w:val="auto"/>
          <w:sz w:val="24"/>
          <w:highlight w:val="none"/>
          <w:u w:val="single"/>
        </w:rPr>
      </w:pPr>
      <w:bookmarkStart w:id="45" w:name="_Toc4615_WPSOffice_Level1"/>
      <w:bookmarkStart w:id="46" w:name="_Toc30468_WPSOffice_Level1"/>
      <w:bookmarkStart w:id="47" w:name="_Toc21322_WPSOffice_Level1"/>
      <w:r>
        <w:rPr>
          <w:rFonts w:hint="eastAsia" w:ascii="宋体" w:hAnsi="宋体" w:cs="宋体"/>
          <w:color w:val="auto"/>
          <w:sz w:val="24"/>
          <w:highlight w:val="none"/>
        </w:rPr>
        <w:t>投标人名称（盖章）：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ind w:firstLine="435"/>
        <w:rPr>
          <w:rFonts w:ascii="宋体" w:hAnsi="宋体"/>
          <w:color w:val="auto"/>
          <w:sz w:val="32"/>
          <w:szCs w:val="32"/>
          <w:highlight w:val="none"/>
          <w:lang w:val="en-GB"/>
        </w:rPr>
      </w:pPr>
      <w:r>
        <w:rPr>
          <w:rFonts w:hint="eastAsia" w:ascii="宋体" w:hAnsi="宋体" w:cs="宋体"/>
          <w:color w:val="auto"/>
          <w:sz w:val="24"/>
          <w:highlight w:val="none"/>
        </w:rPr>
        <w:t>日        期：</w:t>
      </w:r>
    </w:p>
    <w:p>
      <w:pPr>
        <w:rPr>
          <w:color w:val="auto"/>
          <w:sz w:val="52"/>
          <w:szCs w:val="52"/>
          <w:highlight w:val="none"/>
        </w:rPr>
      </w:pPr>
    </w:p>
    <w:p>
      <w:pPr>
        <w:pStyle w:val="5"/>
        <w:rPr>
          <w:color w:val="auto"/>
          <w:sz w:val="52"/>
          <w:szCs w:val="52"/>
          <w:highlight w:val="none"/>
        </w:rPr>
        <w:sectPr>
          <w:headerReference r:id="rId11" w:type="default"/>
          <w:footerReference r:id="rId12" w:type="default"/>
          <w:pgSz w:w="11906" w:h="16838"/>
          <w:pgMar w:top="1440" w:right="1800" w:bottom="1440" w:left="1800" w:header="851" w:footer="992" w:gutter="0"/>
          <w:cols w:space="425" w:num="1"/>
          <w:docGrid w:type="lines" w:linePitch="312" w:charSpace="0"/>
        </w:sectPr>
      </w:pPr>
    </w:p>
    <w:bookmarkEnd w:id="45"/>
    <w:bookmarkEnd w:id="46"/>
    <w:bookmarkEnd w:id="47"/>
    <w:p>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pPr>
        <w:spacing w:before="312" w:beforeLines="100" w:line="360" w:lineRule="auto"/>
        <w:ind w:right="-108"/>
        <w:jc w:val="center"/>
        <w:rPr>
          <w:rFonts w:hint="eastAsia" w:ascii="宋体" w:hAnsi="宋体" w:eastAsia="宋体"/>
          <w:b/>
          <w:bCs/>
          <w:color w:val="auto"/>
          <w:sz w:val="52"/>
          <w:szCs w:val="52"/>
          <w:highlight w:val="none"/>
          <w:lang w:eastAsia="zh-CN"/>
        </w:rPr>
      </w:pPr>
      <w:r>
        <w:rPr>
          <w:rFonts w:hint="eastAsia" w:ascii="宋体" w:hAnsi="宋体"/>
          <w:b/>
          <w:bCs/>
          <w:color w:val="auto"/>
          <w:sz w:val="52"/>
          <w:szCs w:val="52"/>
          <w:highlight w:val="none"/>
          <w:lang w:eastAsia="zh-CN"/>
        </w:rPr>
        <w:t>台州东茂观光农业开发有限公司2024年度第一批农药、化肥、农用薄膜采购项目</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  ）</w:t>
      </w:r>
    </w:p>
    <w:p>
      <w:pPr>
        <w:pStyle w:val="27"/>
        <w:rPr>
          <w:color w:val="auto"/>
          <w:highlight w:val="none"/>
        </w:rPr>
      </w:pPr>
    </w:p>
    <w:p>
      <w:pPr>
        <w:spacing w:line="360" w:lineRule="auto"/>
        <w:ind w:right="532"/>
        <w:jc w:val="center"/>
        <w:rPr>
          <w:rFonts w:hint="eastAsia"/>
          <w:color w:val="auto"/>
          <w:sz w:val="84"/>
          <w:szCs w:val="84"/>
          <w:highlight w:val="none"/>
          <w:lang w:val="en-US" w:eastAsia="zh-CN"/>
        </w:rPr>
      </w:pPr>
    </w:p>
    <w:p>
      <w:pPr>
        <w:spacing w:line="360" w:lineRule="auto"/>
        <w:ind w:right="532"/>
        <w:jc w:val="center"/>
        <w:rPr>
          <w:rFonts w:hint="eastAsia"/>
          <w:color w:val="auto"/>
          <w:sz w:val="84"/>
          <w:szCs w:val="84"/>
          <w:highlight w:val="none"/>
          <w:lang w:val="en-US" w:eastAsia="zh-CN"/>
        </w:rPr>
      </w:pPr>
      <w:r>
        <w:rPr>
          <w:rFonts w:hint="eastAsia"/>
          <w:color w:val="auto"/>
          <w:sz w:val="84"/>
          <w:szCs w:val="84"/>
          <w:highlight w:val="none"/>
          <w:lang w:val="en-US" w:eastAsia="zh-CN"/>
        </w:rPr>
        <w:t>商</w:t>
      </w:r>
    </w:p>
    <w:p>
      <w:pPr>
        <w:spacing w:line="360" w:lineRule="auto"/>
        <w:ind w:right="532"/>
        <w:jc w:val="center"/>
        <w:rPr>
          <w:rFonts w:hint="eastAsia"/>
          <w:color w:val="auto"/>
          <w:sz w:val="84"/>
          <w:szCs w:val="84"/>
          <w:highlight w:val="none"/>
          <w:lang w:val="en-US" w:eastAsia="zh-CN"/>
        </w:rPr>
      </w:pPr>
      <w:r>
        <w:rPr>
          <w:rFonts w:hint="eastAsia"/>
          <w:color w:val="auto"/>
          <w:sz w:val="84"/>
          <w:szCs w:val="84"/>
          <w:highlight w:val="none"/>
          <w:lang w:val="en-US" w:eastAsia="zh-CN"/>
        </w:rPr>
        <w:t>务</w:t>
      </w:r>
    </w:p>
    <w:p>
      <w:pPr>
        <w:spacing w:line="360" w:lineRule="auto"/>
        <w:ind w:right="532"/>
        <w:jc w:val="center"/>
        <w:rPr>
          <w:rFonts w:ascii="宋体" w:hAnsi="宋体"/>
          <w:color w:val="auto"/>
          <w:sz w:val="36"/>
          <w:szCs w:val="36"/>
          <w:highlight w:val="none"/>
        </w:rPr>
      </w:pPr>
      <w:r>
        <w:rPr>
          <w:rFonts w:hint="eastAsia"/>
          <w:color w:val="auto"/>
          <w:sz w:val="84"/>
          <w:szCs w:val="84"/>
          <w:highlight w:val="none"/>
          <w:lang w:val="en-US" w:eastAsia="zh-CN"/>
        </w:rPr>
        <w:t>标</w:t>
      </w:r>
    </w:p>
    <w:p>
      <w:pPr>
        <w:spacing w:line="360" w:lineRule="auto"/>
        <w:ind w:right="532"/>
        <w:jc w:val="center"/>
        <w:rPr>
          <w:rFonts w:ascii="宋体" w:hAnsi="宋体"/>
          <w:color w:val="auto"/>
          <w:sz w:val="36"/>
          <w:szCs w:val="36"/>
          <w:highlight w:val="none"/>
        </w:rPr>
      </w:pPr>
    </w:p>
    <w:p>
      <w:pPr>
        <w:pStyle w:val="33"/>
        <w:rPr>
          <w:color w:val="auto"/>
          <w:highlight w:val="none"/>
        </w:rPr>
      </w:pPr>
    </w:p>
    <w:p>
      <w:pPr>
        <w:spacing w:line="360" w:lineRule="auto"/>
        <w:ind w:right="532" w:firstLine="720" w:firstLineChars="200"/>
        <w:rPr>
          <w:rFonts w:ascii="宋体" w:hAnsi="宋体"/>
          <w:color w:val="auto"/>
          <w:sz w:val="36"/>
          <w:szCs w:val="36"/>
          <w:highlight w:val="none"/>
        </w:rPr>
      </w:pPr>
      <w:bookmarkStart w:id="48" w:name="_Toc26700_WPSOffice_Level1"/>
      <w:bookmarkStart w:id="49" w:name="_Toc4603_WPSOffice_Level1"/>
      <w:r>
        <w:rPr>
          <w:rFonts w:hint="eastAsia" w:ascii="宋体" w:hAnsi="宋体"/>
          <w:color w:val="auto"/>
          <w:sz w:val="36"/>
          <w:szCs w:val="36"/>
          <w:highlight w:val="none"/>
        </w:rPr>
        <w:t>投标人全称（公章）：</w:t>
      </w:r>
      <w:bookmarkEnd w:id="48"/>
      <w:bookmarkEnd w:id="49"/>
    </w:p>
    <w:p>
      <w:pPr>
        <w:spacing w:line="360" w:lineRule="auto"/>
        <w:ind w:right="-108" w:firstLine="720" w:firstLineChars="200"/>
        <w:rPr>
          <w:rFonts w:ascii="宋体" w:hAnsi="宋体"/>
          <w:color w:val="auto"/>
          <w:sz w:val="36"/>
          <w:szCs w:val="36"/>
          <w:highlight w:val="none"/>
        </w:rPr>
      </w:pPr>
      <w:bookmarkStart w:id="50" w:name="_Toc1391_WPSOffice_Level1"/>
      <w:bookmarkStart w:id="51" w:name="_Toc32593_WPSOffice_Level1"/>
      <w:r>
        <w:rPr>
          <w:rFonts w:hint="eastAsia" w:ascii="宋体" w:hAnsi="宋体"/>
          <w:color w:val="auto"/>
          <w:sz w:val="36"/>
          <w:szCs w:val="36"/>
          <w:highlight w:val="none"/>
        </w:rPr>
        <w:t>地    址：</w:t>
      </w:r>
      <w:bookmarkEnd w:id="50"/>
      <w:bookmarkEnd w:id="51"/>
    </w:p>
    <w:p>
      <w:pPr>
        <w:spacing w:line="360" w:lineRule="auto"/>
        <w:ind w:right="-108" w:firstLine="720" w:firstLineChars="200"/>
        <w:rPr>
          <w:rFonts w:ascii="宋体" w:hAnsi="宋体"/>
          <w:color w:val="auto"/>
          <w:sz w:val="36"/>
          <w:szCs w:val="36"/>
          <w:highlight w:val="none"/>
        </w:rPr>
      </w:pPr>
      <w:bookmarkStart w:id="52" w:name="_Toc3791_WPSOffice_Level1"/>
      <w:bookmarkStart w:id="53" w:name="_Toc20938_WPSOffice_Level1"/>
      <w:r>
        <w:rPr>
          <w:rFonts w:hint="eastAsia" w:ascii="宋体" w:hAnsi="宋体"/>
          <w:color w:val="auto"/>
          <w:sz w:val="36"/>
          <w:szCs w:val="36"/>
          <w:highlight w:val="none"/>
        </w:rPr>
        <w:t>时    间：</w:t>
      </w:r>
      <w:bookmarkEnd w:id="52"/>
      <w:bookmarkEnd w:id="53"/>
    </w:p>
    <w:p>
      <w:pPr>
        <w:pStyle w:val="27"/>
        <w:rPr>
          <w:color w:val="auto"/>
          <w:highlight w:val="none"/>
        </w:rPr>
      </w:pPr>
    </w:p>
    <w:p>
      <w:pPr>
        <w:pStyle w:val="27"/>
        <w:rPr>
          <w:color w:val="auto"/>
          <w:highlight w:val="none"/>
        </w:rPr>
      </w:pPr>
    </w:p>
    <w:p>
      <w:pPr>
        <w:pStyle w:val="5"/>
        <w:rPr>
          <w:rFonts w:ascii="仿宋_GB2312" w:hAnsi="宋体" w:eastAsia="仿宋_GB2312"/>
          <w:b/>
          <w:color w:val="auto"/>
          <w:sz w:val="36"/>
          <w:szCs w:val="36"/>
          <w:highlight w:val="none"/>
        </w:rPr>
      </w:pPr>
    </w:p>
    <w:p>
      <w:pPr>
        <w:spacing w:line="480" w:lineRule="auto"/>
        <w:jc w:val="center"/>
        <w:rPr>
          <w:color w:val="auto"/>
          <w:highlight w:val="none"/>
        </w:rPr>
      </w:pPr>
      <w:bookmarkStart w:id="54" w:name="_Toc29537_WPSOffice_Level1"/>
      <w:bookmarkStart w:id="55" w:name="_Toc19972_WPSOffice_Level1"/>
      <w:r>
        <w:rPr>
          <w:rFonts w:hint="eastAsia" w:ascii="宋体" w:hAnsi="宋体"/>
          <w:b/>
          <w:bCs/>
          <w:color w:val="auto"/>
          <w:sz w:val="36"/>
          <w:szCs w:val="36"/>
          <w:highlight w:val="none"/>
        </w:rPr>
        <w:t>商务标目录</w:t>
      </w:r>
      <w:bookmarkEnd w:id="54"/>
      <w:bookmarkEnd w:id="55"/>
    </w:p>
    <w:p>
      <w:pPr>
        <w:rPr>
          <w:rFonts w:ascii="宋体" w:hAnsi="宋体" w:eastAsia="宋体" w:cs="宋体"/>
          <w:color w:val="auto"/>
          <w:sz w:val="28"/>
          <w:szCs w:val="28"/>
          <w:highlight w:val="none"/>
        </w:rPr>
      </w:pPr>
    </w:p>
    <w:p>
      <w:pPr>
        <w:numPr>
          <w:ilvl w:val="0"/>
          <w:numId w:val="14"/>
        </w:numPr>
        <w:autoSpaceDE w:val="0"/>
        <w:autoSpaceDN w:val="0"/>
        <w:adjustRightInd w:val="0"/>
        <w:spacing w:line="360" w:lineRule="auto"/>
        <w:ind w:firstLine="480" w:firstLineChars="200"/>
        <w:rPr>
          <w:rFonts w:ascii="宋体" w:hAnsi="宋体" w:eastAsia="宋体"/>
          <w:color w:val="auto"/>
          <w:kern w:val="0"/>
          <w:sz w:val="24"/>
          <w:highlight w:val="none"/>
        </w:rPr>
      </w:pPr>
      <w:bookmarkStart w:id="56" w:name="_Toc29988_WPSOffice_Level1"/>
      <w:bookmarkStart w:id="57" w:name="_Toc6778_WPSOffice_Level1"/>
      <w:r>
        <w:rPr>
          <w:rFonts w:hint="eastAsia" w:ascii="宋体" w:hAnsi="宋体" w:eastAsia="宋体"/>
          <w:color w:val="auto"/>
          <w:kern w:val="0"/>
          <w:sz w:val="24"/>
          <w:highlight w:val="none"/>
        </w:rPr>
        <w:t>开标一览表（附件</w:t>
      </w:r>
      <w:r>
        <w:rPr>
          <w:rFonts w:hint="eastAsia" w:ascii="宋体" w:hAnsi="宋体"/>
          <w:color w:val="auto"/>
          <w:kern w:val="0"/>
          <w:sz w:val="24"/>
          <w:highlight w:val="none"/>
          <w:lang w:val="en-US" w:eastAsia="zh-CN"/>
        </w:rPr>
        <w:t>11</w:t>
      </w:r>
      <w:r>
        <w:rPr>
          <w:rFonts w:hint="eastAsia" w:ascii="宋体" w:hAnsi="宋体" w:eastAsia="宋体"/>
          <w:color w:val="auto"/>
          <w:kern w:val="0"/>
          <w:sz w:val="24"/>
          <w:highlight w:val="none"/>
        </w:rPr>
        <w:t>）；</w:t>
      </w:r>
    </w:p>
    <w:p>
      <w:pPr>
        <w:numPr>
          <w:ilvl w:val="0"/>
          <w:numId w:val="14"/>
        </w:numPr>
        <w:autoSpaceDE w:val="0"/>
        <w:autoSpaceDN w:val="0"/>
        <w:adjustRightInd w:val="0"/>
        <w:spacing w:line="360" w:lineRule="auto"/>
        <w:ind w:firstLine="480" w:firstLineChars="200"/>
        <w:rPr>
          <w:rFonts w:ascii="宋体" w:hAnsi="宋体" w:eastAsia="宋体"/>
          <w:color w:val="auto"/>
          <w:kern w:val="0"/>
          <w:sz w:val="24"/>
          <w:highlight w:val="none"/>
        </w:rPr>
      </w:pPr>
      <w:r>
        <w:rPr>
          <w:rFonts w:hint="eastAsia" w:ascii="宋体" w:hAnsi="宋体" w:eastAsia="宋体"/>
          <w:color w:val="auto"/>
          <w:kern w:val="0"/>
          <w:sz w:val="24"/>
          <w:highlight w:val="none"/>
        </w:rPr>
        <w:t>针对报价投标人认为其他需要说明的。</w:t>
      </w:r>
    </w:p>
    <w:bookmarkEnd w:id="56"/>
    <w:bookmarkEnd w:id="57"/>
    <w:p>
      <w:pPr>
        <w:spacing w:line="360" w:lineRule="auto"/>
        <w:ind w:firstLine="480" w:firstLineChars="200"/>
        <w:rPr>
          <w:color w:val="auto"/>
          <w:sz w:val="24"/>
          <w:highlight w:val="none"/>
        </w:rPr>
      </w:pPr>
    </w:p>
    <w:p>
      <w:pPr>
        <w:spacing w:line="360" w:lineRule="auto"/>
        <w:ind w:firstLine="482" w:firstLineChars="200"/>
        <w:rPr>
          <w:rFonts w:ascii="宋体" w:hAnsi="宋体"/>
          <w:b/>
          <w:color w:val="auto"/>
          <w:sz w:val="24"/>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11</w:t>
      </w:r>
    </w:p>
    <w:p>
      <w:pPr>
        <w:ind w:right="480"/>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开标一览表 </w:t>
      </w:r>
    </w:p>
    <w:p>
      <w:pPr>
        <w:ind w:right="480"/>
        <w:jc w:val="right"/>
        <w:rPr>
          <w:rFonts w:ascii="宋体" w:hAnsi="宋体" w:cs="宋体"/>
          <w:color w:val="auto"/>
          <w:highlight w:val="none"/>
        </w:rPr>
      </w:pPr>
      <w:r>
        <w:rPr>
          <w:rFonts w:hint="eastAsia" w:ascii="宋体" w:hAnsi="宋体" w:cs="宋体"/>
          <w:color w:val="auto"/>
          <w:highlight w:val="none"/>
        </w:rPr>
        <w:t>〔货币单位：人民币元〕</w:t>
      </w:r>
    </w:p>
    <w:tbl>
      <w:tblPr>
        <w:tblStyle w:val="28"/>
        <w:tblW w:w="919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07"/>
        <w:gridCol w:w="2158"/>
        <w:gridCol w:w="3061"/>
        <w:gridCol w:w="107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907" w:type="dxa"/>
            <w:noWrap w:val="0"/>
            <w:vAlign w:val="center"/>
          </w:tcPr>
          <w:p>
            <w:pPr>
              <w:spacing w:line="480" w:lineRule="auto"/>
              <w:jc w:val="center"/>
              <w:rPr>
                <w:color w:val="auto"/>
                <w:highlight w:val="none"/>
              </w:rPr>
            </w:pPr>
            <w:r>
              <w:rPr>
                <w:color w:val="auto"/>
                <w:highlight w:val="none"/>
              </w:rPr>
              <w:t>标项内容</w:t>
            </w:r>
          </w:p>
        </w:tc>
        <w:tc>
          <w:tcPr>
            <w:tcW w:w="2158" w:type="dxa"/>
            <w:noWrap w:val="0"/>
            <w:vAlign w:val="center"/>
          </w:tcPr>
          <w:p>
            <w:pPr>
              <w:spacing w:line="480" w:lineRule="auto"/>
              <w:jc w:val="center"/>
              <w:rPr>
                <w:color w:val="auto"/>
                <w:highlight w:val="none"/>
              </w:rPr>
            </w:pPr>
            <w:r>
              <w:rPr>
                <w:color w:val="auto"/>
                <w:highlight w:val="none"/>
              </w:rPr>
              <w:t>数量</w:t>
            </w:r>
          </w:p>
        </w:tc>
        <w:tc>
          <w:tcPr>
            <w:tcW w:w="3061" w:type="dxa"/>
            <w:noWrap w:val="0"/>
            <w:vAlign w:val="center"/>
          </w:tcPr>
          <w:p>
            <w:pPr>
              <w:spacing w:line="480" w:lineRule="auto"/>
              <w:jc w:val="center"/>
              <w:rPr>
                <w:rFonts w:hint="eastAsia"/>
                <w:color w:val="auto"/>
                <w:highlight w:val="none"/>
              </w:rPr>
            </w:pPr>
            <w:r>
              <w:rPr>
                <w:rFonts w:hint="eastAsia"/>
                <w:color w:val="auto"/>
                <w:highlight w:val="none"/>
              </w:rPr>
              <w:t>单</w:t>
            </w:r>
            <w:r>
              <w:rPr>
                <w:color w:val="auto"/>
                <w:highlight w:val="none"/>
              </w:rPr>
              <w:t>位</w:t>
            </w:r>
          </w:p>
        </w:tc>
        <w:tc>
          <w:tcPr>
            <w:tcW w:w="1072" w:type="dxa"/>
            <w:noWrap w:val="0"/>
            <w:vAlign w:val="center"/>
          </w:tcPr>
          <w:p>
            <w:pPr>
              <w:spacing w:line="480" w:lineRule="auto"/>
              <w:jc w:val="center"/>
              <w:rPr>
                <w:color w:val="auto"/>
                <w:highlight w:val="none"/>
              </w:rPr>
            </w:pPr>
            <w:r>
              <w:rPr>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4" w:hRule="atLeast"/>
          <w:jc w:val="center"/>
        </w:trPr>
        <w:tc>
          <w:tcPr>
            <w:tcW w:w="2907" w:type="dxa"/>
            <w:noWrap w:val="0"/>
            <w:vAlign w:val="center"/>
          </w:tcPr>
          <w:p>
            <w:pPr>
              <w:spacing w:line="480" w:lineRule="auto"/>
              <w:rPr>
                <w:rFonts w:hint="eastAsia" w:eastAsia="宋体"/>
                <w:color w:val="auto"/>
                <w:highlight w:val="none"/>
                <w:lang w:eastAsia="zh-CN"/>
              </w:rPr>
            </w:pPr>
            <w:r>
              <w:rPr>
                <w:rFonts w:hint="eastAsia"/>
                <w:color w:val="auto"/>
                <w:highlight w:val="none"/>
                <w:lang w:eastAsia="zh-CN"/>
              </w:rPr>
              <w:t>台州东茂观光农业开发有限公司2024年度第一批农药、化肥、农用薄膜采购项目</w:t>
            </w:r>
          </w:p>
        </w:tc>
        <w:tc>
          <w:tcPr>
            <w:tcW w:w="2158" w:type="dxa"/>
            <w:noWrap w:val="0"/>
            <w:vAlign w:val="center"/>
          </w:tcPr>
          <w:p>
            <w:pPr>
              <w:spacing w:line="480" w:lineRule="auto"/>
              <w:jc w:val="center"/>
              <w:rPr>
                <w:color w:val="auto"/>
                <w:highlight w:val="none"/>
              </w:rPr>
            </w:pPr>
            <w:r>
              <w:rPr>
                <w:rFonts w:hint="eastAsia"/>
                <w:color w:val="auto"/>
                <w:highlight w:val="none"/>
              </w:rPr>
              <w:t>1</w:t>
            </w:r>
          </w:p>
        </w:tc>
        <w:tc>
          <w:tcPr>
            <w:tcW w:w="3061" w:type="dxa"/>
            <w:noWrap w:val="0"/>
            <w:vAlign w:val="center"/>
          </w:tcPr>
          <w:p>
            <w:pPr>
              <w:spacing w:line="480" w:lineRule="auto"/>
              <w:jc w:val="center"/>
              <w:rPr>
                <w:color w:val="auto"/>
                <w:highlight w:val="none"/>
              </w:rPr>
            </w:pPr>
            <w:r>
              <w:rPr>
                <w:rFonts w:hint="eastAsia"/>
                <w:color w:val="auto"/>
                <w:highlight w:val="none"/>
              </w:rPr>
              <w:t>项</w:t>
            </w:r>
          </w:p>
        </w:tc>
        <w:tc>
          <w:tcPr>
            <w:tcW w:w="1072" w:type="dxa"/>
            <w:noWrap w:val="0"/>
            <w:vAlign w:val="center"/>
          </w:tcPr>
          <w:p>
            <w:pPr>
              <w:spacing w:line="480" w:lineRule="auto"/>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2907" w:type="dxa"/>
            <w:noWrap w:val="0"/>
            <w:vAlign w:val="center"/>
          </w:tcPr>
          <w:p>
            <w:pPr>
              <w:spacing w:line="480" w:lineRule="auto"/>
              <w:rPr>
                <w:color w:val="auto"/>
                <w:highlight w:val="none"/>
              </w:rPr>
            </w:pPr>
            <w:r>
              <w:rPr>
                <w:color w:val="auto"/>
                <w:highlight w:val="none"/>
              </w:rPr>
              <w:t>投标</w:t>
            </w:r>
            <w:r>
              <w:rPr>
                <w:rFonts w:hint="eastAsia"/>
                <w:color w:val="auto"/>
                <w:highlight w:val="none"/>
              </w:rPr>
              <w:t>结算率</w:t>
            </w:r>
          </w:p>
        </w:tc>
        <w:tc>
          <w:tcPr>
            <w:tcW w:w="6291" w:type="dxa"/>
            <w:gridSpan w:val="3"/>
            <w:noWrap w:val="0"/>
            <w:vAlign w:val="center"/>
          </w:tcPr>
          <w:p>
            <w:pPr>
              <w:spacing w:line="360" w:lineRule="auto"/>
              <w:rPr>
                <w:color w:val="auto"/>
                <w:highlight w:val="none"/>
              </w:rPr>
            </w:pPr>
          </w:p>
          <w:p>
            <w:pPr>
              <w:spacing w:line="360" w:lineRule="auto"/>
              <w:rPr>
                <w:rFonts w:hint="eastAsia"/>
                <w:color w:val="auto"/>
                <w:highlight w:val="none"/>
              </w:rPr>
            </w:pPr>
            <w:r>
              <w:rPr>
                <w:color w:val="auto"/>
                <w:highlight w:val="none"/>
              </w:rPr>
              <w:t>小写：</w:t>
            </w:r>
            <w:r>
              <w:rPr>
                <w:color w:val="auto"/>
                <w:highlight w:val="none"/>
                <w:u w:val="single"/>
              </w:rPr>
              <w:t xml:space="preserve">            %</w:t>
            </w:r>
          </w:p>
          <w:p>
            <w:pPr>
              <w:spacing w:line="360" w:lineRule="auto"/>
              <w:rPr>
                <w:color w:val="auto"/>
                <w:highlight w:val="none"/>
              </w:rPr>
            </w:pPr>
          </w:p>
          <w:p>
            <w:pPr>
              <w:spacing w:line="360" w:lineRule="auto"/>
              <w:rPr>
                <w:rFonts w:hint="eastAsia"/>
                <w:color w:val="auto"/>
                <w:highlight w:val="none"/>
              </w:rPr>
            </w:pPr>
            <w:r>
              <w:rPr>
                <w:color w:val="auto"/>
                <w:highlight w:val="none"/>
              </w:rPr>
              <w:t>大写：</w:t>
            </w:r>
            <w:r>
              <w:rPr>
                <w:rFonts w:hint="eastAsia"/>
                <w:color w:val="auto"/>
                <w:highlight w:val="none"/>
                <w:u w:val="single"/>
              </w:rPr>
              <w:t>百</w:t>
            </w:r>
            <w:r>
              <w:rPr>
                <w:color w:val="auto"/>
                <w:highlight w:val="none"/>
                <w:u w:val="single"/>
              </w:rPr>
              <w:t xml:space="preserve">分之       </w:t>
            </w:r>
          </w:p>
        </w:tc>
      </w:tr>
    </w:tbl>
    <w:p>
      <w:pPr>
        <w:ind w:left="480"/>
        <w:rPr>
          <w:rFonts w:ascii="宋体" w:hAnsi="宋体" w:cs="宋体"/>
          <w:b/>
          <w:color w:val="auto"/>
          <w:sz w:val="30"/>
          <w:highlight w:val="none"/>
        </w:rPr>
      </w:pPr>
    </w:p>
    <w:p>
      <w:pPr>
        <w:spacing w:line="360" w:lineRule="auto"/>
        <w:rPr>
          <w:rFonts w:ascii="宋体" w:hAnsi="宋体" w:cs="宋体"/>
          <w:color w:val="auto"/>
          <w:highlight w:val="none"/>
        </w:rPr>
      </w:pPr>
      <w:r>
        <w:rPr>
          <w:rFonts w:hint="eastAsia" w:ascii="宋体" w:hAnsi="宋体" w:cs="宋体"/>
          <w:b/>
          <w:color w:val="auto"/>
          <w:szCs w:val="21"/>
          <w:highlight w:val="none"/>
        </w:rPr>
        <w:t>填报要求：</w:t>
      </w:r>
    </w:p>
    <w:p>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投标总报价是</w:t>
      </w:r>
      <w:r>
        <w:rPr>
          <w:rFonts w:hint="eastAsia" w:ascii="宋体" w:hAnsi="宋体" w:cs="宋体"/>
          <w:color w:val="auto"/>
          <w:kern w:val="0"/>
          <w:szCs w:val="21"/>
          <w:highlight w:val="none"/>
          <w:lang w:val="en-US" w:eastAsia="zh-CN"/>
        </w:rPr>
        <w:t>包括所投产品价格、运输费用（全覆盖运输）、保险费用、税费、装车费用、技术服务费、售后服务费、政策性文件规定及合同包含的所有风险、责任等所有费用。</w:t>
      </w:r>
    </w:p>
    <w:p>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结算方式：某品种化肥农药薄膜结算单价=该品种化肥农药薄膜基准单价*中标费率；结算时，某品种化肥农药薄膜结算总价=该品种化肥农药薄膜实际采购数量*该品种化肥农药薄膜基准单价*中标费率，其余依次类推。</w:t>
      </w:r>
    </w:p>
    <w:p>
      <w:pPr>
        <w:rPr>
          <w:rFonts w:hint="eastAsia" w:ascii="宋体" w:hAnsi="宋体" w:cs="宋体"/>
          <w:color w:val="auto"/>
          <w:kern w:val="0"/>
          <w:szCs w:val="21"/>
          <w:highlight w:val="none"/>
          <w:lang w:val="en-US" w:eastAsia="zh-CN"/>
        </w:rPr>
      </w:pPr>
    </w:p>
    <w:p>
      <w:pPr>
        <w:rPr>
          <w:rFonts w:ascii="宋体" w:hAnsi="宋体" w:cs="宋体"/>
          <w:color w:val="auto"/>
          <w:highlight w:val="none"/>
        </w:rPr>
      </w:pPr>
    </w:p>
    <w:p>
      <w:pPr>
        <w:spacing w:line="360" w:lineRule="auto"/>
        <w:ind w:left="420"/>
        <w:rPr>
          <w:rFonts w:ascii="宋体" w:hAnsi="宋体" w:cs="宋体"/>
          <w:color w:val="auto"/>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投标人名称（盖章）：</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ind w:firstLine="435"/>
        <w:rPr>
          <w:color w:val="auto"/>
          <w:highlight w:val="none"/>
        </w:rPr>
      </w:pPr>
      <w:r>
        <w:rPr>
          <w:rFonts w:hint="eastAsia" w:ascii="宋体" w:hAnsi="宋体" w:cs="宋体"/>
          <w:color w:val="auto"/>
          <w:sz w:val="24"/>
          <w:highlight w:val="none"/>
        </w:rPr>
        <w:t>日        期：</w:t>
      </w:r>
    </w:p>
    <w:p>
      <w:pPr>
        <w:pStyle w:val="33"/>
        <w:rPr>
          <w:color w:val="auto"/>
          <w:highlight w:val="none"/>
        </w:rPr>
      </w:pPr>
    </w:p>
    <w:p>
      <w:pPr>
        <w:pStyle w:val="33"/>
        <w:rPr>
          <w:color w:val="auto"/>
          <w:highlight w:val="none"/>
        </w:rPr>
      </w:pPr>
    </w:p>
    <w:sectPr>
      <w:headerReference r:id="rId13" w:type="default"/>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宋体"/>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54"/>
        <w:tab w:val="left" w:pos="720"/>
        <w:tab w:val="left" w:pos="1200"/>
      </w:tabs>
      <w:spacing w:after="120"/>
      <w:ind w:left="480" w:right="360" w:firstLine="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XgoRbr0BAAB7AwAADgAAAAAAAAABACAAAAAfAQAAZHJzL2Uyb0RvYy54bWxQSwUGAAAA&#10;AAYABgBZAQAATg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tabs>
        <w:tab w:val="left" w:pos="454"/>
        <w:tab w:val="left" w:pos="720"/>
        <w:tab w:val="left" w:pos="1200"/>
      </w:tabs>
      <w:spacing w:after="120"/>
      <w:rPr>
        <w:rStyle w:val="31"/>
      </w:rPr>
    </w:pPr>
    <w:r>
      <w:fldChar w:fldCharType="begin"/>
    </w:r>
    <w:r>
      <w:rPr>
        <w:rStyle w:val="31"/>
      </w:rPr>
      <w:instrText xml:space="preserve">PAGE  </w:instrText>
    </w:r>
    <w:r>
      <w:fldChar w:fldCharType="separate"/>
    </w:r>
    <w:r>
      <w:rPr>
        <w:rStyle w:val="31"/>
      </w:rPr>
      <w:t>10</w:t>
    </w:r>
    <w:r>
      <w:fldChar w:fldCharType="end"/>
    </w:r>
  </w:p>
  <w:p>
    <w:pPr>
      <w:pStyle w:val="7"/>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CMD+DavAEAAHsDAAAOAAAAAAAAAAEAIAAAAB8BAABkcnMvZTJvRG9jLnhtbFBLBQYAAAAA&#10;BgAGAFkBAABN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tabs>
        <w:tab w:val="clear" w:pos="360"/>
      </w:tabs>
      <w:spacing w:after="120"/>
      <w:ind w:left="480" w:right="360"/>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DCwDh/vAEAAHsDAAAOAAAAAAAAAAEAIAAAAB8BAABkcnMvZTJvRG9jLnhtbFBLBQYAAAAA&#10;BgAGAFkBAABN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W5UtAAAAAFAQAADwAAAAAAAAABACAAAAAiAAAAZHJzL2Rvd25yZXYueG1sUEsBAhQAFAAAAAgA&#10;h07iQJB3ukq7AQAAfAMAAA4AAAAAAAAAAQAgAAAAHwEAAGRycy9lMm9Eb2MueG1sUEsFBgAAAAAG&#10;AAYAWQEAAEw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25</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jkhfJ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JfceaEpTc//3g+//x9&#10;/vXEiuRQF7Ckg4/hAaYMKUxy+wZs+pIQ1g+uni6uqj4ySZvLYlUUORkuqTYnhJO9XA+A8VZ5y1JQ&#10;caBnG9wUx3uM49H5SOpmXFqdv9HGjNW0kyWaI7EUxX7XT2x3vj6RShp6Am89fOesoyevuKMJ58zc&#10;OXI0TcccwBzs5kA4SRcrPvLC8OkQqf3ALTUbO0wc6KkGddNYpVn4Ox9OvfxK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aOSF8kBAACSAwAADgAAAAAAAAABACAAAAAfAQAAZHJzL2Uyb0Rv&#10;Yy54bWxQSwUGAAAAAAYABgBZAQAAWg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18</w:t>
                          </w:r>
                          <w:r>
                            <w:rPr>
                              <w:rFonts w:hint="eastAsia"/>
                            </w:rP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BHCZmlvAEAAHsDAAAOAAAAAAAAAAEAIAAAAB8BAABkcnMvZTJvRG9jLnhtbFBLBQYAAAAA&#10;BgAGAFkBAABNBQ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18</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japaneseCounting"/>
      <w:lvlText w:val="%1、"/>
      <w:lvlJc w:val="left"/>
      <w:pPr>
        <w:tabs>
          <w:tab w:val="left" w:pos="960"/>
        </w:tabs>
        <w:ind w:left="960" w:hanging="600"/>
      </w:pPr>
      <w:rPr>
        <w:rFonts w:hint="eastAsia" w:cs="Times New Roman"/>
      </w:rPr>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abstractNum w:abstractNumId="4">
    <w:nsid w:val="00000005"/>
    <w:multiLevelType w:val="singleLevel"/>
    <w:tmpl w:val="00000005"/>
    <w:lvl w:ilvl="0" w:tentative="0">
      <w:start w:val="1"/>
      <w:numFmt w:val="bullet"/>
      <w:pStyle w:val="8"/>
      <w:lvlText w:val=""/>
      <w:lvlJc w:val="left"/>
      <w:pPr>
        <w:tabs>
          <w:tab w:val="left" w:pos="360"/>
        </w:tabs>
        <w:ind w:left="360" w:hanging="360"/>
      </w:pPr>
      <w:rPr>
        <w:rFonts w:hint="default" w:ascii="Wingdings" w:hAnsi="Wingdings"/>
      </w:rPr>
    </w:lvl>
  </w:abstractNum>
  <w:abstractNum w:abstractNumId="5">
    <w:nsid w:val="00000008"/>
    <w:multiLevelType w:val="multilevel"/>
    <w:tmpl w:val="00000008"/>
    <w:lvl w:ilvl="0" w:tentative="0">
      <w:start w:val="1"/>
      <w:numFmt w:val="decimal"/>
      <w:lvlText w:val="（%1）"/>
      <w:lvlJc w:val="left"/>
      <w:pPr>
        <w:tabs>
          <w:tab w:val="left" w:pos="0"/>
        </w:tabs>
        <w:ind w:left="1080" w:hanging="72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6">
    <w:nsid w:val="00000009"/>
    <w:multiLevelType w:val="singleLevel"/>
    <w:tmpl w:val="00000009"/>
    <w:lvl w:ilvl="0" w:tentative="0">
      <w:start w:val="1"/>
      <w:numFmt w:val="decimal"/>
      <w:pStyle w:val="7"/>
      <w:lvlText w:val="%1."/>
      <w:lvlJc w:val="left"/>
      <w:pPr>
        <w:tabs>
          <w:tab w:val="left" w:pos="360"/>
        </w:tabs>
        <w:ind w:left="360" w:hanging="360"/>
      </w:pPr>
    </w:lvl>
  </w:abstractNum>
  <w:abstractNum w:abstractNumId="7">
    <w:nsid w:val="0000000A"/>
    <w:multiLevelType w:val="singleLevel"/>
    <w:tmpl w:val="0000000A"/>
    <w:lvl w:ilvl="0" w:tentative="0">
      <w:start w:val="2"/>
      <w:numFmt w:val="chineseCounting"/>
      <w:suff w:val="space"/>
      <w:lvlText w:val="第%1章"/>
      <w:lvlJc w:val="left"/>
      <w:rPr>
        <w:rFonts w:hint="eastAsia"/>
      </w:rPr>
    </w:lvl>
  </w:abstractNum>
  <w:abstractNum w:abstractNumId="8">
    <w:nsid w:val="0000000C"/>
    <w:multiLevelType w:val="singleLevel"/>
    <w:tmpl w:val="0000000C"/>
    <w:lvl w:ilvl="0" w:tentative="0">
      <w:start w:val="1"/>
      <w:numFmt w:val="decimal"/>
      <w:lvlText w:val="%1."/>
      <w:lvlJc w:val="left"/>
      <w:pPr>
        <w:ind w:left="425" w:hanging="425"/>
      </w:pPr>
      <w:rPr>
        <w:rFonts w:hint="default"/>
      </w:rPr>
    </w:lvl>
  </w:abstractNum>
  <w:abstractNum w:abstractNumId="9">
    <w:nsid w:val="0000000D"/>
    <w:multiLevelType w:val="multilevel"/>
    <w:tmpl w:val="0000000D"/>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10">
    <w:nsid w:val="0000000E"/>
    <w:multiLevelType w:val="singleLevel"/>
    <w:tmpl w:val="0000000E"/>
    <w:lvl w:ilvl="0" w:tentative="0">
      <w:start w:val="1"/>
      <w:numFmt w:val="chineseCounting"/>
      <w:suff w:val="space"/>
      <w:lvlText w:val="第%1章"/>
      <w:lvlJc w:val="left"/>
      <w:rPr>
        <w:rFonts w:hint="eastAsia"/>
      </w:rPr>
    </w:lvl>
  </w:abstractNum>
  <w:abstractNum w:abstractNumId="11">
    <w:nsid w:val="0000000F"/>
    <w:multiLevelType w:val="singleLevel"/>
    <w:tmpl w:val="0000000F"/>
    <w:lvl w:ilvl="0" w:tentative="0">
      <w:start w:val="1"/>
      <w:numFmt w:val="chineseCounting"/>
      <w:suff w:val="nothing"/>
      <w:lvlText w:val="%1、"/>
      <w:lvlJc w:val="left"/>
      <w:rPr>
        <w:rFonts w:hint="eastAsia"/>
      </w:rPr>
    </w:lvl>
  </w:abstractNum>
  <w:abstractNum w:abstractNumId="12">
    <w:nsid w:val="043C69B1"/>
    <w:multiLevelType w:val="singleLevel"/>
    <w:tmpl w:val="043C69B1"/>
    <w:lvl w:ilvl="0" w:tentative="0">
      <w:start w:val="1"/>
      <w:numFmt w:val="decimal"/>
      <w:suff w:val="nothing"/>
      <w:lvlText w:val="%1、"/>
      <w:lvlJc w:val="left"/>
    </w:lvl>
  </w:abstractNum>
  <w:abstractNum w:abstractNumId="13">
    <w:nsid w:val="4844AFBA"/>
    <w:multiLevelType w:val="singleLevel"/>
    <w:tmpl w:val="4844AFBA"/>
    <w:lvl w:ilvl="0" w:tentative="0">
      <w:start w:val="1"/>
      <w:numFmt w:val="decimal"/>
      <w:suff w:val="nothing"/>
      <w:lvlText w:val="%1、"/>
      <w:lvlJc w:val="left"/>
    </w:lvl>
  </w:abstractNum>
  <w:num w:numId="1">
    <w:abstractNumId w:val="9"/>
  </w:num>
  <w:num w:numId="2">
    <w:abstractNumId w:val="6"/>
  </w:num>
  <w:num w:numId="3">
    <w:abstractNumId w:val="4"/>
  </w:num>
  <w:num w:numId="4">
    <w:abstractNumId w:val="0"/>
  </w:num>
  <w:num w:numId="5">
    <w:abstractNumId w:val="2"/>
  </w:num>
  <w:num w:numId="6">
    <w:abstractNumId w:val="10"/>
  </w:num>
  <w:num w:numId="7">
    <w:abstractNumId w:val="7"/>
  </w:num>
  <w:num w:numId="8">
    <w:abstractNumId w:val="11"/>
  </w:num>
  <w:num w:numId="9">
    <w:abstractNumId w:val="3"/>
  </w:num>
  <w:num w:numId="10">
    <w:abstractNumId w:val="12"/>
  </w:num>
  <w:num w:numId="11">
    <w:abstractNumId w:val="13"/>
  </w:num>
  <w:num w:numId="12">
    <w:abstractNumId w:val="5"/>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iMTZkNmE0NDQ3ODIwN2JmZmU5NDI1OTJmMTY1ZjIifQ=="/>
  </w:docVars>
  <w:rsids>
    <w:rsidRoot w:val="000D4CB0"/>
    <w:rsid w:val="000D4CB0"/>
    <w:rsid w:val="00A534E2"/>
    <w:rsid w:val="00D56173"/>
    <w:rsid w:val="02D55F60"/>
    <w:rsid w:val="04221DEB"/>
    <w:rsid w:val="04294037"/>
    <w:rsid w:val="09A129E2"/>
    <w:rsid w:val="0D5818F4"/>
    <w:rsid w:val="0F6B46AA"/>
    <w:rsid w:val="111D2A89"/>
    <w:rsid w:val="1A8567D8"/>
    <w:rsid w:val="1BD40E26"/>
    <w:rsid w:val="1D6C023D"/>
    <w:rsid w:val="2E254BE1"/>
    <w:rsid w:val="36B046F6"/>
    <w:rsid w:val="3A881CA1"/>
    <w:rsid w:val="3E700787"/>
    <w:rsid w:val="3F0F37D8"/>
    <w:rsid w:val="482F584D"/>
    <w:rsid w:val="4B2B6B0D"/>
    <w:rsid w:val="4EC8128F"/>
    <w:rsid w:val="4F780F7C"/>
    <w:rsid w:val="54E71554"/>
    <w:rsid w:val="60F51172"/>
    <w:rsid w:val="65F876CE"/>
    <w:rsid w:val="686E3363"/>
    <w:rsid w:val="709007FC"/>
    <w:rsid w:val="7E53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5"/>
    <w:autoRedefine/>
    <w:qFormat/>
    <w:uiPriority w:val="0"/>
    <w:pPr>
      <w:keepNext/>
      <w:keepLines/>
      <w:tabs>
        <w:tab w:val="left" w:pos="8280"/>
      </w:tabs>
      <w:spacing w:before="260" w:after="260" w:line="416" w:lineRule="auto"/>
      <w:outlineLvl w:val="2"/>
    </w:pPr>
    <w:rPr>
      <w:bCs/>
      <w:szCs w:val="32"/>
    </w:rPr>
  </w:style>
  <w:style w:type="paragraph" w:styleId="6">
    <w:name w:val="heading 4"/>
    <w:basedOn w:val="1"/>
    <w:next w:val="1"/>
    <w:autoRedefine/>
    <w:qFormat/>
    <w:uiPriority w:val="9"/>
    <w:pPr>
      <w:tabs>
        <w:tab w:val="left" w:pos="0"/>
        <w:tab w:val="left" w:pos="864"/>
        <w:tab w:val="left" w:pos="992"/>
      </w:tabs>
      <w:outlineLvl w:val="3"/>
    </w:pPr>
    <w:rPr>
      <w:rFonts w:ascii="Arial" w:hAnsi="Arial"/>
      <w:bCs/>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szCs w:val="20"/>
    </w:rPr>
  </w:style>
  <w:style w:type="paragraph" w:styleId="7">
    <w:name w:val="List Number"/>
    <w:basedOn w:val="1"/>
    <w:autoRedefine/>
    <w:qFormat/>
    <w:uiPriority w:val="0"/>
    <w:pPr>
      <w:numPr>
        <w:ilvl w:val="0"/>
        <w:numId w:val="2"/>
      </w:numPr>
    </w:pPr>
  </w:style>
  <w:style w:type="paragraph" w:styleId="8">
    <w:name w:val="List Bullet"/>
    <w:basedOn w:val="1"/>
    <w:next w:val="1"/>
    <w:autoRedefine/>
    <w:qFormat/>
    <w:uiPriority w:val="0"/>
    <w:pPr>
      <w:numPr>
        <w:ilvl w:val="0"/>
        <w:numId w:val="3"/>
      </w:numPr>
    </w:pPr>
  </w:style>
  <w:style w:type="paragraph" w:styleId="9">
    <w:name w:val="annotation text"/>
    <w:basedOn w:val="1"/>
    <w:link w:val="78"/>
    <w:autoRedefine/>
    <w:qFormat/>
    <w:uiPriority w:val="0"/>
    <w:pPr>
      <w:jc w:val="left"/>
    </w:pPr>
  </w:style>
  <w:style w:type="paragraph" w:styleId="10">
    <w:name w:val="Body Text"/>
    <w:basedOn w:val="1"/>
    <w:next w:val="1"/>
    <w:autoRedefine/>
    <w:qFormat/>
    <w:uiPriority w:val="0"/>
    <w:pPr>
      <w:spacing w:line="360" w:lineRule="exact"/>
    </w:pPr>
    <w:rPr>
      <w:sz w:val="24"/>
    </w:rPr>
  </w:style>
  <w:style w:type="paragraph" w:styleId="11">
    <w:name w:val="Body Text Indent"/>
    <w:basedOn w:val="1"/>
    <w:next w:val="1"/>
    <w:autoRedefine/>
    <w:qFormat/>
    <w:uiPriority w:val="0"/>
    <w:pPr>
      <w:spacing w:after="120"/>
      <w:ind w:left="420" w:leftChars="200"/>
    </w:pPr>
  </w:style>
  <w:style w:type="paragraph" w:styleId="12">
    <w:name w:val="List Bullet 2"/>
    <w:basedOn w:val="1"/>
    <w:next w:val="8"/>
    <w:autoRedefine/>
    <w:qFormat/>
    <w:uiPriority w:val="0"/>
    <w:pPr>
      <w:numPr>
        <w:ilvl w:val="0"/>
        <w:numId w:val="4"/>
      </w:numPr>
    </w:pPr>
  </w:style>
  <w:style w:type="paragraph" w:styleId="13">
    <w:name w:val="Plain Text"/>
    <w:basedOn w:val="1"/>
    <w:next w:val="14"/>
    <w:link w:val="70"/>
    <w:autoRedefine/>
    <w:qFormat/>
    <w:uiPriority w:val="0"/>
    <w:rPr>
      <w:rFonts w:ascii="宋体" w:hAnsi="Courier New" w:cs="宋体"/>
    </w:rPr>
  </w:style>
  <w:style w:type="paragraph" w:styleId="14">
    <w:name w:val="Date"/>
    <w:basedOn w:val="1"/>
    <w:next w:val="1"/>
    <w:autoRedefine/>
    <w:qFormat/>
    <w:uiPriority w:val="0"/>
    <w:pPr>
      <w:ind w:left="2500" w:leftChars="2500"/>
    </w:pPr>
    <w:rPr>
      <w:rFonts w:ascii="Calibri" w:hAnsi="Calibri" w:eastAsia="楷体_GB2312" w:cs="宋体"/>
      <w:sz w:val="32"/>
      <w:szCs w:val="22"/>
    </w:rPr>
  </w:style>
  <w:style w:type="paragraph" w:styleId="15">
    <w:name w:val="toc 8"/>
    <w:basedOn w:val="1"/>
    <w:next w:val="1"/>
    <w:autoRedefine/>
    <w:qFormat/>
    <w:uiPriority w:val="39"/>
    <w:pPr>
      <w:widowControl/>
      <w:ind w:left="2940" w:leftChars="1400"/>
      <w:jc w:val="left"/>
    </w:pPr>
    <w:rPr>
      <w:rFonts w:ascii="宋体" w:hAnsi="宋体" w:cs="宋体"/>
      <w:kern w:val="0"/>
      <w:sz w:val="24"/>
    </w:rPr>
  </w:style>
  <w:style w:type="paragraph" w:styleId="16">
    <w:name w:val="Balloon Text"/>
    <w:basedOn w:val="1"/>
    <w:link w:val="60"/>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39"/>
    <w:pPr>
      <w:spacing w:line="360" w:lineRule="auto"/>
      <w:ind w:left="420" w:leftChars="200" w:right="420" w:rightChars="200"/>
    </w:pPr>
    <w:rPr>
      <w:rFonts w:ascii="宋体" w:hAnsi="宋体"/>
      <w:sz w:val="24"/>
    </w:rPr>
  </w:style>
  <w:style w:type="paragraph" w:styleId="20">
    <w:name w:val="Subtitle"/>
    <w:basedOn w:val="1"/>
    <w:next w:val="1"/>
    <w:autoRedefine/>
    <w:qFormat/>
    <w:uiPriority w:val="0"/>
    <w:pPr>
      <w:spacing w:before="120" w:after="120" w:line="600" w:lineRule="exact"/>
      <w:jc w:val="center"/>
      <w:outlineLvl w:val="2"/>
    </w:pPr>
    <w:rPr>
      <w:rFonts w:eastAsia="楷体"/>
      <w:bCs/>
      <w:kern w:val="28"/>
      <w:sz w:val="32"/>
      <w:szCs w:val="32"/>
    </w:rPr>
  </w:style>
  <w:style w:type="paragraph" w:styleId="21">
    <w:name w:val="toc 6"/>
    <w:basedOn w:val="1"/>
    <w:next w:val="1"/>
    <w:autoRedefine/>
    <w:qFormat/>
    <w:uiPriority w:val="39"/>
    <w:pPr>
      <w:ind w:left="2100" w:leftChars="1000"/>
    </w:pPr>
    <w:rPr>
      <w:rFonts w:ascii="Calibri" w:hAnsi="Calibri"/>
    </w:rPr>
  </w:style>
  <w:style w:type="paragraph" w:styleId="22">
    <w:name w:val="toc 2"/>
    <w:basedOn w:val="1"/>
    <w:next w:val="1"/>
    <w:autoRedefine/>
    <w:qFormat/>
    <w:uiPriority w:val="39"/>
    <w:pPr>
      <w:ind w:left="420" w:leftChars="200"/>
    </w:pPr>
  </w:style>
  <w:style w:type="paragraph" w:styleId="23">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5">
    <w:name w:val="annotation subject"/>
    <w:basedOn w:val="9"/>
    <w:next w:val="9"/>
    <w:link w:val="79"/>
    <w:autoRedefine/>
    <w:qFormat/>
    <w:uiPriority w:val="0"/>
    <w:rPr>
      <w:b/>
      <w:bCs/>
    </w:rPr>
  </w:style>
  <w:style w:type="paragraph" w:styleId="26">
    <w:name w:val="Body Text First Indent"/>
    <w:basedOn w:val="10"/>
    <w:next w:val="1"/>
    <w:link w:val="80"/>
    <w:autoRedefine/>
    <w:qFormat/>
    <w:uiPriority w:val="0"/>
    <w:pPr>
      <w:ind w:firstLine="200" w:firstLineChars="200"/>
    </w:pPr>
  </w:style>
  <w:style w:type="paragraph" w:styleId="27">
    <w:name w:val="Body Text First Indent 2"/>
    <w:basedOn w:val="11"/>
    <w:autoRedefine/>
    <w:qFormat/>
    <w:uiPriority w:val="0"/>
    <w:pPr>
      <w:ind w:firstLine="420"/>
    </w:pPr>
  </w:style>
  <w:style w:type="table" w:styleId="29">
    <w:name w:val="Table Grid"/>
    <w:basedOn w:val="28"/>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1">
    <w:name w:val="Hyperlink"/>
    <w:autoRedefine/>
    <w:qFormat/>
    <w:uiPriority w:val="0"/>
    <w:rPr>
      <w:color w:val="0000FF"/>
      <w:u w:val="single"/>
    </w:rPr>
  </w:style>
  <w:style w:type="character" w:styleId="32">
    <w:name w:val="annotation reference"/>
    <w:basedOn w:val="30"/>
    <w:autoRedefine/>
    <w:qFormat/>
    <w:uiPriority w:val="0"/>
    <w:rPr>
      <w:sz w:val="21"/>
      <w:szCs w:val="21"/>
    </w:rPr>
  </w:style>
  <w:style w:type="paragraph" w:customStyle="1" w:styleId="33">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样式 10 磅3111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4、正文"/>
    <w:basedOn w:val="1"/>
    <w:autoRedefine/>
    <w:qFormat/>
    <w:uiPriority w:val="0"/>
    <w:pPr>
      <w:ind w:firstLine="200" w:firstLineChars="200"/>
    </w:pPr>
    <w:rPr>
      <w:rFonts w:ascii="宋体"/>
      <w:sz w:val="24"/>
      <w:szCs w:val="28"/>
    </w:rPr>
  </w:style>
  <w:style w:type="paragraph" w:customStyle="1" w:styleId="36">
    <w:name w:val="表格文字"/>
    <w:basedOn w:val="1"/>
    <w:next w:val="10"/>
    <w:autoRedefine/>
    <w:qFormat/>
    <w:uiPriority w:val="0"/>
    <w:pPr>
      <w:jc w:val="left"/>
      <w:textAlignment w:val="top"/>
    </w:pPr>
    <w:rPr>
      <w:sz w:val="18"/>
    </w:rPr>
  </w:style>
  <w:style w:type="paragraph" w:customStyle="1" w:styleId="37">
    <w:name w:val="无间隔1"/>
    <w:autoRedefine/>
    <w:qFormat/>
    <w:uiPriority w:val="99"/>
    <w:pPr>
      <w:adjustRightInd w:val="0"/>
      <w:snapToGrid w:val="0"/>
    </w:pPr>
    <w:rPr>
      <w:rFonts w:ascii="Tahoma" w:hAnsi="Tahoma" w:eastAsia="微软雅黑" w:cs="宋体"/>
      <w:sz w:val="22"/>
      <w:szCs w:val="22"/>
      <w:lang w:val="en-US" w:eastAsia="zh-CN" w:bidi="ar-SA"/>
    </w:rPr>
  </w:style>
  <w:style w:type="paragraph" w:styleId="38">
    <w:name w:val="List Paragraph"/>
    <w:basedOn w:val="1"/>
    <w:autoRedefine/>
    <w:qFormat/>
    <w:uiPriority w:val="0"/>
    <w:pPr>
      <w:ind w:firstLine="420" w:firstLineChars="200"/>
    </w:pPr>
    <w:rPr>
      <w:rFonts w:ascii="Calibri" w:hAnsi="Calibri"/>
      <w:szCs w:val="22"/>
    </w:rPr>
  </w:style>
  <w:style w:type="paragraph" w:customStyle="1" w:styleId="39">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40">
    <w:name w:val="无间隔11"/>
    <w:autoRedefine/>
    <w:qFormat/>
    <w:uiPriority w:val="0"/>
    <w:pPr>
      <w:adjustRightInd w:val="0"/>
      <w:snapToGrid w:val="0"/>
    </w:pPr>
    <w:rPr>
      <w:rFonts w:ascii="Tahoma" w:hAnsi="Tahoma" w:eastAsia="微软雅黑" w:cs="宋体"/>
      <w:sz w:val="22"/>
      <w:szCs w:val="22"/>
      <w:lang w:val="en-US" w:eastAsia="zh-CN" w:bidi="ar-SA"/>
    </w:rPr>
  </w:style>
  <w:style w:type="paragraph" w:customStyle="1" w:styleId="4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autoRedefine/>
    <w:qFormat/>
    <w:uiPriority w:val="0"/>
    <w:rPr>
      <w:rFonts w:ascii="Times New Roman" w:hAnsi="Times New Roman" w:eastAsia="宋体" w:cs="Times New Roman"/>
      <w:sz w:val="21"/>
      <w:szCs w:val="22"/>
      <w:lang w:val="en-US" w:eastAsia="zh-CN" w:bidi="ar-SA"/>
    </w:rPr>
  </w:style>
  <w:style w:type="paragraph" w:customStyle="1" w:styleId="44">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autoRedefine/>
    <w:qFormat/>
    <w:uiPriority w:val="0"/>
    <w:pPr>
      <w:widowControl/>
      <w:jc w:val="left"/>
    </w:pPr>
    <w:rPr>
      <w:rFonts w:ascii="宋体" w:hAnsi="Courier New" w:cs="宋体"/>
      <w:szCs w:val="21"/>
    </w:rPr>
  </w:style>
  <w:style w:type="paragraph" w:customStyle="1" w:styleId="48">
    <w:name w:val="纯文本_0_1"/>
    <w:basedOn w:val="1"/>
    <w:autoRedefine/>
    <w:qFormat/>
    <w:uiPriority w:val="0"/>
    <w:pPr>
      <w:widowControl/>
      <w:jc w:val="left"/>
    </w:pPr>
    <w:rPr>
      <w:rFonts w:ascii="宋体" w:hAnsi="Courier New" w:cs="宋体"/>
      <w:szCs w:val="21"/>
    </w:rPr>
  </w:style>
  <w:style w:type="paragraph" w:customStyle="1" w:styleId="4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font21"/>
    <w:basedOn w:val="30"/>
    <w:autoRedefine/>
    <w:qFormat/>
    <w:uiPriority w:val="0"/>
    <w:rPr>
      <w:rFonts w:hint="default" w:ascii="Arial" w:hAnsi="Arial" w:cs="Arial"/>
      <w:color w:val="000000"/>
      <w:sz w:val="20"/>
      <w:szCs w:val="20"/>
      <w:u w:val="none"/>
    </w:rPr>
  </w:style>
  <w:style w:type="character" w:customStyle="1" w:styleId="54">
    <w:name w:val="font01"/>
    <w:basedOn w:val="30"/>
    <w:autoRedefine/>
    <w:qFormat/>
    <w:uiPriority w:val="0"/>
    <w:rPr>
      <w:rFonts w:hint="eastAsia" w:ascii="宋体" w:hAnsi="宋体" w:eastAsia="宋体" w:cs="宋体"/>
      <w:color w:val="000000"/>
      <w:sz w:val="20"/>
      <w:szCs w:val="20"/>
      <w:u w:val="none"/>
    </w:rPr>
  </w:style>
  <w:style w:type="paragraph" w:customStyle="1" w:styleId="55">
    <w:name w:val="纯文本1"/>
    <w:basedOn w:val="56"/>
    <w:autoRedefine/>
    <w:qFormat/>
    <w:uiPriority w:val="0"/>
    <w:pPr>
      <w:widowControl/>
      <w:jc w:val="left"/>
    </w:pPr>
    <w:rPr>
      <w:rFonts w:ascii="宋体" w:hAnsi="Courier New"/>
    </w:rPr>
  </w:style>
  <w:style w:type="paragraph" w:customStyle="1" w:styleId="56">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7">
    <w:name w:val="Table Paragraph"/>
    <w:basedOn w:val="1"/>
    <w:autoRedefine/>
    <w:qFormat/>
    <w:uiPriority w:val="1"/>
    <w:rPr>
      <w:rFonts w:ascii="宋体" w:hAnsi="宋体" w:cs="宋体"/>
    </w:rPr>
  </w:style>
  <w:style w:type="paragraph" w:customStyle="1" w:styleId="58">
    <w:name w:val="WPSOffice手动目录 1"/>
    <w:autoRedefine/>
    <w:qFormat/>
    <w:uiPriority w:val="0"/>
    <w:rPr>
      <w:rFonts w:ascii="Times New Roman" w:hAnsi="Times New Roman" w:eastAsia="宋体" w:cs="Times New Roman"/>
      <w:lang w:val="en-US" w:eastAsia="zh-CN" w:bidi="ar-SA"/>
    </w:rPr>
  </w:style>
  <w:style w:type="paragraph" w:customStyle="1" w:styleId="59">
    <w:name w:val="默认段落字体 Para Char Char Char Char Char Char Char Char Char1 Char Char Char Char"/>
    <w:basedOn w:val="1"/>
    <w:autoRedefine/>
    <w:qFormat/>
    <w:uiPriority w:val="0"/>
    <w:rPr>
      <w:rFonts w:ascii="Tahoma" w:hAnsi="Tahoma"/>
      <w:sz w:val="24"/>
      <w:szCs w:val="20"/>
    </w:rPr>
  </w:style>
  <w:style w:type="character" w:customStyle="1" w:styleId="60">
    <w:name w:val="批注框文本 字符"/>
    <w:basedOn w:val="30"/>
    <w:link w:val="16"/>
    <w:autoRedefine/>
    <w:qFormat/>
    <w:uiPriority w:val="0"/>
    <w:rPr>
      <w:kern w:val="2"/>
      <w:sz w:val="18"/>
      <w:szCs w:val="18"/>
    </w:rPr>
  </w:style>
  <w:style w:type="paragraph" w:customStyle="1" w:styleId="61">
    <w:name w:val="英文"/>
    <w:basedOn w:val="1"/>
    <w:link w:val="63"/>
    <w:autoRedefine/>
    <w:qFormat/>
    <w:uiPriority w:val="0"/>
    <w:pPr>
      <w:adjustRightInd w:val="0"/>
      <w:snapToGrid w:val="0"/>
      <w:spacing w:line="360" w:lineRule="auto"/>
      <w:ind w:firstLine="480" w:firstLineChars="200"/>
    </w:pPr>
    <w:rPr>
      <w:rFonts w:ascii="Arial" w:hAnsi="Arial" w:cs="Arial"/>
      <w:sz w:val="24"/>
    </w:rPr>
  </w:style>
  <w:style w:type="paragraph" w:customStyle="1" w:styleId="62">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3">
    <w:name w:val="英文 Char"/>
    <w:link w:val="61"/>
    <w:autoRedefine/>
    <w:qFormat/>
    <w:uiPriority w:val="0"/>
    <w:rPr>
      <w:rFonts w:ascii="Arial" w:hAnsi="Arial" w:cs="Arial"/>
      <w:sz w:val="24"/>
    </w:rPr>
  </w:style>
  <w:style w:type="paragraph" w:customStyle="1" w:styleId="64">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5">
    <w:name w:val="正文段落"/>
    <w:basedOn w:val="1"/>
    <w:autoRedefine/>
    <w:qFormat/>
    <w:uiPriority w:val="0"/>
    <w:pPr>
      <w:spacing w:line="360" w:lineRule="auto"/>
      <w:ind w:firstLine="200" w:firstLineChars="200"/>
    </w:pPr>
    <w:rPr>
      <w:rFonts w:eastAsia="仿宋"/>
      <w:sz w:val="28"/>
    </w:rPr>
  </w:style>
  <w:style w:type="paragraph" w:customStyle="1" w:styleId="66">
    <w:name w:val="Normal Indent1"/>
    <w:basedOn w:val="1"/>
    <w:autoRedefine/>
    <w:qFormat/>
    <w:uiPriority w:val="0"/>
    <w:pPr>
      <w:ind w:firstLine="420" w:firstLineChars="200"/>
    </w:pPr>
  </w:style>
  <w:style w:type="paragraph" w:customStyle="1" w:styleId="67">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68">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69">
    <w:name w:val="列表段落1"/>
    <w:basedOn w:val="1"/>
    <w:autoRedefine/>
    <w:qFormat/>
    <w:uiPriority w:val="0"/>
    <w:pPr>
      <w:ind w:firstLine="420" w:firstLineChars="200"/>
    </w:pPr>
  </w:style>
  <w:style w:type="character" w:customStyle="1" w:styleId="70">
    <w:name w:val="纯文本 字符"/>
    <w:link w:val="13"/>
    <w:autoRedefine/>
    <w:qFormat/>
    <w:uiPriority w:val="0"/>
    <w:rPr>
      <w:rFonts w:ascii="宋体" w:hAnsi="Courier New" w:cs="宋体"/>
      <w:kern w:val="2"/>
      <w:sz w:val="21"/>
      <w:szCs w:val="24"/>
    </w:rPr>
  </w:style>
  <w:style w:type="character" w:customStyle="1" w:styleId="71">
    <w:name w:val="NormalCharacter"/>
    <w:autoRedefine/>
    <w:qFormat/>
    <w:uiPriority w:val="0"/>
  </w:style>
  <w:style w:type="paragraph" w:customStyle="1" w:styleId="72">
    <w:name w:val="UserStyle_4"/>
    <w:basedOn w:val="1"/>
    <w:autoRedefine/>
    <w:qFormat/>
    <w:uiPriority w:val="0"/>
    <w:pPr>
      <w:ind w:firstLine="420" w:firstLineChars="200"/>
    </w:pPr>
    <w:rPr>
      <w:sz w:val="24"/>
    </w:rPr>
  </w:style>
  <w:style w:type="paragraph" w:customStyle="1" w:styleId="73">
    <w:name w:val="HtmlNormal"/>
    <w:basedOn w:val="1"/>
    <w:autoRedefine/>
    <w:qFormat/>
    <w:uiPriority w:val="0"/>
    <w:pPr>
      <w:spacing w:before="100" w:beforeAutospacing="1" w:after="100" w:afterAutospacing="1"/>
      <w:jc w:val="left"/>
    </w:pPr>
    <w:rPr>
      <w:rFonts w:ascii="宋体" w:hAnsi="宋体"/>
      <w:color w:val="000000"/>
      <w:kern w:val="0"/>
      <w:sz w:val="24"/>
      <w:szCs w:val="21"/>
    </w:rPr>
  </w:style>
  <w:style w:type="paragraph" w:customStyle="1" w:styleId="74">
    <w:name w:val="UserStyle_48"/>
    <w:basedOn w:val="1"/>
    <w:autoRedefine/>
    <w:qFormat/>
    <w:uiPriority w:val="0"/>
    <w:pPr>
      <w:ind w:firstLine="420" w:firstLineChars="200"/>
    </w:pPr>
    <w:rPr>
      <w:szCs w:val="21"/>
    </w:rPr>
  </w:style>
  <w:style w:type="paragraph" w:customStyle="1" w:styleId="75">
    <w:name w:val="PlainText"/>
    <w:basedOn w:val="1"/>
    <w:autoRedefine/>
    <w:qFormat/>
    <w:uiPriority w:val="0"/>
    <w:pPr>
      <w:spacing w:before="156" w:after="156" w:line="400" w:lineRule="atLeast"/>
    </w:pPr>
    <w:rPr>
      <w:rFonts w:ascii="宋体" w:hAnsi="Courier New"/>
      <w:sz w:val="24"/>
    </w:rPr>
  </w:style>
  <w:style w:type="paragraph" w:customStyle="1" w:styleId="76">
    <w:name w:val="UserStyle_29"/>
    <w:basedOn w:val="1"/>
    <w:autoRedefine/>
    <w:qFormat/>
    <w:uiPriority w:val="0"/>
    <w:pPr>
      <w:ind w:firstLine="420" w:firstLineChars="200"/>
    </w:pPr>
    <w:rPr>
      <w:szCs w:val="22"/>
    </w:rPr>
  </w:style>
  <w:style w:type="table" w:customStyle="1" w:styleId="77">
    <w:name w:val="Table Normal"/>
    <w:autoRedefine/>
    <w:qFormat/>
    <w:uiPriority w:val="0"/>
    <w:tblPr>
      <w:tblCellMar>
        <w:top w:w="0" w:type="dxa"/>
        <w:left w:w="0" w:type="dxa"/>
        <w:bottom w:w="0" w:type="dxa"/>
        <w:right w:w="0" w:type="dxa"/>
      </w:tblCellMar>
    </w:tblPr>
  </w:style>
  <w:style w:type="character" w:customStyle="1" w:styleId="78">
    <w:name w:val="批注文字 字符"/>
    <w:basedOn w:val="30"/>
    <w:link w:val="9"/>
    <w:autoRedefine/>
    <w:qFormat/>
    <w:uiPriority w:val="0"/>
    <w:rPr>
      <w:kern w:val="2"/>
      <w:sz w:val="21"/>
      <w:szCs w:val="24"/>
    </w:rPr>
  </w:style>
  <w:style w:type="character" w:customStyle="1" w:styleId="79">
    <w:name w:val="批注主题 字符"/>
    <w:basedOn w:val="78"/>
    <w:link w:val="25"/>
    <w:autoRedefine/>
    <w:qFormat/>
    <w:uiPriority w:val="0"/>
    <w:rPr>
      <w:b/>
      <w:bCs/>
      <w:kern w:val="2"/>
      <w:sz w:val="21"/>
      <w:szCs w:val="24"/>
    </w:rPr>
  </w:style>
  <w:style w:type="character" w:customStyle="1" w:styleId="80">
    <w:name w:val="正文文本首行缩进 字符"/>
    <w:basedOn w:val="30"/>
    <w:link w:val="26"/>
    <w:autoRedefine/>
    <w:qFormat/>
    <w:uiPriority w:val="0"/>
    <w:rPr>
      <w:kern w:val="2"/>
      <w:sz w:val="24"/>
      <w:szCs w:val="24"/>
    </w:rPr>
  </w:style>
  <w:style w:type="character" w:customStyle="1" w:styleId="81">
    <w:name w:val="未处理的提及1"/>
    <w:basedOn w:val="30"/>
    <w:autoRedefine/>
    <w:qFormat/>
    <w:uiPriority w:val="99"/>
    <w:rPr>
      <w:color w:val="605E5C"/>
      <w:shd w:val="clear" w:color="auto" w:fill="E1DFDD"/>
    </w:rPr>
  </w:style>
  <w:style w:type="paragraph" w:customStyle="1" w:styleId="82">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83">
    <w:name w:val="正文缩进2格"/>
    <w:basedOn w:val="1"/>
    <w:autoRedefine/>
    <w:qFormat/>
    <w:uiPriority w:val="0"/>
    <w:pPr>
      <w:spacing w:line="600" w:lineRule="exact"/>
      <w:ind w:firstLine="639" w:firstLineChars="206"/>
    </w:pPr>
    <w:rPr>
      <w:rFonts w:ascii="仿宋_GB2312" w:hAnsi="宋体" w:eastAsia="仿宋_GB2312"/>
      <w:kern w:val="0"/>
      <w:sz w:val="31"/>
      <w:szCs w:val="20"/>
    </w:rPr>
  </w:style>
  <w:style w:type="paragraph" w:customStyle="1" w:styleId="84">
    <w:name w:val="TOC6"/>
    <w:basedOn w:val="1"/>
    <w:next w:val="1"/>
    <w:autoRedefine/>
    <w:qFormat/>
    <w:uiPriority w:val="0"/>
    <w:pPr>
      <w:ind w:left="2100" w:leftChars="1000"/>
      <w:jc w:val="left"/>
    </w:pPr>
    <w:rPr>
      <w:rFonts w:ascii="宋体" w:hAnsi="宋体"/>
      <w:kern w:val="0"/>
      <w:sz w:val="24"/>
    </w:rPr>
  </w:style>
  <w:style w:type="paragraph" w:customStyle="1" w:styleId="85">
    <w:name w:val="签发人"/>
    <w:basedOn w:val="1"/>
    <w:autoRedefine/>
    <w:qFormat/>
    <w:uiPriority w:val="0"/>
    <w:rPr>
      <w:rFonts w:eastAsia="楷体"/>
      <w:sz w:val="32"/>
    </w:rPr>
  </w:style>
  <w:style w:type="paragraph" w:customStyle="1" w:styleId="86">
    <w:name w:val="[Normal]"/>
    <w:autoRedefine/>
    <w:qFormat/>
    <w:uiPriority w:val="0"/>
    <w:rPr>
      <w:rFonts w:ascii="宋体" w:hAnsi="宋体" w:eastAsia="宋体" w:cs="Times New Roman"/>
      <w:sz w:val="24"/>
      <w:szCs w:val="22"/>
      <w:lang w:val="zh-CN" w:eastAsia="zh-CN" w:bidi="ar-SA"/>
    </w:rPr>
  </w:style>
  <w:style w:type="paragraph" w:customStyle="1" w:styleId="87">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文档正文"/>
    <w:basedOn w:val="1"/>
    <w:autoRedefine/>
    <w:qFormat/>
    <w:uiPriority w:val="0"/>
    <w:pPr>
      <w:spacing w:line="480" w:lineRule="atLeast"/>
      <w:ind w:firstLine="567"/>
      <w:textAlignment w:val="baseline"/>
    </w:pPr>
    <w:rPr>
      <w:kern w:val="0"/>
      <w:sz w:val="24"/>
      <w:szCs w:val="20"/>
    </w:rPr>
  </w:style>
  <w:style w:type="character" w:customStyle="1" w:styleId="89">
    <w:name w:val="font11"/>
    <w:basedOn w:val="30"/>
    <w:autoRedefine/>
    <w:qFormat/>
    <w:uiPriority w:val="0"/>
    <w:rPr>
      <w:rFonts w:hint="eastAsia" w:ascii="宋体" w:hAnsi="宋体" w:eastAsia="宋体" w:cs="宋体"/>
      <w:color w:val="000000"/>
      <w:sz w:val="23"/>
      <w:szCs w:val="23"/>
      <w:u w:val="none"/>
    </w:rPr>
  </w:style>
  <w:style w:type="character" w:customStyle="1" w:styleId="90">
    <w:name w:val="font31"/>
    <w:basedOn w:val="30"/>
    <w:autoRedefine/>
    <w:qFormat/>
    <w:uiPriority w:val="0"/>
    <w:rPr>
      <w:rFonts w:hint="eastAsia" w:ascii="宋体" w:hAnsi="宋体" w:eastAsia="宋体" w:cs="宋体"/>
      <w:color w:val="000000"/>
      <w:sz w:val="22"/>
      <w:szCs w:val="22"/>
      <w:u w:val="none"/>
    </w:rPr>
  </w:style>
  <w:style w:type="character" w:customStyle="1" w:styleId="91">
    <w:name w:val="font41"/>
    <w:basedOn w:val="3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17661</Words>
  <Characters>19146</Characters>
  <Lines>135</Lines>
  <Paragraphs>38</Paragraphs>
  <TotalTime>3</TotalTime>
  <ScaleCrop>false</ScaleCrop>
  <LinksUpToDate>false</LinksUpToDate>
  <CharactersWithSpaces>20074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2023-09-27T03:45:00Z</dcterms:created>
  <dc:creator>Thorpe521</dc:creator>
  <cp:lastModifiedBy>@H。</cp:lastModifiedBy>
  <cp:lastPrinted>2023-07-18T08:34:00Z</cp:lastPrinted>
  <dcterms:modified xsi:type="dcterms:W3CDTF">2024-04-22T03:17:33Z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8059643B39784DC4AB8A9C79F553DD9F_13</vt:lpwstr>
  </property>
  <property fmtid="{D5CDD505-2E9C-101B-9397-08002B2CF9AE}" pid="4" name="commondata">
    <vt:lpwstr>eyJoZGlkIjoiZWM5NTczMTg4N2ExZWZmMDU0MmIxMDc2NTJiZjIxOTMifQ==</vt:lpwstr>
  </property>
</Properties>
</file>