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82"/>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台州东茂观光农业开发有限公司2024年零星机械租赁项目</w:t>
      </w:r>
    </w:p>
    <w:p>
      <w:pPr>
        <w:pStyle w:val="82"/>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lang w:val="en-US" w:eastAsia="zh-CN"/>
          <w14:textFill>
            <w14:solidFill>
              <w14:schemeClr w14:val="tx1"/>
            </w14:solidFill>
          </w14:textFill>
        </w:rPr>
        <w:t>招标</w:t>
      </w:r>
      <w:r>
        <w:rPr>
          <w:rFonts w:hint="eastAsia" w:ascii="宋体" w:hAnsi="宋体" w:cs="Calibri Light"/>
          <w:color w:val="000000" w:themeColor="text1"/>
          <w:kern w:val="0"/>
          <w:sz w:val="24"/>
          <w:highlight w:val="none"/>
          <w14:textFill>
            <w14:solidFill>
              <w14:schemeClr w14:val="tx1"/>
            </w14:solidFill>
          </w14:textFill>
        </w:rPr>
        <w:t>编号：QBJ2024091</w:t>
      </w:r>
      <w:r>
        <w:rPr>
          <w:rFonts w:hint="eastAsia" w:ascii="宋体"/>
          <w:b/>
          <w:color w:val="000000" w:themeColor="text1"/>
          <w:kern w:val="0"/>
          <w:sz w:val="24"/>
          <w:highlight w:val="none"/>
          <w:lang w:val="en-US" w:eastAsia="zh-CN"/>
          <w14:textFill>
            <w14:solidFill>
              <w14:schemeClr w14:val="tx1"/>
            </w14:solidFill>
          </w14:textFill>
        </w:rPr>
        <w:t xml:space="preserve"> </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lang w:eastAsia="zh-CN"/>
          <w14:textFill>
            <w14:solidFill>
              <w14:schemeClr w14:val="tx1"/>
            </w14:solidFill>
          </w14:textFill>
        </w:rPr>
        <w:t>招标人</w:t>
      </w:r>
      <w:r>
        <w:rPr>
          <w:rFonts w:hint="eastAsia" w:ascii="宋体" w:hAnsi="宋体"/>
          <w:color w:val="000000" w:themeColor="text1"/>
          <w:spacing w:val="20"/>
          <w:kern w:val="21"/>
          <w:sz w:val="30"/>
          <w:szCs w:val="30"/>
          <w:highlight w:val="none"/>
          <w14:textFill>
            <w14:solidFill>
              <w14:schemeClr w14:val="tx1"/>
            </w14:solidFill>
          </w14:textFill>
        </w:rPr>
        <w:t>：</w:t>
      </w:r>
      <w:r>
        <w:rPr>
          <w:rFonts w:hint="eastAsia"/>
          <w:color w:val="000000" w:themeColor="text1"/>
          <w:sz w:val="28"/>
          <w:highlight w:val="none"/>
          <w:u w:val="single"/>
          <w:lang w:eastAsia="zh-CN"/>
          <w14:textFill>
            <w14:solidFill>
              <w14:schemeClr w14:val="tx1"/>
            </w14:solidFill>
          </w14:textFill>
        </w:rPr>
        <w:t>台州东茂观光农业开发有限公司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eastAsia="zh-CN"/>
          <w14:textFill>
            <w14:solidFill>
              <w14:schemeClr w14:val="tx1"/>
            </w14:solidFill>
          </w14:textFill>
        </w:rPr>
        <w:t>王先生</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hint="eastAsia" w:ascii="宋体" w:hAnsi="宋体" w:eastAsia="宋体"/>
          <w:color w:val="000000" w:themeColor="text1"/>
          <w:spacing w:val="20"/>
          <w:kern w:val="21"/>
          <w:sz w:val="30"/>
          <w:szCs w:val="30"/>
          <w:highlight w:val="none"/>
          <w:lang w:eastAsia="zh-CN"/>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eastAsia="zh-CN"/>
          <w14:textFill>
            <w14:solidFill>
              <w14:schemeClr w14:val="tx1"/>
            </w14:solidFill>
          </w14:textFill>
        </w:rPr>
        <w:t>0576-88909826</w:t>
      </w:r>
    </w:p>
    <w:p>
      <w:pPr>
        <w:pStyle w:val="13"/>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郑先生</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hint="eastAsia" w:ascii="宋体" w:hAnsi="宋体" w:eastAsia="宋体"/>
          <w:color w:val="000000" w:themeColor="text1"/>
          <w:spacing w:val="20"/>
          <w:kern w:val="21"/>
          <w:sz w:val="30"/>
          <w:szCs w:val="30"/>
          <w:highlight w:val="none"/>
          <w:lang w:eastAsia="zh-CN"/>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0576-88517783</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05</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8"/>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19"/>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eastAsia="zh-CN"/>
          <w14:textFill>
            <w14:solidFill>
              <w14:schemeClr w14:val="tx1"/>
            </w14:solidFill>
          </w14:textFill>
        </w:rPr>
        <w:t>公开招标采购公告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19"/>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19"/>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19"/>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19"/>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19"/>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lang w:eastAsia="zh-CN"/>
          <w14:textFill>
            <w14:solidFill>
              <w14:schemeClr w14:val="tx1"/>
            </w14:solidFill>
          </w14:textFill>
        </w:rPr>
        <w:t>公开招标采购公告</w:t>
      </w:r>
    </w:p>
    <w:p>
      <w:pPr>
        <w:pStyle w:val="5"/>
        <w:ind w:firstLine="480" w:firstLineChars="200"/>
        <w:rPr>
          <w:rFonts w:cs="宋体"/>
          <w:b w:val="0"/>
          <w:color w:val="000000" w:themeColor="text1"/>
          <w:sz w:val="24"/>
          <w:szCs w:val="24"/>
          <w:highlight w:val="none"/>
          <w14:textFill>
            <w14:solidFill>
              <w14:schemeClr w14:val="tx1"/>
            </w14:solidFill>
          </w14:textFill>
        </w:rPr>
      </w:pPr>
      <w:bookmarkStart w:id="2" w:name="_Toc28359002"/>
      <w:bookmarkStart w:id="3" w:name="_Toc35393621"/>
      <w:bookmarkStart w:id="4" w:name="_Toc28359079"/>
      <w:bookmarkStart w:id="5" w:name="_Toc35393790"/>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台州东茂观光农业开发有限公司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台州东茂观光农业开发有限公司2024年零星机械租赁项目</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5"/>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8"/>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20"/>
        <w:gridCol w:w="1365"/>
        <w:gridCol w:w="2265"/>
        <w:gridCol w:w="150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2"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1920"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1365"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2265"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租赁期要求</w:t>
            </w:r>
          </w:p>
        </w:tc>
        <w:tc>
          <w:tcPr>
            <w:tcW w:w="1500"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供货地点</w:t>
            </w:r>
          </w:p>
        </w:tc>
        <w:tc>
          <w:tcPr>
            <w:tcW w:w="1516"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72" w:type="dxa"/>
            <w:vAlign w:val="center"/>
          </w:tcPr>
          <w:p>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1</w:t>
            </w:r>
          </w:p>
        </w:tc>
        <w:tc>
          <w:tcPr>
            <w:tcW w:w="1920" w:type="dxa"/>
            <w:vAlign w:val="center"/>
          </w:tcPr>
          <w:p>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台州东茂观光农业开发有限公司2024年零星机械租赁项目</w:t>
            </w:r>
          </w:p>
        </w:tc>
        <w:tc>
          <w:tcPr>
            <w:tcW w:w="1365" w:type="dxa"/>
            <w:vAlign w:val="center"/>
          </w:tcPr>
          <w:p>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详见具体技术需求</w:t>
            </w:r>
          </w:p>
        </w:tc>
        <w:tc>
          <w:tcPr>
            <w:tcW w:w="2265" w:type="dxa"/>
            <w:vAlign w:val="center"/>
          </w:tcPr>
          <w:p>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签订合同后1年或累计实际结算金额达到</w:t>
            </w:r>
            <w:r>
              <w:rPr>
                <w:rFonts w:hint="eastAsia" w:ascii="宋体" w:hAnsi="宋体" w:cs="宋体"/>
                <w:b w:val="0"/>
                <w:color w:val="000000" w:themeColor="text1"/>
                <w:kern w:val="2"/>
                <w:sz w:val="24"/>
                <w:szCs w:val="24"/>
                <w:highlight w:val="none"/>
                <w:u w:val="none"/>
                <w:lang w:val="en-US" w:eastAsia="zh-CN" w:bidi="ar-SA"/>
                <w14:textFill>
                  <w14:solidFill>
                    <w14:schemeClr w14:val="tx1"/>
                  </w14:solidFill>
                </w14:textFill>
              </w:rPr>
              <w:t>98万元</w:t>
            </w: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 xml:space="preserve">（以先到者为准） </w:t>
            </w:r>
          </w:p>
        </w:tc>
        <w:tc>
          <w:tcPr>
            <w:tcW w:w="1500" w:type="dxa"/>
            <w:vAlign w:val="center"/>
          </w:tcPr>
          <w:p>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招标人指定地点</w:t>
            </w:r>
          </w:p>
        </w:tc>
        <w:tc>
          <w:tcPr>
            <w:tcW w:w="1516" w:type="dxa"/>
            <w:vAlign w:val="center"/>
          </w:tcPr>
          <w:p>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&lt;100.00%</w:t>
            </w:r>
          </w:p>
        </w:tc>
      </w:tr>
    </w:tbl>
    <w:p>
      <w:pPr>
        <w:pStyle w:val="5"/>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7" w:name="_Toc28359080"/>
      <w:bookmarkStart w:id="8" w:name="_Toc28359003"/>
      <w:bookmarkStart w:id="9" w:name="_Toc35393622"/>
      <w:bookmarkStart w:id="10" w:name="_Toc35393791"/>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pPr>
        <w:spacing w:line="360" w:lineRule="auto"/>
        <w:ind w:left="12"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具有本项目招标人需求的机械租赁服务能力的</w:t>
      </w:r>
      <w:r>
        <w:rPr>
          <w:rFonts w:hint="eastAsia" w:ascii="宋体" w:hAnsi="宋体" w:cs="宋体"/>
          <w:color w:val="000000" w:themeColor="text1"/>
          <w:sz w:val="24"/>
          <w:highlight w:val="none"/>
          <w:lang w:val="en-US" w:eastAsia="zh-CN"/>
          <w14:textFill>
            <w14:solidFill>
              <w14:schemeClr w14:val="tx1"/>
            </w14:solidFill>
          </w14:textFill>
        </w:rPr>
        <w:t>投标供应商</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1" w:name="_Toc35393792"/>
      <w:bookmarkStart w:id="12" w:name="_Toc35393623"/>
      <w:bookmarkStart w:id="13" w:name="_Toc28359081"/>
      <w:bookmarkStart w:id="14" w:name="_Toc28359004"/>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5"/>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1"/>
      <w:bookmarkEnd w:id="12"/>
      <w:bookmarkEnd w:id="13"/>
      <w:bookmarkEnd w:id="14"/>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5"/>
        <w:ind w:right="0" w:firstLine="482" w:firstLineChars="200"/>
        <w:rPr>
          <w:rFonts w:cs="宋体"/>
          <w:bCs/>
          <w:color w:val="000000" w:themeColor="text1"/>
          <w:sz w:val="24"/>
          <w:szCs w:val="24"/>
          <w:highlight w:val="none"/>
          <w14:textFill>
            <w14:solidFill>
              <w14:schemeClr w14:val="tx1"/>
            </w14:solidFill>
          </w14:textFill>
        </w:rPr>
      </w:pPr>
      <w:bookmarkStart w:id="15" w:name="_Toc35393793"/>
      <w:bookmarkStart w:id="16" w:name="_Toc35393624"/>
      <w:bookmarkStart w:id="17" w:name="_Toc28359082"/>
      <w:bookmarkStart w:id="18" w:name="_Toc28359005"/>
      <w:r>
        <w:rPr>
          <w:rFonts w:hint="eastAsia" w:cs="宋体"/>
          <w:bCs/>
          <w:color w:val="000000" w:themeColor="text1"/>
          <w:sz w:val="24"/>
          <w:szCs w:val="24"/>
          <w:highlight w:val="none"/>
          <w14:textFill>
            <w14:solidFill>
              <w14:schemeClr w14:val="tx1"/>
            </w14:solidFill>
          </w14:textFill>
        </w:rPr>
        <w:t>四、提交投标文件</w:t>
      </w:r>
      <w:bookmarkEnd w:id="15"/>
      <w:bookmarkEnd w:id="16"/>
      <w:bookmarkEnd w:id="17"/>
      <w:bookmarkEnd w:id="18"/>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19" w:name="_Toc28359084"/>
      <w:bookmarkStart w:id="20" w:name="_Toc35393625"/>
      <w:bookmarkStart w:id="21" w:name="_Toc28359007"/>
      <w:bookmarkStart w:id="22" w:name="_Toc35393794"/>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05</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31</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19"/>
    <w:bookmarkEnd w:id="20"/>
    <w:bookmarkEnd w:id="21"/>
    <w:bookmarkEnd w:id="22"/>
    <w:p>
      <w:pPr>
        <w:pStyle w:val="27"/>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7"/>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7"/>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5"/>
        <w:ind w:right="0" w:firstLine="482" w:firstLineChars="200"/>
        <w:rPr>
          <w:rFonts w:cs="宋体"/>
          <w:bCs/>
          <w:color w:val="000000" w:themeColor="text1"/>
          <w:sz w:val="24"/>
          <w:szCs w:val="24"/>
          <w:highlight w:val="none"/>
          <w14:textFill>
            <w14:solidFill>
              <w14:schemeClr w14:val="tx1"/>
            </w14:solidFill>
          </w14:textFill>
        </w:rPr>
      </w:pPr>
      <w:bookmarkStart w:id="23" w:name="_Toc35393795"/>
      <w:bookmarkStart w:id="24" w:name="_Toc35393626"/>
      <w:r>
        <w:rPr>
          <w:rFonts w:hint="eastAsia" w:cs="宋体"/>
          <w:bCs/>
          <w:color w:val="000000" w:themeColor="text1"/>
          <w:sz w:val="24"/>
          <w:szCs w:val="24"/>
          <w:highlight w:val="none"/>
          <w14:textFill>
            <w14:solidFill>
              <w14:schemeClr w14:val="tx1"/>
            </w14:solidFill>
          </w14:textFill>
        </w:rPr>
        <w:t>六、</w:t>
      </w:r>
      <w:bookmarkEnd w:id="23"/>
      <w:bookmarkEnd w:id="24"/>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19000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7"/>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lang w:eastAsia="zh-CN"/>
          <w14:textFill>
            <w14:solidFill>
              <w14:schemeClr w14:val="tx1"/>
            </w14:solidFill>
          </w14:textFill>
        </w:rPr>
        <w:t>台州东茂观光农业开发有限公司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000000" w:themeColor="text1"/>
          <w:kern w:val="0"/>
          <w:sz w:val="24"/>
          <w:highlight w:val="none"/>
          <w:u w:val="single"/>
          <w:lang w:val="en-US" w:eastAsia="zh-CN"/>
          <w14:textFill>
            <w14:solidFill>
              <w14:schemeClr w14:val="tx1"/>
            </w14:solidFill>
          </w14:textFill>
        </w:rPr>
        <w:t>09</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3</w:t>
      </w:r>
      <w:bookmarkStart w:id="58" w:name="_GoBack"/>
      <w:bookmarkEnd w:id="58"/>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lang w:eastAsia="zh-CN"/>
          <w14:textFill>
            <w14:solidFill>
              <w14:schemeClr w14:val="tx1"/>
            </w14:solidFill>
          </w14:textFill>
        </w:rPr>
        <w:t>0576-88517783</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w:t>
      </w:r>
      <w:r>
        <w:rPr>
          <w:rFonts w:hint="eastAsia" w:ascii="宋体" w:hAnsi="宋体" w:cs="宋体"/>
          <w:bCs/>
          <w:color w:val="000000" w:themeColor="text1"/>
          <w:kern w:val="0"/>
          <w:sz w:val="24"/>
          <w:highlight w:val="none"/>
          <w:lang w:val="en-US" w:eastAsia="zh-CN"/>
          <w14:textFill>
            <w14:solidFill>
              <w14:schemeClr w14:val="tx1"/>
            </w14:solidFill>
          </w14:textFill>
        </w:rPr>
        <w:t>七</w:t>
      </w:r>
      <w:r>
        <w:rPr>
          <w:rFonts w:hint="eastAsia" w:ascii="宋体" w:hAnsi="宋体" w:cs="宋体"/>
          <w:bCs/>
          <w:color w:val="000000" w:themeColor="text1"/>
          <w:kern w:val="0"/>
          <w:sz w:val="24"/>
          <w:highlight w:val="none"/>
          <w:lang w:eastAsia="zh-CN"/>
          <w14:textFill>
            <w14:solidFill>
              <w14:schemeClr w14:val="tx1"/>
            </w14:solidFill>
          </w14:textFill>
        </w:rPr>
        <w:t>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5"/>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5"/>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p>
    <w:p>
      <w:pPr>
        <w:pStyle w:val="5"/>
        <w:ind w:right="0" w:firstLine="482" w:firstLineChars="200"/>
        <w:rPr>
          <w:rFonts w:cs="宋体"/>
          <w:bCs/>
          <w:color w:val="000000" w:themeColor="text1"/>
          <w:sz w:val="24"/>
          <w:szCs w:val="24"/>
          <w:highlight w:val="none"/>
          <w14:textFill>
            <w14:solidFill>
              <w14:schemeClr w14:val="tx1"/>
            </w14:solidFill>
          </w14:textFill>
        </w:rPr>
      </w:pPr>
      <w:bookmarkStart w:id="25" w:name="_Toc35393627"/>
      <w:bookmarkStart w:id="26" w:name="_Toc28359085"/>
      <w:bookmarkStart w:id="27" w:name="_Toc28359008"/>
      <w:bookmarkStart w:id="28" w:name="_Toc35393796"/>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eastAsia="zh-CN"/>
          <w14:textFill>
            <w14:solidFill>
              <w14:schemeClr w14:val="tx1"/>
            </w14:solidFill>
          </w14:textFill>
        </w:rPr>
        <w:t>招标人</w:t>
      </w:r>
      <w:r>
        <w:rPr>
          <w:rFonts w:hint="eastAsia" w:ascii="宋体" w:hAnsi="宋体" w:cs="宋体"/>
          <w:b/>
          <w:bCs/>
          <w:color w:val="000000" w:themeColor="text1"/>
          <w:sz w:val="24"/>
          <w:highlight w:val="none"/>
          <w14:textFill>
            <w14:solidFill>
              <w14:schemeClr w14:val="tx1"/>
            </w14:solidFill>
          </w14:textFill>
        </w:rPr>
        <w:t xml:space="preserve">（受理招标文件相关质疑及答复）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台州东茂观光农业开发有限公司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台州市甲南大道东段9号</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09"/>
      <w:bookmarkStart w:id="30"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王先生</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0576-88909826</w:t>
      </w:r>
      <w:r>
        <w:rPr>
          <w:rFonts w:hint="eastAsia" w:ascii="宋体" w:hAnsi="宋体" w:cs="宋体"/>
          <w:color w:val="000000" w:themeColor="text1"/>
          <w:sz w:val="24"/>
          <w:highlight w:val="none"/>
          <w:u w:val="single"/>
          <w14:textFill>
            <w14:solidFill>
              <w14:schemeClr w14:val="tx1"/>
            </w14:solidFill>
          </w14:textFill>
        </w:rPr>
        <w:t xml:space="preserve"> </w:t>
      </w:r>
    </w:p>
    <w:bookmarkEnd w:id="29"/>
    <w:bookmarkEnd w:id="30"/>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w:t>
      </w:r>
      <w:r>
        <w:rPr>
          <w:rFonts w:hint="eastAsia" w:ascii="宋体" w:hAnsi="宋体" w:cs="宋体"/>
          <w:b/>
          <w:bCs/>
          <w:color w:val="000000" w:themeColor="text1"/>
          <w:sz w:val="24"/>
          <w:highlight w:val="none"/>
          <w:lang w:val="en-US" w:eastAsia="zh-CN"/>
          <w14:textFill>
            <w14:solidFill>
              <w14:schemeClr w14:val="tx1"/>
            </w14:solidFill>
          </w14:textFill>
        </w:rPr>
        <w:t>招标代理</w:t>
      </w:r>
      <w:r>
        <w:rPr>
          <w:rFonts w:hint="eastAsia" w:ascii="宋体" w:hAnsi="宋体" w:cs="宋体"/>
          <w:b/>
          <w:bCs/>
          <w:color w:val="000000" w:themeColor="text1"/>
          <w:sz w:val="24"/>
          <w:highlight w:val="none"/>
          <w14:textFill>
            <w14:solidFill>
              <w14:schemeClr w14:val="tx1"/>
            </w14:solidFill>
          </w14:textFill>
        </w:rPr>
        <w:t>机构</w:t>
      </w:r>
    </w:p>
    <w:p>
      <w:pPr>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bookmarkStart w:id="31" w:name="_Toc28359087"/>
      <w:bookmarkStart w:id="32"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台州市建设咨询有限公司</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郑先生</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0576-88517783</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徐先生</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（三）监管机构</w:t>
      </w:r>
    </w:p>
    <w:p>
      <w:pPr>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eastAsia="zh-CN"/>
          <w14:textFill>
            <w14:solidFill>
              <w14:schemeClr w14:val="tx1"/>
            </w14:solidFill>
          </w14:textFill>
        </w:rPr>
        <w:t>台州湾新区行政审批与投资服务局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台州东茂观光农业开发有限公司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highlight w:val="none"/>
          <w14:textFill>
            <w14:solidFill>
              <w14:schemeClr w14:val="tx1"/>
            </w14:solidFill>
          </w14:textFill>
        </w:rPr>
        <w:t>月</w:t>
      </w:r>
    </w:p>
    <w:p>
      <w:pPr>
        <w:pStyle w:val="33"/>
        <w:ind w:firstLine="480"/>
        <w:rPr>
          <w:rFonts w:ascii="宋体" w:hAnsi="宋体" w:eastAsia="宋体" w:cs="宋体"/>
          <w:color w:val="000000" w:themeColor="text1"/>
          <w:kern w:val="0"/>
          <w:highlight w:val="none"/>
          <w14:textFill>
            <w14:solidFill>
              <w14:schemeClr w14:val="tx1"/>
            </w14:solidFill>
          </w14:textFill>
        </w:rPr>
      </w:pPr>
    </w:p>
    <w:p>
      <w:pPr>
        <w:pStyle w:val="33"/>
        <w:ind w:firstLine="480"/>
        <w:rPr>
          <w:rFonts w:ascii="宋体" w:hAnsi="宋体" w:eastAsia="宋体" w:cs="宋体"/>
          <w:color w:val="000000" w:themeColor="text1"/>
          <w:kern w:val="0"/>
          <w:highlight w:val="none"/>
          <w14:textFill>
            <w14:solidFill>
              <w14:schemeClr w14:val="tx1"/>
            </w14:solidFill>
          </w14:textFill>
        </w:rPr>
      </w:pPr>
    </w:p>
    <w:p>
      <w:pPr>
        <w:pStyle w:val="33"/>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1"/>
    <w:bookmarkEnd w:id="32"/>
    <w:p>
      <w:pP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和</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rPr>
              <w:t>不论投标结果如何，投标人均应自行承担所有与投标有关的全部费用。</w:t>
            </w:r>
            <w:r>
              <w:rPr>
                <w:rFonts w:hint="eastAsia" w:ascii="宋体" w:hAnsi="宋体" w:cs="宋体"/>
                <w:szCs w:val="21"/>
              </w:rPr>
              <w:t>本项目招标代理服务费</w:t>
            </w:r>
            <w:r>
              <w:rPr>
                <w:rFonts w:hint="eastAsia" w:ascii="宋体" w:hAnsi="宋体" w:cs="宋体"/>
                <w:szCs w:val="21"/>
                <w:lang w:val="en-US" w:eastAsia="zh-CN"/>
              </w:rPr>
              <w:t>12000</w:t>
            </w:r>
            <w:r>
              <w:rPr>
                <w:rFonts w:hint="eastAsia" w:ascii="宋体" w:hAnsi="宋体" w:cs="宋体"/>
                <w:szCs w:val="21"/>
              </w:rPr>
              <w:t>元，由中标单位支付，请各投标人报价时综合考虑。</w:t>
            </w:r>
          </w:p>
        </w:tc>
      </w:tr>
    </w:tbl>
    <w:p>
      <w:pPr>
        <w:pStyle w:val="14"/>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4"/>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5"/>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3"/>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6"/>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en-US" w:eastAsia="zh-CN"/>
          <w14:textFill>
            <w14:solidFill>
              <w14:schemeClr w14:val="tx1"/>
            </w14:solidFill>
          </w14:textFill>
        </w:rPr>
        <w:t>招标代理</w:t>
      </w:r>
      <w:r>
        <w:rPr>
          <w:rFonts w:hint="eastAsia"/>
          <w:bCs w:val="0"/>
          <w:color w:val="000000" w:themeColor="text1"/>
          <w:sz w:val="24"/>
          <w:szCs w:val="24"/>
          <w:highlight w:val="none"/>
          <w:lang w:val="zh-CN"/>
          <w14:textFill>
            <w14:solidFill>
              <w14:schemeClr w14:val="tx1"/>
            </w14:solidFill>
          </w14:textFill>
        </w:rPr>
        <w:t>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指招标人委托组织招标的集中采购机构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en-US" w:eastAsia="zh-CN"/>
          <w14:textFill>
            <w14:solidFill>
              <w14:schemeClr w14:val="tx1"/>
            </w14:solidFill>
          </w14:textFill>
        </w:rPr>
        <w:t>招标</w:t>
      </w:r>
      <w:r>
        <w:rPr>
          <w:rFonts w:hint="eastAsia"/>
          <w:bCs w:val="0"/>
          <w:color w:val="000000" w:themeColor="text1"/>
          <w:sz w:val="24"/>
          <w:szCs w:val="24"/>
          <w:highlight w:val="none"/>
          <w:lang w:val="zh-CN"/>
          <w14:textFill>
            <w14:solidFill>
              <w14:schemeClr w14:val="tx1"/>
            </w14:solidFill>
          </w14:textFill>
        </w:rPr>
        <w:t>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出实质性响应，经招标人按照规定在评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委员会推荐的中标候选人中确定的或受招标人委托直接确认的，与招标人签订合同资格的投标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4"/>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pPr>
        <w:pStyle w:val="39"/>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cs="宋体"/>
          <w:color w:val="000000" w:themeColor="text1"/>
          <w:sz w:val="24"/>
          <w:highlight w:val="none"/>
          <w:lang w:val="en-US" w:eastAsia="zh-CN"/>
          <w14:textFill>
            <w14:solidFill>
              <w14:schemeClr w14:val="tx1"/>
            </w14:solidFill>
          </w14:textFill>
        </w:rPr>
        <w:t>招标代理</w:t>
      </w:r>
      <w:r>
        <w:rPr>
          <w:rFonts w:hint="eastAsia" w:ascii="宋体" w:hAnsi="宋体" w:eastAsia="宋体" w:cs="宋体"/>
          <w:color w:val="000000" w:themeColor="text1"/>
          <w:sz w:val="24"/>
          <w:highlight w:val="none"/>
          <w14:textFill>
            <w14:solidFill>
              <w14:schemeClr w14:val="tx1"/>
            </w14:solidFill>
          </w14:textFill>
        </w:rPr>
        <w:t>机构对招标文件进行必要的澄清更正的，澄清或者修改的内容可能影响投标文件编制的，于投标截止时间的3日前在浙江省政府采购网上以更正公告的形式通知各潜在的投标人；不足3日的，</w:t>
      </w:r>
      <w:r>
        <w:rPr>
          <w:rFonts w:hint="eastAsia" w:ascii="宋体" w:hAnsi="宋体" w:cs="宋体"/>
          <w:color w:val="000000" w:themeColor="text1"/>
          <w:sz w:val="24"/>
          <w:highlight w:val="none"/>
          <w:lang w:eastAsia="zh-CN"/>
          <w14:textFill>
            <w14:solidFill>
              <w14:schemeClr w14:val="tx1"/>
            </w14:solidFill>
          </w14:textFill>
        </w:rPr>
        <w:t>招标代理机构</w:t>
      </w:r>
      <w:r>
        <w:rPr>
          <w:rFonts w:hint="eastAsia" w:ascii="宋体" w:hAnsi="宋体" w:eastAsia="宋体" w:cs="宋体"/>
          <w:color w:val="000000" w:themeColor="text1"/>
          <w:sz w:val="24"/>
          <w:highlight w:val="none"/>
          <w14:textFill>
            <w14:solidFill>
              <w14:schemeClr w14:val="tx1"/>
            </w14:solidFill>
          </w14:textFill>
        </w:rPr>
        <w:t>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7"/>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的要求提供：</w:t>
      </w:r>
      <w:r>
        <w:rPr>
          <w:rFonts w:hint="eastAsia" w:ascii="宋体" w:hAnsi="宋体"/>
          <w:color w:val="000000" w:themeColor="text1"/>
          <w:kern w:val="0"/>
          <w:sz w:val="24"/>
          <w:highlight w:val="none"/>
          <w:lang w:eastAsia="zh-CN"/>
          <w14:textFill>
            <w14:solidFill>
              <w14:schemeClr w14:val="tx1"/>
            </w14:solidFill>
          </w14:textFill>
        </w:rPr>
        <w:t>技术资信标</w:t>
      </w:r>
      <w:r>
        <w:rPr>
          <w:rFonts w:hint="eastAsia" w:ascii="宋体" w:hAnsi="宋体" w:eastAsia="宋体"/>
          <w:color w:val="000000" w:themeColor="text1"/>
          <w:kern w:val="0"/>
          <w:sz w:val="24"/>
          <w:highlight w:val="none"/>
          <w14:textFill>
            <w14:solidFill>
              <w14:schemeClr w14:val="tx1"/>
            </w14:solidFill>
          </w14:textFill>
        </w:rPr>
        <w:t>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技术资信标</w:t>
      </w:r>
    </w:p>
    <w:p>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（1）营业执照扫描件；</w:t>
      </w:r>
    </w:p>
    <w:p>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（2）法定代表人身份证明（格式见附件）或</w:t>
      </w:r>
      <w:r>
        <w:rPr>
          <w:rFonts w:hint="eastAsia" w:ascii="宋体" w:hAnsi="宋体"/>
          <w:b/>
          <w:color w:val="000000" w:themeColor="text1"/>
          <w:sz w:val="24"/>
          <w:highlight w:val="none"/>
          <w:lang w:eastAsia="zh-CN"/>
          <w14:textFill>
            <w14:solidFill>
              <w14:schemeClr w14:val="tx1"/>
            </w14:solidFill>
          </w14:textFill>
        </w:rPr>
        <w:t>法定代表人授权委托书</w:t>
      </w:r>
      <w:r>
        <w:rPr>
          <w:rFonts w:hint="eastAsia" w:ascii="宋体" w:hAnsi="宋体" w:eastAsia="宋体"/>
          <w:b/>
          <w:color w:val="000000" w:themeColor="text1"/>
          <w:sz w:val="24"/>
          <w:highlight w:val="none"/>
          <w14:textFill>
            <w14:solidFill>
              <w14:schemeClr w14:val="tx1"/>
            </w14:solidFill>
          </w14:textFill>
        </w:rPr>
        <w:t>（格式见附件）；</w:t>
      </w:r>
    </w:p>
    <w:p>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（3）各投标人根据自身对本项目的解读，按照本招标文件第四章“评标办法及评分标准”中技术资信标的打分内容，并结合第二章“招标需求”，由各投标人自行编制技术资信标；</w:t>
      </w:r>
    </w:p>
    <w:p>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（6）2021年1月1日以来同类项目业绩一览表（如有）(见附件)；</w:t>
      </w:r>
    </w:p>
    <w:p>
      <w:pPr>
        <w:autoSpaceDE w:val="0"/>
        <w:autoSpaceDN w:val="0"/>
        <w:adjustRightInd w:val="0"/>
        <w:spacing w:line="360" w:lineRule="auto"/>
        <w:ind w:left="426" w:firstLine="65" w:firstLineChars="27"/>
        <w:rPr>
          <w:rFonts w:hint="eastAsia" w:ascii="宋体" w:hAnsi="宋体" w:eastAsia="宋体"/>
          <w:b/>
          <w:color w:val="000000" w:themeColor="text1"/>
          <w:kern w:val="0"/>
          <w:sz w:val="24"/>
          <w:highlight w:val="none"/>
          <w:lang w:val="en-US" w:eastAsia="zh-CN"/>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（7）投标人诚信投标承诺书（格式见附件）</w:t>
      </w:r>
    </w:p>
    <w:p>
      <w:pPr>
        <w:autoSpaceDE w:val="0"/>
        <w:autoSpaceDN w:val="0"/>
        <w:adjustRightInd w:val="0"/>
        <w:spacing w:line="360" w:lineRule="auto"/>
        <w:ind w:left="426" w:firstLine="65" w:firstLineChars="27"/>
        <w:rPr>
          <w:rFonts w:hint="eastAsia" w:ascii="宋体" w:hAnsi="宋体" w:eastAsia="宋体"/>
          <w:b/>
          <w:color w:val="000000" w:themeColor="text1"/>
          <w:kern w:val="0"/>
          <w:sz w:val="24"/>
          <w:highlight w:val="none"/>
          <w:lang w:val="en-US" w:eastAsia="zh-CN"/>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（8）投标人认为可以证明自身实力的其他相关材料。</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其全费用综合单价各种机械设备人员费用、劳保用品、管理人员费用、人员意外保险、运输、进退场费（在招标文件第三章招标需求备注另有约定的按照约定执行）、设备维修费、设备运行油耗费、劳务、管理、利润、规费、税金以及其他所有可能包含的风险、责任等各项所有费用。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7"/>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7"/>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7"/>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w:t>
      </w:r>
      <w:r>
        <w:rPr>
          <w:rFonts w:hint="eastAsia" w:ascii="宋体" w:hAnsi="宋体" w:cs="宋体"/>
          <w:color w:val="000000" w:themeColor="text1"/>
          <w:sz w:val="24"/>
          <w:highlight w:val="none"/>
          <w:lang w:val="en-GB" w:eastAsia="zh-CN"/>
          <w14:textFill>
            <w14:solidFill>
              <w14:schemeClr w14:val="tx1"/>
            </w14:solidFill>
          </w14:textFill>
        </w:rPr>
        <w:t>招标人</w:t>
      </w:r>
      <w:r>
        <w:rPr>
          <w:rFonts w:hint="eastAsia" w:ascii="宋体" w:hAnsi="宋体" w:eastAsia="宋体" w:cs="宋体"/>
          <w:color w:val="000000" w:themeColor="text1"/>
          <w:sz w:val="24"/>
          <w:highlight w:val="none"/>
          <w:lang w:val="en-GB"/>
          <w14:textFill>
            <w14:solidFill>
              <w14:schemeClr w14:val="tx1"/>
            </w14:solidFill>
          </w14:textFill>
        </w:rPr>
        <w:t>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w:t>
      </w:r>
      <w:r>
        <w:rPr>
          <w:rFonts w:hint="eastAsia" w:ascii="宋体" w:hAnsi="宋体"/>
          <w:bCs/>
          <w:color w:val="000000" w:themeColor="text1"/>
          <w:kern w:val="0"/>
          <w:sz w:val="24"/>
          <w:highlight w:val="none"/>
          <w:lang w:eastAsia="zh-CN"/>
          <w14:textFill>
            <w14:solidFill>
              <w14:schemeClr w14:val="tx1"/>
            </w14:solidFill>
          </w14:textFill>
        </w:rPr>
        <w:t>法定代表人授权委托书</w:t>
      </w:r>
      <w:r>
        <w:rPr>
          <w:rFonts w:hint="eastAsia" w:ascii="宋体" w:hAnsi="宋体" w:eastAsia="宋体"/>
          <w:bCs/>
          <w:color w:val="000000" w:themeColor="text1"/>
          <w:kern w:val="0"/>
          <w:sz w:val="24"/>
          <w:highlight w:val="none"/>
          <w14:textFill>
            <w14:solidFill>
              <w14:schemeClr w14:val="tx1"/>
            </w14:solidFill>
          </w14:textFill>
        </w:rPr>
        <w:t>》应附在投标文件中。</w:t>
      </w:r>
    </w:p>
    <w:p>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延长截止时间和开标时间，</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4"/>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4"/>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http://www.tzwztb.com/live/</w:t>
      </w:r>
      <w:r>
        <w:rPr>
          <w:rStyle w:val="31"/>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4"/>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w:t>
      </w:r>
      <w:r>
        <w:rPr>
          <w:rFonts w:hint="eastAsia" w:ascii="宋体" w:hAnsi="宋体" w:cs="宋体"/>
          <w:color w:val="000000" w:themeColor="text1"/>
          <w:sz w:val="24"/>
          <w:highlight w:val="none"/>
          <w:lang w:val="en-US" w:eastAsia="zh-CN"/>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招标人</w:t>
      </w:r>
      <w:r>
        <w:rPr>
          <w:rFonts w:ascii="宋体" w:hAnsi="宋体" w:cs="宋体"/>
          <w:color w:val="000000" w:themeColor="text1"/>
          <w:sz w:val="24"/>
          <w:highlight w:val="none"/>
          <w14:textFill>
            <w14:solidFill>
              <w14:schemeClr w14:val="tx1"/>
            </w14:solidFill>
          </w14:textFill>
        </w:rPr>
        <w:t>依法对</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进行审查，评标委员会对</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评审无效投标人名称及理由，公布经</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评审符合</w:t>
      </w:r>
      <w:r>
        <w:rPr>
          <w:rFonts w:hint="eastAsia" w:ascii="宋体" w:hAnsi="宋体" w:cs="宋体"/>
          <w:color w:val="000000" w:themeColor="text1"/>
          <w:sz w:val="24"/>
          <w:highlight w:val="none"/>
          <w:lang w:val="en-US" w:eastAsia="zh-CN"/>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需求的投标人名单。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招标人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招标人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过程中出现以下情形，导致电子交易平台无法正常运行，或者无法保证电子交易的公平、公正和安全时，</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7"/>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公平、公正性的，</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可以待上述情形消除后继续组织电子交易活动。</w:t>
      </w:r>
    </w:p>
    <w:p>
      <w:pPr>
        <w:pStyle w:val="7"/>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7"/>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w:t>
      </w:r>
      <w:r>
        <w:rPr>
          <w:rFonts w:hint="eastAsia"/>
          <w:color w:val="000000" w:themeColor="text1"/>
          <w:sz w:val="24"/>
          <w:szCs w:val="22"/>
          <w:highlight w:val="none"/>
          <w:lang w:eastAsia="zh-CN"/>
          <w14:textFill>
            <w14:solidFill>
              <w14:schemeClr w14:val="tx1"/>
            </w14:solidFill>
          </w14:textFill>
        </w:rPr>
        <w:t>招标人</w:t>
      </w:r>
      <w:r>
        <w:rPr>
          <w:rFonts w:hint="eastAsia"/>
          <w:color w:val="000000" w:themeColor="text1"/>
          <w:sz w:val="24"/>
          <w:szCs w:val="22"/>
          <w:highlight w:val="none"/>
          <w14:textFill>
            <w14:solidFill>
              <w14:schemeClr w14:val="tx1"/>
            </w14:solidFill>
          </w14:textFill>
        </w:rPr>
        <w:t>、</w:t>
      </w:r>
      <w:r>
        <w:rPr>
          <w:rFonts w:hint="eastAsia"/>
          <w:color w:val="000000" w:themeColor="text1"/>
          <w:sz w:val="24"/>
          <w:szCs w:val="22"/>
          <w:highlight w:val="none"/>
          <w:lang w:eastAsia="zh-CN"/>
          <w14:textFill>
            <w14:solidFill>
              <w14:schemeClr w14:val="tx1"/>
            </w14:solidFill>
          </w14:textFill>
        </w:rPr>
        <w:t>招标代理机构</w:t>
      </w:r>
      <w:r>
        <w:rPr>
          <w:rFonts w:hint="eastAsia"/>
          <w:color w:val="000000" w:themeColor="text1"/>
          <w:sz w:val="24"/>
          <w:szCs w:val="22"/>
          <w:highlight w:val="none"/>
          <w14:textFill>
            <w14:solidFill>
              <w14:schemeClr w14:val="tx1"/>
            </w14:solidFill>
          </w14:textFill>
        </w:rPr>
        <w:t>相关工作人员有需要回避的情形的，应当场提出询问或者回避申请，开标会议结束后不再接受相关询问、质疑或者回避申请。</w:t>
      </w:r>
    </w:p>
    <w:p>
      <w:pPr>
        <w:pStyle w:val="7"/>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4"/>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4"/>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4"/>
        <w:spacing w:before="0" w:beforeAutospacing="0" w:after="0" w:afterAutospacing="0" w:line="36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招标代理机构</w:t>
      </w:r>
      <w:r>
        <w:rPr>
          <w:color w:val="000000" w:themeColor="text1"/>
          <w:highlight w:val="none"/>
          <w14:textFill>
            <w14:solidFill>
              <w14:schemeClr w14:val="tx1"/>
            </w14:solidFill>
          </w14:textFill>
        </w:rPr>
        <w:t>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4"/>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w:t>
      </w:r>
      <w:r>
        <w:rPr>
          <w:rFonts w:hint="eastAsia" w:ascii="宋体" w:hAnsi="宋体"/>
          <w:color w:val="000000" w:themeColor="text1"/>
          <w:kern w:val="0"/>
          <w:sz w:val="24"/>
          <w:highlight w:val="none"/>
          <w:lang w:eastAsia="zh-CN"/>
          <w14:textFill>
            <w14:solidFill>
              <w14:schemeClr w14:val="tx1"/>
            </w14:solidFill>
          </w14:textFill>
        </w:rPr>
        <w:t>招标人</w:t>
      </w:r>
      <w:r>
        <w:rPr>
          <w:rFonts w:hint="eastAsia" w:ascii="宋体" w:hAnsi="宋体"/>
          <w:color w:val="000000" w:themeColor="text1"/>
          <w:kern w:val="0"/>
          <w:sz w:val="24"/>
          <w:highlight w:val="none"/>
          <w14:textFill>
            <w14:solidFill>
              <w14:schemeClr w14:val="tx1"/>
            </w14:solidFill>
          </w14:textFill>
        </w:rPr>
        <w:t>应确定本项目第一中标候选人为本项目中标人。</w:t>
      </w:r>
    </w:p>
    <w:p>
      <w:pPr>
        <w:pStyle w:val="10"/>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3"/>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应当确定第一中标候选人为中标人。如涉及第二中标候选人和其他投标人资格无效的，评标结果不作调整。</w:t>
      </w:r>
    </w:p>
    <w:p>
      <w:pPr>
        <w:pStyle w:val="3"/>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3"/>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w:t>
      </w: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应当向中标人发出《中标通知书》。</w:t>
      </w:r>
    </w:p>
    <w:p>
      <w:pPr>
        <w:pStyle w:val="3"/>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w:t>
      </w: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应当自中标通知书发出之日起30日内，按照招标文件和中标人投标文件内容要求，与中标人签订合同。所签订的合同不得对招标文件确定的事项和中标人投标文件作实质性修改。</w:t>
      </w:r>
    </w:p>
    <w:p>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不得向中标人提出任何不合理的要求作为签订合同的条件。</w:t>
      </w:r>
    </w:p>
    <w:p>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签订合同的，</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可以按照评标报告推荐的中标候选人名单排序，确定下一候选人为中标人，也可以重新开展政府采购活动。同时，拒绝与</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签订合同的中标人，由同级财政部门依法作出处理。</w:t>
      </w:r>
    </w:p>
    <w:p>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应当暂停签订合同，已经签订合同的，应当中止履行合同。</w:t>
      </w:r>
    </w:p>
    <w:p>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过程和中标结果）有疑问的，可以向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提出询问，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将及时作出答复，但答复的内容不涉及商业秘密。询问可以口头方式提出，也可以书面方式提出。联系方式见第一章“</w:t>
      </w:r>
      <w:r>
        <w:rPr>
          <w:rFonts w:hint="eastAsia" w:ascii="宋体" w:hAnsi="宋体"/>
          <w:color w:val="000000" w:themeColor="text1"/>
          <w:sz w:val="24"/>
          <w:highlight w:val="none"/>
          <w:lang w:eastAsia="zh-CN"/>
          <w14:textFill>
            <w14:solidFill>
              <w14:schemeClr w14:val="tx1"/>
            </w14:solidFill>
          </w14:textFill>
        </w:rPr>
        <w:t>公开招标采购公告</w:t>
      </w:r>
      <w:r>
        <w:rPr>
          <w:rFonts w:hint="eastAsia" w:ascii="宋体" w:hAnsi="宋体"/>
          <w:color w:val="000000" w:themeColor="text1"/>
          <w:sz w:val="24"/>
          <w:highlight w:val="none"/>
          <w14:textFill>
            <w14:solidFill>
              <w14:schemeClr w14:val="tx1"/>
            </w14:solidFill>
          </w14:textFill>
        </w:rPr>
        <w:t>”中“</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的名称、地址和联系方式”。</w:t>
      </w:r>
    </w:p>
    <w:p>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过程和中标结果使自己的权益受到损害的，通过书面形式一次性向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提出质疑：</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过程提出质疑的，应当在各</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程序环节结束之日起7个工作日内提出质疑；</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在收到投标人的书面质疑后7个工作日内作出答复，并以书面形式回复质疑投标人和其他有关投标人，但答复内容不涉及商业秘密。</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的质疑答复不满意或在规定时间内未得到答复的，可以在答复期满后15个工作日内，向监督管理机构投诉。</w:t>
      </w:r>
    </w:p>
    <w:p>
      <w:pPr>
        <w:pStyle w:val="10"/>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pPr>
        <w:tabs>
          <w:tab w:val="left" w:pos="8280"/>
        </w:tabs>
        <w:autoSpaceDE w:val="0"/>
        <w:autoSpaceDN w:val="0"/>
        <w:adjustRightInd w:val="0"/>
        <w:spacing w:line="360" w:lineRule="auto"/>
        <w:ind w:right="25"/>
        <w:rPr>
          <w:sz w:val="24"/>
        </w:rPr>
      </w:pPr>
      <w:bookmarkStart w:id="35" w:name="_Toc31173_WPSOffice_Level1"/>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377"/>
        <w:gridCol w:w="738"/>
        <w:gridCol w:w="450"/>
        <w:gridCol w:w="554"/>
        <w:gridCol w:w="1200"/>
        <w:gridCol w:w="211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42"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标段号</w:t>
            </w:r>
          </w:p>
        </w:tc>
        <w:tc>
          <w:tcPr>
            <w:tcW w:w="2377" w:type="dxa"/>
            <w:noWrap w:val="0"/>
            <w:vAlign w:val="center"/>
          </w:tcPr>
          <w:p>
            <w:pPr>
              <w:tabs>
                <w:tab w:val="left" w:pos="8280"/>
              </w:tabs>
              <w:autoSpaceDE w:val="0"/>
              <w:autoSpaceDN w:val="0"/>
              <w:adjustRightInd w:val="0"/>
              <w:spacing w:line="240" w:lineRule="auto"/>
              <w:ind w:right="25"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38"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规格</w:t>
            </w:r>
          </w:p>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450"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554"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200"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预算</w:t>
            </w:r>
          </w:p>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万元</w:t>
            </w:r>
            <w:r>
              <w:rPr>
                <w:rFonts w:hint="eastAsia" w:ascii="宋体" w:hAnsi="宋体" w:eastAsia="宋体" w:cs="宋体"/>
                <w:b/>
                <w:sz w:val="24"/>
                <w:szCs w:val="24"/>
              </w:rPr>
              <w:t>）</w:t>
            </w:r>
          </w:p>
        </w:tc>
        <w:tc>
          <w:tcPr>
            <w:tcW w:w="2112"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租赁期要求</w:t>
            </w:r>
          </w:p>
        </w:tc>
        <w:tc>
          <w:tcPr>
            <w:tcW w:w="1083"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交付</w:t>
            </w:r>
          </w:p>
          <w:p>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42"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sz w:val="24"/>
                <w:szCs w:val="24"/>
              </w:rPr>
            </w:pPr>
            <w:r>
              <w:rPr>
                <w:rFonts w:hint="eastAsia" w:ascii="宋体" w:hAnsi="宋体" w:eastAsia="宋体" w:cs="宋体"/>
                <w:sz w:val="24"/>
                <w:szCs w:val="24"/>
              </w:rPr>
              <w:t>1</w:t>
            </w:r>
          </w:p>
        </w:tc>
        <w:tc>
          <w:tcPr>
            <w:tcW w:w="2377" w:type="dxa"/>
            <w:noWrap w:val="0"/>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台州东茂观光农业开发有限公司202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年零星机械租赁项目</w:t>
            </w:r>
          </w:p>
        </w:tc>
        <w:tc>
          <w:tcPr>
            <w:tcW w:w="738"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详见具体技术需求</w:t>
            </w:r>
          </w:p>
        </w:tc>
        <w:tc>
          <w:tcPr>
            <w:tcW w:w="45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54"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批</w:t>
            </w:r>
          </w:p>
        </w:tc>
        <w:tc>
          <w:tcPr>
            <w:tcW w:w="1200" w:type="dxa"/>
            <w:noWrap w:val="0"/>
            <w:vAlign w:val="center"/>
          </w:tcPr>
          <w:p>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98</w:t>
            </w:r>
          </w:p>
        </w:tc>
        <w:tc>
          <w:tcPr>
            <w:tcW w:w="2112"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签订合同后</w:t>
            </w:r>
            <w:r>
              <w:rPr>
                <w:rFonts w:hint="eastAsia" w:ascii="宋体" w:hAnsi="宋体" w:eastAsia="宋体" w:cs="宋体"/>
                <w:bCs/>
                <w:color w:val="auto"/>
                <w:sz w:val="24"/>
                <w:szCs w:val="24"/>
                <w:highlight w:val="none"/>
                <w:lang w:val="en-US" w:eastAsia="zh-CN"/>
              </w:rPr>
              <w:t>1年或累计实际结算金额达到98万元（以先到者为准）</w:t>
            </w:r>
          </w:p>
        </w:tc>
        <w:tc>
          <w:tcPr>
            <w:tcW w:w="1083"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采购人指定地点</w:t>
            </w:r>
          </w:p>
        </w:tc>
      </w:tr>
    </w:tbl>
    <w:p>
      <w:pPr>
        <w:rPr>
          <w:sz w:val="24"/>
        </w:rPr>
      </w:pPr>
    </w:p>
    <w:p>
      <w:pPr>
        <w:pStyle w:val="82"/>
        <w:numPr>
          <w:ilvl w:val="0"/>
          <w:numId w:val="9"/>
        </w:num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招标范围</w:t>
      </w:r>
    </w:p>
    <w:p>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本项目为</w:t>
      </w:r>
      <w:r>
        <w:rPr>
          <w:rFonts w:hint="eastAsia" w:ascii="宋体" w:hAnsi="宋体" w:eastAsia="宋体" w:cs="宋体"/>
          <w:sz w:val="24"/>
          <w:lang w:eastAsia="zh-CN"/>
        </w:rPr>
        <w:t>台州东茂观光农业开发有限公司202</w:t>
      </w:r>
      <w:r>
        <w:rPr>
          <w:rFonts w:hint="eastAsia" w:ascii="宋体" w:hAnsi="宋体" w:eastAsia="宋体" w:cs="宋体"/>
          <w:sz w:val="24"/>
          <w:lang w:val="en-US" w:eastAsia="zh-CN"/>
        </w:rPr>
        <w:t>4</w:t>
      </w:r>
      <w:r>
        <w:rPr>
          <w:rFonts w:hint="eastAsia" w:ascii="宋体" w:hAnsi="宋体" w:eastAsia="宋体" w:cs="宋体"/>
          <w:sz w:val="24"/>
          <w:lang w:eastAsia="zh-CN"/>
        </w:rPr>
        <w:t>年零星机械租赁项目</w:t>
      </w:r>
      <w:r>
        <w:rPr>
          <w:rFonts w:hint="eastAsia" w:ascii="宋体" w:hAnsi="宋体" w:eastAsia="宋体" w:cs="宋体"/>
          <w:sz w:val="24"/>
        </w:rPr>
        <w:t>，主要招标内容为台州东茂观光农业开发有限公司合同签订后</w:t>
      </w:r>
      <w:r>
        <w:rPr>
          <w:rFonts w:hint="eastAsia" w:ascii="宋体" w:hAnsi="宋体" w:eastAsia="宋体" w:cs="宋体"/>
          <w:sz w:val="24"/>
          <w:lang w:val="en-US" w:eastAsia="zh-CN"/>
        </w:rPr>
        <w:t>1年或累计实际结算金额达到</w:t>
      </w:r>
      <w:r>
        <w:rPr>
          <w:rFonts w:hint="eastAsia" w:ascii="宋体" w:hAnsi="宋体" w:cs="宋体"/>
          <w:sz w:val="24"/>
          <w:lang w:val="en-US" w:eastAsia="zh-CN"/>
        </w:rPr>
        <w:t>98万元</w:t>
      </w:r>
      <w:r>
        <w:rPr>
          <w:rFonts w:hint="eastAsia" w:ascii="宋体" w:hAnsi="宋体" w:eastAsia="宋体" w:cs="宋体"/>
          <w:sz w:val="24"/>
          <w:lang w:val="en-US" w:eastAsia="zh-CN"/>
        </w:rPr>
        <w:t>（以先到者为</w:t>
      </w:r>
      <w:r>
        <w:rPr>
          <w:rFonts w:hint="eastAsia" w:ascii="宋体" w:hAnsi="宋体" w:eastAsia="宋体" w:cs="宋体"/>
          <w:color w:val="auto"/>
          <w:sz w:val="24"/>
          <w:lang w:val="en-US" w:eastAsia="zh-CN"/>
        </w:rPr>
        <w:t>准）</w:t>
      </w:r>
      <w:r>
        <w:rPr>
          <w:rFonts w:hint="eastAsia" w:ascii="宋体" w:hAnsi="宋体" w:eastAsia="宋体" w:cs="宋体"/>
          <w:color w:val="auto"/>
          <w:sz w:val="24"/>
          <w:lang w:eastAsia="zh-CN"/>
        </w:rPr>
        <w:t>的零星机械租赁项目</w:t>
      </w:r>
      <w:r>
        <w:rPr>
          <w:rFonts w:hint="eastAsia" w:ascii="宋体" w:hAnsi="宋体" w:eastAsia="宋体" w:cs="宋体"/>
          <w:color w:val="auto"/>
          <w:sz w:val="24"/>
        </w:rPr>
        <w:t>（</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认为需要单独招标的项目除外，本项目中标后，具体机械租赁工作根据</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需要指定开展）。</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本次招标按机械设备种类的不同分为以下几种，分别为挖机、水陆两用挖掘机、吊车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随车吊</w:t>
      </w:r>
      <w:r>
        <w:rPr>
          <w:rFonts w:hint="eastAsia" w:ascii="宋体" w:hAnsi="宋体" w:eastAsia="宋体" w:cs="宋体"/>
          <w:color w:val="auto"/>
          <w:sz w:val="24"/>
        </w:rPr>
        <w:t>、</w:t>
      </w:r>
      <w:r>
        <w:rPr>
          <w:rFonts w:hint="eastAsia" w:ascii="宋体" w:hAnsi="宋体" w:eastAsia="宋体" w:cs="宋体"/>
          <w:color w:val="auto"/>
          <w:sz w:val="24"/>
          <w:lang w:eastAsia="zh-CN"/>
        </w:rPr>
        <w:t>汽车、拖车</w:t>
      </w:r>
      <w:r>
        <w:rPr>
          <w:rFonts w:hint="eastAsia" w:ascii="宋体" w:hAnsi="宋体" w:eastAsia="宋体" w:cs="宋体"/>
          <w:color w:val="auto"/>
          <w:sz w:val="24"/>
        </w:rPr>
        <w:t>、铲车、</w:t>
      </w:r>
      <w:r>
        <w:rPr>
          <w:rFonts w:hint="eastAsia" w:ascii="宋体" w:hAnsi="宋体" w:eastAsia="宋体" w:cs="宋体"/>
          <w:color w:val="auto"/>
          <w:sz w:val="24"/>
          <w:lang w:val="en-US" w:eastAsia="zh-CN"/>
        </w:rPr>
        <w:t>叉车、推土机、</w:t>
      </w:r>
      <w:r>
        <w:rPr>
          <w:rFonts w:hint="eastAsia" w:ascii="宋体" w:hAnsi="宋体" w:eastAsia="宋体" w:cs="宋体"/>
          <w:color w:val="auto"/>
          <w:sz w:val="24"/>
        </w:rPr>
        <w:t>翻耕机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收割机等</w:t>
      </w:r>
      <w:r>
        <w:rPr>
          <w:rFonts w:hint="eastAsia" w:ascii="宋体" w:hAnsi="宋体" w:eastAsia="宋体" w:cs="宋体"/>
          <w:color w:val="auto"/>
          <w:sz w:val="24"/>
        </w:rPr>
        <w:t>租赁业务，具体内容详见</w:t>
      </w:r>
      <w:r>
        <w:rPr>
          <w:rFonts w:hint="eastAsia" w:ascii="宋体" w:hAnsi="宋体" w:eastAsia="宋体" w:cs="宋体"/>
          <w:color w:val="auto"/>
          <w:sz w:val="24"/>
          <w:lang w:val="en-US" w:eastAsia="zh-CN"/>
        </w:rPr>
        <w:t>本章主要设备清单及型号要求。</w:t>
      </w:r>
    </w:p>
    <w:p>
      <w:pPr>
        <w:pStyle w:val="82"/>
        <w:numPr>
          <w:ilvl w:val="0"/>
          <w:numId w:val="9"/>
        </w:numPr>
        <w:spacing w:line="360" w:lineRule="auto"/>
        <w:rPr>
          <w:rFonts w:hint="eastAsia" w:ascii="宋体" w:hAnsi="宋体" w:eastAsia="宋体" w:cs="宋体"/>
          <w:sz w:val="24"/>
          <w:lang w:eastAsia="zh-CN"/>
        </w:rPr>
      </w:pPr>
      <w:r>
        <w:rPr>
          <w:rFonts w:hint="eastAsia" w:ascii="宋体" w:hAnsi="宋体" w:eastAsia="宋体" w:cs="宋体"/>
          <w:b/>
          <w:bCs/>
          <w:kern w:val="2"/>
          <w:sz w:val="24"/>
          <w:szCs w:val="24"/>
          <w:lang w:val="en-US" w:eastAsia="zh-CN" w:bidi="ar-SA"/>
        </w:rPr>
        <w:t>服务要求</w:t>
      </w:r>
      <w:bookmarkStart w:id="36" w:name="_Toc525049753"/>
    </w:p>
    <w:p>
      <w:pPr>
        <w:pStyle w:val="82"/>
        <w:numPr>
          <w:ilvl w:val="0"/>
          <w:numId w:val="0"/>
        </w:numPr>
        <w:spacing w:line="360" w:lineRule="auto"/>
        <w:ind w:firstLine="420" w:firstLineChars="200"/>
        <w:jc w:val="left"/>
        <w:rPr>
          <w:rFonts w:hint="eastAsia" w:ascii="宋体" w:hAnsi="宋体" w:eastAsia="宋体" w:cs="宋体"/>
          <w:sz w:val="24"/>
          <w:lang w:eastAsia="zh-CN"/>
        </w:rPr>
      </w:pPr>
      <w:r>
        <w:rPr>
          <w:rFonts w:hint="eastAsia" w:ascii="宋体" w:hAnsi="宋体" w:eastAsia="宋体" w:cs="仿宋"/>
          <w:color w:val="000000"/>
          <w:sz w:val="21"/>
          <w:szCs w:val="21"/>
        </w:rPr>
        <w:t xml:space="preserve"> </w:t>
      </w:r>
      <w:r>
        <w:rPr>
          <w:rFonts w:hint="eastAsia" w:ascii="宋体" w:hAnsi="宋体" w:eastAsia="宋体" w:cs="宋体"/>
          <w:sz w:val="24"/>
          <w:lang w:eastAsia="zh-CN"/>
        </w:rPr>
        <w:t>1、</w:t>
      </w:r>
      <w:r>
        <w:rPr>
          <w:rFonts w:hint="eastAsia" w:ascii="宋体" w:hAnsi="宋体" w:eastAsia="宋体" w:cs="宋体"/>
          <w:sz w:val="24"/>
          <w:lang w:val="en-US" w:eastAsia="zh-CN"/>
        </w:rPr>
        <w:t>中标人应</w:t>
      </w:r>
      <w:r>
        <w:rPr>
          <w:rFonts w:hint="eastAsia" w:ascii="宋体" w:hAnsi="宋体" w:eastAsia="宋体" w:cs="宋体"/>
          <w:sz w:val="24"/>
          <w:lang w:eastAsia="zh-CN"/>
        </w:rPr>
        <w:t>遵守国家政策和法律法规；遵守招标人的相关规章制度，做好安全、文明施工、环境和职业健康安全、劳动保护等工作。</w:t>
      </w:r>
    </w:p>
    <w:p>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2、</w:t>
      </w:r>
      <w:r>
        <w:rPr>
          <w:rFonts w:hint="eastAsia" w:ascii="宋体" w:hAnsi="宋体" w:eastAsia="宋体" w:cs="宋体"/>
          <w:sz w:val="24"/>
          <w:lang w:val="en-US" w:eastAsia="zh-CN"/>
        </w:rPr>
        <w:t>中标人应</w:t>
      </w:r>
      <w:r>
        <w:rPr>
          <w:rFonts w:hint="eastAsia" w:ascii="宋体" w:hAnsi="宋体" w:eastAsia="宋体" w:cs="宋体"/>
          <w:sz w:val="24"/>
          <w:lang w:eastAsia="zh-CN"/>
        </w:rPr>
        <w:t>严格按照施工验收规范、有关技术要求及组织施工，确保工程质量达到约定的标准，对本合同承包范围内的工程质量向招标人负责；根据招标人的计划要求（包括调整后的计划），合理组织，科学安排作业计划，投入足够的机械设备。</w:t>
      </w:r>
    </w:p>
    <w:p>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3、</w:t>
      </w:r>
      <w:r>
        <w:rPr>
          <w:rFonts w:hint="eastAsia" w:ascii="宋体" w:hAnsi="宋体" w:eastAsia="宋体" w:cs="宋体"/>
          <w:sz w:val="24"/>
          <w:lang w:val="en-US" w:eastAsia="zh-CN"/>
        </w:rPr>
        <w:t>中标人</w:t>
      </w:r>
      <w:r>
        <w:rPr>
          <w:rFonts w:hint="eastAsia" w:ascii="宋体" w:hAnsi="宋体" w:eastAsia="宋体" w:cs="宋体"/>
          <w:sz w:val="24"/>
          <w:lang w:eastAsia="zh-CN"/>
        </w:rPr>
        <w:t>应按招标文件要求和承诺的操作人员机械设备保质保量到位。机械设备车辆必须符合国家有关法律法规要求，并经检测合格，操作机械设备车辆的相关人员必须按国家规定持证上岗，特殊工种必须有特种作业操作证，持证率达到100%。</w:t>
      </w:r>
    </w:p>
    <w:p>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4、</w:t>
      </w:r>
      <w:r>
        <w:rPr>
          <w:rFonts w:hint="eastAsia" w:ascii="宋体" w:hAnsi="宋体" w:eastAsia="宋体" w:cs="宋体"/>
          <w:sz w:val="24"/>
          <w:lang w:val="en-US" w:eastAsia="zh-CN"/>
        </w:rPr>
        <w:t>中标人应</w:t>
      </w:r>
      <w:r>
        <w:rPr>
          <w:rFonts w:hint="eastAsia" w:ascii="宋体" w:hAnsi="宋体" w:eastAsia="宋体" w:cs="宋体"/>
          <w:sz w:val="24"/>
          <w:lang w:eastAsia="zh-CN"/>
        </w:rPr>
        <w:t>服从招标人的监督、检查、管理；接受招标人有关人员对质量、进度、技术、文明施工、环境保护等方面的管理：接受招标人随时检查其设备使用情况及其操作人员有效证件、持证上岗情况；</w:t>
      </w:r>
    </w:p>
    <w:p>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5、进场施工人员要求具备思想素质好、身体健康、技术熟练等条件；禁止使用不法人员，</w:t>
      </w:r>
      <w:r>
        <w:rPr>
          <w:rFonts w:hint="eastAsia" w:ascii="宋体" w:hAnsi="宋体" w:eastAsia="宋体" w:cs="宋体"/>
          <w:sz w:val="24"/>
          <w:lang w:val="en-US" w:eastAsia="zh-CN"/>
        </w:rPr>
        <w:t>中标人</w:t>
      </w:r>
      <w:r>
        <w:rPr>
          <w:rFonts w:hint="eastAsia" w:ascii="宋体" w:hAnsi="宋体" w:eastAsia="宋体" w:cs="宋体"/>
          <w:sz w:val="24"/>
          <w:lang w:eastAsia="zh-CN"/>
        </w:rPr>
        <w:t>应承担因使用以上不合格人员而引起的责任和后果。</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lang w:eastAsia="zh-CN"/>
        </w:rPr>
        <w:t>6．</w:t>
      </w:r>
      <w:r>
        <w:rPr>
          <w:rFonts w:hint="eastAsia" w:ascii="宋体" w:hAnsi="宋体" w:eastAsia="宋体" w:cs="宋体"/>
          <w:sz w:val="24"/>
          <w:lang w:val="en-US" w:eastAsia="zh-CN"/>
        </w:rPr>
        <w:t>中标人</w:t>
      </w:r>
      <w:r>
        <w:rPr>
          <w:rFonts w:hint="eastAsia" w:ascii="宋体" w:hAnsi="宋体" w:eastAsia="宋体" w:cs="宋体"/>
          <w:sz w:val="24"/>
          <w:lang w:eastAsia="zh-CN"/>
        </w:rPr>
        <w:t>密切配</w:t>
      </w:r>
      <w:r>
        <w:rPr>
          <w:rFonts w:hint="eastAsia" w:ascii="宋体" w:hAnsi="宋体" w:eastAsia="宋体" w:cs="宋体"/>
          <w:color w:val="auto"/>
          <w:sz w:val="24"/>
          <w:highlight w:val="none"/>
          <w:lang w:eastAsia="zh-CN"/>
        </w:rPr>
        <w:t>合招标人的施工生产，满足招标人施工要求。服从招标人施工人员的施工安排，但有权拒绝招标人的违章指挥。</w:t>
      </w:r>
    </w:p>
    <w:p>
      <w:pPr>
        <w:autoSpaceDE w:val="0"/>
        <w:autoSpaceDN w:val="0"/>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7、</w:t>
      </w:r>
      <w:r>
        <w:rPr>
          <w:rFonts w:hint="eastAsia" w:ascii="宋体" w:hAnsi="宋体" w:eastAsia="宋体" w:cs="宋体"/>
          <w:color w:val="auto"/>
          <w:sz w:val="24"/>
          <w:highlight w:val="none"/>
          <w:lang w:val="en-US" w:eastAsia="zh-CN"/>
        </w:rPr>
        <w:t>中标人应</w:t>
      </w:r>
      <w:r>
        <w:rPr>
          <w:rFonts w:hint="eastAsia" w:ascii="宋体" w:hAnsi="宋体" w:eastAsia="宋体" w:cs="宋体"/>
          <w:color w:val="auto"/>
          <w:sz w:val="24"/>
          <w:highlight w:val="none"/>
          <w:lang w:eastAsia="zh-CN"/>
        </w:rPr>
        <w:t>负责配备设备操作维护人员，负责设备的日常操作，日常的油料供应，机械维护保养和故障的处理，确保机械技术状态完好。</w:t>
      </w:r>
      <w:r>
        <w:rPr>
          <w:rFonts w:hint="eastAsia" w:ascii="宋体" w:hAnsi="宋体" w:eastAsia="宋体" w:cs="宋体"/>
          <w:color w:val="auto"/>
          <w:sz w:val="24"/>
          <w:highlight w:val="none"/>
          <w:lang w:val="en-US" w:eastAsia="zh-CN"/>
        </w:rPr>
        <w:t>中标人还应配备相应的指挥人员及安全管理人员。</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lang w:val="en-US" w:eastAsia="zh-CN"/>
        </w:rPr>
        <w:t>中标人应</w:t>
      </w:r>
      <w:r>
        <w:rPr>
          <w:rFonts w:hint="eastAsia" w:ascii="宋体" w:hAnsi="宋体" w:eastAsia="宋体" w:cs="宋体"/>
          <w:color w:val="auto"/>
          <w:sz w:val="24"/>
          <w:highlight w:val="none"/>
          <w:lang w:eastAsia="zh-CN"/>
        </w:rPr>
        <w:t>负责机械设备操作人员的工资及设备维修配件。</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负责工作期间租赁机械和操作司机的安全，严禁违章施工。</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lang w:eastAsia="zh-CN"/>
        </w:rPr>
        <w:t>施工</w:t>
      </w:r>
      <w:r>
        <w:rPr>
          <w:rFonts w:hint="eastAsia" w:ascii="宋体" w:hAnsi="宋体" w:eastAsia="宋体" w:cs="宋体"/>
          <w:color w:val="auto"/>
          <w:sz w:val="24"/>
          <w:highlight w:val="none"/>
          <w:lang w:val="en-US" w:eastAsia="zh-CN"/>
        </w:rPr>
        <w:t>中因中标人原因</w:t>
      </w:r>
      <w:r>
        <w:rPr>
          <w:rFonts w:hint="eastAsia" w:ascii="宋体" w:hAnsi="宋体" w:eastAsia="宋体" w:cs="宋体"/>
          <w:color w:val="auto"/>
          <w:sz w:val="24"/>
          <w:highlight w:val="none"/>
          <w:lang w:eastAsia="zh-CN"/>
        </w:rPr>
        <w:t>造成的损失，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承担一切责任，招标人不承担任何责任及费用。</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的操作人员应严格按照操作规程操作租赁机械，若使用过程中出现安全责任事故由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自行负责，招标人不承担任何责任及费用。</w:t>
      </w:r>
    </w:p>
    <w:p>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bidi="ar"/>
        </w:rPr>
        <w:t>四</w:t>
      </w:r>
      <w:r>
        <w:rPr>
          <w:rFonts w:hint="eastAsia" w:ascii="宋体" w:hAnsi="宋体" w:cs="宋体"/>
          <w:b/>
          <w:color w:val="auto"/>
          <w:kern w:val="0"/>
          <w:sz w:val="24"/>
          <w:highlight w:val="none"/>
          <w:lang w:bidi="ar"/>
        </w:rPr>
        <w:t>、付款方式</w:t>
      </w:r>
      <w:bookmarkEnd w:id="36"/>
    </w:p>
    <w:p>
      <w:pPr>
        <w:autoSpaceDE w:val="0"/>
        <w:autoSpaceDN w:val="0"/>
        <w:adjustRightInd w:val="0"/>
        <w:spacing w:line="360" w:lineRule="auto"/>
        <w:ind w:firstLine="480"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color w:val="auto"/>
          <w:sz w:val="24"/>
          <w:highlight w:val="none"/>
          <w:lang w:eastAsia="zh-CN"/>
        </w:rPr>
        <w:t>租赁费按每月实际完成台班量支付，</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每月应根据实际完成并经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eastAsia="zh-CN"/>
        </w:rPr>
        <w:t>签字确认的台班量于次月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日结算上期租赁费的100%（遇节假日或双休日顺延）。若遇春节，可根据具体情况作微调，以保证在春节前结算一次。春节后，调整为次月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日结算。</w:t>
      </w:r>
    </w:p>
    <w:tbl>
      <w:tblPr>
        <w:tblStyle w:val="28"/>
        <w:tblpPr w:leftFromText="180" w:rightFromText="180" w:vertAnchor="text" w:horzAnchor="page" w:tblpX="1584"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220"/>
        <w:gridCol w:w="2066"/>
        <w:gridCol w:w="1602"/>
        <w:gridCol w:w="18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92"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序号</w:t>
            </w:r>
          </w:p>
        </w:tc>
        <w:tc>
          <w:tcPr>
            <w:tcW w:w="1220"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设备名称</w:t>
            </w:r>
          </w:p>
        </w:tc>
        <w:tc>
          <w:tcPr>
            <w:tcW w:w="2066"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品牌/类型</w:t>
            </w:r>
          </w:p>
        </w:tc>
        <w:tc>
          <w:tcPr>
            <w:tcW w:w="1602"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型号/规格</w:t>
            </w:r>
          </w:p>
        </w:tc>
        <w:tc>
          <w:tcPr>
            <w:tcW w:w="1850"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单价</w:t>
            </w:r>
          </w:p>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（元/台班）</w:t>
            </w:r>
          </w:p>
        </w:tc>
        <w:tc>
          <w:tcPr>
            <w:tcW w:w="1717" w:type="dxa"/>
            <w:noWrap w:val="0"/>
            <w:vAlign w:val="top"/>
          </w:tcPr>
          <w:p>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Arial"/>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一</w:t>
            </w:r>
          </w:p>
        </w:tc>
        <w:tc>
          <w:tcPr>
            <w:tcW w:w="1220"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挖机</w:t>
            </w:r>
          </w:p>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(履带式)</w:t>
            </w:r>
          </w:p>
        </w:tc>
        <w:tc>
          <w:tcPr>
            <w:tcW w:w="2066"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神</w:t>
            </w:r>
            <w:r>
              <w:rPr>
                <w:rFonts w:hint="eastAsia" w:ascii="宋体" w:hAnsi="宋体" w:eastAsia="宋体" w:cs="Arial"/>
                <w:color w:val="auto"/>
                <w:sz w:val="21"/>
                <w:szCs w:val="21"/>
                <w:highlight w:val="none"/>
              </w:rPr>
              <w:t>钢、小松、住友、日立、新源、三一</w:t>
            </w:r>
            <w:r>
              <w:rPr>
                <w:rFonts w:hint="eastAsia" w:ascii="宋体" w:hAnsi="宋体" w:eastAsia="宋体"/>
                <w:color w:val="auto"/>
                <w:sz w:val="21"/>
                <w:szCs w:val="21"/>
                <w:highlight w:val="none"/>
                <w:lang w:val="en-US" w:eastAsia="zh-CN"/>
              </w:rPr>
              <w:t>或相当于</w:t>
            </w: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60</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1180</w:t>
            </w:r>
          </w:p>
        </w:tc>
        <w:tc>
          <w:tcPr>
            <w:tcW w:w="1717"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eastAsia="zh-CN"/>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120</w:t>
            </w:r>
          </w:p>
        </w:tc>
        <w:tc>
          <w:tcPr>
            <w:tcW w:w="1850"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17" w:type="dxa"/>
            <w:vMerge w:val="continue"/>
            <w:noWrap w:val="0"/>
            <w:vAlign w:val="center"/>
          </w:tcPr>
          <w:p>
            <w:pPr>
              <w:spacing w:line="300" w:lineRule="exact"/>
              <w:jc w:val="center"/>
              <w:rPr>
                <w:rFonts w:hint="eastAsia" w:ascii="宋体" w:hAnsi="宋体"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200</w:t>
            </w:r>
          </w:p>
        </w:tc>
        <w:tc>
          <w:tcPr>
            <w:tcW w:w="1850"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2000</w:t>
            </w:r>
          </w:p>
        </w:tc>
        <w:tc>
          <w:tcPr>
            <w:tcW w:w="1717" w:type="dxa"/>
            <w:vMerge w:val="continue"/>
            <w:noWrap w:val="0"/>
            <w:vAlign w:val="center"/>
          </w:tcPr>
          <w:p>
            <w:pPr>
              <w:spacing w:line="300" w:lineRule="exact"/>
              <w:jc w:val="center"/>
              <w:rPr>
                <w:rFonts w:hint="eastAsia" w:ascii="宋体" w:hAnsi="宋体"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220</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2050</w:t>
            </w:r>
          </w:p>
        </w:tc>
        <w:tc>
          <w:tcPr>
            <w:tcW w:w="1717" w:type="dxa"/>
            <w:vMerge w:val="continue"/>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300</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3220</w:t>
            </w:r>
          </w:p>
        </w:tc>
        <w:tc>
          <w:tcPr>
            <w:tcW w:w="1717" w:type="dxa"/>
            <w:vMerge w:val="continue"/>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3600</w:t>
            </w:r>
          </w:p>
        </w:tc>
        <w:tc>
          <w:tcPr>
            <w:tcW w:w="1717" w:type="dxa"/>
            <w:vMerge w:val="continue"/>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220" w:type="dxa"/>
            <w:noWrap w:val="0"/>
            <w:vAlign w:val="center"/>
          </w:tcPr>
          <w:p>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Times New Roman"/>
                <w:color w:val="auto"/>
                <w:sz w:val="21"/>
                <w:szCs w:val="21"/>
                <w:highlight w:val="none"/>
                <w:lang w:val="en-US" w:eastAsia="zh-CN"/>
              </w:rPr>
              <w:t>轮胎式液压单斗挖掘机</w:t>
            </w:r>
          </w:p>
        </w:tc>
        <w:tc>
          <w:tcPr>
            <w:tcW w:w="2066"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60型</w:t>
            </w:r>
          </w:p>
        </w:tc>
        <w:tc>
          <w:tcPr>
            <w:tcW w:w="1850"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1200</w:t>
            </w:r>
          </w:p>
        </w:tc>
        <w:tc>
          <w:tcPr>
            <w:tcW w:w="1717" w:type="dxa"/>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olor w:val="auto"/>
                <w:sz w:val="22"/>
                <w:highlight w:val="none"/>
                <w:lang w:eastAsia="zh-CN"/>
              </w:rPr>
            </w:pPr>
            <w:r>
              <w:rPr>
                <w:rFonts w:hint="eastAsia" w:ascii="宋体" w:hAnsi="宋体" w:eastAsia="宋体"/>
                <w:color w:val="auto"/>
                <w:sz w:val="22"/>
                <w:highlight w:val="none"/>
                <w:lang w:eastAsia="zh-CN"/>
              </w:rPr>
              <w:t>二</w:t>
            </w:r>
          </w:p>
        </w:tc>
        <w:tc>
          <w:tcPr>
            <w:tcW w:w="1220"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水陆两用挖掘机</w:t>
            </w:r>
          </w:p>
        </w:tc>
        <w:tc>
          <w:tcPr>
            <w:tcW w:w="2066" w:type="dxa"/>
            <w:vMerge w:val="restart"/>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小松、日立、加藤、神钢、卡特、大宇、现代</w:t>
            </w:r>
            <w:r>
              <w:rPr>
                <w:rFonts w:hint="eastAsia" w:ascii="宋体" w:hAnsi="宋体" w:eastAsia="宋体"/>
                <w:color w:val="auto"/>
                <w:sz w:val="21"/>
                <w:szCs w:val="21"/>
                <w:highlight w:val="none"/>
                <w:lang w:val="en-US" w:eastAsia="zh-CN"/>
              </w:rPr>
              <w:t>或相当于</w:t>
            </w:r>
          </w:p>
        </w:tc>
        <w:tc>
          <w:tcPr>
            <w:tcW w:w="1602"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220-260</w:t>
            </w:r>
          </w:p>
        </w:tc>
        <w:tc>
          <w:tcPr>
            <w:tcW w:w="1850"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3600</w:t>
            </w:r>
          </w:p>
        </w:tc>
        <w:tc>
          <w:tcPr>
            <w:tcW w:w="1717" w:type="dxa"/>
            <w:noWrap w:val="0"/>
            <w:vAlign w:val="center"/>
          </w:tcPr>
          <w:p>
            <w:pPr>
              <w:spacing w:line="300" w:lineRule="exact"/>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具体型号根据</w:t>
            </w:r>
            <w:r>
              <w:rPr>
                <w:rFonts w:hint="eastAsia" w:ascii="宋体" w:hAnsi="宋体"/>
                <w:color w:val="auto"/>
                <w:sz w:val="21"/>
                <w:szCs w:val="21"/>
                <w:highlight w:val="none"/>
                <w:lang w:eastAsia="zh-CN"/>
              </w:rPr>
              <w:t>招标人</w:t>
            </w:r>
            <w:r>
              <w:rPr>
                <w:rFonts w:hint="eastAsia" w:ascii="宋体" w:hAnsi="宋体" w:eastAsia="宋体"/>
                <w:color w:val="auto"/>
                <w:sz w:val="21"/>
                <w:szCs w:val="21"/>
                <w:highlight w:val="none"/>
                <w:lang w:eastAsia="zh-CN"/>
              </w:rPr>
              <w:t>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三</w:t>
            </w:r>
          </w:p>
        </w:tc>
        <w:tc>
          <w:tcPr>
            <w:tcW w:w="1220" w:type="dxa"/>
            <w:vMerge w:val="restart"/>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吊车</w:t>
            </w:r>
          </w:p>
        </w:tc>
        <w:tc>
          <w:tcPr>
            <w:tcW w:w="2066" w:type="dxa"/>
            <w:vMerge w:val="restart"/>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浦沅、徐工、三一、马尼托瓦克、中联重科、长江或相当于</w:t>
            </w:r>
          </w:p>
        </w:tc>
        <w:tc>
          <w:tcPr>
            <w:tcW w:w="1602" w:type="dxa"/>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8吨</w:t>
            </w:r>
          </w:p>
        </w:tc>
        <w:tc>
          <w:tcPr>
            <w:tcW w:w="1850" w:type="dxa"/>
            <w:noWrap w:val="0"/>
            <w:vAlign w:val="center"/>
          </w:tcPr>
          <w:p>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1100</w:t>
            </w:r>
          </w:p>
        </w:tc>
        <w:tc>
          <w:tcPr>
            <w:tcW w:w="1717" w:type="dxa"/>
            <w:noWrap w:val="0"/>
            <w:vAlign w:val="top"/>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小时按400元/次计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Times New Roman"/>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Times New Roman"/>
                <w:color w:val="auto"/>
                <w:sz w:val="21"/>
                <w:szCs w:val="21"/>
                <w:highlight w:val="none"/>
              </w:rPr>
            </w:pPr>
          </w:p>
        </w:tc>
        <w:tc>
          <w:tcPr>
            <w:tcW w:w="1602" w:type="dxa"/>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16吨</w:t>
            </w:r>
          </w:p>
        </w:tc>
        <w:tc>
          <w:tcPr>
            <w:tcW w:w="1850" w:type="dxa"/>
            <w:noWrap w:val="0"/>
            <w:vAlign w:val="center"/>
          </w:tcPr>
          <w:p>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1500</w:t>
            </w:r>
          </w:p>
        </w:tc>
        <w:tc>
          <w:tcPr>
            <w:tcW w:w="1717" w:type="dxa"/>
            <w:noWrap w:val="0"/>
            <w:vAlign w:val="top"/>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Times New Roman"/>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s="Times New Roman"/>
                <w:color w:val="auto"/>
                <w:sz w:val="21"/>
                <w:szCs w:val="21"/>
                <w:highlight w:val="none"/>
              </w:rPr>
            </w:pPr>
          </w:p>
        </w:tc>
        <w:tc>
          <w:tcPr>
            <w:tcW w:w="1602" w:type="dxa"/>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25吨</w:t>
            </w:r>
          </w:p>
        </w:tc>
        <w:tc>
          <w:tcPr>
            <w:tcW w:w="1850" w:type="dxa"/>
            <w:noWrap w:val="0"/>
            <w:vAlign w:val="center"/>
          </w:tcPr>
          <w:p>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w:t>
            </w:r>
          </w:p>
        </w:tc>
        <w:tc>
          <w:tcPr>
            <w:tcW w:w="1717" w:type="dxa"/>
            <w:noWrap w:val="0"/>
            <w:vAlign w:val="top"/>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四</w:t>
            </w:r>
          </w:p>
        </w:tc>
        <w:tc>
          <w:tcPr>
            <w:tcW w:w="1220" w:type="dxa"/>
            <w:vMerge w:val="restart"/>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汽车类</w:t>
            </w:r>
          </w:p>
        </w:tc>
        <w:tc>
          <w:tcPr>
            <w:tcW w:w="2066" w:type="dxa"/>
            <w:vMerge w:val="restart"/>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彪马、东风、解放、江淮、欧曼</w:t>
            </w:r>
            <w:r>
              <w:rPr>
                <w:rFonts w:hint="eastAsia" w:ascii="宋体" w:hAnsi="宋体" w:eastAsia="宋体" w:cs="Times New Roman"/>
                <w:color w:val="auto"/>
                <w:sz w:val="21"/>
                <w:szCs w:val="21"/>
                <w:highlight w:val="none"/>
                <w:lang w:val="en-US" w:eastAsia="zh-CN"/>
              </w:rPr>
              <w:t>或相当于</w:t>
            </w:r>
          </w:p>
        </w:tc>
        <w:tc>
          <w:tcPr>
            <w:tcW w:w="1602" w:type="dxa"/>
            <w:noWrap w:val="0"/>
            <w:vAlign w:val="center"/>
          </w:tcPr>
          <w:p>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1.5吨-</w:t>
            </w:r>
            <w:r>
              <w:rPr>
                <w:rFonts w:hint="eastAsia" w:ascii="宋体" w:hAnsi="宋体" w:eastAsia="宋体" w:cs="Times New Roman"/>
                <w:color w:val="auto"/>
                <w:sz w:val="21"/>
                <w:szCs w:val="21"/>
                <w:highlight w:val="none"/>
              </w:rPr>
              <w:t>2吨</w:t>
            </w:r>
          </w:p>
        </w:tc>
        <w:tc>
          <w:tcPr>
            <w:tcW w:w="1850" w:type="dxa"/>
            <w:noWrap w:val="0"/>
            <w:vAlign w:val="center"/>
          </w:tcPr>
          <w:p>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550</w:t>
            </w:r>
          </w:p>
        </w:tc>
        <w:tc>
          <w:tcPr>
            <w:tcW w:w="1717" w:type="dxa"/>
            <w:noWrap w:val="0"/>
            <w:vAlign w:val="center"/>
          </w:tcPr>
          <w:p>
            <w:pPr>
              <w:spacing w:line="300" w:lineRule="exact"/>
              <w:jc w:val="center"/>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10吨</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900</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轻型卡车</w:t>
            </w: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2吨</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550</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noWrap w:val="0"/>
            <w:vAlign w:val="center"/>
          </w:tcPr>
          <w:p>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五</w:t>
            </w:r>
          </w:p>
        </w:tc>
        <w:tc>
          <w:tcPr>
            <w:tcW w:w="1220" w:type="dxa"/>
            <w:noWrap w:val="0"/>
            <w:vAlign w:val="center"/>
          </w:tcPr>
          <w:p>
            <w:pPr>
              <w:spacing w:line="300" w:lineRule="exact"/>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拖车类</w:t>
            </w:r>
          </w:p>
        </w:tc>
        <w:tc>
          <w:tcPr>
            <w:tcW w:w="2066"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602"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40吨平板拖车</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2800</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不足3小时按400元/次计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六</w:t>
            </w:r>
          </w:p>
        </w:tc>
        <w:tc>
          <w:tcPr>
            <w:tcW w:w="1220"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铲车（轮式装载机）</w:t>
            </w:r>
          </w:p>
        </w:tc>
        <w:tc>
          <w:tcPr>
            <w:tcW w:w="2066" w:type="dxa"/>
            <w:vMerge w:val="restart"/>
            <w:noWrap w:val="0"/>
            <w:vAlign w:val="center"/>
          </w:tcPr>
          <w:p>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柳工、龙工、厦工、徐工、临工</w:t>
            </w:r>
            <w:r>
              <w:rPr>
                <w:rFonts w:hint="eastAsia" w:ascii="宋体" w:hAnsi="宋体" w:eastAsia="宋体"/>
                <w:color w:val="auto"/>
                <w:sz w:val="21"/>
                <w:szCs w:val="21"/>
                <w:highlight w:val="none"/>
                <w:lang w:val="en-US" w:eastAsia="zh-CN"/>
              </w:rPr>
              <w:t>或相当于</w:t>
            </w: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12型小铲车</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520</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18型小铲车</w:t>
            </w:r>
          </w:p>
        </w:tc>
        <w:tc>
          <w:tcPr>
            <w:tcW w:w="1850"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664</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30型小铲车</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904</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50型铲车</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1980</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s="Arial"/>
                <w:color w:val="auto"/>
                <w:sz w:val="22"/>
                <w:highlight w:val="none"/>
                <w:lang w:val="en-US" w:eastAsia="zh-CN"/>
              </w:rPr>
            </w:pPr>
          </w:p>
          <w:p>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七</w:t>
            </w:r>
          </w:p>
          <w:p>
            <w:pPr>
              <w:pStyle w:val="25"/>
              <w:jc w:val="center"/>
              <w:rPr>
                <w:rFonts w:hint="eastAsia"/>
                <w:color w:val="auto"/>
                <w:highlight w:val="none"/>
              </w:rPr>
            </w:pPr>
          </w:p>
        </w:tc>
        <w:tc>
          <w:tcPr>
            <w:tcW w:w="1220" w:type="dxa"/>
            <w:vMerge w:val="restart"/>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推土机</w:t>
            </w:r>
          </w:p>
        </w:tc>
        <w:tc>
          <w:tcPr>
            <w:tcW w:w="2066" w:type="dxa"/>
            <w:vMerge w:val="restart"/>
            <w:noWrap w:val="0"/>
            <w:vAlign w:val="center"/>
          </w:tcPr>
          <w:p>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山推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移山</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卡特彼勒</w:t>
            </w:r>
            <w:r>
              <w:rPr>
                <w:rFonts w:hint="eastAsia" w:ascii="宋体" w:hAnsi="宋体" w:eastAsia="宋体" w:cs="Times New Roman"/>
                <w:color w:val="auto"/>
                <w:sz w:val="21"/>
                <w:szCs w:val="21"/>
                <w:highlight w:val="none"/>
                <w:lang w:eastAsia="zh-CN"/>
              </w:rPr>
              <w:t>、中联重科</w:t>
            </w:r>
            <w:r>
              <w:rPr>
                <w:rFonts w:hint="eastAsia" w:ascii="宋体" w:hAnsi="宋体" w:eastAsia="宋体" w:cs="Times New Roman"/>
                <w:color w:val="auto"/>
                <w:sz w:val="21"/>
                <w:szCs w:val="21"/>
                <w:highlight w:val="none"/>
                <w:lang w:val="en-US" w:eastAsia="zh-CN"/>
              </w:rPr>
              <w:t>或相当</w:t>
            </w:r>
            <w:r>
              <w:rPr>
                <w:rFonts w:hint="eastAsia" w:ascii="宋体" w:hAnsi="宋体" w:eastAsia="宋体" w:cs="Arial"/>
                <w:color w:val="auto"/>
                <w:sz w:val="21"/>
                <w:szCs w:val="21"/>
                <w:highlight w:val="none"/>
                <w:lang w:val="en-US" w:eastAsia="zh-CN"/>
              </w:rPr>
              <w:t>于</w:t>
            </w: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95kw</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2413</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pStyle w:val="25"/>
              <w:jc w:val="center"/>
              <w:rPr>
                <w:rFonts w:hint="eastAsia"/>
                <w:color w:val="auto"/>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131kw</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3313</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pStyle w:val="25"/>
              <w:jc w:val="center"/>
              <w:rPr>
                <w:rFonts w:hint="eastAsia"/>
                <w:color w:val="auto"/>
                <w:highlight w:val="none"/>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175kW</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3947</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noWrap w:val="0"/>
            <w:vAlign w:val="center"/>
          </w:tcPr>
          <w:p>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val="en-US" w:eastAsia="zh-CN"/>
              </w:rPr>
              <w:t>八</w:t>
            </w:r>
          </w:p>
        </w:tc>
        <w:tc>
          <w:tcPr>
            <w:tcW w:w="1220"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翻耕机</w:t>
            </w:r>
          </w:p>
        </w:tc>
        <w:tc>
          <w:tcPr>
            <w:tcW w:w="2066" w:type="dxa"/>
            <w:noWrap w:val="0"/>
            <w:vAlign w:val="center"/>
          </w:tcPr>
          <w:p>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60</w:t>
            </w:r>
            <w:r>
              <w:rPr>
                <w:rFonts w:hint="eastAsia" w:ascii="宋体" w:hAnsi="宋体" w:eastAsia="宋体" w:cs="Arial"/>
                <w:color w:val="auto"/>
                <w:sz w:val="21"/>
                <w:szCs w:val="21"/>
                <w:highlight w:val="none"/>
              </w:rPr>
              <w:t>元/亩/次</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开沟、松土、犁地，每个工序相当于一次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noWrap w:val="0"/>
            <w:vAlign w:val="center"/>
          </w:tcPr>
          <w:p>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九</w:t>
            </w:r>
          </w:p>
        </w:tc>
        <w:tc>
          <w:tcPr>
            <w:tcW w:w="1220"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收割机</w:t>
            </w:r>
          </w:p>
        </w:tc>
        <w:tc>
          <w:tcPr>
            <w:tcW w:w="2066" w:type="dxa"/>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02"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1850"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w:t>
            </w:r>
            <w:r>
              <w:rPr>
                <w:rFonts w:hint="eastAsia" w:ascii="宋体" w:hAnsi="宋体" w:eastAsia="宋体" w:cs="Arial"/>
                <w:color w:val="auto"/>
                <w:sz w:val="21"/>
                <w:szCs w:val="21"/>
                <w:highlight w:val="none"/>
              </w:rPr>
              <w:t>元/亩/次</w:t>
            </w:r>
          </w:p>
        </w:tc>
        <w:tc>
          <w:tcPr>
            <w:tcW w:w="1717"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w:t>
            </w:r>
          </w:p>
        </w:tc>
        <w:tc>
          <w:tcPr>
            <w:tcW w:w="1220"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随车吊</w:t>
            </w:r>
          </w:p>
        </w:tc>
        <w:tc>
          <w:tcPr>
            <w:tcW w:w="2066" w:type="dxa"/>
            <w:vMerge w:val="restart"/>
            <w:noWrap w:val="0"/>
            <w:vAlign w:val="center"/>
          </w:tcPr>
          <w:p>
            <w:pPr>
              <w:spacing w:line="300" w:lineRule="exact"/>
              <w:jc w:val="center"/>
              <w:rPr>
                <w:rFonts w:hint="eastAsia" w:ascii="宋体" w:hAnsi="宋体" w:eastAsia="宋体"/>
                <w:color w:val="auto"/>
                <w:sz w:val="21"/>
                <w:szCs w:val="21"/>
                <w:highlight w:val="none"/>
              </w:rPr>
            </w:pPr>
          </w:p>
        </w:tc>
        <w:tc>
          <w:tcPr>
            <w:tcW w:w="1602" w:type="dxa"/>
            <w:noWrap w:val="0"/>
            <w:vAlign w:val="center"/>
          </w:tcPr>
          <w:p>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4吨</w:t>
            </w:r>
          </w:p>
        </w:tc>
        <w:tc>
          <w:tcPr>
            <w:tcW w:w="1850" w:type="dxa"/>
            <w:noWrap w:val="0"/>
            <w:vAlign w:val="center"/>
          </w:tcPr>
          <w:p>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1200</w:t>
            </w:r>
          </w:p>
        </w:tc>
        <w:tc>
          <w:tcPr>
            <w:tcW w:w="1717" w:type="dxa"/>
            <w:vMerge w:val="restart"/>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rPr>
              <w:t>不足3小时按400元/次计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color w:val="auto"/>
                <w:highlight w:val="none"/>
              </w:rPr>
            </w:pPr>
          </w:p>
        </w:tc>
        <w:tc>
          <w:tcPr>
            <w:tcW w:w="1220" w:type="dxa"/>
            <w:vMerge w:val="continue"/>
            <w:noWrap w:val="0"/>
            <w:vAlign w:val="center"/>
          </w:tcPr>
          <w:p>
            <w:pPr>
              <w:spacing w:line="300" w:lineRule="exact"/>
              <w:jc w:val="center"/>
              <w:rPr>
                <w:color w:val="auto"/>
                <w:sz w:val="21"/>
                <w:szCs w:val="21"/>
                <w:highlight w:val="none"/>
              </w:rPr>
            </w:pPr>
          </w:p>
        </w:tc>
        <w:tc>
          <w:tcPr>
            <w:tcW w:w="2066" w:type="dxa"/>
            <w:vMerge w:val="continue"/>
            <w:noWrap w:val="0"/>
            <w:vAlign w:val="center"/>
          </w:tcPr>
          <w:p>
            <w:pPr>
              <w:spacing w:line="300" w:lineRule="exact"/>
              <w:jc w:val="center"/>
              <w:rPr>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8吨</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17"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lang w:val="en-US" w:eastAsia="zh-CN"/>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2066"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12吨</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1800</w:t>
            </w:r>
          </w:p>
        </w:tc>
        <w:tc>
          <w:tcPr>
            <w:tcW w:w="1717"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十一</w:t>
            </w:r>
          </w:p>
        </w:tc>
        <w:tc>
          <w:tcPr>
            <w:tcW w:w="1220"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叉车</w:t>
            </w:r>
          </w:p>
        </w:tc>
        <w:tc>
          <w:tcPr>
            <w:tcW w:w="2066" w:type="dxa"/>
            <w:vMerge w:val="restart"/>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合力、杭叉、柳工、徐工或相当于</w:t>
            </w: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2-3吨</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1110</w:t>
            </w:r>
          </w:p>
        </w:tc>
        <w:tc>
          <w:tcPr>
            <w:tcW w:w="1717" w:type="dxa"/>
            <w:vMerge w:val="restart"/>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color w:val="auto"/>
                <w:highlight w:val="none"/>
              </w:rPr>
            </w:pPr>
          </w:p>
        </w:tc>
        <w:tc>
          <w:tcPr>
            <w:tcW w:w="1220" w:type="dxa"/>
            <w:vMerge w:val="continue"/>
            <w:noWrap w:val="0"/>
            <w:vAlign w:val="center"/>
          </w:tcPr>
          <w:p>
            <w:pPr>
              <w:spacing w:line="300" w:lineRule="exact"/>
              <w:jc w:val="center"/>
              <w:rPr>
                <w:color w:val="auto"/>
                <w:sz w:val="21"/>
                <w:szCs w:val="21"/>
                <w:highlight w:val="none"/>
              </w:rPr>
            </w:pPr>
          </w:p>
        </w:tc>
        <w:tc>
          <w:tcPr>
            <w:tcW w:w="2066" w:type="dxa"/>
            <w:vMerge w:val="continue"/>
            <w:noWrap w:val="0"/>
            <w:vAlign w:val="center"/>
          </w:tcPr>
          <w:p>
            <w:pPr>
              <w:spacing w:line="300" w:lineRule="exact"/>
              <w:jc w:val="center"/>
              <w:rPr>
                <w:color w:val="auto"/>
                <w:sz w:val="21"/>
                <w:szCs w:val="21"/>
                <w:highlight w:val="none"/>
              </w:rPr>
            </w:pPr>
          </w:p>
        </w:tc>
        <w:tc>
          <w:tcPr>
            <w:tcW w:w="1602"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5吨</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1990</w:t>
            </w:r>
          </w:p>
        </w:tc>
        <w:tc>
          <w:tcPr>
            <w:tcW w:w="1717"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十二</w:t>
            </w:r>
          </w:p>
        </w:tc>
        <w:tc>
          <w:tcPr>
            <w:tcW w:w="1220"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压路机</w:t>
            </w:r>
          </w:p>
        </w:tc>
        <w:tc>
          <w:tcPr>
            <w:tcW w:w="2066" w:type="dxa"/>
            <w:vMerge w:val="restart"/>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厦工、徐工、柳工、龙工或相当于</w:t>
            </w:r>
          </w:p>
        </w:tc>
        <w:tc>
          <w:tcPr>
            <w:tcW w:w="1602"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15吨振动式</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2350</w:t>
            </w:r>
          </w:p>
        </w:tc>
        <w:tc>
          <w:tcPr>
            <w:tcW w:w="1717" w:type="dxa"/>
            <w:vMerge w:val="restart"/>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color w:val="auto"/>
                <w:highlight w:val="none"/>
              </w:rPr>
            </w:pPr>
          </w:p>
        </w:tc>
        <w:tc>
          <w:tcPr>
            <w:tcW w:w="1220" w:type="dxa"/>
            <w:vMerge w:val="continue"/>
            <w:noWrap w:val="0"/>
            <w:vAlign w:val="center"/>
          </w:tcPr>
          <w:p>
            <w:pPr>
              <w:spacing w:line="300" w:lineRule="exact"/>
              <w:jc w:val="center"/>
              <w:rPr>
                <w:color w:val="auto"/>
                <w:sz w:val="21"/>
                <w:szCs w:val="21"/>
                <w:highlight w:val="none"/>
              </w:rPr>
            </w:pPr>
          </w:p>
        </w:tc>
        <w:tc>
          <w:tcPr>
            <w:tcW w:w="2066" w:type="dxa"/>
            <w:vMerge w:val="continue"/>
            <w:noWrap w:val="0"/>
            <w:vAlign w:val="center"/>
          </w:tcPr>
          <w:p>
            <w:pPr>
              <w:spacing w:line="300" w:lineRule="exact"/>
              <w:jc w:val="center"/>
              <w:rPr>
                <w:color w:val="auto"/>
                <w:sz w:val="21"/>
                <w:szCs w:val="21"/>
                <w:highlight w:val="none"/>
              </w:rPr>
            </w:pP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20吨振动式</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2400</w:t>
            </w:r>
          </w:p>
        </w:tc>
        <w:tc>
          <w:tcPr>
            <w:tcW w:w="1717"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eastAsia" w:ascii="宋体" w:hAnsi="宋体" w:eastAsia="宋体" w:cs="Arial"/>
                <w:color w:val="auto"/>
                <w:sz w:val="22"/>
                <w:highlight w:val="none"/>
                <w:lang w:val="en-US" w:eastAsia="zh-CN"/>
              </w:rPr>
            </w:pPr>
          </w:p>
        </w:tc>
        <w:tc>
          <w:tcPr>
            <w:tcW w:w="1220"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2066"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26吨振动式</w:t>
            </w:r>
          </w:p>
        </w:tc>
        <w:tc>
          <w:tcPr>
            <w:tcW w:w="1850"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2710</w:t>
            </w:r>
          </w:p>
        </w:tc>
        <w:tc>
          <w:tcPr>
            <w:tcW w:w="1717"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十三</w:t>
            </w:r>
          </w:p>
          <w:p>
            <w:pPr>
              <w:spacing w:line="300" w:lineRule="exact"/>
              <w:jc w:val="center"/>
              <w:rPr>
                <w:rFonts w:hint="default" w:ascii="宋体" w:hAnsi="宋体" w:eastAsia="宋体" w:cs="Arial"/>
                <w:color w:val="auto"/>
                <w:sz w:val="22"/>
                <w:highlight w:val="none"/>
                <w:lang w:val="en-US" w:eastAsia="zh-CN"/>
              </w:rPr>
            </w:pPr>
          </w:p>
        </w:tc>
        <w:tc>
          <w:tcPr>
            <w:tcW w:w="1220" w:type="dxa"/>
            <w:vMerge w:val="restart"/>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农用无人机</w:t>
            </w:r>
          </w:p>
        </w:tc>
        <w:tc>
          <w:tcPr>
            <w:tcW w:w="2066" w:type="dxa"/>
            <w:vMerge w:val="restart"/>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大疆、极飞、启飞或相当于</w:t>
            </w:r>
          </w:p>
        </w:tc>
        <w:tc>
          <w:tcPr>
            <w:tcW w:w="160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850"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10元/亩/次</w:t>
            </w:r>
          </w:p>
        </w:tc>
        <w:tc>
          <w:tcPr>
            <w:tcW w:w="1717"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洒药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pPr>
              <w:spacing w:line="300" w:lineRule="exact"/>
              <w:jc w:val="center"/>
              <w:rPr>
                <w:rFonts w:hint="default" w:ascii="宋体" w:hAnsi="宋体" w:eastAsia="宋体" w:cs="Arial"/>
                <w:color w:val="auto"/>
                <w:sz w:val="22"/>
                <w:highlight w:val="none"/>
                <w:lang w:val="en-US" w:eastAsia="zh-CN"/>
              </w:rPr>
            </w:pPr>
          </w:p>
        </w:tc>
        <w:tc>
          <w:tcPr>
            <w:tcW w:w="1220" w:type="dxa"/>
            <w:vMerge w:val="continue"/>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p>
        </w:tc>
        <w:tc>
          <w:tcPr>
            <w:tcW w:w="2066" w:type="dxa"/>
            <w:vMerge w:val="continue"/>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p>
        </w:tc>
        <w:tc>
          <w:tcPr>
            <w:tcW w:w="1602"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w:t>
            </w:r>
          </w:p>
        </w:tc>
        <w:tc>
          <w:tcPr>
            <w:tcW w:w="1850" w:type="dxa"/>
            <w:noWrap w:val="0"/>
            <w:vAlign w:val="center"/>
          </w:tcPr>
          <w:p>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0.5元</w:t>
            </w:r>
            <w:r>
              <w:rPr>
                <w:rFonts w:hint="eastAsia" w:ascii="宋体" w:hAnsi="宋体" w:eastAsia="宋体" w:cs="Arial"/>
                <w:color w:val="auto"/>
                <w:sz w:val="21"/>
                <w:szCs w:val="21"/>
                <w:highlight w:val="none"/>
                <w:lang w:val="en-US" w:eastAsia="zh-CN"/>
              </w:rPr>
              <w:t>/</w:t>
            </w:r>
            <w:r>
              <w:rPr>
                <w:rFonts w:hint="eastAsia" w:ascii="宋体" w:hAnsi="宋体" w:cs="Arial"/>
                <w:color w:val="auto"/>
                <w:sz w:val="21"/>
                <w:szCs w:val="21"/>
                <w:highlight w:val="none"/>
                <w:lang w:val="en-US" w:eastAsia="zh-CN"/>
              </w:rPr>
              <w:t>斤</w:t>
            </w:r>
          </w:p>
        </w:tc>
        <w:tc>
          <w:tcPr>
            <w:tcW w:w="1717"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播种、施肥</w:t>
            </w:r>
          </w:p>
        </w:tc>
      </w:tr>
    </w:tbl>
    <w:p>
      <w:pPr>
        <w:spacing w:line="360" w:lineRule="auto"/>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val="en-US" w:eastAsia="zh-CN" w:bidi="ar"/>
        </w:rPr>
        <w:t>五、</w:t>
      </w:r>
      <w:r>
        <w:rPr>
          <w:rFonts w:hint="eastAsia" w:ascii="宋体" w:hAnsi="宋体" w:eastAsia="宋体" w:cs="宋体"/>
          <w:b/>
          <w:color w:val="auto"/>
          <w:kern w:val="0"/>
          <w:sz w:val="24"/>
          <w:highlight w:val="none"/>
          <w:lang w:bidi="ar"/>
        </w:rPr>
        <w:t>主要设备清单及型号要求</w:t>
      </w:r>
    </w:p>
    <w:p>
      <w:pPr>
        <w:spacing w:line="360" w:lineRule="auto"/>
        <w:rPr>
          <w:rFonts w:hint="eastAsia" w:ascii="宋体" w:hAnsi="宋体" w:eastAsia="宋体" w:cs="Arial"/>
          <w:color w:val="auto"/>
          <w:sz w:val="22"/>
          <w:highlight w:val="none"/>
        </w:rPr>
      </w:pPr>
      <w:r>
        <w:rPr>
          <w:rFonts w:hint="eastAsia" w:ascii="宋体" w:hAnsi="宋体" w:eastAsia="宋体" w:cs="Arial"/>
          <w:color w:val="auto"/>
          <w:sz w:val="24"/>
          <w:highlight w:val="none"/>
        </w:rPr>
        <w:t>注：上述</w:t>
      </w:r>
      <w:r>
        <w:rPr>
          <w:rFonts w:hint="eastAsia" w:ascii="宋体" w:hAnsi="宋体" w:cs="Arial"/>
          <w:color w:val="auto"/>
          <w:sz w:val="24"/>
          <w:highlight w:val="none"/>
        </w:rPr>
        <w:t>各类机械设备品牌只需具有其中一个品牌即可，每个台班按8小时计算，特殊情况的台班进出场费、台班起步费按上表备注执行，其中挖机类单个工程项目工作量超过两台班的进出场费不计</w:t>
      </w:r>
      <w:r>
        <w:rPr>
          <w:rFonts w:hint="eastAsia" w:ascii="宋体" w:hAnsi="宋体" w:cs="Arial"/>
          <w:color w:val="auto"/>
          <w:sz w:val="24"/>
          <w:highlight w:val="none"/>
          <w:lang w:val="en-US" w:eastAsia="zh-CN"/>
        </w:rPr>
        <w:t>,不足两个台班的进出场费计一次</w:t>
      </w:r>
      <w:r>
        <w:rPr>
          <w:rFonts w:hint="eastAsia" w:ascii="宋体" w:hAnsi="宋体" w:cs="Arial"/>
          <w:color w:val="auto"/>
          <w:sz w:val="24"/>
          <w:highlight w:val="none"/>
        </w:rPr>
        <w:t>。吊车类每天工作两小时内按</w:t>
      </w:r>
      <w:r>
        <w:rPr>
          <w:rFonts w:hint="eastAsia" w:ascii="宋体" w:hAnsi="宋体" w:cs="Arial"/>
          <w:color w:val="auto"/>
          <w:sz w:val="24"/>
          <w:highlight w:val="none"/>
          <w:lang w:val="en-US" w:eastAsia="zh-CN"/>
        </w:rPr>
        <w:t>不足两小时方式</w:t>
      </w:r>
      <w:r>
        <w:rPr>
          <w:rFonts w:hint="eastAsia" w:ascii="宋体" w:hAnsi="宋体" w:cs="Arial"/>
          <w:color w:val="auto"/>
          <w:sz w:val="24"/>
          <w:highlight w:val="none"/>
        </w:rPr>
        <w:t>计</w:t>
      </w:r>
      <w:r>
        <w:rPr>
          <w:rFonts w:hint="eastAsia" w:ascii="宋体" w:hAnsi="宋体" w:cs="Arial"/>
          <w:color w:val="auto"/>
          <w:sz w:val="24"/>
          <w:highlight w:val="none"/>
          <w:lang w:val="en-US" w:eastAsia="zh-CN"/>
        </w:rPr>
        <w:t>算</w:t>
      </w:r>
      <w:r>
        <w:rPr>
          <w:rFonts w:hint="eastAsia" w:ascii="宋体" w:hAnsi="宋体" w:cs="Arial"/>
          <w:color w:val="auto"/>
          <w:sz w:val="24"/>
          <w:highlight w:val="none"/>
        </w:rPr>
        <w:t>。</w:t>
      </w:r>
    </w:p>
    <w:p>
      <w:pPr>
        <w:pStyle w:val="25"/>
        <w:rPr>
          <w:rFonts w:hint="eastAsia"/>
          <w:color w:val="auto"/>
          <w:highlight w:val="none"/>
        </w:rPr>
        <w:sectPr>
          <w:pgSz w:w="11905" w:h="16838"/>
          <w:pgMar w:top="1134" w:right="1587" w:bottom="1134" w:left="1587" w:header="851" w:footer="850" w:gutter="0"/>
          <w:cols w:space="720" w:num="1"/>
          <w:titlePg/>
          <w:docGrid w:linePitch="312" w:charSpace="0"/>
        </w:sectPr>
      </w:pP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投标文件满足招标文件全部实质性要求，且评标委员会按照评审因素确定中标候选人。</w:t>
      </w:r>
    </w:p>
    <w:p>
      <w:pPr>
        <w:pStyle w:val="27"/>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7"/>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cs="宋体"/>
          <w:color w:val="000000" w:themeColor="text1"/>
          <w:sz w:val="24"/>
          <w:szCs w:val="24"/>
          <w:highlight w:val="none"/>
          <w14:textFill>
            <w14:solidFill>
              <w14:schemeClr w14:val="tx1"/>
            </w14:solidFill>
          </w14:textFill>
        </w:rPr>
        <w:t>代表和评审专家组成。</w:t>
      </w:r>
    </w:p>
    <w:p>
      <w:pPr>
        <w:pStyle w:val="7"/>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活动前3年内与供应商存在劳动关系；</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活动前3年内担任供应商的董事、监事；</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活动前3年内是供应商的控股股东或者实际控制人；</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委托直接确定中标人；</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eastAsia="宋体"/>
          <w:color w:val="000000" w:themeColor="text1"/>
          <w:sz w:val="24"/>
          <w:highlight w:val="none"/>
          <w14:textFill>
            <w14:solidFill>
              <w14:schemeClr w14:val="tx1"/>
            </w14:solidFill>
          </w14:textFill>
        </w:rPr>
        <w:t>或者有关部门报告评标中发现的违法行为；</w:t>
      </w:r>
    </w:p>
    <w:p>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4"/>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w:t>
      </w:r>
      <w:r>
        <w:rPr>
          <w:rFonts w:hint="eastAsia" w:ascii="宋体" w:hAnsi="宋体"/>
          <w:color w:val="000000" w:themeColor="text1"/>
          <w:kern w:val="0"/>
          <w:sz w:val="24"/>
          <w:highlight w:val="none"/>
          <w:lang w:eastAsia="zh-CN"/>
          <w14:textFill>
            <w14:solidFill>
              <w14:schemeClr w14:val="tx1"/>
            </w14:solidFill>
          </w14:textFill>
        </w:rPr>
        <w:t>符合性</w:t>
      </w:r>
      <w:r>
        <w:rPr>
          <w:rFonts w:hint="eastAsia" w:ascii="宋体" w:hAnsi="宋体" w:eastAsia="宋体"/>
          <w:color w:val="000000" w:themeColor="text1"/>
          <w:kern w:val="0"/>
          <w:sz w:val="24"/>
          <w:highlight w:val="none"/>
          <w14:textFill>
            <w14:solidFill>
              <w14:schemeClr w14:val="tx1"/>
            </w14:solidFill>
          </w14:textFill>
        </w:rPr>
        <w:t>中出现投标报价的，或者报价文件中报价的服务跟商务与技术文件中的投标服务出现重大偏差的；</w:t>
      </w:r>
    </w:p>
    <w:p>
      <w:pPr>
        <w:pStyle w:val="24"/>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4"/>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w:t>
      </w:r>
      <w:r>
        <w:rPr>
          <w:rFonts w:hint="eastAsia"/>
          <w:color w:val="000000" w:themeColor="text1"/>
          <w:highlight w:val="none"/>
          <w:lang w:eastAsia="zh-CN"/>
          <w14:textFill>
            <w14:solidFill>
              <w14:schemeClr w14:val="tx1"/>
            </w14:solidFill>
          </w14:textFill>
        </w:rPr>
        <w:t>招标人</w:t>
      </w:r>
      <w:r>
        <w:rPr>
          <w:rFonts w:ascii="宋体" w:hAnsi="宋体" w:eastAsia="宋体"/>
          <w:color w:val="000000" w:themeColor="text1"/>
          <w:highlight w:val="none"/>
          <w14:textFill>
            <w14:solidFill>
              <w14:schemeClr w14:val="tx1"/>
            </w14:solidFill>
          </w14:textFill>
        </w:rPr>
        <w:t>不能接受的附加条件的；</w:t>
      </w:r>
    </w:p>
    <w:p>
      <w:pPr>
        <w:pStyle w:val="10"/>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4"/>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4"/>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（十六）其他不符合法律法规相关规定的。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4"/>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4"/>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4"/>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w:t>
      </w:r>
      <w:r>
        <w:rPr>
          <w:rFonts w:hint="eastAsia" w:ascii="宋体" w:hAnsi="宋体"/>
          <w:color w:val="000000" w:themeColor="text1"/>
          <w:sz w:val="24"/>
          <w:highlight w:val="none"/>
          <w:lang w:val="en-US" w:eastAsia="zh-CN"/>
          <w14:textFill>
            <w14:solidFill>
              <w14:schemeClr w14:val="tx1"/>
            </w14:solidFill>
          </w14:textFill>
        </w:rPr>
        <w:t>招标</w:t>
      </w:r>
      <w:r>
        <w:rPr>
          <w:rFonts w:cs="宋体"/>
          <w:color w:val="000000" w:themeColor="text1"/>
          <w:highlight w:val="none"/>
          <w14:textFill>
            <w14:solidFill>
              <w14:schemeClr w14:val="tx1"/>
            </w14:solidFill>
          </w14:textFill>
        </w:rPr>
        <w:t>任务取消的；</w:t>
      </w:r>
    </w:p>
    <w:p>
      <w:pPr>
        <w:pStyle w:val="24"/>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六、错误修正</w:t>
      </w:r>
    </w:p>
    <w:p>
      <w:pPr>
        <w:pStyle w:val="24"/>
        <w:spacing w:before="0" w:beforeAutospacing="0" w:after="0" w:afterAutospacing="0" w:line="360" w:lineRule="auto"/>
        <w:ind w:firstLine="480" w:firstLineChars="200"/>
        <w:jc w:val="both"/>
        <w:rPr>
          <w:rFonts w:hint="default" w:cs="宋体"/>
        </w:rPr>
      </w:pPr>
      <w:r>
        <w:rPr>
          <w:rFonts w:cs="宋体"/>
        </w:rPr>
        <w:t>投标文件报价出现前后不一致的，除招标文件另有规定外，按照下列规定修正：</w:t>
      </w:r>
    </w:p>
    <w:p>
      <w:pPr>
        <w:pStyle w:val="24"/>
        <w:spacing w:before="0" w:beforeAutospacing="0" w:after="0" w:afterAutospacing="0" w:line="360" w:lineRule="auto"/>
        <w:jc w:val="both"/>
        <w:rPr>
          <w:rFonts w:hint="default" w:cs="宋体"/>
        </w:rPr>
      </w:pPr>
      <w:r>
        <w:rPr>
          <w:rFonts w:cs="宋体"/>
        </w:rPr>
        <w:t>　　1、台州湾新区小额工程电子交易平台”上开启的投标报价与电子投标文件中开标一览表内容不一致的，以电子投标文件中开标一览表为准；</w:t>
      </w:r>
    </w:p>
    <w:p>
      <w:pPr>
        <w:pStyle w:val="24"/>
        <w:spacing w:before="0" w:beforeAutospacing="0" w:after="0" w:afterAutospacing="0" w:line="360" w:lineRule="auto"/>
        <w:ind w:firstLine="480" w:firstLineChars="200"/>
        <w:jc w:val="both"/>
        <w:rPr>
          <w:rFonts w:hint="default" w:cs="宋体"/>
        </w:rPr>
      </w:pPr>
      <w:r>
        <w:rPr>
          <w:rFonts w:cs="宋体"/>
        </w:rPr>
        <w:t>2、投标文件中开标一览表内容与投标文件中相应内容不一致的，以开标一览表为准；</w:t>
      </w:r>
    </w:p>
    <w:p>
      <w:pPr>
        <w:pStyle w:val="24"/>
        <w:spacing w:before="0" w:beforeAutospacing="0" w:after="0" w:afterAutospacing="0" w:line="360" w:lineRule="auto"/>
        <w:jc w:val="both"/>
        <w:rPr>
          <w:rFonts w:hint="default" w:cs="宋体"/>
        </w:rPr>
      </w:pPr>
      <w:r>
        <w:rPr>
          <w:rFonts w:cs="宋体"/>
        </w:rPr>
        <w:t>　　3、大写金额和小写金额不一致的，以大写金额为准；</w:t>
      </w:r>
    </w:p>
    <w:p>
      <w:pPr>
        <w:pStyle w:val="24"/>
        <w:spacing w:before="0" w:beforeAutospacing="0" w:after="0" w:afterAutospacing="0" w:line="360" w:lineRule="auto"/>
        <w:jc w:val="both"/>
        <w:rPr>
          <w:rFonts w:hint="default" w:cs="宋体"/>
        </w:rPr>
      </w:pPr>
      <w:r>
        <w:rPr>
          <w:rFonts w:cs="宋体"/>
        </w:rPr>
        <w:t>　　4、单价金额小数点或者百分比有明显错位的，以投标承诺书的总价为准，并修改单价；</w:t>
      </w:r>
    </w:p>
    <w:p>
      <w:pPr>
        <w:pStyle w:val="24"/>
        <w:spacing w:before="0" w:beforeAutospacing="0" w:after="0" w:afterAutospacing="0" w:line="360" w:lineRule="auto"/>
        <w:jc w:val="both"/>
        <w:rPr>
          <w:rFonts w:hint="default" w:cs="宋体"/>
        </w:rPr>
      </w:pPr>
      <w:r>
        <w:rPr>
          <w:rFonts w:cs="宋体"/>
        </w:rPr>
        <w:t>　　5、总价金额与按单价汇总金额不一致的，以单价金额计算结果为准。</w:t>
      </w:r>
    </w:p>
    <w:p>
      <w:pPr>
        <w:pStyle w:val="24"/>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cs="宋体"/>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八</w:t>
      </w:r>
      <w:r>
        <w:rPr>
          <w:rFonts w:hint="eastAsia" w:ascii="宋体" w:hAnsi="宋体" w:cs="宋体"/>
          <w:b/>
          <w:color w:val="000000" w:themeColor="text1"/>
          <w:kern w:val="0"/>
          <w:sz w:val="24"/>
          <w:highlight w:val="none"/>
          <w14:textFill>
            <w14:solidFill>
              <w14:schemeClr w14:val="tx1"/>
            </w14:solidFill>
          </w14:textFill>
        </w:rPr>
        <w:t>、评标过程的监控</w:t>
      </w:r>
    </w:p>
    <w:p>
      <w:pPr>
        <w:pStyle w:val="2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4"/>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hAnsi="宋体"/>
          <w:b/>
          <w:bCs/>
          <w:color w:val="000000" w:themeColor="text1"/>
          <w:sz w:val="24"/>
          <w:highlight w:val="none"/>
          <w:lang w:val="en-US" w:eastAsia="zh-CN"/>
          <w14:textFill>
            <w14:solidFill>
              <w14:schemeClr w14:val="tx1"/>
            </w14:solidFill>
          </w14:textFill>
        </w:rPr>
        <w:t>九</w:t>
      </w:r>
      <w:r>
        <w:rPr>
          <w:rFonts w:hint="eastAsia" w:ascii="宋体" w:hAnsi="宋体" w:eastAsia="宋体"/>
          <w:b/>
          <w:bCs/>
          <w:color w:val="000000" w:themeColor="text1"/>
          <w:sz w:val="24"/>
          <w:highlight w:val="none"/>
          <w14:textFill>
            <w14:solidFill>
              <w14:schemeClr w14:val="tx1"/>
            </w14:solidFill>
          </w14:textFill>
        </w:rPr>
        <w:t>、</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（一）资格</w:t>
      </w:r>
      <w:r>
        <w:rPr>
          <w:rFonts w:ascii="宋体" w:hAnsi="宋体" w:eastAsia="宋体"/>
          <w:b/>
          <w:bCs/>
          <w:color w:val="000000" w:themeColor="text1"/>
          <w:sz w:val="24"/>
          <w:highlight w:val="none"/>
          <w14:textFill>
            <w14:solidFill>
              <w14:schemeClr w14:val="tx1"/>
            </w14:solidFill>
          </w14:textFill>
        </w:rPr>
        <w:t>审查</w:t>
      </w:r>
    </w:p>
    <w:p>
      <w:pPr>
        <w:pStyle w:val="10"/>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eastAsia="宋体"/>
          <w:color w:val="000000" w:themeColor="text1"/>
          <w:sz w:val="24"/>
          <w:highlight w:val="none"/>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pacing w:before="1"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具有本项目</w:t>
            </w:r>
            <w:r>
              <w:rPr>
                <w:rFonts w:hint="eastAsia"/>
                <w:color w:val="000000" w:themeColor="text1"/>
                <w:szCs w:val="21"/>
                <w:highlight w:val="none"/>
                <w:lang w:eastAsia="zh-CN"/>
                <w14:textFill>
                  <w14:solidFill>
                    <w14:schemeClr w14:val="tx1"/>
                  </w14:solidFill>
                </w14:textFill>
              </w:rPr>
              <w:t>招标人</w:t>
            </w:r>
            <w:r>
              <w:rPr>
                <w:rFonts w:hint="eastAsia"/>
                <w:color w:val="000000" w:themeColor="text1"/>
                <w:szCs w:val="21"/>
                <w:highlight w:val="none"/>
                <w14:textFill>
                  <w14:solidFill>
                    <w14:schemeClr w14:val="tx1"/>
                  </w14:solidFill>
                </w14:textFill>
              </w:rPr>
              <w:t>需求的机械租赁服务能力的</w:t>
            </w:r>
            <w:r>
              <w:rPr>
                <w:rFonts w:hint="eastAsia"/>
                <w:color w:val="000000" w:themeColor="text1"/>
                <w:szCs w:val="21"/>
                <w:highlight w:val="none"/>
                <w:lang w:val="en-US" w:eastAsia="zh-CN"/>
                <w14:textFill>
                  <w14:solidFill>
                    <w14:schemeClr w14:val="tx1"/>
                  </w14:solidFill>
                </w14:textFill>
              </w:rPr>
              <w:t>投标供应商</w:t>
            </w:r>
          </w:p>
        </w:tc>
        <w:tc>
          <w:tcPr>
            <w:tcW w:w="7092" w:type="dxa"/>
            <w:tcMar>
              <w:top w:w="57" w:type="dxa"/>
              <w:left w:w="108" w:type="dxa"/>
              <w:bottom w:w="0" w:type="dxa"/>
              <w:right w:w="108" w:type="dxa"/>
            </w:tcMar>
            <w:vAlign w:val="center"/>
          </w:tcPr>
          <w:p>
            <w:pPr>
              <w:pStyle w:val="58"/>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8"/>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1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符合性</w:t>
      </w:r>
      <w:r>
        <w:rPr>
          <w:rFonts w:ascii="宋体" w:hAnsi="宋体" w:eastAsia="宋体"/>
          <w:b/>
          <w:bCs/>
          <w:color w:val="000000" w:themeColor="text1"/>
          <w:sz w:val="24"/>
          <w:highlight w:val="none"/>
          <w14:textFill>
            <w14:solidFill>
              <w14:schemeClr w14:val="tx1"/>
            </w14:solidFill>
          </w14:textFill>
        </w:rPr>
        <w:t>审查</w:t>
      </w:r>
    </w:p>
    <w:p>
      <w:pPr>
        <w:pStyle w:val="1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color w:val="000000" w:themeColor="text1"/>
          <w:sz w:val="24"/>
          <w:highlight w:val="none"/>
          <w:lang w:eastAsia="zh-CN"/>
          <w14:textFill>
            <w14:solidFill>
              <w14:schemeClr w14:val="tx1"/>
            </w14:solidFill>
          </w14:textFill>
        </w:rPr>
        <w:t>符合性</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w:t>
            </w:r>
            <w:r>
              <w:rPr>
                <w:rFonts w:hint="eastAsia"/>
                <w:color w:val="000000" w:themeColor="text1"/>
                <w:highlight w:val="none"/>
                <w:lang w:eastAsia="zh-CN"/>
                <w14:textFill>
                  <w14:solidFill>
                    <w14:schemeClr w14:val="tx1"/>
                  </w14:solidFill>
                </w14:textFill>
              </w:rPr>
              <w:t>招标人</w:t>
            </w:r>
            <w:r>
              <w:rPr>
                <w:rFonts w:hint="eastAsia"/>
                <w:color w:val="000000" w:themeColor="text1"/>
                <w:highlight w:val="none"/>
                <w14:textFill>
                  <w14:solidFill>
                    <w14:schemeClr w14:val="tx1"/>
                  </w14:solidFill>
                </w14:textFill>
              </w:rPr>
              <w:t>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符合第一章公开招标采购公告“七、投标保证金”</w:t>
            </w:r>
          </w:p>
        </w:tc>
      </w:tr>
    </w:tbl>
    <w:p>
      <w:pPr>
        <w:pStyle w:val="24"/>
        <w:spacing w:before="0" w:beforeAutospacing="0" w:after="0" w:afterAutospacing="0" w:line="360" w:lineRule="auto"/>
        <w:ind w:firstLine="482" w:firstLineChars="200"/>
        <w:jc w:val="both"/>
        <w:rPr>
          <w:rFonts w:hint="default" w:asciiTheme="minorEastAsia" w:hAnsiTheme="minorEastAsia" w:eastAsiaTheme="minorEastAsia"/>
        </w:rPr>
      </w:pPr>
      <w:r>
        <w:rPr>
          <w:rFonts w:ascii="宋体" w:hAnsi="宋体" w:eastAsia="宋体"/>
          <w:b/>
          <w:bCs/>
          <w:color w:val="000000" w:themeColor="text1"/>
          <w:highlight w:val="none"/>
          <w14:textFill>
            <w14:solidFill>
              <w14:schemeClr w14:val="tx1"/>
            </w14:solidFill>
          </w14:textFill>
        </w:rPr>
        <w:t>（三）</w:t>
      </w:r>
      <w:bookmarkStart w:id="37" w:name="_Toc27944_WPSOffice_Level1"/>
      <w:r>
        <w:rPr>
          <w:rFonts w:hint="eastAsia" w:ascii="Arial" w:hAnsi="Arial" w:cs="Arial" w:eastAsiaTheme="minorEastAsia"/>
          <w:b/>
          <w:bCs/>
          <w:lang w:eastAsia="zh-CN"/>
        </w:rPr>
        <w:t>技术资信标</w:t>
      </w:r>
      <w:r>
        <w:rPr>
          <w:rFonts w:ascii="Arial" w:hAnsi="Arial" w:cs="Arial" w:eastAsiaTheme="minorEastAsia"/>
          <w:b/>
          <w:bCs/>
        </w:rPr>
        <w:t>及商务标评审</w:t>
      </w:r>
    </w:p>
    <w:p>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评标委员会成员按商务与技术文件的评分标准，在分值范围内各自打分。商务与技术文件分按照评标委员会成员的评分结果取平均值，为供应商的商务与技术文件得分。（评委评分结果每项保留1位小数，第2位四舍五入；平均值小数点后保留2位，第3位四舍五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622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61"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评分内容</w:t>
            </w:r>
          </w:p>
        </w:tc>
        <w:tc>
          <w:tcPr>
            <w:tcW w:w="6226" w:type="dxa"/>
            <w:noWrap w:val="0"/>
            <w:vAlign w:val="center"/>
          </w:tcPr>
          <w:p>
            <w:pPr>
              <w:spacing w:line="360" w:lineRule="auto"/>
              <w:ind w:firstLine="2220" w:firstLineChars="925"/>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评分标准</w:t>
            </w:r>
          </w:p>
        </w:tc>
        <w:tc>
          <w:tcPr>
            <w:tcW w:w="907"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61" w:type="dxa"/>
            <w:vMerge w:val="restart"/>
            <w:noWrap w:val="0"/>
            <w:vAlign w:val="center"/>
          </w:tcPr>
          <w:p>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技术方案</w:t>
            </w:r>
          </w:p>
          <w:p>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lang w:val="en-US" w:eastAsia="zh-CN"/>
              </w:rPr>
              <w:t>分）</w:t>
            </w:r>
          </w:p>
        </w:tc>
        <w:tc>
          <w:tcPr>
            <w:tcW w:w="6226"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根据投标人提供的服务方案的管理机构设置、人员配置、员工素质标准、员工培训及管理、奖惩制度等方案合理、可行，综合体现完整性情况由评委酌情打分。</w:t>
            </w:r>
            <w:r>
              <w:rPr>
                <w:rFonts w:hint="eastAsia" w:ascii="宋体" w:hAnsi="宋体" w:cs="仿宋"/>
                <w:color w:val="auto"/>
                <w:sz w:val="24"/>
                <w:szCs w:val="24"/>
                <w:highlight w:val="none"/>
                <w:lang w:val="en-US" w:eastAsia="zh-CN"/>
              </w:rPr>
              <w:t>（</w:t>
            </w:r>
            <w:r>
              <w:rPr>
                <w:rFonts w:hint="eastAsia" w:ascii="宋体" w:hAnsi="宋体" w:eastAsia="宋体" w:cs="仿宋"/>
                <w:color w:val="auto"/>
                <w:sz w:val="24"/>
                <w:szCs w:val="24"/>
                <w:highlight w:val="none"/>
                <w:lang w:val="en-US" w:eastAsia="zh-CN"/>
              </w:rPr>
              <w:t>12</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w:t>
            </w:r>
          </w:p>
        </w:tc>
        <w:tc>
          <w:tcPr>
            <w:tcW w:w="907"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761" w:type="dxa"/>
            <w:vMerge w:val="continue"/>
            <w:noWrap w:val="0"/>
            <w:vAlign w:val="center"/>
          </w:tcPr>
          <w:p>
            <w:pPr>
              <w:spacing w:line="360" w:lineRule="auto"/>
              <w:ind w:firstLine="540" w:firstLineChars="225"/>
              <w:jc w:val="left"/>
              <w:rPr>
                <w:rFonts w:hint="eastAsia" w:ascii="宋体" w:hAnsi="宋体" w:eastAsia="宋体" w:cs="仿宋"/>
                <w:color w:val="auto"/>
                <w:sz w:val="24"/>
                <w:szCs w:val="24"/>
                <w:highlight w:val="none"/>
                <w:lang w:val="en-US" w:eastAsia="zh-CN"/>
              </w:rPr>
            </w:pPr>
          </w:p>
        </w:tc>
        <w:tc>
          <w:tcPr>
            <w:tcW w:w="6226"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拟投入本项目机械设备情况打分，评委根据企业提供的方案的相关内容，重点考察投标人投入的机械设备为自有机械设备情况（自有机械设备中需提供挖机、翻耕机、收割机、推土机），横向比较评分。（12</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w:t>
            </w:r>
          </w:p>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注：自有设备需提供购置车辆发票复印件（或打印件），没有提供或提供不全或提供不符合要求的不得分。</w:t>
            </w:r>
          </w:p>
        </w:tc>
        <w:tc>
          <w:tcPr>
            <w:tcW w:w="907"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761" w:type="dxa"/>
            <w:vMerge w:val="continue"/>
            <w:noWrap w:val="0"/>
            <w:vAlign w:val="center"/>
          </w:tcPr>
          <w:p>
            <w:pPr>
              <w:spacing w:line="360" w:lineRule="auto"/>
              <w:ind w:firstLine="540" w:firstLineChars="225"/>
              <w:jc w:val="left"/>
              <w:rPr>
                <w:rFonts w:hint="eastAsia" w:ascii="宋体" w:hAnsi="宋体" w:eastAsia="宋体" w:cs="仿宋"/>
                <w:color w:val="auto"/>
                <w:sz w:val="24"/>
                <w:szCs w:val="24"/>
                <w:highlight w:val="none"/>
                <w:lang w:val="en-US" w:eastAsia="zh-CN"/>
              </w:rPr>
            </w:pPr>
          </w:p>
        </w:tc>
        <w:tc>
          <w:tcPr>
            <w:tcW w:w="6226"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根据投标人提供的服务方案中的应急处置方案（应包括台风、暴雨、干旱等灾害性天气）并有突发事件处理和破坏性事件处理工作流程图等方案合理、可行，综合体现完整情况由评委酌情打分。</w:t>
            </w:r>
            <w:r>
              <w:rPr>
                <w:rFonts w:hint="eastAsia" w:ascii="宋体" w:hAnsi="宋体" w:cs="仿宋"/>
                <w:color w:val="auto"/>
                <w:sz w:val="24"/>
                <w:szCs w:val="24"/>
                <w:highlight w:val="none"/>
                <w:lang w:val="en-US" w:eastAsia="zh-CN"/>
              </w:rPr>
              <w:t>（</w:t>
            </w:r>
            <w:r>
              <w:rPr>
                <w:rFonts w:hint="eastAsia" w:ascii="宋体" w:hAnsi="宋体" w:eastAsia="宋体" w:cs="仿宋"/>
                <w:color w:val="auto"/>
                <w:sz w:val="24"/>
                <w:szCs w:val="24"/>
                <w:highlight w:val="none"/>
                <w:lang w:val="en-US" w:eastAsia="zh-CN"/>
              </w:rPr>
              <w:t>1</w:t>
            </w:r>
            <w:r>
              <w:rPr>
                <w:rFonts w:hint="eastAsia" w:ascii="宋体" w:hAnsi="宋体" w:cs="仿宋"/>
                <w:color w:val="auto"/>
                <w:sz w:val="24"/>
                <w:szCs w:val="24"/>
                <w:highlight w:val="none"/>
                <w:lang w:val="en-US" w:eastAsia="zh-CN"/>
              </w:rPr>
              <w:t>0-5</w:t>
            </w:r>
            <w:r>
              <w:rPr>
                <w:rFonts w:hint="eastAsia"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w:t>
            </w:r>
          </w:p>
        </w:tc>
        <w:tc>
          <w:tcPr>
            <w:tcW w:w="907"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1761" w:type="dxa"/>
            <w:noWrap w:val="0"/>
            <w:vAlign w:val="center"/>
          </w:tcPr>
          <w:p>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资信及业绩</w:t>
            </w:r>
          </w:p>
          <w:p>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（3分）</w:t>
            </w:r>
          </w:p>
        </w:tc>
        <w:tc>
          <w:tcPr>
            <w:tcW w:w="6226"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根据各投标人2021年1月1日到开标之日之前单个合同30万及以上的国内同类项目业绩情况计分。每提供一份业绩得1分，最高不超过3分。注：须提供合同</w:t>
            </w:r>
            <w:r>
              <w:rPr>
                <w:rFonts w:hint="eastAsia" w:ascii="宋体" w:hAnsi="宋体" w:cs="仿宋"/>
                <w:color w:val="auto"/>
                <w:sz w:val="24"/>
                <w:szCs w:val="24"/>
                <w:highlight w:val="none"/>
                <w:lang w:val="en-US" w:eastAsia="zh-CN"/>
              </w:rPr>
              <w:t>清晰</w:t>
            </w:r>
            <w:r>
              <w:rPr>
                <w:rFonts w:hint="eastAsia" w:ascii="宋体" w:hAnsi="宋体" w:eastAsia="宋体" w:cs="仿宋"/>
                <w:color w:val="auto"/>
                <w:sz w:val="24"/>
                <w:szCs w:val="24"/>
                <w:highlight w:val="none"/>
                <w:lang w:val="en-US" w:eastAsia="zh-CN"/>
              </w:rPr>
              <w:t>复印件(或打印件)（没有提供或提供不全或提供不符合要求的，业绩不予认可），不提供不得分。</w:t>
            </w:r>
          </w:p>
        </w:tc>
        <w:tc>
          <w:tcPr>
            <w:tcW w:w="907" w:type="dxa"/>
            <w:noWrap w:val="0"/>
            <w:vAlign w:val="center"/>
          </w:tcPr>
          <w:p>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61" w:type="dxa"/>
            <w:noWrap w:val="0"/>
            <w:vAlign w:val="center"/>
          </w:tcPr>
          <w:p>
            <w:pPr>
              <w:spacing w:line="360" w:lineRule="auto"/>
              <w:jc w:val="center"/>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服务承诺</w:t>
            </w:r>
          </w:p>
          <w:p>
            <w:pPr>
              <w:spacing w:line="360" w:lineRule="auto"/>
              <w:jc w:val="center"/>
              <w:rPr>
                <w:rFonts w:hint="default" w:ascii="宋体" w:hAnsi="宋体" w:eastAsia="宋体" w:cs="仿宋"/>
                <w:color w:val="FF0000"/>
                <w:sz w:val="24"/>
                <w:szCs w:val="24"/>
                <w:highlight w:val="yellow"/>
                <w:lang w:val="en-US" w:eastAsia="zh-CN"/>
              </w:rPr>
            </w:pPr>
            <w:r>
              <w:rPr>
                <w:rFonts w:hint="eastAsia" w:ascii="宋体" w:hAnsi="宋体" w:eastAsia="宋体" w:cs="仿宋"/>
                <w:color w:val="auto"/>
                <w:sz w:val="24"/>
                <w:szCs w:val="24"/>
                <w:highlight w:val="none"/>
                <w:lang w:val="en-US" w:eastAsia="zh-CN"/>
              </w:rPr>
              <w:t>（3分）</w:t>
            </w:r>
          </w:p>
        </w:tc>
        <w:tc>
          <w:tcPr>
            <w:tcW w:w="6226" w:type="dxa"/>
            <w:noWrap w:val="0"/>
            <w:vAlign w:val="center"/>
          </w:tcPr>
          <w:p>
            <w:pPr>
              <w:spacing w:line="360" w:lineRule="auto"/>
              <w:jc w:val="left"/>
              <w:rPr>
                <w:rFonts w:hint="default"/>
                <w:highlight w:val="none"/>
                <w:lang w:val="en-US" w:eastAsia="zh-CN"/>
              </w:rPr>
            </w:pPr>
            <w:r>
              <w:rPr>
                <w:rFonts w:hint="eastAsia" w:ascii="宋体" w:hAnsi="宋体" w:eastAsia="宋体" w:cs="仿宋"/>
                <w:color w:val="auto"/>
                <w:sz w:val="24"/>
                <w:szCs w:val="24"/>
                <w:highlight w:val="none"/>
                <w:lang w:val="en-US" w:eastAsia="zh-CN"/>
              </w:rPr>
              <w:t>投标人在接到招标人通知后1</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响应，2</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到场的，得3分。接到招标人通知后2</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响应，4</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到场的，得2分。</w:t>
            </w:r>
            <w:r>
              <w:rPr>
                <w:rFonts w:hint="default" w:ascii="宋体" w:hAnsi="宋体" w:eastAsia="宋体" w:cs="仿宋"/>
                <w:color w:val="auto"/>
                <w:sz w:val="24"/>
                <w:szCs w:val="24"/>
                <w:highlight w:val="none"/>
                <w:lang w:val="en-US" w:eastAsia="zh-CN"/>
              </w:rPr>
              <w:t>接到招标人通知后</w:t>
            </w:r>
            <w:r>
              <w:rPr>
                <w:rFonts w:hint="eastAsia" w:ascii="宋体" w:hAnsi="宋体" w:eastAsia="宋体" w:cs="仿宋"/>
                <w:color w:val="auto"/>
                <w:sz w:val="24"/>
                <w:szCs w:val="24"/>
                <w:highlight w:val="none"/>
                <w:lang w:val="en-US" w:eastAsia="zh-CN"/>
              </w:rPr>
              <w:t>3</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default" w:ascii="宋体" w:hAnsi="宋体" w:eastAsia="宋体" w:cs="仿宋"/>
                <w:color w:val="auto"/>
                <w:sz w:val="24"/>
                <w:szCs w:val="24"/>
                <w:highlight w:val="none"/>
                <w:lang w:val="en-US" w:eastAsia="zh-CN"/>
              </w:rPr>
              <w:t>响应，</w:t>
            </w:r>
            <w:r>
              <w:rPr>
                <w:rFonts w:hint="eastAsia" w:ascii="宋体" w:hAnsi="宋体" w:eastAsia="宋体" w:cs="仿宋"/>
                <w:color w:val="auto"/>
                <w:sz w:val="24"/>
                <w:szCs w:val="24"/>
                <w:highlight w:val="none"/>
                <w:lang w:val="en-US" w:eastAsia="zh-CN"/>
              </w:rPr>
              <w:t>6</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default" w:ascii="宋体" w:hAnsi="宋体" w:eastAsia="宋体" w:cs="仿宋"/>
                <w:color w:val="auto"/>
                <w:sz w:val="24"/>
                <w:szCs w:val="24"/>
                <w:highlight w:val="none"/>
                <w:lang w:val="en-US" w:eastAsia="zh-CN"/>
              </w:rPr>
              <w:t>到场的，得</w:t>
            </w:r>
            <w:r>
              <w:rPr>
                <w:rFonts w:hint="eastAsia" w:ascii="宋体" w:hAnsi="宋体" w:eastAsia="宋体" w:cs="仿宋"/>
                <w:color w:val="auto"/>
                <w:sz w:val="24"/>
                <w:szCs w:val="24"/>
                <w:highlight w:val="none"/>
                <w:lang w:val="en-US" w:eastAsia="zh-CN"/>
              </w:rPr>
              <w:t>1</w:t>
            </w:r>
            <w:r>
              <w:rPr>
                <w:rFonts w:hint="default"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其余不得分。</w:t>
            </w:r>
          </w:p>
        </w:tc>
        <w:tc>
          <w:tcPr>
            <w:tcW w:w="907" w:type="dxa"/>
            <w:noWrap w:val="0"/>
            <w:vAlign w:val="center"/>
          </w:tcPr>
          <w:p>
            <w:pPr>
              <w:spacing w:line="360" w:lineRule="auto"/>
              <w:jc w:val="left"/>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0-3分</w:t>
            </w:r>
          </w:p>
        </w:tc>
      </w:tr>
    </w:tbl>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技术资信标内容缺项的，该项得0分。</w:t>
      </w:r>
    </w:p>
    <w:p>
      <w:pPr>
        <w:spacing w:line="360" w:lineRule="auto"/>
        <w:ind w:firstLine="542" w:firstLineChars="225"/>
        <w:rPr>
          <w:rFonts w:hint="eastAsia"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lang w:val="en-US" w:eastAsia="zh-CN"/>
        </w:rPr>
        <w:t>（三）商务标评审（60分）</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商务标评定分值为60分。（以下除注明外，数值以元为单位，计算结果小数点后保留2位，第3位四舍五入）。</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（1）评标标底价</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取所有投标报价的平均值作为评标标底价。</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（2）商务标得分</w:t>
      </w:r>
    </w:p>
    <w:p>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1）投标报价等于评标标底价的得60分。</w:t>
      </w:r>
    </w:p>
    <w:p>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2）每高于评标标底价一个百分点扣1分（商务标分值＝60－|（投标报价-评标标底价）/评标标底价|×100×1），每低于评标标底价一个百分点扣0.5分（商务标分值＝60－| （评标标底价-投标报价）/评标标底价|×100×0.5），中间按内插法计算。</w:t>
      </w:r>
    </w:p>
    <w:p>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3）▲本项目采购人设有报价上限，上限（结算率）：不超过100%，投标报价高于上限结算率的，作无效标处理。当所有投标人的投标报价均高于上限价的，本项目重新招标。</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（3）有效投标供应商的综合得分=技术资信标得分+商务标得分。</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4）评标委员会按综合得分高低顺序排列，综合得分第一名投标供应商作为中标候选人向采购人推荐，并提交评标报告。（综合得分相同的以投标报价低的为排序第一；综合得分、投标报价均相同时，则采购人授权评标委员会确定排名。）</w:t>
      </w:r>
    </w:p>
    <w:bookmarkEnd w:id="37"/>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pStyle w:val="20"/>
        <w:spacing w:line="360" w:lineRule="auto"/>
        <w:rPr>
          <w:rFonts w:ascii="黑体" w:eastAsia="黑体"/>
          <w:b/>
          <w:color w:val="auto"/>
          <w:sz w:val="32"/>
          <w:szCs w:val="32"/>
          <w:highlight w:val="none"/>
        </w:rPr>
      </w:pPr>
      <w:bookmarkStart w:id="38" w:name="_Toc291147771"/>
      <w:r>
        <w:rPr>
          <w:rFonts w:hint="eastAsia" w:ascii="黑体" w:eastAsia="黑体"/>
          <w:b/>
          <w:color w:val="auto"/>
          <w:sz w:val="32"/>
          <w:szCs w:val="32"/>
          <w:highlight w:val="none"/>
        </w:rPr>
        <w:t>合同格式</w:t>
      </w:r>
    </w:p>
    <w:p>
      <w:pPr>
        <w:pStyle w:val="5"/>
        <w:numPr>
          <w:ilvl w:val="0"/>
          <w:numId w:val="0"/>
        </w:numPr>
        <w:spacing w:before="0" w:line="360" w:lineRule="auto"/>
        <w:jc w:val="center"/>
        <w:rPr>
          <w:rFonts w:hint="eastAsia" w:ascii="宋体" w:hAnsi="宋体" w:eastAsia="宋体" w:cs="Times New Roman"/>
          <w:b/>
          <w:bCs/>
          <w:color w:val="auto"/>
          <w:kern w:val="21"/>
          <w:szCs w:val="32"/>
          <w:highlight w:val="none"/>
        </w:rPr>
      </w:pPr>
      <w:r>
        <w:rPr>
          <w:rFonts w:hint="eastAsia" w:ascii="宋体" w:hAnsi="宋体" w:eastAsia="宋体" w:cs="Times New Roman"/>
          <w:b/>
          <w:bCs/>
          <w:color w:val="auto"/>
          <w:kern w:val="21"/>
          <w:szCs w:val="32"/>
          <w:highlight w:val="none"/>
        </w:rPr>
        <w:t>第一部分  机械设备租赁合同</w:t>
      </w:r>
    </w:p>
    <w:p>
      <w:pPr>
        <w:spacing w:line="360" w:lineRule="auto"/>
        <w:ind w:firstLine="540" w:firstLineChars="225"/>
        <w:rPr>
          <w:rFonts w:hint="eastAsia"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承租方：（以下简称甲方）</w:t>
      </w:r>
      <w:r>
        <w:rPr>
          <w:rFonts w:hint="eastAsia" w:ascii="宋体" w:hAnsi="宋体" w:eastAsia="宋体" w:cs="仿宋"/>
          <w:color w:val="auto"/>
          <w:sz w:val="24"/>
          <w:szCs w:val="24"/>
          <w:highlight w:val="none"/>
          <w:u w:val="single"/>
        </w:rPr>
        <w:t xml:space="preserve">台州东茂观光农业开发有限公司 </w:t>
      </w:r>
    </w:p>
    <w:p>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出租方：（以下简称乙方）：                      </w:t>
      </w:r>
    </w:p>
    <w:p>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依照《中华人民共和国</w:t>
      </w:r>
      <w:r>
        <w:rPr>
          <w:rFonts w:hint="eastAsia" w:ascii="宋体" w:hAnsi="宋体" w:eastAsia="宋体" w:cs="仿宋"/>
          <w:color w:val="auto"/>
          <w:sz w:val="24"/>
          <w:szCs w:val="24"/>
          <w:highlight w:val="none"/>
          <w:lang w:val="en-US" w:eastAsia="zh-CN"/>
        </w:rPr>
        <w:t>民法典</w:t>
      </w:r>
      <w:r>
        <w:rPr>
          <w:rFonts w:hint="eastAsia" w:ascii="宋体" w:hAnsi="宋体" w:eastAsia="宋体" w:cs="仿宋"/>
          <w:color w:val="auto"/>
          <w:sz w:val="24"/>
          <w:szCs w:val="24"/>
          <w:highlight w:val="none"/>
        </w:rPr>
        <w:t>》及国家相关法律、法规和公司文件相关规定，遵循平等、自愿、公平和诚信的原则，甲、乙双方就</w:t>
      </w:r>
      <w:r>
        <w:rPr>
          <w:rFonts w:hint="eastAsia" w:ascii="宋体" w:hAnsi="宋体" w:cs="仿宋"/>
          <w:color w:val="auto"/>
          <w:sz w:val="24"/>
          <w:szCs w:val="24"/>
          <w:highlight w:val="none"/>
          <w:u w:val="single"/>
          <w:lang w:eastAsia="zh-CN"/>
        </w:rPr>
        <w:t>台州东茂观光农业开发有限公司2024年零星机械租赁项目</w:t>
      </w:r>
      <w:r>
        <w:rPr>
          <w:rFonts w:hint="eastAsia" w:ascii="宋体" w:hAnsi="宋体" w:eastAsia="宋体" w:cs="仿宋"/>
          <w:color w:val="auto"/>
          <w:sz w:val="24"/>
          <w:szCs w:val="24"/>
          <w:highlight w:val="none"/>
        </w:rPr>
        <w:t>事宜协商达成一致,订立本合同。</w:t>
      </w:r>
    </w:p>
    <w:p>
      <w:pPr>
        <w:spacing w:line="360" w:lineRule="auto"/>
        <w:ind w:firstLine="542" w:firstLineChars="225"/>
        <w:rPr>
          <w:rFonts w:hint="eastAsia" w:ascii="宋体" w:hAnsi="宋体" w:eastAsia="宋体" w:cs="仿宋"/>
          <w:b/>
          <w:bCs/>
          <w:color w:val="auto"/>
          <w:sz w:val="24"/>
          <w:szCs w:val="24"/>
          <w:highlight w:val="none"/>
          <w:lang w:eastAsia="zh-CN"/>
        </w:rPr>
      </w:pPr>
      <w:r>
        <w:rPr>
          <w:rFonts w:ascii="宋体" w:hAnsi="宋体" w:eastAsia="宋体"/>
          <w:b/>
          <w:bCs/>
          <w:color w:val="auto"/>
          <w:sz w:val="24"/>
          <w:szCs w:val="24"/>
          <w:highlight w:val="none"/>
        </w:rPr>
        <w:t>第一条：</w:t>
      </w:r>
      <w:r>
        <w:rPr>
          <w:rFonts w:hint="eastAsia" w:ascii="宋体" w:hAnsi="宋体" w:eastAsia="宋体" w:cs="仿宋"/>
          <w:b/>
          <w:bCs/>
          <w:color w:val="auto"/>
          <w:sz w:val="24"/>
          <w:szCs w:val="24"/>
          <w:highlight w:val="none"/>
        </w:rPr>
        <w:t>：工程概况</w:t>
      </w:r>
    </w:p>
    <w:p>
      <w:pPr>
        <w:spacing w:line="360" w:lineRule="auto"/>
        <w:ind w:firstLine="241" w:firstLineChars="100"/>
        <w:rPr>
          <w:rFonts w:hint="eastAsia" w:ascii="宋体" w:hAnsi="宋体" w:eastAsia="宋体" w:cs="仿宋"/>
          <w:color w:val="auto"/>
          <w:sz w:val="24"/>
          <w:szCs w:val="24"/>
          <w:highlight w:val="none"/>
          <w:u w:val="single"/>
        </w:rPr>
      </w:pPr>
      <w:r>
        <w:rPr>
          <w:rFonts w:hint="eastAsia" w:ascii="宋体" w:hAnsi="宋体" w:eastAsia="宋体" w:cs="仿宋"/>
          <w:b/>
          <w:bCs/>
          <w:color w:val="auto"/>
          <w:sz w:val="24"/>
          <w:szCs w:val="24"/>
          <w:highlight w:val="none"/>
        </w:rPr>
        <w:t xml:space="preserve">  </w:t>
      </w:r>
      <w:r>
        <w:rPr>
          <w:rFonts w:hint="eastAsia" w:ascii="宋体" w:hAnsi="宋体" w:eastAsia="宋体" w:cs="仿宋"/>
          <w:color w:val="auto"/>
          <w:sz w:val="24"/>
          <w:szCs w:val="24"/>
          <w:highlight w:val="none"/>
        </w:rPr>
        <w:t>工程名称：</w:t>
      </w:r>
      <w:r>
        <w:rPr>
          <w:rFonts w:hint="eastAsia" w:ascii="宋体" w:hAnsi="宋体" w:eastAsia="宋体" w:cs="仿宋"/>
          <w:color w:val="auto"/>
          <w:sz w:val="24"/>
          <w:szCs w:val="24"/>
          <w:highlight w:val="none"/>
          <w:u w:val="single"/>
          <w:lang w:eastAsia="zh-CN"/>
        </w:rPr>
        <w:t>台州东茂观光农业开发有限公司202</w:t>
      </w:r>
      <w:r>
        <w:rPr>
          <w:rFonts w:hint="eastAsia" w:ascii="宋体" w:hAnsi="宋体" w:eastAsia="宋体" w:cs="仿宋"/>
          <w:color w:val="auto"/>
          <w:sz w:val="24"/>
          <w:szCs w:val="24"/>
          <w:highlight w:val="none"/>
          <w:u w:val="single"/>
          <w:lang w:val="en-US" w:eastAsia="zh-CN"/>
        </w:rPr>
        <w:t>4</w:t>
      </w:r>
      <w:r>
        <w:rPr>
          <w:rFonts w:hint="eastAsia" w:ascii="宋体" w:hAnsi="宋体" w:eastAsia="宋体" w:cs="仿宋"/>
          <w:color w:val="auto"/>
          <w:sz w:val="24"/>
          <w:szCs w:val="24"/>
          <w:highlight w:val="none"/>
          <w:u w:val="single"/>
          <w:lang w:eastAsia="zh-CN"/>
        </w:rPr>
        <w:t>年零星机械租赁项目</w:t>
      </w:r>
      <w:r>
        <w:rPr>
          <w:rFonts w:hint="eastAsia" w:ascii="宋体" w:hAnsi="宋体" w:eastAsia="宋体" w:cs="仿宋"/>
          <w:color w:val="auto"/>
          <w:sz w:val="24"/>
          <w:szCs w:val="24"/>
          <w:highlight w:val="none"/>
          <w:u w:val="single"/>
        </w:rPr>
        <w:t xml:space="preserve">  </w:t>
      </w:r>
    </w:p>
    <w:p>
      <w:pPr>
        <w:numPr>
          <w:ilvl w:val="0"/>
          <w:numId w:val="10"/>
        </w:num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：合同工期</w:t>
      </w:r>
    </w:p>
    <w:p>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rPr>
        <w:t>签订合同后</w:t>
      </w:r>
      <w:r>
        <w:rPr>
          <w:rFonts w:hint="eastAsia" w:ascii="宋体" w:hAnsi="宋体" w:eastAsia="宋体" w:cs="仿宋"/>
          <w:color w:val="auto"/>
          <w:sz w:val="24"/>
          <w:szCs w:val="24"/>
          <w:highlight w:val="none"/>
          <w:lang w:val="en-US" w:eastAsia="zh-CN"/>
        </w:rPr>
        <w:t>1年或累计实际结算金额达到</w:t>
      </w:r>
      <w:r>
        <w:rPr>
          <w:rFonts w:hint="eastAsia" w:ascii="宋体" w:hAnsi="宋体" w:cs="仿宋"/>
          <w:color w:val="auto"/>
          <w:sz w:val="24"/>
          <w:szCs w:val="24"/>
          <w:highlight w:val="none"/>
          <w:lang w:val="en-US" w:eastAsia="zh-CN"/>
        </w:rPr>
        <w:t>98万元</w:t>
      </w:r>
      <w:r>
        <w:rPr>
          <w:rFonts w:hint="eastAsia" w:ascii="宋体" w:hAnsi="宋体" w:eastAsia="宋体" w:cs="仿宋"/>
          <w:color w:val="auto"/>
          <w:sz w:val="24"/>
          <w:szCs w:val="24"/>
          <w:highlight w:val="none"/>
          <w:lang w:val="en-US" w:eastAsia="zh-CN"/>
        </w:rPr>
        <w:t xml:space="preserve">（以先到者为准） </w:t>
      </w:r>
    </w:p>
    <w:p>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三</w:t>
      </w:r>
      <w:r>
        <w:rPr>
          <w:rFonts w:hint="eastAsia" w:ascii="宋体" w:hAnsi="宋体" w:eastAsia="宋体" w:cs="仿宋"/>
          <w:b/>
          <w:bCs/>
          <w:color w:val="auto"/>
          <w:sz w:val="24"/>
          <w:szCs w:val="24"/>
          <w:highlight w:val="none"/>
        </w:rPr>
        <w:t>条：组成合同文件及解释顺序</w:t>
      </w:r>
    </w:p>
    <w:p>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组成本合同的文件及优先解释顺序如下：</w:t>
      </w:r>
    </w:p>
    <w:p>
      <w:pPr>
        <w:spacing w:line="360" w:lineRule="auto"/>
        <w:ind w:firstLine="720" w:firstLineChars="300"/>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1、中标通知书</w:t>
      </w:r>
    </w:p>
    <w:p>
      <w:pPr>
        <w:spacing w:line="360" w:lineRule="auto"/>
        <w:ind w:firstLine="720" w:firstLineChars="3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2、本合同；</w:t>
      </w:r>
    </w:p>
    <w:p>
      <w:pPr>
        <w:spacing w:line="360" w:lineRule="auto"/>
        <w:ind w:firstLine="480" w:firstLineChars="2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3、本合同附件（如有）；</w:t>
      </w:r>
    </w:p>
    <w:p>
      <w:pPr>
        <w:spacing w:line="360" w:lineRule="auto"/>
        <w:ind w:firstLine="480" w:firstLineChars="200"/>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4、</w:t>
      </w:r>
      <w:r>
        <w:rPr>
          <w:rFonts w:hint="eastAsia" w:ascii="宋体" w:hAnsi="宋体" w:eastAsia="宋体" w:cs="仿宋"/>
          <w:color w:val="auto"/>
          <w:sz w:val="24"/>
          <w:szCs w:val="24"/>
          <w:highlight w:val="none"/>
          <w:lang w:val="en-US" w:eastAsia="zh-CN"/>
        </w:rPr>
        <w:t>投</w:t>
      </w:r>
      <w:r>
        <w:rPr>
          <w:rFonts w:hint="eastAsia" w:ascii="宋体" w:hAnsi="宋体" w:eastAsia="宋体" w:cs="仿宋"/>
          <w:color w:val="auto"/>
          <w:sz w:val="24"/>
          <w:szCs w:val="24"/>
          <w:highlight w:val="none"/>
        </w:rPr>
        <w:t>标文件；</w:t>
      </w:r>
    </w:p>
    <w:p>
      <w:pPr>
        <w:spacing w:line="360" w:lineRule="auto"/>
        <w:ind w:firstLine="720" w:firstLineChars="3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5、</w:t>
      </w:r>
      <w:r>
        <w:rPr>
          <w:rFonts w:hint="eastAsia" w:ascii="宋体" w:hAnsi="宋体" w:eastAsia="宋体" w:cs="仿宋"/>
          <w:color w:val="auto"/>
          <w:sz w:val="24"/>
          <w:szCs w:val="24"/>
          <w:highlight w:val="none"/>
          <w:lang w:val="en-US" w:eastAsia="zh-CN"/>
        </w:rPr>
        <w:t>招</w:t>
      </w:r>
      <w:r>
        <w:rPr>
          <w:rFonts w:hint="eastAsia" w:ascii="宋体" w:hAnsi="宋体" w:eastAsia="宋体" w:cs="仿宋"/>
          <w:color w:val="auto"/>
          <w:sz w:val="24"/>
          <w:szCs w:val="24"/>
          <w:highlight w:val="none"/>
        </w:rPr>
        <w:t>标文件；</w:t>
      </w:r>
    </w:p>
    <w:p>
      <w:pPr>
        <w:spacing w:line="360" w:lineRule="auto"/>
        <w:ind w:firstLine="480" w:firstLineChars="2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注：上述文件应互为补充，在合同中出现含糊不清或不相一致时，按上述顺序解释，不能清楚解释时，在不影响工程正常施工进度的情况下由双方协商解决。</w:t>
      </w:r>
    </w:p>
    <w:p>
      <w:pPr>
        <w:spacing w:line="360" w:lineRule="auto"/>
        <w:ind w:firstLine="482" w:firstLineChars="200"/>
        <w:jc w:val="left"/>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四</w:t>
      </w:r>
      <w:r>
        <w:rPr>
          <w:rFonts w:hint="eastAsia" w:ascii="宋体" w:hAnsi="宋体" w:eastAsia="宋体" w:cs="仿宋"/>
          <w:b/>
          <w:bCs/>
          <w:color w:val="auto"/>
          <w:sz w:val="24"/>
          <w:szCs w:val="24"/>
          <w:highlight w:val="none"/>
        </w:rPr>
        <w:t>条：标准规范</w:t>
      </w:r>
    </w:p>
    <w:p>
      <w:pPr>
        <w:spacing w:line="360" w:lineRule="auto"/>
        <w:ind w:firstLine="480" w:firstLineChars="200"/>
        <w:jc w:val="left"/>
        <w:rPr>
          <w:rFonts w:hint="eastAsia" w:ascii="宋体" w:hAnsi="宋体" w:eastAsia="宋体" w:cs="仿宋"/>
          <w:color w:val="auto"/>
          <w:sz w:val="24"/>
          <w:szCs w:val="24"/>
          <w:highlight w:val="none"/>
          <w:u w:val="single"/>
          <w:lang w:eastAsia="zh-CN"/>
        </w:rPr>
      </w:pPr>
      <w:r>
        <w:rPr>
          <w:rFonts w:hint="eastAsia" w:ascii="宋体" w:hAnsi="宋体" w:eastAsia="宋体" w:cs="仿宋"/>
          <w:color w:val="auto"/>
          <w:sz w:val="24"/>
          <w:szCs w:val="24"/>
          <w:highlight w:val="none"/>
        </w:rPr>
        <w:t>本合同适用标准规范：</w:t>
      </w:r>
      <w:r>
        <w:rPr>
          <w:rFonts w:hint="eastAsia" w:ascii="宋体" w:hAnsi="宋体" w:eastAsia="宋体" w:cs="仿宋"/>
          <w:color w:val="auto"/>
          <w:sz w:val="24"/>
          <w:szCs w:val="24"/>
          <w:highlight w:val="none"/>
          <w:u w:val="single"/>
        </w:rPr>
        <w:t xml:space="preserve">/  </w:t>
      </w:r>
    </w:p>
    <w:p>
      <w:pPr>
        <w:spacing w:line="360" w:lineRule="auto"/>
        <w:ind w:firstLine="482" w:firstLineChars="200"/>
        <w:jc w:val="left"/>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五</w:t>
      </w:r>
      <w:r>
        <w:rPr>
          <w:rFonts w:hint="eastAsia" w:ascii="宋体" w:hAnsi="宋体" w:eastAsia="宋体" w:cs="仿宋"/>
          <w:b/>
          <w:bCs/>
          <w:color w:val="auto"/>
          <w:sz w:val="24"/>
          <w:szCs w:val="24"/>
          <w:highlight w:val="none"/>
        </w:rPr>
        <w:t>条：甲方责任和义务</w:t>
      </w:r>
    </w:p>
    <w:p>
      <w:pPr>
        <w:spacing w:line="360" w:lineRule="auto"/>
        <w:ind w:firstLine="480" w:firstLineChars="200"/>
        <w:jc w:val="both"/>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1、负责对机械设备租赁单位的工程质量、工期、文明施工的监督检查。</w:t>
      </w:r>
    </w:p>
    <w:p>
      <w:pPr>
        <w:spacing w:line="360" w:lineRule="auto"/>
        <w:ind w:firstLine="480" w:firstLineChars="200"/>
        <w:jc w:val="both"/>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2、负责与有关部门工作联系，协调现场工作关系。</w:t>
      </w:r>
    </w:p>
    <w:p>
      <w:pPr>
        <w:spacing w:line="360" w:lineRule="auto"/>
        <w:ind w:firstLine="480" w:firstLineChars="20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3、按本合同约定，负责租赁设备实际租赁工作时间签认，及时向乙方支付机械设备租赁款。</w:t>
      </w:r>
    </w:p>
    <w:p>
      <w:pPr>
        <w:spacing w:line="360" w:lineRule="auto"/>
        <w:ind w:firstLine="480" w:firstLineChars="20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4、协助乙方办理现场施工人员、设备出入证件。</w:t>
      </w:r>
    </w:p>
    <w:p>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六</w:t>
      </w:r>
      <w:r>
        <w:rPr>
          <w:rFonts w:hint="eastAsia" w:ascii="宋体" w:hAnsi="宋体" w:eastAsia="宋体" w:cs="仿宋"/>
          <w:b/>
          <w:bCs/>
          <w:color w:val="auto"/>
          <w:sz w:val="24"/>
          <w:szCs w:val="24"/>
          <w:highlight w:val="none"/>
        </w:rPr>
        <w:t>条：乙方责任和义务</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1、遵守国家政策和法律法规；遵守甲方的相关规章制度，做好安全、文明施工、环境和职业健康安全、劳动保护等工作。</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2、严格按照施工验收规范、有关技术要求及组织施工，确保工程质量达到约定的标准，对本合同承包范围内的工程质量向甲方负责；根据甲方的计划要求（包括调整后的计划），合理组织，科学安排作业计划，投入足够的机械设备。</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应按招标文件要求和承诺的操作人员机械设备保质保量到位。机械设备车辆必须符合国家有关法律法规要求，并经检测合格，操作机械设备车辆的相关人员必须按国家规定持证上岗，特殊工种必须有特种作业操作证，持证率达到100%。</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4、服从甲方的监督、检查、管理；接受甲方有关人员对质量、进度、技术、文明施工、环境保护等方面的管理：接受甲方随时检查其设备使用情况及其操作人员有效证件、持证上岗情况；</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5、进场施工人员要求具备思想素质好、身体健康、技术熟练等条件；禁止使用不法人员，乙方应承担因使用以上不合格人员而引起的责任和后果。</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6．密切配合甲方的施工生产，满足甲方施工要求。服从甲方施工人员的施工安排，但有权拒绝甲方的违章指挥。</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7、负责配备设备操作维护人员，负责设备的日常操作，日常的油料供应，机械维护保养和故障的处理，确保机械技术状态完好。乙方还应配备相应的指挥人员及安全管理人员。</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8、负责机械设备操作人员的工资及设备维修配件。</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9、与甲方共同办理机械设备的租费签认工作。</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10、负责工作期间租赁机械和操作司机的安全，严禁违章施工。在施工中因乙方原因造成的损失，乙方承担一切责任，甲方不承担任何责任及费用。</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11、乙方的操作人员应严格按照操作规程操作租赁机械，若使用过程中出现安全责任事故由乙方自行负责，甲方不承担任何责任及费用。</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12、负责租赁机械进出场运费，负责运输安全，承担运输费用及保险费。</w:t>
      </w:r>
    </w:p>
    <w:p>
      <w:pPr>
        <w:spacing w:line="360" w:lineRule="auto"/>
        <w:ind w:firstLine="480" w:firstLineChars="200"/>
        <w:jc w:val="both"/>
        <w:rPr>
          <w:rFonts w:hint="eastAsia" w:ascii="宋体" w:hAnsi="宋体" w:cs="仿宋"/>
          <w:color w:val="auto"/>
          <w:sz w:val="24"/>
          <w:szCs w:val="24"/>
          <w:highlight w:val="none"/>
          <w:u w:val="none"/>
          <w:lang w:val="en-US" w:eastAsia="zh-CN"/>
        </w:rPr>
      </w:pPr>
      <w:r>
        <w:rPr>
          <w:rFonts w:hint="eastAsia" w:ascii="宋体" w:hAnsi="宋体" w:eastAsia="宋体" w:cs="仿宋"/>
          <w:color w:val="auto"/>
          <w:sz w:val="24"/>
          <w:szCs w:val="24"/>
          <w:highlight w:val="none"/>
          <w:lang w:val="en-US" w:eastAsia="zh-CN"/>
        </w:rPr>
        <w:t>1</w:t>
      </w: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接到</w:t>
      </w:r>
      <w:r>
        <w:rPr>
          <w:rFonts w:hint="eastAsia" w:ascii="宋体" w:hAnsi="宋体" w:cs="仿宋"/>
          <w:color w:val="auto"/>
          <w:sz w:val="24"/>
          <w:szCs w:val="24"/>
          <w:highlight w:val="none"/>
          <w:lang w:val="en-US" w:eastAsia="zh-CN"/>
        </w:rPr>
        <w:t>甲方通知后</w:t>
      </w:r>
      <w:r>
        <w:rPr>
          <w:rFonts w:hint="eastAsia" w:ascii="宋体" w:hAnsi="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小时内响应、</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w:t>
      </w:r>
      <w:r>
        <w:rPr>
          <w:rFonts w:hint="default" w:ascii="宋体" w:hAnsi="宋体" w:cs="仿宋"/>
          <w:color w:val="auto"/>
          <w:sz w:val="24"/>
          <w:szCs w:val="24"/>
          <w:highlight w:val="none"/>
          <w:u w:val="none"/>
          <w:lang w:val="en-US" w:eastAsia="zh-CN"/>
        </w:rPr>
        <w:t>到场</w:t>
      </w:r>
      <w:r>
        <w:rPr>
          <w:rFonts w:hint="eastAsia" w:ascii="宋体" w:hAnsi="宋体" w:cs="仿宋"/>
          <w:color w:val="auto"/>
          <w:sz w:val="24"/>
          <w:szCs w:val="24"/>
          <w:highlight w:val="none"/>
          <w:u w:val="none"/>
          <w:lang w:val="en-US" w:eastAsia="zh-CN"/>
        </w:rPr>
        <w:t>。</w:t>
      </w:r>
    </w:p>
    <w:p>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七</w:t>
      </w:r>
      <w:r>
        <w:rPr>
          <w:rFonts w:hint="eastAsia" w:ascii="宋体" w:hAnsi="宋体" w:eastAsia="宋体" w:cs="仿宋"/>
          <w:b/>
          <w:bCs/>
          <w:color w:val="auto"/>
          <w:sz w:val="24"/>
          <w:szCs w:val="24"/>
          <w:highlight w:val="none"/>
        </w:rPr>
        <w:t>条：租赁机械的使用、维修、保养和费用</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1、租赁机械设备在租赁期内由乙方负责日常燃油、维修、保养，使设备保持良好状态，并承担由此产生的全部费用。</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2、租赁机械在安装、保管、使用等过程中发生的一切费用、税款，均由乙方承担。</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3、租赁机械进退场的费用由乙方承担。（在招标文件</w:t>
      </w:r>
      <w:r>
        <w:rPr>
          <w:rFonts w:hint="eastAsia" w:ascii="宋体" w:hAnsi="宋体" w:cs="仿宋"/>
          <w:color w:val="auto"/>
          <w:sz w:val="24"/>
          <w:szCs w:val="24"/>
          <w:highlight w:val="none"/>
          <w:lang w:val="en-US" w:eastAsia="zh-CN"/>
        </w:rPr>
        <w:t>第三章招标需求</w:t>
      </w:r>
      <w:r>
        <w:rPr>
          <w:rFonts w:hint="eastAsia" w:ascii="宋体" w:hAnsi="宋体" w:eastAsia="宋体" w:cs="仿宋"/>
          <w:color w:val="auto"/>
          <w:sz w:val="24"/>
          <w:szCs w:val="24"/>
          <w:highlight w:val="none"/>
          <w:lang w:val="en-US" w:eastAsia="zh-CN"/>
        </w:rPr>
        <w:t>备注另有约定的按照约定执行）</w:t>
      </w:r>
    </w:p>
    <w:p>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八</w:t>
      </w:r>
      <w:r>
        <w:rPr>
          <w:rFonts w:hint="eastAsia" w:ascii="宋体" w:hAnsi="宋体" w:eastAsia="宋体" w:cs="仿宋"/>
          <w:b/>
          <w:bCs/>
          <w:color w:val="auto"/>
          <w:sz w:val="24"/>
          <w:szCs w:val="24"/>
          <w:highlight w:val="none"/>
        </w:rPr>
        <w:t>条：环境保护、安全生产和文明施工</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1、乙方应经常性组织对进场施工人员进行安全生产、文明施工、环境保护以及相关制度等方面的教育；依据国家法律法规及公司相关规章制度、监督、监控相关工作实施情况，使其体系有效运行。</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安全措施不力、人员管理不到位及违章操作等原因造成事故，一切责任后果和经济费用均有乙方承担。发生安全事故，乙方应按有关规定立即上报甲方以及各有关部门，同时按国家有关法律规定对事故进行处理。</w:t>
      </w:r>
    </w:p>
    <w:p>
      <w:pPr>
        <w:spacing w:line="360" w:lineRule="auto"/>
        <w:ind w:firstLine="542" w:firstLineChars="225"/>
        <w:rPr>
          <w:rFonts w:hint="eastAsia"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九</w:t>
      </w:r>
      <w:r>
        <w:rPr>
          <w:rFonts w:hint="eastAsia" w:ascii="宋体" w:hAnsi="宋体" w:eastAsia="宋体" w:cs="仿宋"/>
          <w:b/>
          <w:bCs/>
          <w:color w:val="auto"/>
          <w:sz w:val="24"/>
          <w:szCs w:val="24"/>
          <w:highlight w:val="none"/>
        </w:rPr>
        <w:t>条：租赁方式及设备的所有权</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1．租赁方式：机械设备由乙方配备专门的操作人员、指挥人员及安全管理人员，负责设备的操作、指挥、安全管理和维护保养工作。</w:t>
      </w:r>
    </w:p>
    <w:p>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2．租赁设备的所有权：合同附件所列租赁设备的所有权属于乙方，承租方对租赁机械只享有租赁期间的使用权，不拥有设备的所有权。</w:t>
      </w:r>
    </w:p>
    <w:p>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第十条：</w:t>
      </w:r>
      <w:r>
        <w:rPr>
          <w:rFonts w:hint="eastAsia" w:ascii="宋体" w:hAnsi="宋体" w:eastAsia="宋体" w:cs="仿宋"/>
          <w:b/>
          <w:bCs/>
          <w:color w:val="auto"/>
          <w:sz w:val="24"/>
          <w:szCs w:val="24"/>
          <w:highlight w:val="none"/>
          <w:lang w:eastAsia="zh-CN"/>
        </w:rPr>
        <w:t>费用结算</w:t>
      </w:r>
      <w:r>
        <w:rPr>
          <w:rFonts w:hint="eastAsia" w:ascii="宋体" w:hAnsi="宋体" w:eastAsia="宋体" w:cs="仿宋"/>
          <w:b/>
          <w:bCs/>
          <w:color w:val="auto"/>
          <w:sz w:val="24"/>
          <w:szCs w:val="24"/>
          <w:highlight w:val="none"/>
        </w:rPr>
        <w:t>规则</w:t>
      </w:r>
    </w:p>
    <w:p>
      <w:pPr>
        <w:spacing w:line="360" w:lineRule="auto"/>
        <w:ind w:firstLine="482" w:firstLineChars="200"/>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1、结算租赁费=按招标文件约定的各种机械设备租赁固定单价*经甲方核定的各种机械设备租赁实际租赁台班量*</w:t>
      </w:r>
      <w:r>
        <w:rPr>
          <w:rFonts w:hint="eastAsia" w:ascii="宋体" w:hAnsi="宋体" w:eastAsia="宋体" w:cs="仿宋"/>
          <w:b/>
          <w:bCs/>
          <w:color w:val="auto"/>
          <w:sz w:val="24"/>
          <w:szCs w:val="24"/>
          <w:highlight w:val="none"/>
          <w:lang w:eastAsia="zh-CN"/>
        </w:rPr>
        <w:t>结算率</w:t>
      </w:r>
      <w:r>
        <w:rPr>
          <w:rFonts w:hint="eastAsia" w:ascii="宋体" w:hAnsi="宋体" w:eastAsia="宋体" w:cs="仿宋"/>
          <w:b/>
          <w:bCs/>
          <w:color w:val="auto"/>
          <w:sz w:val="24"/>
          <w:szCs w:val="24"/>
          <w:highlight w:val="none"/>
        </w:rPr>
        <w:t>。</w:t>
      </w:r>
    </w:p>
    <w:p>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一</w:t>
      </w:r>
      <w:r>
        <w:rPr>
          <w:rFonts w:hint="eastAsia" w:ascii="宋体" w:hAnsi="宋体" w:eastAsia="宋体" w:cs="仿宋"/>
          <w:b/>
          <w:bCs/>
          <w:color w:val="auto"/>
          <w:sz w:val="24"/>
          <w:szCs w:val="24"/>
          <w:highlight w:val="none"/>
        </w:rPr>
        <w:t>条：结算办法及付款方式</w:t>
      </w:r>
    </w:p>
    <w:p>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1、租赁费按每月实际完成台班量支付，乙方每月应根据实际完成并经甲方签字确认的台班量于</w:t>
      </w:r>
      <w:r>
        <w:rPr>
          <w:rFonts w:hint="eastAsia" w:ascii="宋体" w:hAnsi="宋体" w:eastAsia="宋体" w:cs="仿宋"/>
          <w:b/>
          <w:bCs/>
          <w:color w:val="auto"/>
          <w:sz w:val="24"/>
          <w:szCs w:val="24"/>
          <w:highlight w:val="none"/>
          <w:lang w:eastAsia="zh-CN"/>
        </w:rPr>
        <w:t>次</w:t>
      </w:r>
      <w:r>
        <w:rPr>
          <w:rFonts w:hint="eastAsia" w:ascii="宋体" w:hAnsi="宋体" w:eastAsia="宋体" w:cs="仿宋"/>
          <w:b/>
          <w:bCs/>
          <w:color w:val="auto"/>
          <w:sz w:val="24"/>
          <w:szCs w:val="24"/>
          <w:highlight w:val="none"/>
        </w:rPr>
        <w:t>月</w:t>
      </w:r>
      <w:r>
        <w:rPr>
          <w:rFonts w:hint="eastAsia" w:ascii="宋体" w:hAnsi="宋体" w:eastAsia="宋体" w:cs="仿宋"/>
          <w:b/>
          <w:bCs/>
          <w:color w:val="auto"/>
          <w:sz w:val="24"/>
          <w:szCs w:val="24"/>
          <w:highlight w:val="none"/>
          <w:lang w:val="en-US" w:eastAsia="zh-CN"/>
        </w:rPr>
        <w:t>15</w:t>
      </w:r>
      <w:r>
        <w:rPr>
          <w:rFonts w:hint="eastAsia" w:ascii="宋体" w:hAnsi="宋体" w:eastAsia="宋体" w:cs="仿宋"/>
          <w:b/>
          <w:bCs/>
          <w:color w:val="auto"/>
          <w:sz w:val="24"/>
          <w:szCs w:val="24"/>
          <w:highlight w:val="none"/>
        </w:rPr>
        <w:t>日结算</w:t>
      </w:r>
      <w:r>
        <w:rPr>
          <w:rFonts w:hint="eastAsia" w:ascii="宋体" w:hAnsi="宋体" w:eastAsia="宋体" w:cs="仿宋"/>
          <w:b/>
          <w:bCs/>
          <w:color w:val="auto"/>
          <w:sz w:val="24"/>
          <w:szCs w:val="24"/>
          <w:highlight w:val="none"/>
          <w:lang w:eastAsia="zh-CN"/>
        </w:rPr>
        <w:t>上</w:t>
      </w:r>
      <w:r>
        <w:rPr>
          <w:rFonts w:hint="eastAsia" w:ascii="宋体" w:hAnsi="宋体" w:eastAsia="宋体" w:cs="仿宋"/>
          <w:b/>
          <w:bCs/>
          <w:color w:val="auto"/>
          <w:sz w:val="24"/>
          <w:szCs w:val="24"/>
          <w:highlight w:val="none"/>
        </w:rPr>
        <w:t>期租赁费的100%（遇节假日或双休日顺延）。若遇春节，可根据具体情况作微调，以保证在春节前结算一次。春节后，调整为</w:t>
      </w:r>
      <w:r>
        <w:rPr>
          <w:rFonts w:hint="eastAsia" w:ascii="宋体" w:hAnsi="宋体" w:eastAsia="宋体" w:cs="仿宋"/>
          <w:b/>
          <w:bCs/>
          <w:color w:val="auto"/>
          <w:sz w:val="24"/>
          <w:szCs w:val="24"/>
          <w:highlight w:val="none"/>
          <w:lang w:eastAsia="zh-CN"/>
        </w:rPr>
        <w:t>次</w:t>
      </w:r>
      <w:r>
        <w:rPr>
          <w:rFonts w:hint="eastAsia" w:ascii="宋体" w:hAnsi="宋体" w:eastAsia="宋体" w:cs="仿宋"/>
          <w:b/>
          <w:bCs/>
          <w:color w:val="auto"/>
          <w:sz w:val="24"/>
          <w:szCs w:val="24"/>
          <w:highlight w:val="none"/>
        </w:rPr>
        <w:t>月</w:t>
      </w:r>
      <w:r>
        <w:rPr>
          <w:rFonts w:hint="eastAsia" w:ascii="宋体" w:hAnsi="宋体" w:eastAsia="宋体" w:cs="仿宋"/>
          <w:b/>
          <w:bCs/>
          <w:color w:val="auto"/>
          <w:sz w:val="24"/>
          <w:szCs w:val="24"/>
          <w:highlight w:val="none"/>
          <w:lang w:val="en-US" w:eastAsia="zh-CN"/>
        </w:rPr>
        <w:t>15</w:t>
      </w:r>
      <w:r>
        <w:rPr>
          <w:rFonts w:hint="eastAsia" w:ascii="宋体" w:hAnsi="宋体" w:eastAsia="宋体" w:cs="仿宋"/>
          <w:b/>
          <w:bCs/>
          <w:color w:val="auto"/>
          <w:sz w:val="24"/>
          <w:szCs w:val="24"/>
          <w:highlight w:val="none"/>
        </w:rPr>
        <w:t>日结算。</w:t>
      </w:r>
    </w:p>
    <w:p>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2、乙方收取每期</w:t>
      </w:r>
      <w:r>
        <w:rPr>
          <w:rFonts w:hint="eastAsia" w:ascii="宋体" w:hAnsi="宋体" w:eastAsia="宋体" w:cs="仿宋"/>
          <w:b/>
          <w:bCs/>
          <w:color w:val="auto"/>
          <w:sz w:val="24"/>
          <w:szCs w:val="24"/>
          <w:highlight w:val="none"/>
          <w:lang w:eastAsia="zh-CN"/>
        </w:rPr>
        <w:t>服务费</w:t>
      </w:r>
      <w:r>
        <w:rPr>
          <w:rFonts w:hint="eastAsia" w:ascii="宋体" w:hAnsi="宋体" w:eastAsia="宋体" w:cs="仿宋"/>
          <w:b/>
          <w:bCs/>
          <w:color w:val="auto"/>
          <w:sz w:val="24"/>
          <w:szCs w:val="24"/>
          <w:highlight w:val="none"/>
        </w:rPr>
        <w:t>时应开具正式发票（增值税普通发票或专用发票由甲方确定）。</w:t>
      </w:r>
    </w:p>
    <w:p>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3、甲方向乙方支付的所有</w:t>
      </w:r>
      <w:r>
        <w:rPr>
          <w:rFonts w:hint="eastAsia" w:ascii="宋体" w:hAnsi="宋体" w:eastAsia="宋体" w:cs="仿宋"/>
          <w:b/>
          <w:bCs/>
          <w:color w:val="auto"/>
          <w:sz w:val="24"/>
          <w:szCs w:val="24"/>
          <w:highlight w:val="none"/>
          <w:lang w:eastAsia="zh-CN"/>
        </w:rPr>
        <w:t>服务费</w:t>
      </w:r>
      <w:r>
        <w:rPr>
          <w:rFonts w:hint="eastAsia" w:ascii="宋体" w:hAnsi="宋体" w:eastAsia="宋体" w:cs="仿宋"/>
          <w:b/>
          <w:bCs/>
          <w:color w:val="auto"/>
          <w:sz w:val="24"/>
          <w:szCs w:val="24"/>
          <w:highlight w:val="none"/>
        </w:rPr>
        <w:t>均须汇入协议书中指定的承包人银行账户。</w:t>
      </w:r>
    </w:p>
    <w:p>
      <w:pPr>
        <w:spacing w:line="360" w:lineRule="auto"/>
        <w:ind w:firstLine="241" w:firstLineChars="100"/>
        <w:rPr>
          <w:rFonts w:hint="eastAsia" w:ascii="宋体" w:hAnsi="宋体" w:eastAsia="宋体"/>
          <w:color w:val="auto"/>
          <w:sz w:val="24"/>
          <w:szCs w:val="24"/>
          <w:highlight w:val="none"/>
        </w:rPr>
      </w:pPr>
      <w:r>
        <w:rPr>
          <w:rFonts w:hint="eastAsia" w:ascii="宋体" w:hAnsi="宋体" w:eastAsia="宋体" w:cs="仿宋"/>
          <w:b/>
          <w:bCs/>
          <w:color w:val="auto"/>
          <w:sz w:val="24"/>
          <w:szCs w:val="24"/>
          <w:highlight w:val="none"/>
        </w:rPr>
        <w:t xml:space="preserve">  第十</w:t>
      </w:r>
      <w:r>
        <w:rPr>
          <w:rFonts w:hint="eastAsia" w:ascii="宋体" w:hAnsi="宋体" w:eastAsia="宋体" w:cs="仿宋"/>
          <w:b/>
          <w:bCs/>
          <w:color w:val="auto"/>
          <w:sz w:val="24"/>
          <w:szCs w:val="24"/>
          <w:highlight w:val="none"/>
          <w:lang w:val="en-US" w:eastAsia="zh-CN"/>
        </w:rPr>
        <w:t>二</w:t>
      </w:r>
      <w:r>
        <w:rPr>
          <w:rFonts w:hint="eastAsia" w:ascii="宋体" w:hAnsi="宋体" w:eastAsia="宋体" w:cs="仿宋"/>
          <w:b/>
          <w:bCs/>
          <w:color w:val="auto"/>
          <w:sz w:val="24"/>
          <w:szCs w:val="24"/>
          <w:highlight w:val="none"/>
        </w:rPr>
        <w:t>条：违约责任</w:t>
      </w:r>
    </w:p>
    <w:p>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1、甲方在对乙方提出使用租赁设备通知后及时提供所需的机械设备，如乙方在2天内不能按甲方要求提供所需机械设备的，承租方有权选择其他单位或个人提供所需的机械设备，费用由乙方承担，甲方可对本次合同提出解除要求。</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2、未经对方书面同意，任何一方不得中途变更或解除本合同；任何一方违反本合同约定，都应向对方偿付10000元的违约金。</w:t>
      </w:r>
    </w:p>
    <w:p>
      <w:pPr>
        <w:spacing w:line="360" w:lineRule="auto"/>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 xml:space="preserve">   </w:t>
      </w: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接到</w:t>
      </w:r>
      <w:r>
        <w:rPr>
          <w:rFonts w:hint="eastAsia" w:ascii="宋体" w:hAnsi="宋体" w:cs="仿宋"/>
          <w:color w:val="auto"/>
          <w:sz w:val="24"/>
          <w:szCs w:val="24"/>
          <w:highlight w:val="none"/>
          <w:lang w:val="en-US" w:eastAsia="zh-CN"/>
        </w:rPr>
        <w:t>甲方通知后</w:t>
      </w:r>
      <w:r>
        <w:rPr>
          <w:rFonts w:hint="eastAsia" w:ascii="宋体" w:hAnsi="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小时内响应、</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w:t>
      </w:r>
      <w:r>
        <w:rPr>
          <w:rFonts w:hint="default" w:ascii="宋体" w:hAnsi="宋体" w:cs="仿宋"/>
          <w:color w:val="auto"/>
          <w:sz w:val="24"/>
          <w:szCs w:val="24"/>
          <w:highlight w:val="none"/>
          <w:u w:val="none"/>
          <w:lang w:val="en-US" w:eastAsia="zh-CN"/>
        </w:rPr>
        <w:t>到场</w:t>
      </w:r>
      <w:r>
        <w:rPr>
          <w:rFonts w:hint="eastAsia" w:ascii="宋体" w:hAnsi="宋体" w:cs="仿宋"/>
          <w:color w:val="auto"/>
          <w:sz w:val="24"/>
          <w:szCs w:val="24"/>
          <w:highlight w:val="none"/>
          <w:u w:val="none"/>
          <w:lang w:val="en-US" w:eastAsia="zh-CN"/>
        </w:rPr>
        <w:t>。乙方未能按时到场的，甲方有权解除合同，并向乙方索赔因此造成的所有损失，甲方亦可不解除合同，而要求乙方每次向甲方支付违约金2000元，并要求乙方重新补足履约保证金。</w:t>
      </w:r>
      <w:r>
        <w:rPr>
          <w:rFonts w:hint="eastAsia" w:ascii="宋体" w:hAnsi="宋体" w:eastAsia="宋体" w:cs="仿宋"/>
          <w:b/>
          <w:bCs/>
          <w:color w:val="auto"/>
          <w:sz w:val="24"/>
          <w:szCs w:val="24"/>
          <w:highlight w:val="none"/>
        </w:rPr>
        <w:t xml:space="preserve"> </w:t>
      </w:r>
    </w:p>
    <w:p>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三</w:t>
      </w:r>
      <w:r>
        <w:rPr>
          <w:rFonts w:hint="eastAsia" w:ascii="宋体" w:hAnsi="宋体" w:eastAsia="宋体" w:cs="仿宋"/>
          <w:b/>
          <w:bCs/>
          <w:color w:val="auto"/>
          <w:sz w:val="24"/>
          <w:szCs w:val="24"/>
          <w:highlight w:val="none"/>
        </w:rPr>
        <w:t>条：争议</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1、甲、乙双方在履行合同时发生争议，可以自行协商解决或请甲方上级部门协调解决；否则，双方应在合同签订所在地人民法院解决。</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2、发生争议后，除非出现下列情况，双方都应继续履行合同，保持工作连续，保护好已完工作成果；</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2．1单方违约导致合同确已无法履行，双方协议终止合同；</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2．2调解要求停止合同工作，且为双方接受；</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法院要求停止合同工作。</w:t>
      </w:r>
    </w:p>
    <w:p>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四</w:t>
      </w:r>
      <w:r>
        <w:rPr>
          <w:rFonts w:hint="eastAsia" w:ascii="宋体" w:hAnsi="宋体" w:eastAsia="宋体" w:cs="仿宋"/>
          <w:b/>
          <w:bCs/>
          <w:color w:val="auto"/>
          <w:sz w:val="24"/>
          <w:szCs w:val="24"/>
          <w:highlight w:val="none"/>
        </w:rPr>
        <w:t>条：合同履约保证金</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w:t>
      </w:r>
      <w:r>
        <w:rPr>
          <w:rFonts w:hint="eastAsia" w:ascii="宋体" w:hAnsi="宋体" w:eastAsia="宋体"/>
          <w:b/>
          <w:bCs/>
          <w:color w:val="auto"/>
          <w:sz w:val="24"/>
          <w:szCs w:val="24"/>
          <w:highlight w:val="none"/>
        </w:rPr>
        <w:t>乙方在合同签订前向甲方缴纳合同履约保证金贰万元</w:t>
      </w:r>
      <w:r>
        <w:rPr>
          <w:rFonts w:hint="eastAsia" w:ascii="宋体" w:hAnsi="宋体"/>
          <w:b/>
          <w:bCs/>
          <w:color w:val="auto"/>
          <w:sz w:val="24"/>
          <w:szCs w:val="24"/>
          <w:highlight w:val="none"/>
          <w:lang w:val="en-US" w:eastAsia="zh-CN"/>
        </w:rPr>
        <w:t>或履约保函</w:t>
      </w:r>
      <w:r>
        <w:rPr>
          <w:rFonts w:hint="eastAsia" w:ascii="宋体" w:hAnsi="宋体" w:eastAsia="宋体"/>
          <w:color w:val="auto"/>
          <w:sz w:val="24"/>
          <w:szCs w:val="24"/>
          <w:highlight w:val="none"/>
        </w:rPr>
        <w:t>。</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w:t>
      </w:r>
      <w:r>
        <w:rPr>
          <w:rFonts w:hint="eastAsia" w:ascii="宋体" w:hAnsi="宋体" w:eastAsia="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年零星机械租赁合同服务期限到期，乙方承诺已结清全部人员工资，未发生劳务纠纷后7天内退还。</w:t>
      </w:r>
    </w:p>
    <w:p>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cs="仿宋"/>
          <w:b/>
          <w:bCs/>
          <w:color w:val="auto"/>
          <w:sz w:val="24"/>
          <w:szCs w:val="24"/>
          <w:highlight w:val="none"/>
        </w:rPr>
        <w:t xml:space="preserve">  第十</w:t>
      </w:r>
      <w:r>
        <w:rPr>
          <w:rFonts w:hint="eastAsia" w:ascii="宋体" w:hAnsi="宋体" w:eastAsia="宋体" w:cs="仿宋"/>
          <w:b/>
          <w:bCs/>
          <w:color w:val="auto"/>
          <w:sz w:val="24"/>
          <w:szCs w:val="24"/>
          <w:highlight w:val="none"/>
          <w:lang w:val="en-US" w:eastAsia="zh-CN"/>
        </w:rPr>
        <w:t>五</w:t>
      </w:r>
      <w:r>
        <w:rPr>
          <w:rFonts w:hint="eastAsia" w:ascii="宋体" w:hAnsi="宋体" w:eastAsia="宋体" w:cs="仿宋"/>
          <w:b/>
          <w:bCs/>
          <w:color w:val="auto"/>
          <w:sz w:val="24"/>
          <w:szCs w:val="24"/>
          <w:highlight w:val="none"/>
        </w:rPr>
        <w:t>条：不可抗力</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1、不可抗力事件发生后，乙方应立即通知甲方，并在力所能及的条件下迅速采取措施，尽力减少损失，甲方应协助乙方采取措施。</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、因不可抗力事件延误的工作时间相</w:t>
      </w:r>
      <w:r>
        <w:rPr>
          <w:rFonts w:hint="eastAsia" w:ascii="宋体" w:hAnsi="宋体" w:eastAsia="宋体"/>
          <w:color w:val="auto"/>
          <w:sz w:val="24"/>
          <w:szCs w:val="24"/>
          <w:highlight w:val="none"/>
          <w:lang w:val="en-US" w:eastAsia="zh-CN"/>
        </w:rPr>
        <w:t>应</w:t>
      </w:r>
      <w:r>
        <w:rPr>
          <w:rFonts w:hint="eastAsia" w:ascii="宋体" w:hAnsi="宋体" w:eastAsia="宋体"/>
          <w:color w:val="auto"/>
          <w:sz w:val="24"/>
          <w:szCs w:val="24"/>
          <w:highlight w:val="none"/>
        </w:rPr>
        <w:t>顺延。</w:t>
      </w:r>
    </w:p>
    <w:p>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、因合同一方迟延履行合同后发生不可抗力的，不能免除迟延履行方的相应责任。</w:t>
      </w:r>
    </w:p>
    <w:p>
      <w:pPr>
        <w:spacing w:line="360" w:lineRule="auto"/>
        <w:ind w:firstLine="482" w:firstLineChars="20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第十</w:t>
      </w:r>
      <w:r>
        <w:rPr>
          <w:rFonts w:hint="eastAsia" w:ascii="宋体" w:hAnsi="宋体" w:eastAsia="宋体"/>
          <w:b/>
          <w:bCs/>
          <w:color w:val="auto"/>
          <w:sz w:val="24"/>
          <w:szCs w:val="24"/>
          <w:highlight w:val="none"/>
          <w:lang w:val="en-US" w:eastAsia="zh-CN"/>
        </w:rPr>
        <w:t>六</w:t>
      </w:r>
      <w:r>
        <w:rPr>
          <w:rFonts w:hint="eastAsia" w:ascii="宋体" w:hAnsi="宋体" w:eastAsia="宋体"/>
          <w:b/>
          <w:bCs/>
          <w:color w:val="auto"/>
          <w:sz w:val="24"/>
          <w:szCs w:val="24"/>
          <w:highlight w:val="none"/>
        </w:rPr>
        <w:t>条：合同解除</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1、如因不可抗力致使本合同无法履行、或因一方违约或因</w:t>
      </w:r>
      <w:r>
        <w:rPr>
          <w:rFonts w:hint="eastAsia" w:ascii="宋体" w:hAnsi="宋体"/>
          <w:color w:val="auto"/>
          <w:sz w:val="24"/>
          <w:szCs w:val="24"/>
          <w:highlight w:val="none"/>
          <w:lang w:eastAsia="zh-CN"/>
        </w:rPr>
        <w:t>甲方</w:t>
      </w:r>
      <w:r>
        <w:rPr>
          <w:rFonts w:hint="eastAsia" w:ascii="宋体" w:hAnsi="宋体" w:eastAsia="宋体"/>
          <w:color w:val="auto"/>
          <w:sz w:val="24"/>
          <w:szCs w:val="24"/>
          <w:highlight w:val="none"/>
        </w:rPr>
        <w:t>方原因造成工程停建或缓建，致使合同无法履行的，可以解除合同。</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2、因不可抗力或</w:t>
      </w:r>
      <w:r>
        <w:rPr>
          <w:rFonts w:hint="eastAsia" w:ascii="宋体" w:hAnsi="宋体"/>
          <w:color w:val="auto"/>
          <w:sz w:val="24"/>
          <w:szCs w:val="24"/>
          <w:highlight w:val="none"/>
          <w:lang w:eastAsia="zh-CN"/>
        </w:rPr>
        <w:t>甲方</w:t>
      </w:r>
      <w:r>
        <w:rPr>
          <w:rFonts w:hint="eastAsia" w:ascii="宋体" w:hAnsi="宋体" w:eastAsia="宋体"/>
          <w:color w:val="auto"/>
          <w:sz w:val="24"/>
          <w:szCs w:val="24"/>
          <w:highlight w:val="none"/>
        </w:rPr>
        <w:t>原因造成合同解除，乙方就妥善做好已完工程和剩余材料、设备的保护和移交工作，按要求撤出施工场地；甲方按合同约定支付已完工作租赁费。</w:t>
      </w:r>
    </w:p>
    <w:p>
      <w:pPr>
        <w:spacing w:line="360" w:lineRule="auto"/>
        <w:rPr>
          <w:rFonts w:hint="eastAsia" w:ascii="宋体" w:hAnsi="宋体" w:eastAsia="宋体"/>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b/>
          <w:bCs/>
          <w:color w:val="auto"/>
          <w:sz w:val="24"/>
          <w:szCs w:val="24"/>
          <w:highlight w:val="none"/>
        </w:rPr>
        <w:t xml:space="preserve">   第</w:t>
      </w:r>
      <w:r>
        <w:rPr>
          <w:rFonts w:hint="eastAsia" w:ascii="宋体" w:hAnsi="宋体" w:eastAsia="宋体"/>
          <w:b/>
          <w:bCs/>
          <w:color w:val="auto"/>
          <w:sz w:val="24"/>
          <w:szCs w:val="24"/>
          <w:highlight w:val="none"/>
          <w:lang w:val="en-US" w:eastAsia="zh-CN"/>
        </w:rPr>
        <w:t>十七</w:t>
      </w:r>
      <w:r>
        <w:rPr>
          <w:rFonts w:hint="eastAsia" w:ascii="宋体" w:hAnsi="宋体" w:eastAsia="宋体"/>
          <w:b/>
          <w:bCs/>
          <w:color w:val="auto"/>
          <w:sz w:val="24"/>
          <w:szCs w:val="24"/>
          <w:highlight w:val="none"/>
        </w:rPr>
        <w:t>条：合同终止</w:t>
      </w:r>
    </w:p>
    <w:p>
      <w:pPr>
        <w:spacing w:line="360" w:lineRule="auto"/>
        <w:rPr>
          <w:rFonts w:hint="eastAsia" w:ascii="宋体" w:hAnsi="宋体" w:eastAsia="宋体" w:cs="Times New Roman"/>
          <w:color w:val="auto"/>
          <w:sz w:val="24"/>
          <w:szCs w:val="24"/>
          <w:highlight w:val="none"/>
          <w:u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u w:val="none"/>
        </w:rPr>
        <w:t xml:space="preserve"> </w:t>
      </w:r>
      <w:r>
        <w:rPr>
          <w:rFonts w:hint="eastAsia" w:ascii="宋体" w:hAnsi="宋体" w:eastAsia="宋体" w:cs="Times New Roman"/>
          <w:color w:val="auto"/>
          <w:sz w:val="24"/>
          <w:szCs w:val="24"/>
          <w:highlight w:val="none"/>
          <w:u w:val="none"/>
        </w:rPr>
        <w:t>触动以下任一条件合同自动终止：</w:t>
      </w:r>
    </w:p>
    <w:p>
      <w:pPr>
        <w:spacing w:line="360" w:lineRule="auto"/>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 xml:space="preserve">    1、双方履行合同全部义务，合同约定时间到期，设备租赁款支付完毕，本合同即告终止。</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Times New Roman"/>
          <w:color w:val="auto"/>
          <w:sz w:val="24"/>
          <w:szCs w:val="24"/>
          <w:highlight w:val="none"/>
          <w:u w:val="none"/>
        </w:rPr>
        <w:t>2、累计实际结算金额达到</w:t>
      </w:r>
      <w:r>
        <w:rPr>
          <w:rFonts w:hint="eastAsia" w:ascii="宋体" w:hAnsi="宋体" w:cs="Times New Roman"/>
          <w:color w:val="auto"/>
          <w:sz w:val="24"/>
          <w:szCs w:val="24"/>
          <w:highlight w:val="none"/>
          <w:u w:val="none"/>
          <w:lang w:val="en-US" w:eastAsia="zh-CN"/>
        </w:rPr>
        <w:t>98</w:t>
      </w:r>
      <w:r>
        <w:rPr>
          <w:rFonts w:hint="eastAsia" w:ascii="宋体" w:hAnsi="宋体" w:eastAsia="宋体" w:cs="Times New Roman"/>
          <w:color w:val="auto"/>
          <w:sz w:val="24"/>
          <w:szCs w:val="24"/>
          <w:highlight w:val="none"/>
          <w:u w:val="none"/>
        </w:rPr>
        <w:t>万时，合同自动终止。</w:t>
      </w:r>
    </w:p>
    <w:p>
      <w:pPr>
        <w:spacing w:line="360" w:lineRule="auto"/>
        <w:ind w:firstLine="48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第</w:t>
      </w:r>
      <w:r>
        <w:rPr>
          <w:rFonts w:hint="eastAsia" w:ascii="宋体" w:hAnsi="宋体" w:eastAsia="宋体"/>
          <w:b/>
          <w:bCs/>
          <w:color w:val="auto"/>
          <w:sz w:val="24"/>
          <w:szCs w:val="24"/>
          <w:highlight w:val="none"/>
          <w:lang w:val="en-US" w:eastAsia="zh-CN"/>
        </w:rPr>
        <w:t>十八</w:t>
      </w:r>
      <w:r>
        <w:rPr>
          <w:rFonts w:hint="eastAsia" w:ascii="宋体" w:hAnsi="宋体" w:eastAsia="宋体"/>
          <w:b/>
          <w:bCs/>
          <w:color w:val="auto"/>
          <w:sz w:val="24"/>
          <w:szCs w:val="24"/>
          <w:highlight w:val="none"/>
        </w:rPr>
        <w:t>条：合同生效</w:t>
      </w:r>
    </w:p>
    <w:p>
      <w:pPr>
        <w:spacing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本合同双方约定双方签字盖章后生效。</w:t>
      </w:r>
    </w:p>
    <w:p>
      <w:pPr>
        <w:spacing w:line="360" w:lineRule="auto"/>
        <w:rPr>
          <w:rFonts w:hint="eastAsia" w:ascii="宋体" w:hAnsi="宋体" w:eastAsia="宋体"/>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b/>
          <w:bCs/>
          <w:color w:val="auto"/>
          <w:sz w:val="24"/>
          <w:szCs w:val="24"/>
          <w:highlight w:val="none"/>
        </w:rPr>
        <w:t>第</w:t>
      </w:r>
      <w:r>
        <w:rPr>
          <w:rFonts w:hint="eastAsia" w:ascii="宋体" w:hAnsi="宋体" w:eastAsia="宋体"/>
          <w:b/>
          <w:bCs/>
          <w:color w:val="auto"/>
          <w:sz w:val="24"/>
          <w:szCs w:val="24"/>
          <w:highlight w:val="none"/>
          <w:lang w:val="en-US" w:eastAsia="zh-CN"/>
        </w:rPr>
        <w:t>十九</w:t>
      </w:r>
      <w:r>
        <w:rPr>
          <w:rFonts w:hint="eastAsia" w:ascii="宋体" w:hAnsi="宋体" w:eastAsia="宋体"/>
          <w:b/>
          <w:bCs/>
          <w:color w:val="auto"/>
          <w:sz w:val="24"/>
          <w:szCs w:val="24"/>
          <w:highlight w:val="none"/>
        </w:rPr>
        <w:t>条：未尽事宜，双方另行协商解决，本协议壹式肆份，甲乙双方各执两份，双方签字盖章后生效。</w:t>
      </w:r>
    </w:p>
    <w:p>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合同签订时间：       年       月        日</w:t>
      </w:r>
    </w:p>
    <w:p>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合同签订地点：                            </w:t>
      </w:r>
    </w:p>
    <w:p>
      <w:pPr>
        <w:pStyle w:val="25"/>
        <w:rPr>
          <w:rFonts w:hint="eastAsia"/>
          <w:color w:val="auto"/>
          <w:highlight w:val="none"/>
          <w:lang w:eastAsia="zh-CN"/>
        </w:rPr>
      </w:pP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w:t>
      </w:r>
      <w:r>
        <w:rPr>
          <w:rFonts w:hint="eastAsia" w:ascii="宋体" w:hAnsi="宋体" w:eastAsia="宋体"/>
          <w:color w:val="auto"/>
          <w:sz w:val="21"/>
          <w:szCs w:val="21"/>
          <w:highlight w:val="none"/>
          <w:lang w:val="en-US" w:eastAsia="zh-CN"/>
        </w:rPr>
        <w:t>租方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甲</w:t>
      </w:r>
      <w:r>
        <w:rPr>
          <w:rFonts w:hint="eastAsia" w:ascii="宋体" w:hAnsi="宋体" w:eastAsia="宋体"/>
          <w:color w:val="auto"/>
          <w:sz w:val="21"/>
          <w:szCs w:val="21"/>
          <w:highlight w:val="none"/>
        </w:rPr>
        <w:t xml:space="preserve">方）：                              </w:t>
      </w:r>
      <w:r>
        <w:rPr>
          <w:rFonts w:hint="eastAsia" w:ascii="宋体" w:hAnsi="宋体" w:eastAsia="宋体"/>
          <w:color w:val="auto"/>
          <w:sz w:val="21"/>
          <w:szCs w:val="21"/>
          <w:highlight w:val="none"/>
          <w:lang w:val="en-US" w:eastAsia="zh-CN"/>
        </w:rPr>
        <w:t>出租方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乙</w:t>
      </w:r>
      <w:r>
        <w:rPr>
          <w:rFonts w:hint="eastAsia" w:ascii="宋体" w:hAnsi="宋体" w:eastAsia="宋体"/>
          <w:color w:val="auto"/>
          <w:sz w:val="21"/>
          <w:szCs w:val="21"/>
          <w:highlight w:val="none"/>
        </w:rPr>
        <w:t>方）：</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                                  法定代表人：</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委托代理人：                                  委托代理人：</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 址：                                       地 址：</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 话：                                       电 话：</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 户 行：                                    开 户 行：</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帐 号：                                       帐 号：</w:t>
      </w:r>
    </w:p>
    <w:p>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税 号：                                       税 号：</w:t>
      </w:r>
    </w:p>
    <w:p>
      <w:pPr>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br w:type="page"/>
      </w:r>
    </w:p>
    <w:p>
      <w:pPr>
        <w:pStyle w:val="5"/>
        <w:jc w:val="center"/>
        <w:rPr>
          <w:rFonts w:hint="eastAsia" w:ascii="宋体" w:hAnsi="宋体" w:eastAsia="宋体" w:cs="宋体"/>
          <w:sz w:val="24"/>
          <w:highlight w:val="none"/>
        </w:rPr>
      </w:pPr>
      <w:r>
        <w:rPr>
          <w:rFonts w:hint="eastAsia" w:ascii="宋体" w:hAnsi="宋体" w:eastAsia="宋体" w:cs="宋体"/>
          <w:kern w:val="21"/>
          <w:sz w:val="24"/>
          <w:szCs w:val="24"/>
          <w:highlight w:val="none"/>
        </w:rPr>
        <w:t>工程建设项目廉政责任书</w:t>
      </w:r>
      <w:bookmarkEnd w:id="38"/>
    </w:p>
    <w:p>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u w:val="single"/>
        </w:rPr>
        <w:t xml:space="preserve">                 </w:t>
      </w:r>
    </w:p>
    <w:p>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项目地址：</w:t>
      </w:r>
      <w:r>
        <w:rPr>
          <w:rFonts w:hint="eastAsia" w:ascii="宋体" w:hAnsi="宋体" w:cs="宋体"/>
          <w:bCs/>
          <w:sz w:val="24"/>
          <w:highlight w:val="none"/>
          <w:u w:val="single"/>
        </w:rPr>
        <w:t xml:space="preserve">                         </w:t>
      </w:r>
    </w:p>
    <w:p>
      <w:pPr>
        <w:spacing w:line="360" w:lineRule="auto"/>
        <w:ind w:firstLine="652" w:firstLineChars="272"/>
        <w:rPr>
          <w:rFonts w:hint="eastAsia" w:ascii="宋体" w:hAnsi="宋体" w:cs="宋体"/>
          <w:bCs/>
          <w:sz w:val="24"/>
          <w:highlight w:val="none"/>
          <w:u w:val="single"/>
        </w:rPr>
      </w:pPr>
      <w:r>
        <w:rPr>
          <w:rFonts w:hint="eastAsia" w:ascii="宋体" w:hAnsi="宋体" w:cs="宋体"/>
          <w:bCs/>
          <w:sz w:val="24"/>
          <w:highlight w:val="none"/>
        </w:rPr>
        <w:t>发包人（甲方）：</w:t>
      </w:r>
      <w:r>
        <w:rPr>
          <w:rFonts w:hint="eastAsia" w:ascii="宋体" w:hAnsi="宋体" w:cs="宋体"/>
          <w:bCs/>
          <w:sz w:val="24"/>
          <w:highlight w:val="none"/>
          <w:u w:val="single"/>
          <w:lang w:eastAsia="zh-CN"/>
        </w:rPr>
        <w:t>台州东茂观光农业开发有限公司</w:t>
      </w:r>
      <w:r>
        <w:rPr>
          <w:rFonts w:hint="eastAsia" w:ascii="宋体" w:hAnsi="宋体" w:cs="宋体"/>
          <w:bCs/>
          <w:sz w:val="24"/>
          <w:highlight w:val="none"/>
          <w:u w:val="single"/>
        </w:rPr>
        <w:t xml:space="preserve">                </w:t>
      </w:r>
    </w:p>
    <w:p>
      <w:pPr>
        <w:spacing w:line="360" w:lineRule="auto"/>
        <w:ind w:firstLine="652" w:firstLineChars="272"/>
        <w:rPr>
          <w:rFonts w:hint="eastAsia" w:ascii="宋体" w:hAnsi="宋体" w:cs="宋体"/>
          <w:bCs/>
          <w:sz w:val="24"/>
          <w:highlight w:val="none"/>
        </w:rPr>
      </w:pPr>
      <w:r>
        <w:rPr>
          <w:rFonts w:hint="eastAsia" w:ascii="宋体" w:hAnsi="宋体" w:cs="宋体"/>
          <w:bCs/>
          <w:sz w:val="24"/>
          <w:highlight w:val="none"/>
        </w:rPr>
        <w:t>承包人（乙方）：</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第一条 甲乙双方的责任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（一）应严格遵守国家关于市场准入、项目招标投标、工程建设、施工安装和市场活动等有关法律、法规，相关政策，以及廉政建设的各项规定。</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（二）严格执行建设工程项目承发包合同文件，自觉按合同办事。</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（四）发现对方在业务活动中有违规、违纪、违法行为的，应及时提醒对方，情节严重的，应向其上级主管部门或纪检监察、司法等有关机关举报。</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第二条 甲方的责任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甲方的领导和从事该建设工程项目的工作人员，在工程建设的事前、事中、事后应遵守以下规定：</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（一）不准向乙方和相关单位索要或接受回扣、礼金、有价证券、贵重物品和好处费、感谢费等。</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（二）不准在乙方和相关单位报销任何应由甲方或个人支付的费用。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（三）不准要求、暗示和接受乙方和相关单位为个人装修住房、婚丧嫁娶、配偶子女的工作安排以及出国（境）、旅游等提供方便。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（四）不准参加有可能影响公正执行公务的乙方和相关单位的宴请和健身、娱乐等活动。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第三条 乙方的责任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应与甲方保持正常的业务交往，按照有关法律法规和程序开展业务工作，严格执行工程建设的有关方针、政策，尤其是有关建筑施工安装的强制性标准和规范，并遵守以下规定：</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（一）不准以任何理由向甲方、相关单位及其工作人员索要、接受或赠送礼金、有价证券、贵重物品和回扣、好处费、感谢费等。</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（二）不准以任何理由为甲方和相关单位报销应由对方或个人支付的费用。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（三）不准接受或暗示为甲方、相关单位或个人装修住房、婚丧嫁娶、配偶子女的工作安排以及出国（境）、旅游等提供方便。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（四）不准以任何理由为甲方、相关单位或个人组织有可能影响公正执行公务的宴请、健身、娱乐等活动。</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第四条 违约责任</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第五条 本责任书作为工程施工合同的附件，与工程施工合同具有同等法律效力。经双方签署后立即生效。</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第六条 本责任书的有效期为双方签署之日起至该工程项目竣工验收合格时止。</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甲方单位：（盖章）　　　　           　　　乙方单位：（盖章）</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法定代表人：　　　              　　　　　法定代表人：</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地址：　　　　　　　　　          　　　　地址：</w:t>
      </w:r>
    </w:p>
    <w:p>
      <w:pPr>
        <w:spacing w:line="360" w:lineRule="auto"/>
        <w:ind w:firstLine="520"/>
        <w:rPr>
          <w:rFonts w:hint="eastAsia" w:ascii="宋体" w:hAnsi="宋体" w:cs="宋体"/>
          <w:bCs/>
          <w:sz w:val="24"/>
          <w:highlight w:val="none"/>
        </w:rPr>
      </w:pPr>
      <w:r>
        <w:rPr>
          <w:rFonts w:hint="eastAsia" w:ascii="宋体" w:hAnsi="宋体" w:cs="宋体"/>
          <w:bCs/>
          <w:sz w:val="24"/>
          <w:highlight w:val="none"/>
        </w:rPr>
        <w:t>电话：　　　　　　　　　　　　        　　电话：</w:t>
      </w:r>
    </w:p>
    <w:p>
      <w:pPr>
        <w:autoSpaceDE w:val="0"/>
        <w:autoSpaceDN w:val="0"/>
        <w:adjustRightInd w:val="0"/>
        <w:spacing w:line="360" w:lineRule="auto"/>
        <w:ind w:firstLine="840" w:firstLineChars="350"/>
        <w:rPr>
          <w:rFonts w:hint="eastAsia" w:ascii="宋体" w:hAnsi="宋体" w:cs="Arial"/>
          <w:sz w:val="24"/>
          <w:highlight w:val="none"/>
        </w:rPr>
      </w:pPr>
      <w:r>
        <w:rPr>
          <w:rFonts w:hint="eastAsia" w:ascii="宋体" w:hAnsi="宋体" w:cs="宋体"/>
          <w:bCs/>
          <w:sz w:val="24"/>
          <w:highlight w:val="none"/>
        </w:rPr>
        <w:t>年　月　日　　　　　                   　　年　月　日</w:t>
      </w:r>
      <w:r>
        <w:rPr>
          <w:rFonts w:hint="eastAsia" w:hAnsi="宋体" w:cs="宋体"/>
          <w:highlight w:val="none"/>
        </w:rPr>
        <w:t xml:space="preserve"> </w:t>
      </w:r>
    </w:p>
    <w:p>
      <w:pPr>
        <w:pStyle w:val="14"/>
        <w:snapToGrid w:val="0"/>
        <w:spacing w:before="120" w:after="120" w:line="360" w:lineRule="auto"/>
        <w:jc w:val="center"/>
        <w:rPr>
          <w:rFonts w:hint="eastAsia" w:ascii="宋体" w:hAnsi="宋体" w:cs="宋体"/>
          <w:bCs/>
          <w:color w:val="000000" w:themeColor="text1"/>
          <w:sz w:val="32"/>
          <w:szCs w:val="32"/>
          <w:highlight w:val="none"/>
          <w14:textFill>
            <w14:solidFill>
              <w14:schemeClr w14:val="tx1"/>
            </w14:solidFill>
          </w14:textFill>
        </w:rPr>
      </w:pPr>
      <w:r>
        <w:rPr>
          <w:b/>
          <w:bCs/>
          <w:sz w:val="32"/>
          <w:highlight w:val="none"/>
        </w:rPr>
        <w:br w:type="page"/>
      </w: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9"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9"/>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台州东茂观光农业开发有限公司2024年零星机械租赁项目</w:t>
      </w:r>
    </w:p>
    <w:p>
      <w:pPr>
        <w:pStyle w:val="27"/>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lang w:eastAsia="zh-CN"/>
          <w14:textFill>
            <w14:solidFill>
              <w14:schemeClr w14:val="tx1"/>
            </w14:solidFill>
          </w14:textFill>
        </w:rPr>
        <w:t>技术资信标</w:t>
      </w:r>
      <w:r>
        <w:rPr>
          <w:rFonts w:hint="eastAsia" w:ascii="宋体" w:hAnsi="宋体"/>
          <w:b/>
          <w:color w:val="000000" w:themeColor="text1"/>
          <w:sz w:val="28"/>
          <w:szCs w:val="28"/>
          <w:highlight w:val="none"/>
          <w14:textFill>
            <w14:solidFill>
              <w14:schemeClr w14:val="tx1"/>
            </w14:solidFill>
          </w14:textFill>
        </w:rPr>
        <w:t>）</w:t>
      </w:r>
    </w:p>
    <w:p>
      <w:pPr>
        <w:pStyle w:val="27"/>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3"/>
        <w:rPr>
          <w:rFonts w:ascii="仿宋_GB2312" w:hAnsi="宋体" w:eastAsia="仿宋_GB2312"/>
          <w:b/>
          <w:color w:val="000000" w:themeColor="text1"/>
          <w:sz w:val="36"/>
          <w:szCs w:val="36"/>
          <w:highlight w:val="none"/>
          <w14:textFill>
            <w14:solidFill>
              <w14:schemeClr w14:val="tx1"/>
            </w14:solidFill>
          </w14:textFill>
        </w:rPr>
      </w:pPr>
    </w:p>
    <w:p>
      <w:pPr>
        <w:pStyle w:val="2"/>
        <w:ind w:firstLine="480"/>
        <w:rPr>
          <w:color w:val="000000" w:themeColor="text1"/>
          <w:highlight w:val="none"/>
          <w14:textFill>
            <w14:solidFill>
              <w14:schemeClr w14:val="tx1"/>
            </w14:solidFill>
          </w14:textFill>
        </w:rPr>
      </w:pPr>
    </w:p>
    <w:p>
      <w:pPr>
        <w:pStyle w:val="7"/>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技术资信标</w:t>
      </w:r>
      <w:r>
        <w:rPr>
          <w:rFonts w:hint="eastAsia"/>
          <w:b/>
          <w:bCs/>
          <w:color w:val="000000" w:themeColor="text1"/>
          <w:sz w:val="36"/>
          <w:szCs w:val="36"/>
          <w:highlight w:val="none"/>
          <w14:textFill>
            <w14:solidFill>
              <w14:schemeClr w14:val="tx1"/>
            </w14:solidFill>
          </w14:textFill>
        </w:rPr>
        <w:t>目录</w:t>
      </w:r>
    </w:p>
    <w:p>
      <w:pP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（1）营业执照扫描件；</w:t>
      </w:r>
    </w:p>
    <w:p>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（2）法定代表人身份证明（格式见附件）或</w:t>
      </w:r>
      <w:r>
        <w:rPr>
          <w:rFonts w:hint="eastAsia" w:ascii="宋体" w:hAnsi="宋体"/>
          <w:sz w:val="24"/>
          <w:highlight w:val="none"/>
          <w:lang w:eastAsia="zh-CN"/>
        </w:rPr>
        <w:t>法定代表人授权委托书</w:t>
      </w:r>
      <w:r>
        <w:rPr>
          <w:rFonts w:hint="eastAsia" w:ascii="宋体" w:hAnsi="宋体"/>
          <w:sz w:val="24"/>
          <w:highlight w:val="none"/>
        </w:rPr>
        <w:t>（格式见附件）；</w:t>
      </w:r>
    </w:p>
    <w:p>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（3）各投标人根据自身对本项目的解读，按照本招标文件第四章“评标办法及评分标准”中技术资信标的打分内容，并结合第</w:t>
      </w:r>
      <w:r>
        <w:rPr>
          <w:rFonts w:hint="eastAsia" w:ascii="宋体" w:hAnsi="宋体"/>
          <w:sz w:val="24"/>
          <w:highlight w:val="none"/>
          <w:lang w:val="en-US" w:eastAsia="zh-CN"/>
        </w:rPr>
        <w:t>三</w:t>
      </w:r>
      <w:r>
        <w:rPr>
          <w:rFonts w:hint="eastAsia" w:ascii="宋体" w:hAnsi="宋体"/>
          <w:sz w:val="24"/>
          <w:highlight w:val="none"/>
        </w:rPr>
        <w:t>章“招标需求”，由各投标人自行编制技术资信标；</w:t>
      </w:r>
    </w:p>
    <w:p>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eastAsia="zh-CN"/>
        </w:rPr>
        <w:t>同类项目业绩一览表</w:t>
      </w:r>
      <w:r>
        <w:rPr>
          <w:rFonts w:hint="eastAsia" w:ascii="宋体" w:hAnsi="宋体"/>
          <w:sz w:val="24"/>
          <w:highlight w:val="none"/>
        </w:rPr>
        <w:t>（如有）(见附件)；</w:t>
      </w:r>
    </w:p>
    <w:p>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）投标人诚信投标承诺书（格式见附件）</w:t>
      </w:r>
    </w:p>
    <w:p>
      <w:pPr>
        <w:numPr>
          <w:ilvl w:val="0"/>
          <w:numId w:val="0"/>
        </w:numPr>
        <w:autoSpaceDE w:val="0"/>
        <w:autoSpaceDN w:val="0"/>
        <w:adjustRightInd w:val="0"/>
        <w:snapToGrid/>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）投标人认为可以证明自身实力的其他相关材料。</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8"/>
        <w:rPr>
          <w:rFonts w:ascii="宋体" w:hAnsi="宋体"/>
          <w:b/>
          <w:color w:val="000000" w:themeColor="text1"/>
          <w:sz w:val="28"/>
          <w:highlight w:val="none"/>
          <w14:textFill>
            <w14:solidFill>
              <w14:schemeClr w14:val="tx1"/>
            </w14:solidFill>
          </w14:textFill>
        </w:rPr>
      </w:pPr>
    </w:p>
    <w:p>
      <w:pPr>
        <w:pStyle w:val="38"/>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4"/>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rFonts w:ascii="宋体" w:hAnsi="宋体"/>
          <w:b/>
          <w:color w:val="000000" w:themeColor="text1"/>
          <w:sz w:val="28"/>
          <w:highlight w:val="none"/>
          <w14:textFill>
            <w14:solidFill>
              <w14:schemeClr w14:val="tx1"/>
            </w14:solidFill>
          </w14:textFill>
        </w:rPr>
      </w:pPr>
    </w:p>
    <w:p>
      <w:pPr>
        <w:pStyle w:val="7"/>
        <w:rPr>
          <w:rFonts w:ascii="宋体" w:hAnsi="宋体"/>
          <w:b/>
          <w:color w:val="000000" w:themeColor="text1"/>
          <w:sz w:val="28"/>
          <w:highlight w:val="none"/>
          <w14:textFill>
            <w14:solidFill>
              <w14:schemeClr w14:val="tx1"/>
            </w14:solidFill>
          </w14:textFill>
        </w:rPr>
      </w:pPr>
    </w:p>
    <w:p>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台州东茂观光农业开发有限公司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w:t>
      </w:r>
      <w:r>
        <w:rPr>
          <w:rFonts w:hint="eastAsia" w:cs="Times New Roman"/>
          <w:color w:val="auto"/>
          <w:sz w:val="28"/>
          <w:szCs w:val="28"/>
          <w:highlight w:val="none"/>
          <w:lang w:eastAsia="zh-CN"/>
        </w:rPr>
        <w:t>招标人</w:t>
      </w:r>
      <w:r>
        <w:rPr>
          <w:rFonts w:hint="eastAsia" w:ascii="Times New Roman" w:hAnsi="Times New Roman" w:eastAsia="宋体" w:cs="Times New Roman"/>
          <w:color w:val="auto"/>
          <w:sz w:val="28"/>
          <w:szCs w:val="28"/>
          <w:highlight w:val="none"/>
        </w:rPr>
        <w:t>）的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台州东茂观光农业开发有限公司2024年零星机械租赁项目</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pPr>
        <w:rPr>
          <w:rFonts w:hint="eastAsia" w:ascii="宋体" w:hAnsi="宋体"/>
          <w:b/>
          <w:color w:val="000000" w:themeColor="text1"/>
          <w:sz w:val="28"/>
          <w:highlight w:val="none"/>
          <w14:textFill>
            <w14:solidFill>
              <w14:schemeClr w14:val="tx1"/>
            </w14:solidFill>
          </w14:textFill>
        </w:rPr>
      </w:pPr>
    </w:p>
    <w:p>
      <w:pPr>
        <w:pStyle w:val="25"/>
        <w:rPr>
          <w:rFonts w:hint="eastAsia"/>
        </w:rPr>
      </w:pPr>
    </w:p>
    <w:p>
      <w:pPr>
        <w:rPr>
          <w:rFonts w:hint="eastAsia" w:ascii="宋体" w:hAnsi="宋体"/>
          <w:b/>
          <w:color w:val="000000" w:themeColor="text1"/>
          <w:sz w:val="28"/>
          <w:highlight w:val="none"/>
          <w14:textFill>
            <w14:solidFill>
              <w14:schemeClr w14:val="tx1"/>
            </w14:solidFill>
          </w14:textFill>
        </w:rPr>
      </w:pPr>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5"/>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5"/>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beforeLines="0" w:after="60" w:afterLines="0"/>
        <w:jc w:val="center"/>
        <w:outlineLvl w:val="0"/>
        <w:rPr>
          <w:rFonts w:hint="eastAsia" w:ascii="Cambria" w:hAnsi="Cambria" w:eastAsia="Cambria" w:cs="Times New Roman"/>
          <w:b/>
          <w:color w:val="auto"/>
          <w:kern w:val="2"/>
          <w:sz w:val="32"/>
          <w:szCs w:val="32"/>
          <w:highlight w:val="none"/>
          <w:lang w:val="en-US" w:eastAsia="zh-CN" w:bidi="ar-SA"/>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8"/>
          <w:szCs w:val="28"/>
          <w:highlight w:val="none"/>
        </w:rPr>
        <w:t xml:space="preserve">                      </w:t>
      </w:r>
      <w:r>
        <w:rPr>
          <w:rFonts w:hint="eastAsia" w:ascii="宋体" w:hAnsi="宋体" w:eastAsia="宋体" w:cs="宋体"/>
          <w:color w:val="auto"/>
          <w:position w:val="-3"/>
          <w:sz w:val="24"/>
          <w:highlight w:val="none"/>
        </w:rPr>
        <w:t xml:space="preserve"> 投标人（盖单位</w:t>
      </w:r>
      <w:r>
        <w:rPr>
          <w:rFonts w:hint="eastAsia" w:ascii="宋体" w:hAnsi="宋体" w:eastAsia="宋体" w:cs="宋体"/>
          <w:color w:val="auto"/>
          <w:position w:val="-3"/>
          <w:sz w:val="24"/>
          <w:highlight w:val="none"/>
          <w:lang w:val="en-US" w:eastAsia="zh-CN"/>
        </w:rPr>
        <w:t>电子</w:t>
      </w:r>
      <w:r>
        <w:rPr>
          <w:rFonts w:hint="eastAsia" w:ascii="宋体" w:hAnsi="宋体" w:eastAsia="宋体" w:cs="宋体"/>
          <w:color w:val="auto"/>
          <w:position w:val="-3"/>
          <w:sz w:val="24"/>
          <w:highlight w:val="none"/>
        </w:rPr>
        <w:t>公章）：</w:t>
      </w:r>
      <w:r>
        <w:rPr>
          <w:rFonts w:hint="eastAsia" w:ascii="宋体" w:hAnsi="宋体" w:eastAsia="宋体" w:cs="宋体"/>
          <w:snapToGrid w:val="0"/>
          <w:color w:val="auto"/>
          <w:kern w:val="0"/>
          <w:sz w:val="28"/>
          <w:szCs w:val="28"/>
          <w:highlight w:val="none"/>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pPr>
        <w:pStyle w:val="21"/>
        <w:jc w:val="right"/>
        <w:rPr>
          <w:rFonts w:hint="eastAsia" w:ascii="宋体" w:hAnsi="宋体" w:eastAsia="宋体" w:cs="宋体"/>
          <w:color w:val="auto"/>
          <w:kern w:val="2"/>
          <w:position w:val="-3"/>
          <w:sz w:val="24"/>
          <w:szCs w:val="24"/>
          <w:highlight w:val="none"/>
          <w:lang w:val="en-US" w:eastAsia="zh-CN" w:bidi="ar-SA"/>
        </w:rPr>
      </w:pPr>
      <w:r>
        <w:rPr>
          <w:rFonts w:hint="eastAsia" w:ascii="宋体" w:hAnsi="宋体" w:eastAsia="宋体" w:cs="宋体"/>
          <w:color w:val="auto"/>
          <w:kern w:val="2"/>
          <w:position w:val="-3"/>
          <w:sz w:val="24"/>
          <w:szCs w:val="24"/>
          <w:highlight w:val="none"/>
          <w:lang w:val="en-US" w:eastAsia="zh-CN" w:bidi="ar-SA"/>
        </w:rPr>
        <w:t>日期:     年    月    日</w:t>
      </w: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jc w:val="center"/>
        <w:rPr>
          <w:b/>
          <w:color w:val="000000" w:themeColor="text1"/>
          <w:sz w:val="32"/>
          <w:szCs w:val="32"/>
          <w:highlight w:val="none"/>
          <w14:textFill>
            <w14:solidFill>
              <w14:schemeClr w14:val="tx1"/>
            </w14:solidFill>
          </w14:textFill>
        </w:rPr>
      </w:pPr>
      <w:bookmarkStart w:id="40" w:name="_Toc24373_WPSOffice_Level1"/>
      <w:bookmarkStart w:id="41" w:name="_Toc6870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台州东茂观光农业开发有限公司2024年零星机械租赁项目</w:t>
      </w:r>
      <w:r>
        <w:rPr>
          <w:rFonts w:hint="eastAsia"/>
          <w:color w:val="000000" w:themeColor="text1"/>
          <w:sz w:val="28"/>
          <w:szCs w:val="28"/>
          <w:highlight w:val="none"/>
          <w14:textFill>
            <w14:solidFill>
              <w14:schemeClr w14:val="tx1"/>
            </w14:solidFill>
          </w14:textFill>
        </w:rPr>
        <w:t>（招标项目名称）的投标；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pPr>
        <w:rPr>
          <w:rFonts w:hint="eastAsia" w:ascii="宋体"/>
          <w:color w:val="000000" w:themeColor="text1"/>
          <w:sz w:val="28"/>
          <w:highlight w:val="none"/>
          <w14:textFill>
            <w14:solidFill>
              <w14:schemeClr w14:val="tx1"/>
            </w14:solidFill>
          </w14:textFill>
        </w:rPr>
      </w:pPr>
    </w:p>
    <w:bookmarkEnd w:id="40"/>
    <w:bookmarkEnd w:id="41"/>
    <w:p>
      <w:pPr>
        <w:adjustRightInd w:val="0"/>
        <w:snapToGrid w:val="0"/>
        <w:spacing w:line="360" w:lineRule="auto"/>
        <w:ind w:right="480"/>
        <w:rPr>
          <w:rFonts w:hint="eastAsia" w:ascii="宋体" w:hAnsi="宋体" w:eastAsia="宋体" w:cs="宋体"/>
          <w:b/>
          <w:bCs/>
          <w:color w:val="auto"/>
          <w:sz w:val="24"/>
          <w:szCs w:val="24"/>
          <w:highlight w:val="none"/>
          <w:lang w:eastAsia="zh-CN"/>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r>
        <w:rPr>
          <w:rFonts w:hint="eastAsia" w:ascii="宋体" w:hAnsi="宋体" w:cs="宋体"/>
          <w:b/>
          <w:bCs/>
          <w:color w:val="auto"/>
          <w:sz w:val="24"/>
          <w:szCs w:val="24"/>
          <w:highlight w:val="none"/>
          <w:lang w:val="en-US" w:eastAsia="zh-CN"/>
        </w:rPr>
        <w:t xml:space="preserve"> </w:t>
      </w:r>
    </w:p>
    <w:p>
      <w:pPr>
        <w:pStyle w:val="14"/>
        <w:spacing w:before="197" w:after="197"/>
        <w:jc w:val="center"/>
        <w:rPr>
          <w:rFonts w:hint="eastAsia" w:ascii="宋体" w:hAnsi="宋体" w:cs="宋体"/>
          <w:b/>
          <w:color w:val="auto"/>
          <w:sz w:val="24"/>
          <w:highlight w:val="none"/>
        </w:rPr>
      </w:pPr>
      <w:r>
        <w:rPr>
          <w:rFonts w:hint="eastAsia" w:hAnsi="宋体" w:cs="宋体"/>
          <w:b/>
          <w:bCs/>
          <w:i w:val="0"/>
          <w:iCs w:val="0"/>
          <w:color w:val="auto"/>
          <w:sz w:val="28"/>
          <w:szCs w:val="28"/>
          <w:highlight w:val="none"/>
        </w:rPr>
        <w:t>20</w:t>
      </w:r>
      <w:r>
        <w:rPr>
          <w:rFonts w:hint="eastAsia" w:hAnsi="宋体" w:cs="宋体"/>
          <w:b/>
          <w:bCs/>
          <w:i w:val="0"/>
          <w:iCs w:val="0"/>
          <w:color w:val="auto"/>
          <w:sz w:val="28"/>
          <w:szCs w:val="28"/>
          <w:highlight w:val="none"/>
          <w:lang w:val="en-US" w:eastAsia="zh-CN"/>
        </w:rPr>
        <w:t>21</w:t>
      </w:r>
      <w:r>
        <w:rPr>
          <w:rFonts w:hint="eastAsia" w:hAnsi="宋体" w:cs="宋体"/>
          <w:b/>
          <w:bCs/>
          <w:i w:val="0"/>
          <w:iCs w:val="0"/>
          <w:color w:val="auto"/>
          <w:sz w:val="28"/>
          <w:szCs w:val="28"/>
          <w:highlight w:val="none"/>
        </w:rPr>
        <w:t>年1月1日以来同类项目业绩一览表</w:t>
      </w:r>
    </w:p>
    <w:p>
      <w:pPr>
        <w:adjustRightInd w:val="0"/>
        <w:spacing w:line="500" w:lineRule="exact"/>
        <w:textAlignment w:val="baseline"/>
        <w:rPr>
          <w:rFonts w:hint="eastAsia" w:ascii="宋体" w:hAnsi="宋体" w:cs="宋体"/>
          <w:color w:val="auto"/>
          <w:sz w:val="24"/>
          <w:highlight w:val="none"/>
        </w:rPr>
      </w:pPr>
      <w:r>
        <w:rPr>
          <w:rFonts w:hint="eastAsia" w:ascii="宋体" w:hAnsi="宋体" w:cs="宋体"/>
          <w:color w:val="auto"/>
          <w:sz w:val="24"/>
          <w:highlight w:val="none"/>
        </w:rPr>
        <w:t>项目名称：                                  招标编号：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30"/>
        <w:gridCol w:w="1885"/>
        <w:gridCol w:w="1185"/>
        <w:gridCol w:w="1477"/>
        <w:gridCol w:w="10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30"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用户名称</w:t>
            </w:r>
          </w:p>
        </w:tc>
        <w:tc>
          <w:tcPr>
            <w:tcW w:w="1885"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型号规格</w:t>
            </w:r>
          </w:p>
        </w:tc>
        <w:tc>
          <w:tcPr>
            <w:tcW w:w="1185"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477"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联系方式</w:t>
            </w:r>
          </w:p>
        </w:tc>
        <w:tc>
          <w:tcPr>
            <w:tcW w:w="1036"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联系人</w:t>
            </w:r>
          </w:p>
        </w:tc>
        <w:tc>
          <w:tcPr>
            <w:tcW w:w="836" w:type="dxa"/>
            <w:noWrap w:val="0"/>
            <w:vAlign w:val="center"/>
          </w:tcPr>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pPr>
              <w:spacing w:line="380" w:lineRule="exact"/>
              <w:jc w:val="center"/>
              <w:rPr>
                <w:rFonts w:hint="eastAsia" w:ascii="宋体" w:hAnsi="宋体" w:cs="宋体"/>
                <w:b/>
                <w:color w:val="auto"/>
                <w:sz w:val="24"/>
                <w:highlight w:val="none"/>
              </w:rPr>
            </w:pPr>
          </w:p>
        </w:tc>
        <w:tc>
          <w:tcPr>
            <w:tcW w:w="1830" w:type="dxa"/>
            <w:noWrap w:val="0"/>
            <w:vAlign w:val="center"/>
          </w:tcPr>
          <w:p>
            <w:pPr>
              <w:spacing w:line="380" w:lineRule="exact"/>
              <w:jc w:val="center"/>
              <w:rPr>
                <w:rFonts w:hint="eastAsia" w:ascii="宋体" w:hAnsi="宋体" w:cs="宋体"/>
                <w:b/>
                <w:color w:val="auto"/>
                <w:sz w:val="24"/>
                <w:highlight w:val="none"/>
              </w:rPr>
            </w:pPr>
          </w:p>
        </w:tc>
        <w:tc>
          <w:tcPr>
            <w:tcW w:w="1885" w:type="dxa"/>
            <w:noWrap w:val="0"/>
            <w:vAlign w:val="center"/>
          </w:tcPr>
          <w:p>
            <w:pPr>
              <w:spacing w:line="380" w:lineRule="exact"/>
              <w:jc w:val="center"/>
              <w:rPr>
                <w:rFonts w:hint="eastAsia" w:ascii="宋体" w:hAnsi="宋体" w:cs="宋体"/>
                <w:b/>
                <w:color w:val="auto"/>
                <w:sz w:val="24"/>
                <w:highlight w:val="none"/>
              </w:rPr>
            </w:pPr>
          </w:p>
        </w:tc>
        <w:tc>
          <w:tcPr>
            <w:tcW w:w="1185" w:type="dxa"/>
            <w:noWrap w:val="0"/>
            <w:vAlign w:val="center"/>
          </w:tcPr>
          <w:p>
            <w:pPr>
              <w:spacing w:line="380" w:lineRule="exact"/>
              <w:jc w:val="center"/>
              <w:rPr>
                <w:rFonts w:hint="eastAsia" w:ascii="宋体" w:hAnsi="宋体" w:cs="宋体"/>
                <w:b/>
                <w:color w:val="auto"/>
                <w:sz w:val="24"/>
                <w:highlight w:val="none"/>
              </w:rPr>
            </w:pPr>
          </w:p>
        </w:tc>
        <w:tc>
          <w:tcPr>
            <w:tcW w:w="1477" w:type="dxa"/>
            <w:noWrap w:val="0"/>
            <w:vAlign w:val="center"/>
          </w:tcPr>
          <w:p>
            <w:pPr>
              <w:spacing w:line="380" w:lineRule="exact"/>
              <w:jc w:val="center"/>
              <w:rPr>
                <w:rFonts w:hint="eastAsia" w:ascii="宋体" w:hAnsi="宋体" w:cs="宋体"/>
                <w:b/>
                <w:color w:val="auto"/>
                <w:sz w:val="24"/>
                <w:highlight w:val="none"/>
              </w:rPr>
            </w:pPr>
          </w:p>
        </w:tc>
        <w:tc>
          <w:tcPr>
            <w:tcW w:w="1036" w:type="dxa"/>
            <w:noWrap w:val="0"/>
            <w:vAlign w:val="center"/>
          </w:tcPr>
          <w:p>
            <w:pPr>
              <w:spacing w:line="380" w:lineRule="exact"/>
              <w:jc w:val="center"/>
              <w:rPr>
                <w:rFonts w:hint="eastAsia" w:ascii="宋体" w:hAnsi="宋体" w:cs="宋体"/>
                <w:b/>
                <w:color w:val="auto"/>
                <w:sz w:val="24"/>
                <w:highlight w:val="none"/>
              </w:rPr>
            </w:pPr>
          </w:p>
        </w:tc>
        <w:tc>
          <w:tcPr>
            <w:tcW w:w="836" w:type="dxa"/>
            <w:noWrap w:val="0"/>
            <w:vAlign w:val="center"/>
          </w:tcPr>
          <w:p>
            <w:pPr>
              <w:spacing w:line="380" w:lineRule="exact"/>
              <w:jc w:val="center"/>
              <w:rPr>
                <w:rFonts w:hint="eastAsia" w:ascii="宋体" w:hAnsi="宋体" w:cs="宋体"/>
                <w:b/>
                <w:color w:val="auto"/>
                <w:sz w:val="24"/>
                <w:highlight w:val="none"/>
              </w:rPr>
            </w:pPr>
          </w:p>
        </w:tc>
      </w:tr>
    </w:tbl>
    <w:p>
      <w:pPr>
        <w:spacing w:line="500" w:lineRule="exact"/>
        <w:textAlignment w:val="baseline"/>
        <w:rPr>
          <w:rFonts w:hint="eastAsia" w:ascii="宋体" w:hAnsi="宋体" w:cs="宋体"/>
          <w:b/>
          <w:color w:val="auto"/>
          <w:sz w:val="24"/>
          <w:highlight w:val="none"/>
        </w:rPr>
      </w:pPr>
      <w:r>
        <w:rPr>
          <w:rFonts w:hint="eastAsia" w:ascii="宋体" w:hAnsi="宋体" w:cs="宋体"/>
          <w:b/>
          <w:color w:val="auto"/>
          <w:sz w:val="24"/>
          <w:highlight w:val="none"/>
        </w:rPr>
        <w:t>注：投标人可按此表格式复制，后附证明材料复印件。</w:t>
      </w:r>
    </w:p>
    <w:p>
      <w:pPr>
        <w:spacing w:line="500" w:lineRule="exact"/>
        <w:ind w:firstLine="4320" w:firstLineChars="1800"/>
        <w:textAlignment w:val="baseline"/>
        <w:rPr>
          <w:rFonts w:hint="eastAsia" w:ascii="宋体" w:hAnsi="宋体" w:cs="宋体"/>
          <w:color w:val="auto"/>
          <w:sz w:val="24"/>
          <w:highlight w:val="none"/>
        </w:rPr>
      </w:pP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pPr>
        <w:jc w:val="center"/>
        <w:rPr>
          <w:rFonts w:hint="eastAsia"/>
          <w:color w:val="000000" w:themeColor="text1"/>
          <w:sz w:val="44"/>
          <w:szCs w:val="44"/>
          <w:highlight w:val="none"/>
          <w:lang w:eastAsia="zh-CN"/>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台州东茂观光农业开发有限公司2024年零星机械租赁项目</w:t>
      </w: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42" w:name="_Toc14572_WPSOffice_Level1"/>
      <w:bookmarkStart w:id="43" w:name="_Toc393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2"/>
    <w:bookmarkEnd w:id="43"/>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4" w:name="_Toc4603_WPSOffice_Level1"/>
      <w:bookmarkStart w:id="45" w:name="_Toc26700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4"/>
      <w:bookmarkEnd w:id="45"/>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6" w:name="_Toc1391_WPSOffice_Level1"/>
      <w:bookmarkStart w:id="47" w:name="_Toc32593_WPSOffice_Level1"/>
      <w:r>
        <w:rPr>
          <w:rFonts w:hint="eastAsia" w:ascii="宋体" w:hAnsi="宋体"/>
          <w:color w:val="000000" w:themeColor="text1"/>
          <w:sz w:val="36"/>
          <w:szCs w:val="36"/>
          <w:highlight w:val="none"/>
          <w14:textFill>
            <w14:solidFill>
              <w14:schemeClr w14:val="tx1"/>
            </w14:solidFill>
          </w14:textFill>
        </w:rPr>
        <w:t>地    址：</w:t>
      </w:r>
      <w:bookmarkEnd w:id="46"/>
      <w:bookmarkEnd w:id="47"/>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8" w:name="_Toc3791_WPSOffice_Level1"/>
      <w:bookmarkStart w:id="49" w:name="_Toc20938_WPSOffice_Level1"/>
      <w:r>
        <w:rPr>
          <w:rFonts w:hint="eastAsia" w:ascii="宋体" w:hAnsi="宋体"/>
          <w:color w:val="000000" w:themeColor="text1"/>
          <w:sz w:val="36"/>
          <w:szCs w:val="36"/>
          <w:highlight w:val="none"/>
          <w14:textFill>
            <w14:solidFill>
              <w14:schemeClr w14:val="tx1"/>
            </w14:solidFill>
          </w14:textFill>
        </w:rPr>
        <w:t>时    间：</w:t>
      </w:r>
      <w:bookmarkEnd w:id="48"/>
      <w:bookmarkEnd w:id="49"/>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pStyle w:val="7"/>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50" w:name="_Toc29537_WPSOffice_Level1"/>
      <w:bookmarkStart w:id="51"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50"/>
      <w:bookmarkEnd w:id="51"/>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2" w:name="_Toc29988_WPSOffice_Level1"/>
      <w:bookmarkStart w:id="53"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2"/>
    <w:bookmarkEnd w:id="53"/>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4" w:name="_Toc30363_WPSOffice_Level1"/>
      <w:bookmarkStart w:id="55"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台州东茂观光农业开发有限公司2024年零星机械租赁项目</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4"/>
      <w:bookmarkEnd w:id="55"/>
    </w:p>
    <w:p>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lang w:eastAsia="zh-CN"/>
        </w:rPr>
        <w:t>台州东茂观光农业开发有限公司</w:t>
      </w:r>
      <w:r>
        <w:rPr>
          <w:rFonts w:hint="eastAsia" w:ascii="宋体" w:hAnsi="宋体" w:cs="宋体"/>
          <w:position w:val="-3"/>
          <w:sz w:val="24"/>
          <w:highlight w:val="none"/>
        </w:rPr>
        <w:t>：</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100</w:t>
      </w:r>
      <w:r>
        <w:rPr>
          <w:rFonts w:hint="eastAsia" w:ascii="宋体" w:hAnsi="宋体" w:cs="宋体"/>
          <w:position w:val="-3"/>
          <w:sz w:val="24"/>
          <w:highlight w:val="none"/>
        </w:rPr>
        <w:t>%，否则作无效标处理）承包上述招标项目。</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lang w:eastAsia="zh-CN"/>
        </w:rPr>
        <w:t>招标人</w:t>
      </w:r>
      <w:r>
        <w:rPr>
          <w:rFonts w:ascii="宋体" w:hAnsi="宋体" w:cs="宋体"/>
          <w:sz w:val="24"/>
          <w:highlight w:val="none"/>
        </w:rPr>
        <w:t>有权根据实际情况确定</w:t>
      </w:r>
      <w:r>
        <w:rPr>
          <w:rFonts w:hint="eastAsia" w:ascii="宋体" w:hAnsi="宋体" w:cs="宋体"/>
          <w:sz w:val="24"/>
          <w:highlight w:val="none"/>
          <w:lang w:val="en-US" w:eastAsia="zh-CN"/>
        </w:rPr>
        <w:t>租赁</w:t>
      </w:r>
      <w:r>
        <w:rPr>
          <w:rFonts w:ascii="宋体" w:hAnsi="宋体" w:cs="宋体"/>
          <w:sz w:val="24"/>
          <w:highlight w:val="none"/>
        </w:rPr>
        <w:t>需求，若服务期内</w:t>
      </w:r>
      <w:r>
        <w:rPr>
          <w:rFonts w:hint="eastAsia" w:ascii="宋体" w:hAnsi="宋体" w:cs="宋体"/>
          <w:sz w:val="24"/>
          <w:highlight w:val="none"/>
          <w:lang w:eastAsia="zh-CN"/>
        </w:rPr>
        <w:t>招标人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法定代表人（签字或电子盖章）：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投标人（盖单位电子公章）：</w:t>
      </w:r>
    </w:p>
    <w:p>
      <w:pPr>
        <w:spacing w:line="360" w:lineRule="auto"/>
        <w:jc w:val="right"/>
        <w:rPr>
          <w:rFonts w:hint="eastAsia"/>
          <w:b/>
          <w:color w:val="000000" w:themeColor="text1"/>
          <w:szCs w:val="21"/>
          <w:highlight w:val="none"/>
          <w14:textFill>
            <w14:solidFill>
              <w14:schemeClr w14:val="tx1"/>
            </w14:solidFill>
          </w14:textFill>
        </w:rPr>
      </w:pPr>
      <w:r>
        <w:rPr>
          <w:rFonts w:hint="eastAsia" w:ascii="宋体" w:hAnsi="宋体" w:cs="宋体"/>
          <w:position w:val="-3"/>
          <w:sz w:val="24"/>
          <w:highlight w:val="none"/>
        </w:rPr>
        <w:t>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p>
    <w:p>
      <w:pPr>
        <w:snapToGrid w:val="0"/>
        <w:spacing w:before="120" w:beforeLines="50" w:after="50" w:line="360" w:lineRule="auto"/>
        <w:jc w:val="center"/>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台州东茂观光农业开发有限公司202</w:t>
      </w:r>
      <w:r>
        <w:rPr>
          <w:rFonts w:hint="eastAsia" w:ascii="宋体" w:hAnsi="宋体" w:cs="Times New Roman"/>
          <w:b/>
          <w:color w:val="auto"/>
          <w:sz w:val="24"/>
          <w:highlight w:val="none"/>
          <w:lang w:val="en-US" w:eastAsia="zh-CN"/>
        </w:rPr>
        <w:t>4</w:t>
      </w:r>
      <w:r>
        <w:rPr>
          <w:rFonts w:hint="eastAsia" w:ascii="宋体" w:hAnsi="宋体" w:eastAsia="宋体" w:cs="Times New Roman"/>
          <w:b/>
          <w:color w:val="auto"/>
          <w:sz w:val="24"/>
          <w:highlight w:val="none"/>
          <w:lang w:eastAsia="zh-CN"/>
        </w:rPr>
        <w:t>年零星机械租赁项目</w:t>
      </w:r>
    </w:p>
    <w:p>
      <w:pPr>
        <w:snapToGrid w:val="0"/>
        <w:spacing w:before="120" w:beforeLines="50" w:after="50" w:line="360" w:lineRule="auto"/>
        <w:jc w:val="center"/>
        <w:rPr>
          <w:rFonts w:hint="eastAsia" w:ascii="宋体" w:hAnsi="宋体" w:eastAsia="宋体" w:cs="Times New Roman"/>
          <w:b/>
          <w:color w:val="auto"/>
          <w:sz w:val="24"/>
          <w:highlight w:val="none"/>
          <w:lang w:eastAsia="zh-CN"/>
        </w:rPr>
      </w:pPr>
      <w:r>
        <w:rPr>
          <w:rFonts w:hint="eastAsia" w:ascii="宋体" w:hAnsi="宋体" w:cs="宋体"/>
          <w:b/>
          <w:sz w:val="24"/>
          <w:highlight w:val="none"/>
        </w:rPr>
        <w:t>报价明细表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95"/>
        <w:gridCol w:w="2262"/>
        <w:gridCol w:w="1627"/>
        <w:gridCol w:w="137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0" w:type="auto"/>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序号</w:t>
            </w:r>
          </w:p>
        </w:tc>
        <w:tc>
          <w:tcPr>
            <w:tcW w:w="1095"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设备名称</w:t>
            </w:r>
          </w:p>
        </w:tc>
        <w:tc>
          <w:tcPr>
            <w:tcW w:w="2262"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品牌/类型</w:t>
            </w:r>
          </w:p>
        </w:tc>
        <w:tc>
          <w:tcPr>
            <w:tcW w:w="1627"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型号/规格</w:t>
            </w:r>
          </w:p>
        </w:tc>
        <w:tc>
          <w:tcPr>
            <w:tcW w:w="1373" w:type="dxa"/>
            <w:noWrap w:val="0"/>
            <w:vAlign w:val="center"/>
          </w:tcPr>
          <w:p>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单价（元/台班）</w:t>
            </w:r>
          </w:p>
        </w:tc>
        <w:tc>
          <w:tcPr>
            <w:tcW w:w="1728" w:type="dxa"/>
            <w:noWrap w:val="0"/>
            <w:vAlign w:val="top"/>
          </w:tcPr>
          <w:p>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Arial"/>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一</w:t>
            </w:r>
          </w:p>
        </w:tc>
        <w:tc>
          <w:tcPr>
            <w:tcW w:w="1095"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挖机</w:t>
            </w:r>
          </w:p>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(履带式)</w:t>
            </w:r>
          </w:p>
        </w:tc>
        <w:tc>
          <w:tcPr>
            <w:tcW w:w="2262"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神</w:t>
            </w:r>
            <w:r>
              <w:rPr>
                <w:rFonts w:hint="eastAsia" w:ascii="宋体" w:hAnsi="宋体" w:eastAsia="宋体" w:cs="Arial"/>
                <w:color w:val="auto"/>
                <w:sz w:val="21"/>
                <w:szCs w:val="21"/>
                <w:highlight w:val="none"/>
              </w:rPr>
              <w:t>钢、小松、住友、日立、新源、三一</w:t>
            </w:r>
            <w:r>
              <w:rPr>
                <w:rFonts w:hint="eastAsia" w:ascii="宋体" w:hAnsi="宋体" w:eastAsia="宋体"/>
                <w:color w:val="auto"/>
                <w:sz w:val="21"/>
                <w:szCs w:val="21"/>
                <w:highlight w:val="none"/>
                <w:lang w:val="en-US" w:eastAsia="zh-CN"/>
              </w:rPr>
              <w:t>或相当于</w:t>
            </w: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60</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1180</w:t>
            </w:r>
          </w:p>
        </w:tc>
        <w:tc>
          <w:tcPr>
            <w:tcW w:w="1728"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eastAsia="zh-CN"/>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120</w:t>
            </w:r>
          </w:p>
        </w:tc>
        <w:tc>
          <w:tcPr>
            <w:tcW w:w="1373"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28" w:type="dxa"/>
            <w:vMerge w:val="continue"/>
            <w:noWrap w:val="0"/>
            <w:vAlign w:val="center"/>
          </w:tcPr>
          <w:p>
            <w:pPr>
              <w:spacing w:line="300" w:lineRule="exact"/>
              <w:jc w:val="center"/>
              <w:rPr>
                <w:rFonts w:hint="eastAsia" w:ascii="宋体" w:hAnsi="宋体"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200</w:t>
            </w:r>
          </w:p>
        </w:tc>
        <w:tc>
          <w:tcPr>
            <w:tcW w:w="1373"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2000</w:t>
            </w:r>
          </w:p>
        </w:tc>
        <w:tc>
          <w:tcPr>
            <w:tcW w:w="1728" w:type="dxa"/>
            <w:vMerge w:val="continue"/>
            <w:noWrap w:val="0"/>
            <w:vAlign w:val="center"/>
          </w:tcPr>
          <w:p>
            <w:pPr>
              <w:spacing w:line="300" w:lineRule="exact"/>
              <w:jc w:val="center"/>
              <w:rPr>
                <w:rFonts w:hint="eastAsia" w:ascii="宋体" w:hAnsi="宋体"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220</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2050</w:t>
            </w:r>
          </w:p>
        </w:tc>
        <w:tc>
          <w:tcPr>
            <w:tcW w:w="1728" w:type="dxa"/>
            <w:vMerge w:val="continue"/>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300</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3220</w:t>
            </w:r>
          </w:p>
        </w:tc>
        <w:tc>
          <w:tcPr>
            <w:tcW w:w="1728" w:type="dxa"/>
            <w:vMerge w:val="continue"/>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360</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3600</w:t>
            </w:r>
          </w:p>
        </w:tc>
        <w:tc>
          <w:tcPr>
            <w:tcW w:w="1728" w:type="dxa"/>
            <w:vMerge w:val="continue"/>
            <w:noWrap w:val="0"/>
            <w:vAlign w:val="top"/>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olor w:val="auto"/>
                <w:sz w:val="22"/>
                <w:highlight w:val="none"/>
                <w:lang w:eastAsia="zh-CN"/>
              </w:rPr>
            </w:pPr>
          </w:p>
        </w:tc>
        <w:tc>
          <w:tcPr>
            <w:tcW w:w="1095" w:type="dxa"/>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轮胎式液压单斗挖掘机</w:t>
            </w:r>
          </w:p>
        </w:tc>
        <w:tc>
          <w:tcPr>
            <w:tcW w:w="2262" w:type="dxa"/>
            <w:vMerge w:val="continue"/>
            <w:noWrap w:val="0"/>
            <w:vAlign w:val="center"/>
          </w:tcPr>
          <w:p>
            <w:pPr>
              <w:spacing w:line="300" w:lineRule="exact"/>
              <w:jc w:val="center"/>
              <w:rPr>
                <w:rFonts w:hint="default" w:ascii="宋体" w:hAnsi="宋体" w:eastAsia="宋体"/>
                <w:color w:val="auto"/>
                <w:sz w:val="21"/>
                <w:szCs w:val="21"/>
                <w:highlight w:val="none"/>
                <w:lang w:val="en-US" w:eastAsia="zh-CN"/>
              </w:rPr>
            </w:pPr>
          </w:p>
        </w:tc>
        <w:tc>
          <w:tcPr>
            <w:tcW w:w="1627"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60型</w:t>
            </w:r>
          </w:p>
        </w:tc>
        <w:tc>
          <w:tcPr>
            <w:tcW w:w="1373"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1200</w:t>
            </w:r>
          </w:p>
        </w:tc>
        <w:tc>
          <w:tcPr>
            <w:tcW w:w="1728" w:type="dxa"/>
            <w:noWrap w:val="0"/>
            <w:vAlign w:val="top"/>
          </w:tcPr>
          <w:p>
            <w:pPr>
              <w:spacing w:line="300" w:lineRule="exact"/>
              <w:jc w:val="center"/>
              <w:rPr>
                <w:rFonts w:hint="eastAsia" w:ascii="宋体" w:hAnsi="宋体"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olor w:val="auto"/>
                <w:sz w:val="22"/>
                <w:highlight w:val="none"/>
                <w:lang w:eastAsia="zh-CN"/>
              </w:rPr>
              <w:t>二</w:t>
            </w:r>
          </w:p>
        </w:tc>
        <w:tc>
          <w:tcPr>
            <w:tcW w:w="1095"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rPr>
              <w:t>水陆两用挖掘机</w:t>
            </w:r>
          </w:p>
        </w:tc>
        <w:tc>
          <w:tcPr>
            <w:tcW w:w="2262"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eastAsia="zh-CN"/>
              </w:rPr>
              <w:t>小松、日立、加藤、神钢、卡特、大宇、现代</w:t>
            </w:r>
            <w:r>
              <w:rPr>
                <w:rFonts w:hint="eastAsia" w:ascii="宋体" w:hAnsi="宋体" w:eastAsia="宋体"/>
                <w:color w:val="auto"/>
                <w:sz w:val="21"/>
                <w:szCs w:val="21"/>
                <w:highlight w:val="none"/>
                <w:lang w:val="en-US" w:eastAsia="zh-CN"/>
              </w:rPr>
              <w:t>或相当于</w:t>
            </w: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220-260</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3600</w:t>
            </w:r>
          </w:p>
        </w:tc>
        <w:tc>
          <w:tcPr>
            <w:tcW w:w="1728"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eastAsia="zh-CN"/>
              </w:rPr>
              <w:t>具体型号根据</w:t>
            </w:r>
            <w:r>
              <w:rPr>
                <w:rFonts w:hint="eastAsia" w:ascii="宋体" w:hAnsi="宋体"/>
                <w:color w:val="auto"/>
                <w:sz w:val="21"/>
                <w:szCs w:val="21"/>
                <w:highlight w:val="none"/>
                <w:lang w:eastAsia="zh-CN"/>
              </w:rPr>
              <w:t>招标人</w:t>
            </w:r>
            <w:r>
              <w:rPr>
                <w:rFonts w:hint="eastAsia" w:ascii="宋体" w:hAnsi="宋体" w:eastAsia="宋体"/>
                <w:color w:val="auto"/>
                <w:sz w:val="21"/>
                <w:szCs w:val="21"/>
                <w:highlight w:val="none"/>
                <w:lang w:eastAsia="zh-CN"/>
              </w:rPr>
              <w:t>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lang w:eastAsia="zh-CN"/>
              </w:rPr>
              <w:t>三</w:t>
            </w:r>
          </w:p>
        </w:tc>
        <w:tc>
          <w:tcPr>
            <w:tcW w:w="1095" w:type="dxa"/>
            <w:vMerge w:val="restart"/>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吊车</w:t>
            </w:r>
          </w:p>
        </w:tc>
        <w:tc>
          <w:tcPr>
            <w:tcW w:w="2262" w:type="dxa"/>
            <w:vMerge w:val="restart"/>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浦沅、徐工、三一、马尼托瓦克、中联重科、长江或相当于</w:t>
            </w: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8吨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1100</w:t>
            </w:r>
          </w:p>
        </w:tc>
        <w:tc>
          <w:tcPr>
            <w:tcW w:w="1728" w:type="dxa"/>
            <w:noWrap w:val="0"/>
            <w:vAlign w:val="top"/>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小时按400元/次计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16吨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1500</w:t>
            </w:r>
          </w:p>
        </w:tc>
        <w:tc>
          <w:tcPr>
            <w:tcW w:w="1728" w:type="dxa"/>
            <w:noWrap w:val="0"/>
            <w:vAlign w:val="top"/>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lang w:eastAsia="zh-CN"/>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25吨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w:t>
            </w:r>
          </w:p>
        </w:tc>
        <w:tc>
          <w:tcPr>
            <w:tcW w:w="1728" w:type="dxa"/>
            <w:noWrap w:val="0"/>
            <w:vAlign w:val="top"/>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lang w:eastAsia="zh-CN"/>
              </w:rPr>
              <w:t>四</w:t>
            </w:r>
          </w:p>
        </w:tc>
        <w:tc>
          <w:tcPr>
            <w:tcW w:w="1095"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汽车类</w:t>
            </w:r>
          </w:p>
        </w:tc>
        <w:tc>
          <w:tcPr>
            <w:tcW w:w="2262"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rPr>
              <w:t>彪马、东风、解放、江淮、欧曼</w:t>
            </w:r>
            <w:r>
              <w:rPr>
                <w:rFonts w:hint="eastAsia" w:ascii="宋体" w:hAnsi="宋体" w:eastAsia="宋体" w:cs="Times New Roman"/>
                <w:color w:val="auto"/>
                <w:sz w:val="21"/>
                <w:szCs w:val="21"/>
                <w:highlight w:val="none"/>
                <w:lang w:val="en-US" w:eastAsia="zh-CN"/>
              </w:rPr>
              <w:t>或相当于</w:t>
            </w: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val="en-US" w:eastAsia="zh-CN"/>
              </w:rPr>
              <w:t>1.5吨-</w:t>
            </w:r>
            <w:r>
              <w:rPr>
                <w:rFonts w:hint="eastAsia" w:ascii="宋体" w:hAnsi="宋体" w:eastAsia="宋体" w:cs="Times New Roman"/>
                <w:color w:val="auto"/>
                <w:sz w:val="21"/>
                <w:szCs w:val="21"/>
                <w:highlight w:val="none"/>
              </w:rPr>
              <w:t>2吨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550</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10吨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900</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lang w:eastAsia="zh-CN"/>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lang w:eastAsia="zh-CN"/>
              </w:rPr>
            </w:pPr>
          </w:p>
        </w:tc>
        <w:tc>
          <w:tcPr>
            <w:tcW w:w="2262"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轻型卡车</w:t>
            </w: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2吨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550</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pPr>
              <w:spacing w:line="300" w:lineRule="exact"/>
              <w:jc w:val="center"/>
              <w:rPr>
                <w:rFonts w:hint="eastAsia" w:ascii="宋体" w:hAnsi="宋体" w:eastAsia="宋体" w:cs="Arial"/>
                <w:b w:val="0"/>
                <w:color w:val="auto"/>
                <w:kern w:val="2"/>
                <w:sz w:val="22"/>
                <w:szCs w:val="24"/>
                <w:highlight w:val="none"/>
                <w:lang w:val="en-US" w:eastAsia="zh-CN" w:bidi="ar-SA"/>
              </w:rPr>
            </w:pPr>
            <w:r>
              <w:rPr>
                <w:rFonts w:hint="eastAsia" w:ascii="宋体" w:hAnsi="宋体" w:eastAsia="宋体" w:cs="Arial"/>
                <w:color w:val="auto"/>
                <w:sz w:val="22"/>
                <w:highlight w:val="none"/>
                <w:lang w:eastAsia="zh-CN"/>
              </w:rPr>
              <w:t>五</w:t>
            </w:r>
          </w:p>
        </w:tc>
        <w:tc>
          <w:tcPr>
            <w:tcW w:w="1095"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eastAsia="zh-CN"/>
              </w:rPr>
              <w:t>拖车类</w:t>
            </w:r>
          </w:p>
        </w:tc>
        <w:tc>
          <w:tcPr>
            <w:tcW w:w="2262" w:type="dxa"/>
            <w:noWrap w:val="0"/>
            <w:vAlign w:val="center"/>
          </w:tcPr>
          <w:p>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40吨平板拖车</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2800</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不足3小时按400元/次计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eastAsia" w:ascii="宋体" w:hAnsi="宋体" w:eastAsia="宋体" w:cs="Arial"/>
                <w:b w:val="0"/>
                <w:color w:val="auto"/>
                <w:kern w:val="2"/>
                <w:sz w:val="22"/>
                <w:szCs w:val="24"/>
                <w:highlight w:val="none"/>
                <w:lang w:val="en-US" w:eastAsia="zh-CN" w:bidi="ar-SA"/>
              </w:rPr>
            </w:pPr>
            <w:r>
              <w:rPr>
                <w:rFonts w:hint="eastAsia" w:ascii="宋体" w:hAnsi="宋体" w:eastAsia="宋体" w:cs="Arial"/>
                <w:color w:val="auto"/>
                <w:sz w:val="22"/>
                <w:highlight w:val="none"/>
              </w:rPr>
              <w:t>六</w:t>
            </w:r>
          </w:p>
        </w:tc>
        <w:tc>
          <w:tcPr>
            <w:tcW w:w="1095"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铲车（轮式装载机）</w:t>
            </w:r>
          </w:p>
        </w:tc>
        <w:tc>
          <w:tcPr>
            <w:tcW w:w="2262"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柳工、龙工、厦工、徐工、临工</w:t>
            </w:r>
            <w:r>
              <w:rPr>
                <w:rFonts w:hint="eastAsia" w:ascii="宋体" w:hAnsi="宋体" w:eastAsia="宋体"/>
                <w:color w:val="auto"/>
                <w:sz w:val="21"/>
                <w:szCs w:val="21"/>
                <w:highlight w:val="none"/>
                <w:lang w:val="en-US" w:eastAsia="zh-CN"/>
              </w:rPr>
              <w:t>或相当于</w:t>
            </w: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12型小铲车</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520</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18型小铲车</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664</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p>
        </w:tc>
        <w:tc>
          <w:tcPr>
            <w:tcW w:w="2262" w:type="dxa"/>
            <w:vMerge w:val="continue"/>
            <w:noWrap w:val="0"/>
            <w:vAlign w:val="center"/>
          </w:tcPr>
          <w:p>
            <w:pPr>
              <w:spacing w:line="300" w:lineRule="exact"/>
              <w:jc w:val="center"/>
              <w:rPr>
                <w:rFonts w:hint="eastAsia" w:ascii="宋体" w:hAnsi="宋体" w:eastAsia="宋体"/>
                <w:color w:val="auto"/>
                <w:kern w:val="2"/>
                <w:sz w:val="21"/>
                <w:szCs w:val="21"/>
                <w:highlight w:val="none"/>
                <w:lang w:val="en-US" w:eastAsia="zh-CN" w:bidi="ar-SA"/>
              </w:rPr>
            </w:pPr>
          </w:p>
        </w:tc>
        <w:tc>
          <w:tcPr>
            <w:tcW w:w="1627"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30型小铲车</w:t>
            </w:r>
          </w:p>
        </w:tc>
        <w:tc>
          <w:tcPr>
            <w:tcW w:w="1373"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904</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50型铲车</w:t>
            </w:r>
          </w:p>
        </w:tc>
        <w:tc>
          <w:tcPr>
            <w:tcW w:w="1373"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1980</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eastAsia" w:ascii="宋体" w:hAnsi="宋体" w:eastAsia="宋体" w:cs="Arial"/>
                <w:color w:val="auto"/>
                <w:sz w:val="22"/>
                <w:highlight w:val="none"/>
                <w:lang w:val="en-US" w:eastAsia="zh-CN"/>
              </w:rPr>
            </w:pPr>
          </w:p>
          <w:p>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七</w:t>
            </w:r>
          </w:p>
          <w:p>
            <w:pPr>
              <w:pStyle w:val="25"/>
              <w:jc w:val="center"/>
              <w:rPr>
                <w:rFonts w:hint="eastAsia" w:ascii="宋体" w:hAnsi="宋体" w:eastAsia="宋体" w:cs="Arial"/>
                <w:b w:val="0"/>
                <w:color w:val="auto"/>
                <w:kern w:val="2"/>
                <w:sz w:val="22"/>
                <w:szCs w:val="24"/>
                <w:highlight w:val="none"/>
                <w:lang w:val="en-US" w:eastAsia="zh-CN" w:bidi="ar-SA"/>
              </w:rPr>
            </w:pPr>
          </w:p>
        </w:tc>
        <w:tc>
          <w:tcPr>
            <w:tcW w:w="1095" w:type="dxa"/>
            <w:vMerge w:val="restart"/>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推土机</w:t>
            </w:r>
          </w:p>
        </w:tc>
        <w:tc>
          <w:tcPr>
            <w:tcW w:w="2262"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山推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移山</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卡特彼勒</w:t>
            </w:r>
            <w:r>
              <w:rPr>
                <w:rFonts w:hint="eastAsia" w:ascii="宋体" w:hAnsi="宋体" w:eastAsia="宋体" w:cs="Times New Roman"/>
                <w:color w:val="auto"/>
                <w:sz w:val="21"/>
                <w:szCs w:val="21"/>
                <w:highlight w:val="none"/>
                <w:lang w:eastAsia="zh-CN"/>
              </w:rPr>
              <w:t>、中联重科</w:t>
            </w:r>
            <w:r>
              <w:rPr>
                <w:rFonts w:hint="eastAsia" w:ascii="宋体" w:hAnsi="宋体" w:eastAsia="宋体" w:cs="Times New Roman"/>
                <w:color w:val="auto"/>
                <w:sz w:val="21"/>
                <w:szCs w:val="21"/>
                <w:highlight w:val="none"/>
                <w:lang w:val="en-US" w:eastAsia="zh-CN"/>
              </w:rPr>
              <w:t>或相当</w:t>
            </w:r>
            <w:r>
              <w:rPr>
                <w:rFonts w:hint="eastAsia" w:ascii="宋体" w:hAnsi="宋体" w:eastAsia="宋体" w:cs="Arial"/>
                <w:color w:val="auto"/>
                <w:sz w:val="21"/>
                <w:szCs w:val="21"/>
                <w:highlight w:val="none"/>
                <w:lang w:val="en-US" w:eastAsia="zh-CN"/>
              </w:rPr>
              <w:t>于</w:t>
            </w: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95kw</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2413</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pStyle w:val="25"/>
              <w:jc w:val="center"/>
              <w:rPr>
                <w:rFonts w:hint="eastAsia" w:ascii="宋体" w:hAnsi="宋体" w:eastAsia="宋体" w:cs="Arial"/>
                <w:color w:val="auto"/>
                <w:sz w:val="22"/>
                <w:highlight w:val="none"/>
                <w:lang w:eastAsia="zh-CN"/>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131kw</w:t>
            </w:r>
          </w:p>
        </w:tc>
        <w:tc>
          <w:tcPr>
            <w:tcW w:w="1373" w:type="dxa"/>
            <w:noWrap w:val="0"/>
            <w:vAlign w:val="center"/>
          </w:tcPr>
          <w:p>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3313</w:t>
            </w:r>
          </w:p>
        </w:tc>
        <w:tc>
          <w:tcPr>
            <w:tcW w:w="1728"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pStyle w:val="25"/>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175kW</w:t>
            </w:r>
          </w:p>
        </w:tc>
        <w:tc>
          <w:tcPr>
            <w:tcW w:w="1373"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3947</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八</w:t>
            </w:r>
          </w:p>
        </w:tc>
        <w:tc>
          <w:tcPr>
            <w:tcW w:w="1095"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翻耕机</w:t>
            </w:r>
          </w:p>
        </w:tc>
        <w:tc>
          <w:tcPr>
            <w:tcW w:w="2262" w:type="dxa"/>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60</w:t>
            </w:r>
            <w:r>
              <w:rPr>
                <w:rFonts w:hint="eastAsia" w:ascii="宋体" w:hAnsi="宋体" w:eastAsia="宋体" w:cs="Arial"/>
                <w:color w:val="auto"/>
                <w:sz w:val="21"/>
                <w:szCs w:val="21"/>
                <w:highlight w:val="none"/>
              </w:rPr>
              <w:t>元/亩/次</w:t>
            </w:r>
          </w:p>
        </w:tc>
        <w:tc>
          <w:tcPr>
            <w:tcW w:w="1728" w:type="dxa"/>
            <w:noWrap w:val="0"/>
            <w:vAlign w:val="center"/>
          </w:tcPr>
          <w:p>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开沟、松土、犁地，每个工序相当于一次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pPr>
              <w:spacing w:line="300" w:lineRule="exact"/>
              <w:jc w:val="center"/>
              <w:rPr>
                <w:color w:val="auto"/>
                <w:highlight w:val="none"/>
              </w:rPr>
            </w:pPr>
            <w:r>
              <w:rPr>
                <w:rFonts w:hint="eastAsia" w:ascii="宋体" w:hAnsi="宋体" w:eastAsia="宋体" w:cs="Arial"/>
                <w:color w:val="auto"/>
                <w:sz w:val="22"/>
                <w:highlight w:val="none"/>
                <w:lang w:val="en-US" w:eastAsia="zh-CN"/>
              </w:rPr>
              <w:t>九</w:t>
            </w:r>
          </w:p>
        </w:tc>
        <w:tc>
          <w:tcPr>
            <w:tcW w:w="1095" w:type="dxa"/>
            <w:noWrap w:val="0"/>
            <w:vAlign w:val="center"/>
          </w:tcPr>
          <w:p>
            <w:pPr>
              <w:spacing w:line="300" w:lineRule="exact"/>
              <w:jc w:val="center"/>
              <w:rPr>
                <w:color w:val="auto"/>
                <w:sz w:val="21"/>
                <w:szCs w:val="21"/>
                <w:highlight w:val="none"/>
              </w:rPr>
            </w:pPr>
            <w:r>
              <w:rPr>
                <w:rFonts w:hint="eastAsia" w:ascii="宋体" w:hAnsi="宋体" w:eastAsia="宋体" w:cs="Arial"/>
                <w:color w:val="auto"/>
                <w:sz w:val="21"/>
                <w:szCs w:val="21"/>
                <w:highlight w:val="none"/>
                <w:lang w:val="en-US" w:eastAsia="zh-CN"/>
              </w:rPr>
              <w:t>收割机</w:t>
            </w:r>
          </w:p>
        </w:tc>
        <w:tc>
          <w:tcPr>
            <w:tcW w:w="2262" w:type="dxa"/>
            <w:noWrap w:val="0"/>
            <w:vAlign w:val="center"/>
          </w:tcPr>
          <w:p>
            <w:pPr>
              <w:spacing w:line="300" w:lineRule="exact"/>
              <w:jc w:val="center"/>
              <w:rPr>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w:t>
            </w:r>
            <w:r>
              <w:rPr>
                <w:rFonts w:hint="eastAsia" w:ascii="宋体" w:hAnsi="宋体" w:eastAsia="宋体" w:cs="Arial"/>
                <w:color w:val="auto"/>
                <w:sz w:val="21"/>
                <w:szCs w:val="21"/>
                <w:highlight w:val="none"/>
              </w:rPr>
              <w:t>元/亩/次</w:t>
            </w:r>
          </w:p>
        </w:tc>
        <w:tc>
          <w:tcPr>
            <w:tcW w:w="1728"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w:t>
            </w:r>
          </w:p>
        </w:tc>
        <w:tc>
          <w:tcPr>
            <w:tcW w:w="1095"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随车吊</w:t>
            </w:r>
          </w:p>
        </w:tc>
        <w:tc>
          <w:tcPr>
            <w:tcW w:w="2262"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4吨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1200</w:t>
            </w:r>
          </w:p>
        </w:tc>
        <w:tc>
          <w:tcPr>
            <w:tcW w:w="1728"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不足3小时按400元/次计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default" w:ascii="宋体" w:hAnsi="宋体" w:eastAsia="宋体" w:cs="Arial"/>
                <w:color w:val="auto"/>
                <w:sz w:val="22"/>
                <w:highlight w:val="none"/>
                <w:lang w:val="en-US" w:eastAsia="zh-CN"/>
              </w:rPr>
            </w:pPr>
          </w:p>
        </w:tc>
        <w:tc>
          <w:tcPr>
            <w:tcW w:w="1095" w:type="dxa"/>
            <w:vMerge w:val="continue"/>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c>
          <w:tcPr>
            <w:tcW w:w="2262" w:type="dxa"/>
            <w:vMerge w:val="continue"/>
            <w:noWrap w:val="0"/>
            <w:vAlign w:val="center"/>
          </w:tcPr>
          <w:p>
            <w:pPr>
              <w:spacing w:line="300" w:lineRule="exact"/>
              <w:jc w:val="center"/>
              <w:rPr>
                <w:rFonts w:hint="eastAsia" w:ascii="宋体" w:hAnsi="宋体" w:eastAsia="宋体"/>
                <w:color w:val="auto"/>
                <w:sz w:val="21"/>
                <w:szCs w:val="21"/>
                <w:highlight w:val="none"/>
              </w:rPr>
            </w:pP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8吨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28" w:type="dxa"/>
            <w:vMerge w:val="continue"/>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color w:val="auto"/>
                <w:highlight w:val="none"/>
              </w:rPr>
            </w:pPr>
          </w:p>
        </w:tc>
        <w:tc>
          <w:tcPr>
            <w:tcW w:w="1095" w:type="dxa"/>
            <w:vMerge w:val="continue"/>
            <w:noWrap w:val="0"/>
            <w:vAlign w:val="center"/>
          </w:tcPr>
          <w:p>
            <w:pPr>
              <w:spacing w:line="300" w:lineRule="exact"/>
              <w:jc w:val="center"/>
              <w:rPr>
                <w:color w:val="auto"/>
                <w:sz w:val="21"/>
                <w:szCs w:val="21"/>
                <w:highlight w:val="none"/>
              </w:rPr>
            </w:pPr>
          </w:p>
        </w:tc>
        <w:tc>
          <w:tcPr>
            <w:tcW w:w="2262" w:type="dxa"/>
            <w:vMerge w:val="continue"/>
            <w:noWrap w:val="0"/>
            <w:vAlign w:val="center"/>
          </w:tcPr>
          <w:p>
            <w:pPr>
              <w:spacing w:line="300" w:lineRule="exact"/>
              <w:jc w:val="center"/>
              <w:rPr>
                <w:color w:val="auto"/>
                <w:sz w:val="21"/>
                <w:szCs w:val="21"/>
                <w:highlight w:val="none"/>
              </w:rPr>
            </w:pP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1800</w:t>
            </w:r>
          </w:p>
        </w:tc>
        <w:tc>
          <w:tcPr>
            <w:tcW w:w="1728" w:type="dxa"/>
            <w:vMerge w:val="continue"/>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十一</w:t>
            </w:r>
          </w:p>
        </w:tc>
        <w:tc>
          <w:tcPr>
            <w:tcW w:w="1095"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叉车</w:t>
            </w:r>
          </w:p>
        </w:tc>
        <w:tc>
          <w:tcPr>
            <w:tcW w:w="2262" w:type="dxa"/>
            <w:vMerge w:val="restart"/>
            <w:noWrap w:val="0"/>
            <w:vAlign w:val="center"/>
          </w:tcPr>
          <w:p>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合力、杭叉、柳工、徐工或相当于</w:t>
            </w: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1110</w:t>
            </w:r>
          </w:p>
        </w:tc>
        <w:tc>
          <w:tcPr>
            <w:tcW w:w="1728" w:type="dxa"/>
            <w:vMerge w:val="restart"/>
            <w:noWrap w:val="0"/>
            <w:vAlign w:val="center"/>
          </w:tcPr>
          <w:p>
            <w:pPr>
              <w:spacing w:line="300" w:lineRule="exact"/>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color w:val="auto"/>
                <w:highlight w:val="none"/>
              </w:rPr>
            </w:pPr>
          </w:p>
        </w:tc>
        <w:tc>
          <w:tcPr>
            <w:tcW w:w="1095" w:type="dxa"/>
            <w:vMerge w:val="continue"/>
            <w:noWrap w:val="0"/>
            <w:vAlign w:val="center"/>
          </w:tcPr>
          <w:p>
            <w:pPr>
              <w:spacing w:line="300" w:lineRule="exact"/>
              <w:jc w:val="center"/>
              <w:rPr>
                <w:color w:val="auto"/>
                <w:sz w:val="21"/>
                <w:szCs w:val="21"/>
                <w:highlight w:val="none"/>
              </w:rPr>
            </w:pPr>
          </w:p>
        </w:tc>
        <w:tc>
          <w:tcPr>
            <w:tcW w:w="2262" w:type="dxa"/>
            <w:vMerge w:val="continue"/>
            <w:noWrap w:val="0"/>
            <w:vAlign w:val="center"/>
          </w:tcPr>
          <w:p>
            <w:pPr>
              <w:spacing w:line="300" w:lineRule="exact"/>
              <w:jc w:val="center"/>
              <w:rPr>
                <w:color w:val="auto"/>
                <w:sz w:val="21"/>
                <w:szCs w:val="21"/>
                <w:highlight w:val="none"/>
              </w:rPr>
            </w:pP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5吨</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1990</w:t>
            </w:r>
          </w:p>
        </w:tc>
        <w:tc>
          <w:tcPr>
            <w:tcW w:w="1728" w:type="dxa"/>
            <w:vMerge w:val="continue"/>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十二</w:t>
            </w:r>
          </w:p>
        </w:tc>
        <w:tc>
          <w:tcPr>
            <w:tcW w:w="1095"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压路机</w:t>
            </w:r>
          </w:p>
        </w:tc>
        <w:tc>
          <w:tcPr>
            <w:tcW w:w="2262"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厦工、徐工、柳工、龙工或相当于</w:t>
            </w:r>
          </w:p>
        </w:tc>
        <w:tc>
          <w:tcPr>
            <w:tcW w:w="1627"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15吨振动式</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2350</w:t>
            </w:r>
          </w:p>
        </w:tc>
        <w:tc>
          <w:tcPr>
            <w:tcW w:w="1728" w:type="dxa"/>
            <w:vMerge w:val="restart"/>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default" w:ascii="宋体" w:hAnsi="宋体" w:eastAsia="宋体" w:cs="Arial"/>
                <w:color w:val="auto"/>
                <w:sz w:val="22"/>
                <w:highlight w:val="none"/>
                <w:lang w:val="en-US" w:eastAsia="zh-CN"/>
              </w:rPr>
            </w:pPr>
          </w:p>
        </w:tc>
        <w:tc>
          <w:tcPr>
            <w:tcW w:w="1095" w:type="dxa"/>
            <w:vMerge w:val="continue"/>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c>
          <w:tcPr>
            <w:tcW w:w="2262" w:type="dxa"/>
            <w:vMerge w:val="continue"/>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20吨振动式</w:t>
            </w:r>
          </w:p>
        </w:tc>
        <w:tc>
          <w:tcPr>
            <w:tcW w:w="1373" w:type="dxa"/>
            <w:noWrap w:val="0"/>
            <w:vAlign w:val="center"/>
          </w:tcPr>
          <w:p>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2400</w:t>
            </w:r>
          </w:p>
        </w:tc>
        <w:tc>
          <w:tcPr>
            <w:tcW w:w="1728" w:type="dxa"/>
            <w:vMerge w:val="continue"/>
            <w:noWrap w:val="0"/>
            <w:vAlign w:val="center"/>
          </w:tcPr>
          <w:p>
            <w:pPr>
              <w:spacing w:line="300" w:lineRule="exact"/>
              <w:jc w:val="center"/>
              <w:rPr>
                <w:rFonts w:hint="default"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26吨振动式</w:t>
            </w:r>
          </w:p>
        </w:tc>
        <w:tc>
          <w:tcPr>
            <w:tcW w:w="1373"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2710</w:t>
            </w:r>
          </w:p>
        </w:tc>
        <w:tc>
          <w:tcPr>
            <w:tcW w:w="1728"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十三</w:t>
            </w:r>
          </w:p>
          <w:p>
            <w:pPr>
              <w:spacing w:line="300" w:lineRule="exact"/>
              <w:jc w:val="center"/>
              <w:rPr>
                <w:rFonts w:hint="eastAsia" w:ascii="宋体" w:hAnsi="宋体" w:eastAsia="宋体" w:cs="Arial"/>
                <w:color w:val="auto"/>
                <w:sz w:val="22"/>
                <w:highlight w:val="none"/>
                <w:lang w:val="en-US" w:eastAsia="zh-CN"/>
              </w:rPr>
            </w:pPr>
          </w:p>
        </w:tc>
        <w:tc>
          <w:tcPr>
            <w:tcW w:w="1095" w:type="dxa"/>
            <w:vMerge w:val="restart"/>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农用无人机</w:t>
            </w:r>
          </w:p>
        </w:tc>
        <w:tc>
          <w:tcPr>
            <w:tcW w:w="2262" w:type="dxa"/>
            <w:vMerge w:val="restart"/>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大疆、极飞、启飞或相当于</w:t>
            </w: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10元/亩/次</w:t>
            </w:r>
          </w:p>
        </w:tc>
        <w:tc>
          <w:tcPr>
            <w:tcW w:w="1728"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洒药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pPr>
              <w:spacing w:line="300" w:lineRule="exact"/>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0.5元</w:t>
            </w:r>
            <w:r>
              <w:rPr>
                <w:rFonts w:hint="eastAsia" w:ascii="宋体" w:hAnsi="宋体" w:eastAsia="宋体" w:cs="Arial"/>
                <w:color w:val="auto"/>
                <w:sz w:val="21"/>
                <w:szCs w:val="21"/>
                <w:highlight w:val="none"/>
                <w:lang w:val="en-US" w:eastAsia="zh-CN"/>
              </w:rPr>
              <w:t>/</w:t>
            </w:r>
            <w:r>
              <w:rPr>
                <w:rFonts w:hint="eastAsia" w:ascii="宋体" w:hAnsi="宋体" w:cs="Arial"/>
                <w:color w:val="auto"/>
                <w:sz w:val="21"/>
                <w:szCs w:val="21"/>
                <w:highlight w:val="none"/>
                <w:lang w:val="en-US" w:eastAsia="zh-CN"/>
              </w:rPr>
              <w:t>斤</w:t>
            </w:r>
          </w:p>
        </w:tc>
        <w:tc>
          <w:tcPr>
            <w:tcW w:w="1728" w:type="dxa"/>
            <w:noWrap w:val="0"/>
            <w:vAlign w:val="center"/>
          </w:tcPr>
          <w:p>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播种、施肥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4" w:type="dxa"/>
            <w:gridSpan w:val="3"/>
            <w:noWrap w:val="0"/>
            <w:vAlign w:val="center"/>
          </w:tcPr>
          <w:p>
            <w:pPr>
              <w:spacing w:line="300" w:lineRule="exact"/>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lang w:eastAsia="zh-CN"/>
              </w:rPr>
              <w:t>结算率</w:t>
            </w:r>
          </w:p>
        </w:tc>
        <w:tc>
          <w:tcPr>
            <w:tcW w:w="4728" w:type="dxa"/>
            <w:gridSpan w:val="3"/>
            <w:noWrap w:val="0"/>
            <w:vAlign w:val="center"/>
          </w:tcPr>
          <w:p>
            <w:pPr>
              <w:spacing w:line="300" w:lineRule="exact"/>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u w:val="single"/>
              </w:rPr>
              <w:t xml:space="preserve">       </w:t>
            </w:r>
            <w:r>
              <w:rPr>
                <w:rFonts w:hint="eastAsia" w:ascii="宋体" w:hAnsi="宋体" w:eastAsia="宋体" w:cs="Times New Roman"/>
                <w:color w:val="auto"/>
                <w:sz w:val="22"/>
                <w:highlight w:val="none"/>
              </w:rPr>
              <w:t>%（百分号前保留二位小数，</w:t>
            </w:r>
            <w:r>
              <w:rPr>
                <w:rFonts w:hint="eastAsia" w:ascii="宋体" w:hAnsi="宋体" w:eastAsia="宋体" w:cs="Times New Roman"/>
                <w:color w:val="auto"/>
                <w:sz w:val="22"/>
                <w:highlight w:val="none"/>
                <w:lang w:eastAsia="zh-CN"/>
              </w:rPr>
              <w:t>结算率</w:t>
            </w:r>
            <w:r>
              <w:rPr>
                <w:rFonts w:hint="eastAsia" w:ascii="宋体" w:hAnsi="宋体" w:eastAsia="宋体" w:cs="Times New Roman"/>
                <w:color w:val="auto"/>
                <w:sz w:val="22"/>
                <w:highlight w:val="none"/>
              </w:rPr>
              <w:t>不得高于100%，否则作无效标处理）</w:t>
            </w:r>
          </w:p>
        </w:tc>
      </w:tr>
    </w:tbl>
    <w:p>
      <w:pPr>
        <w:spacing w:line="360" w:lineRule="auto"/>
        <w:ind w:right="-69" w:rightChars="-33"/>
        <w:jc w:val="left"/>
        <w:rPr>
          <w:rFonts w:hint="eastAsia" w:ascii="宋体" w:hAnsi="宋体" w:eastAsia="宋体" w:cs="Times New Roman"/>
          <w:sz w:val="22"/>
          <w:szCs w:val="22"/>
          <w:highlight w:val="none"/>
        </w:rPr>
      </w:pPr>
      <w:bookmarkStart w:id="56" w:name="_Toc1047"/>
      <w:bookmarkStart w:id="57" w:name="_Toc4173"/>
      <w:r>
        <w:rPr>
          <w:rFonts w:hint="eastAsia" w:ascii="宋体" w:hAnsi="宋体" w:eastAsia="宋体"/>
          <w:sz w:val="22"/>
          <w:szCs w:val="22"/>
          <w:highlight w:val="none"/>
        </w:rPr>
        <w:t>备注：</w:t>
      </w:r>
      <w:r>
        <w:rPr>
          <w:rFonts w:hint="eastAsia" w:ascii="宋体" w:hAnsi="宋体" w:eastAsia="宋体" w:cs="Times New Roman"/>
          <w:sz w:val="22"/>
          <w:szCs w:val="22"/>
          <w:highlight w:val="none"/>
        </w:rPr>
        <w:t xml:space="preserve"> （1）报价方式：采用完</w:t>
      </w:r>
      <w:r>
        <w:rPr>
          <w:rFonts w:hint="eastAsia" w:ascii="宋体" w:hAnsi="宋体" w:eastAsia="宋体" w:cs="Times New Roman"/>
          <w:sz w:val="22"/>
          <w:szCs w:val="22"/>
          <w:highlight w:val="none"/>
          <w:lang w:eastAsia="zh-CN"/>
        </w:rPr>
        <w:t>全费用综合单价报价</w:t>
      </w:r>
      <w:r>
        <w:rPr>
          <w:rFonts w:hint="eastAsia" w:ascii="宋体" w:hAnsi="宋体" w:eastAsia="宋体" w:cs="Times New Roman"/>
          <w:sz w:val="22"/>
          <w:szCs w:val="22"/>
          <w:highlight w:val="none"/>
        </w:rPr>
        <w:t>，</w:t>
      </w:r>
      <w:bookmarkEnd w:id="56"/>
      <w:bookmarkEnd w:id="57"/>
      <w:r>
        <w:rPr>
          <w:rFonts w:hint="eastAsia" w:ascii="宋体" w:hAnsi="宋体" w:eastAsia="宋体" w:cs="Times New Roman"/>
          <w:sz w:val="22"/>
          <w:szCs w:val="22"/>
          <w:highlight w:val="none"/>
          <w:lang w:eastAsia="zh-CN"/>
        </w:rPr>
        <w:t>其完全费率综合单价</w:t>
      </w:r>
      <w:r>
        <w:rPr>
          <w:rFonts w:hint="eastAsia" w:ascii="宋体" w:hAnsi="宋体" w:eastAsia="宋体" w:cs="Times New Roman"/>
          <w:sz w:val="22"/>
          <w:szCs w:val="22"/>
          <w:highlight w:val="none"/>
        </w:rPr>
        <w:t>包括各种机械设备人员费用、劳保用品、管理人员费用、人员意外保险、运输、进退场费</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在招标文件</w:t>
      </w:r>
      <w:r>
        <w:rPr>
          <w:rFonts w:hint="eastAsia" w:ascii="宋体" w:hAnsi="宋体" w:cs="Times New Roman"/>
          <w:sz w:val="22"/>
          <w:szCs w:val="22"/>
          <w:highlight w:val="none"/>
          <w:lang w:val="en-US" w:eastAsia="zh-CN"/>
        </w:rPr>
        <w:t>第三章招标需求</w:t>
      </w:r>
      <w:r>
        <w:rPr>
          <w:rFonts w:hint="eastAsia" w:ascii="宋体" w:hAnsi="宋体" w:eastAsia="宋体" w:cs="Times New Roman"/>
          <w:sz w:val="22"/>
          <w:szCs w:val="22"/>
          <w:highlight w:val="none"/>
          <w:lang w:val="en-US" w:eastAsia="zh-CN"/>
        </w:rPr>
        <w:t>备注另有约定的按照约定执行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、设备维修费、设备运行油耗费、劳务、管理、利润、规费、税金以及其他所有可能包含的风险、责任等各项所有费用。</w:t>
      </w:r>
    </w:p>
    <w:p>
      <w:pPr>
        <w:spacing w:line="360" w:lineRule="auto"/>
        <w:ind w:right="-409" w:rightChars="-195" w:firstLine="110" w:firstLineChars="50"/>
        <w:rPr>
          <w:rFonts w:hint="eastAsia" w:ascii="宋体" w:hAnsi="宋体" w:eastAsia="宋体"/>
          <w:sz w:val="22"/>
          <w:szCs w:val="22"/>
          <w:highlight w:val="none"/>
        </w:rPr>
      </w:pPr>
      <w:r>
        <w:rPr>
          <w:rFonts w:hint="eastAsia" w:ascii="宋体" w:hAnsi="宋体" w:eastAsia="宋体"/>
          <w:sz w:val="22"/>
          <w:szCs w:val="22"/>
          <w:highlight w:val="none"/>
        </w:rPr>
        <w:t>（2）各投标人需填写</w:t>
      </w:r>
      <w:r>
        <w:rPr>
          <w:rFonts w:hint="eastAsia" w:ascii="宋体" w:hAnsi="宋体" w:eastAsia="宋体"/>
          <w:sz w:val="22"/>
          <w:szCs w:val="22"/>
          <w:highlight w:val="none"/>
          <w:lang w:eastAsia="zh-CN"/>
        </w:rPr>
        <w:t>结算率</w:t>
      </w:r>
      <w:r>
        <w:rPr>
          <w:rFonts w:hint="eastAsia" w:ascii="宋体" w:hAnsi="宋体" w:eastAsia="宋体"/>
          <w:sz w:val="22"/>
          <w:szCs w:val="22"/>
          <w:highlight w:val="none"/>
        </w:rPr>
        <w:t>，</w:t>
      </w:r>
      <w:r>
        <w:rPr>
          <w:rFonts w:hint="eastAsia" w:ascii="宋体" w:hAnsi="宋体" w:eastAsia="宋体"/>
          <w:b/>
          <w:bCs/>
          <w:i w:val="0"/>
          <w:iCs w:val="0"/>
          <w:sz w:val="22"/>
          <w:szCs w:val="22"/>
          <w:highlight w:val="none"/>
        </w:rPr>
        <w:t>结算租赁费=按上表约定的各种机械设备台班租赁单价*经甲方核定的各种机械设备租赁实际租赁台班量*</w:t>
      </w:r>
      <w:r>
        <w:rPr>
          <w:rFonts w:hint="eastAsia" w:ascii="宋体" w:hAnsi="宋体" w:eastAsia="宋体"/>
          <w:b/>
          <w:bCs/>
          <w:i w:val="0"/>
          <w:iCs w:val="0"/>
          <w:sz w:val="22"/>
          <w:szCs w:val="22"/>
          <w:highlight w:val="none"/>
          <w:lang w:eastAsia="zh-CN"/>
        </w:rPr>
        <w:t>结算率</w:t>
      </w:r>
      <w:r>
        <w:rPr>
          <w:rFonts w:hint="eastAsia" w:ascii="宋体" w:hAnsi="宋体" w:eastAsia="宋体"/>
          <w:b/>
          <w:bCs/>
          <w:i w:val="0"/>
          <w:iCs w:val="0"/>
          <w:sz w:val="22"/>
          <w:szCs w:val="22"/>
          <w:highlight w:val="none"/>
        </w:rPr>
        <w:t>。</w:t>
      </w:r>
    </w:p>
    <w:p>
      <w:pPr>
        <w:spacing w:line="360" w:lineRule="auto"/>
        <w:ind w:right="-409" w:rightChars="-195" w:firstLine="110" w:firstLineChars="50"/>
        <w:rPr>
          <w:rFonts w:hint="eastAsia" w:ascii="宋体" w:hAnsi="宋体" w:eastAsia="宋体"/>
          <w:sz w:val="22"/>
          <w:szCs w:val="22"/>
          <w:highlight w:val="none"/>
        </w:rPr>
      </w:pPr>
      <w:r>
        <w:rPr>
          <w:rFonts w:hint="eastAsia" w:ascii="宋体" w:hAnsi="宋体" w:eastAsia="宋体"/>
          <w:sz w:val="22"/>
          <w:szCs w:val="22"/>
          <w:highlight w:val="none"/>
        </w:rPr>
        <w:t>（3）上述各类机械设备品牌只需具有其中一个品牌即可，每个台班按8小时计算，特殊情况的台班进出场费、台班起步费按上表备注执行，其中挖机类单个工程项目工作量超过两台班的进出场费不计,不足两个台班的进出场费计一次。吊车类每天工作两小时内按不足两小时方式计算。</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法定代表人（签字或电子盖章）：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投标人（盖单位电子公章）：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    年   月   日</w:t>
      </w:r>
    </w:p>
    <w:p>
      <w:pPr>
        <w:pStyle w:val="17"/>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32CF3"/>
    <w:multiLevelType w:val="singleLevel"/>
    <w:tmpl w:val="F2832CF3"/>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bullet"/>
      <w:pStyle w:val="9"/>
      <w:lvlText w:val=""/>
      <w:lvlJc w:val="left"/>
      <w:pPr>
        <w:tabs>
          <w:tab w:val="left" w:pos="360"/>
        </w:tabs>
        <w:ind w:left="360" w:hanging="360"/>
      </w:pPr>
      <w:rPr>
        <w:rFonts w:hint="default" w:ascii="Wingdings" w:hAnsi="Wingdings"/>
      </w:rPr>
    </w:lvl>
  </w:abstractNum>
  <w:abstractNum w:abstractNumId="4">
    <w:nsid w:val="00000005"/>
    <w:multiLevelType w:val="singleLevel"/>
    <w:tmpl w:val="00000005"/>
    <w:lvl w:ilvl="0" w:tentative="0">
      <w:start w:val="1"/>
      <w:numFmt w:val="decimal"/>
      <w:pStyle w:val="8"/>
      <w:lvlText w:val="%1."/>
      <w:lvlJc w:val="left"/>
      <w:pPr>
        <w:tabs>
          <w:tab w:val="left" w:pos="360"/>
        </w:tabs>
        <w:ind w:left="360" w:hanging="360"/>
      </w:pPr>
    </w:lvl>
  </w:abstractNum>
  <w:abstractNum w:abstractNumId="5">
    <w:nsid w:val="00000006"/>
    <w:multiLevelType w:val="singleLevel"/>
    <w:tmpl w:val="00000006"/>
    <w:lvl w:ilvl="0" w:tentative="0">
      <w:start w:val="2"/>
      <w:numFmt w:val="chineseCounting"/>
      <w:suff w:val="space"/>
      <w:lvlText w:val="第%1章"/>
      <w:lvlJc w:val="left"/>
      <w:rPr>
        <w:rFonts w:hint="eastAsia"/>
      </w:rPr>
    </w:lvl>
  </w:abstractNum>
  <w:abstractNum w:abstractNumId="6">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9"/>
    <w:multiLevelType w:val="singleLevel"/>
    <w:tmpl w:val="00000009"/>
    <w:lvl w:ilvl="0" w:tentative="0">
      <w:start w:val="1"/>
      <w:numFmt w:val="chineseCounting"/>
      <w:suff w:val="space"/>
      <w:lvlText w:val="第%1章"/>
      <w:lvlJc w:val="left"/>
      <w:rPr>
        <w:rFonts w:hint="eastAsia"/>
      </w:rPr>
    </w:lvl>
  </w:abstractNum>
  <w:abstractNum w:abstractNumId="8">
    <w:nsid w:val="0000000A"/>
    <w:multiLevelType w:val="singleLevel"/>
    <w:tmpl w:val="0000000A"/>
    <w:lvl w:ilvl="0" w:tentative="0">
      <w:start w:val="1"/>
      <w:numFmt w:val="chineseCounting"/>
      <w:suff w:val="nothing"/>
      <w:lvlText w:val="%1、"/>
      <w:lvlJc w:val="left"/>
      <w:rPr>
        <w:rFonts w:hint="eastAsia"/>
      </w:rPr>
    </w:lvl>
  </w:abstractNum>
  <w:abstractNum w:abstractNumId="9">
    <w:nsid w:val="58481E77"/>
    <w:multiLevelType w:val="singleLevel"/>
    <w:tmpl w:val="58481E77"/>
    <w:lvl w:ilvl="0" w:tentative="0">
      <w:start w:val="2"/>
      <w:numFmt w:val="chineseCounting"/>
      <w:suff w:val="nothing"/>
      <w:lvlText w:val="第%1条"/>
      <w:lvlJc w:val="left"/>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zc3NGQ1ZGNjZGI1M2Q5ODNhNmZlYzVmYTIwMDEifQ=="/>
  </w:docVars>
  <w:rsids>
    <w:rsidRoot w:val="00000000"/>
    <w:rsid w:val="05BA2954"/>
    <w:rsid w:val="05E1390B"/>
    <w:rsid w:val="06EA7D25"/>
    <w:rsid w:val="0A2D57C4"/>
    <w:rsid w:val="0BCD4D32"/>
    <w:rsid w:val="0DCC5CD5"/>
    <w:rsid w:val="0F743728"/>
    <w:rsid w:val="14AF4E03"/>
    <w:rsid w:val="18602A8A"/>
    <w:rsid w:val="1C41122D"/>
    <w:rsid w:val="1D773433"/>
    <w:rsid w:val="1F0307F1"/>
    <w:rsid w:val="22135B75"/>
    <w:rsid w:val="227A1914"/>
    <w:rsid w:val="2470118A"/>
    <w:rsid w:val="296B6D7E"/>
    <w:rsid w:val="29721786"/>
    <w:rsid w:val="2C0E7654"/>
    <w:rsid w:val="2C5B58E2"/>
    <w:rsid w:val="2E17616E"/>
    <w:rsid w:val="366C0322"/>
    <w:rsid w:val="399B1010"/>
    <w:rsid w:val="39F865EB"/>
    <w:rsid w:val="3A684EE0"/>
    <w:rsid w:val="3B4E7BA4"/>
    <w:rsid w:val="3B9703AF"/>
    <w:rsid w:val="403102E6"/>
    <w:rsid w:val="412D262B"/>
    <w:rsid w:val="41F477D8"/>
    <w:rsid w:val="42694E81"/>
    <w:rsid w:val="433C187A"/>
    <w:rsid w:val="44AE0556"/>
    <w:rsid w:val="460C490E"/>
    <w:rsid w:val="49A65F5E"/>
    <w:rsid w:val="49AD38FD"/>
    <w:rsid w:val="49F308E0"/>
    <w:rsid w:val="4CDF25AC"/>
    <w:rsid w:val="4F327D4A"/>
    <w:rsid w:val="500C7508"/>
    <w:rsid w:val="52120376"/>
    <w:rsid w:val="53990623"/>
    <w:rsid w:val="551848B8"/>
    <w:rsid w:val="56B64DD1"/>
    <w:rsid w:val="57856723"/>
    <w:rsid w:val="578E0039"/>
    <w:rsid w:val="57EB04EF"/>
    <w:rsid w:val="5AD14B46"/>
    <w:rsid w:val="5D5F7ED9"/>
    <w:rsid w:val="654A79CF"/>
    <w:rsid w:val="66D460EA"/>
    <w:rsid w:val="67E26786"/>
    <w:rsid w:val="6E3E026B"/>
    <w:rsid w:val="71766353"/>
    <w:rsid w:val="73592D1C"/>
    <w:rsid w:val="73A4064D"/>
    <w:rsid w:val="74675EA7"/>
    <w:rsid w:val="753C5F1B"/>
    <w:rsid w:val="76904AE4"/>
    <w:rsid w:val="799F7821"/>
    <w:rsid w:val="7A730C2B"/>
    <w:rsid w:val="7B4E3901"/>
    <w:rsid w:val="7D176327"/>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qFormat/>
    <w:uiPriority w:val="0"/>
    <w:pPr>
      <w:keepNext/>
      <w:keepLines/>
      <w:tabs>
        <w:tab w:val="left" w:pos="8280"/>
      </w:tabs>
      <w:spacing w:before="260" w:after="260" w:line="416" w:lineRule="auto"/>
      <w:outlineLvl w:val="2"/>
    </w:pPr>
    <w:rPr>
      <w:bCs/>
      <w:szCs w:val="32"/>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2">
    <w:name w:val="Body Text First Indent"/>
    <w:basedOn w:val="3"/>
    <w:next w:val="1"/>
    <w:link w:val="81"/>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7">
    <w:name w:val="Normal Indent"/>
    <w:basedOn w:val="1"/>
    <w:next w:val="1"/>
    <w:autoRedefine/>
    <w:qFormat/>
    <w:uiPriority w:val="0"/>
    <w:pPr>
      <w:ind w:firstLine="420"/>
    </w:pPr>
    <w:rPr>
      <w:szCs w:val="20"/>
    </w:rPr>
  </w:style>
  <w:style w:type="paragraph" w:styleId="8">
    <w:name w:val="List Number"/>
    <w:basedOn w:val="1"/>
    <w:autoRedefine/>
    <w:qFormat/>
    <w:uiPriority w:val="0"/>
    <w:pPr>
      <w:numPr>
        <w:ilvl w:val="0"/>
        <w:numId w:val="2"/>
      </w:numPr>
    </w:pPr>
  </w:style>
  <w:style w:type="paragraph" w:styleId="9">
    <w:name w:val="List Bullet"/>
    <w:basedOn w:val="1"/>
    <w:next w:val="1"/>
    <w:qFormat/>
    <w:uiPriority w:val="0"/>
    <w:pPr>
      <w:numPr>
        <w:ilvl w:val="0"/>
        <w:numId w:val="3"/>
      </w:numPr>
    </w:pPr>
  </w:style>
  <w:style w:type="paragraph" w:styleId="10">
    <w:name w:val="annotation text"/>
    <w:basedOn w:val="1"/>
    <w:link w:val="79"/>
    <w:autoRedefine/>
    <w:qFormat/>
    <w:uiPriority w:val="0"/>
    <w:pPr>
      <w:jc w:val="left"/>
    </w:pPr>
  </w:style>
  <w:style w:type="paragraph" w:styleId="11">
    <w:name w:val="Body Text 3"/>
    <w:basedOn w:val="1"/>
    <w:autoRedefine/>
    <w:qFormat/>
    <w:uiPriority w:val="0"/>
    <w:pPr>
      <w:snapToGrid w:val="0"/>
      <w:spacing w:before="50" w:after="50"/>
    </w:pPr>
    <w:rPr>
      <w:rFonts w:hAnsi="宋体" w:eastAsia="仿宋_GB2312"/>
      <w:b/>
      <w:bCs/>
      <w:sz w:val="24"/>
      <w:szCs w:val="20"/>
    </w:r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9"/>
    <w:autoRedefine/>
    <w:qFormat/>
    <w:uiPriority w:val="0"/>
    <w:pPr>
      <w:numPr>
        <w:ilvl w:val="0"/>
        <w:numId w:val="4"/>
      </w:numPr>
    </w:pPr>
  </w:style>
  <w:style w:type="paragraph" w:styleId="14">
    <w:name w:val="Plain Text"/>
    <w:basedOn w:val="1"/>
    <w:link w:val="71"/>
    <w:autoRedefine/>
    <w:qFormat/>
    <w:uiPriority w:val="0"/>
    <w:rPr>
      <w:rFonts w:ascii="宋体" w:hAnsi="Courier New" w:cs="宋体"/>
    </w:rPr>
  </w:style>
  <w:style w:type="paragraph" w:styleId="15">
    <w:name w:val="Date"/>
    <w:basedOn w:val="1"/>
    <w:next w:val="1"/>
    <w:autoRedefine/>
    <w:qFormat/>
    <w:uiPriority w:val="0"/>
    <w:pPr>
      <w:ind w:left="2500" w:leftChars="2500"/>
    </w:pPr>
    <w:rPr>
      <w:rFonts w:ascii="Calibri" w:hAnsi="Calibri" w:eastAsia="楷体_GB2312" w:cs="宋体"/>
      <w:sz w:val="32"/>
      <w:szCs w:val="22"/>
    </w:rPr>
  </w:style>
  <w:style w:type="paragraph" w:styleId="16">
    <w:name w:val="Balloon Text"/>
    <w:basedOn w:val="1"/>
    <w:link w:val="61"/>
    <w:autoRedefine/>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宋体" w:hAnsi="宋体"/>
      <w:sz w:val="24"/>
    </w:rPr>
  </w:style>
  <w:style w:type="paragraph" w:styleId="20">
    <w:name w:val="Subtitle"/>
    <w:basedOn w:val="1"/>
    <w:next w:val="1"/>
    <w:autoRedefine/>
    <w:qFormat/>
    <w:uiPriority w:val="11"/>
    <w:pPr>
      <w:spacing w:after="60"/>
      <w:jc w:val="center"/>
      <w:outlineLvl w:val="1"/>
    </w:pPr>
    <w:rPr>
      <w:rFonts w:ascii="Cambria" w:hAnsi="Cambria"/>
    </w:rPr>
  </w:style>
  <w:style w:type="paragraph" w:styleId="21">
    <w:name w:val="toc 6"/>
    <w:basedOn w:val="1"/>
    <w:next w:val="1"/>
    <w:autoRedefine/>
    <w:qFormat/>
    <w:uiPriority w:val="39"/>
    <w:pPr>
      <w:ind w:left="2100" w:leftChars="1000"/>
    </w:pPr>
    <w:rPr>
      <w:rFonts w:ascii="Calibri" w:hAnsi="Calibri"/>
    </w:rPr>
  </w:style>
  <w:style w:type="paragraph" w:styleId="22">
    <w:name w:val="Body Text Indent 3"/>
    <w:basedOn w:val="1"/>
    <w:autoRedefine/>
    <w:qFormat/>
    <w:uiPriority w:val="0"/>
    <w:pPr>
      <w:spacing w:after="120" w:afterLines="0"/>
      <w:ind w:left="420" w:leftChars="200"/>
    </w:pPr>
    <w:rPr>
      <w:sz w:val="16"/>
      <w:szCs w:val="16"/>
    </w:rPr>
  </w:style>
  <w:style w:type="paragraph" w:styleId="23">
    <w:name w:val="toc 2"/>
    <w:basedOn w:val="1"/>
    <w:next w:val="1"/>
    <w:autoRedefine/>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annotation subject"/>
    <w:basedOn w:val="10"/>
    <w:next w:val="10"/>
    <w:link w:val="80"/>
    <w:autoRedefine/>
    <w:qFormat/>
    <w:uiPriority w:val="0"/>
    <w:rPr>
      <w:b/>
      <w:bCs/>
    </w:rPr>
  </w:style>
  <w:style w:type="paragraph" w:styleId="27">
    <w:name w:val="Body Text First Indent 2"/>
    <w:basedOn w:val="12"/>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Hyperlink"/>
    <w:autoRedefine/>
    <w:qFormat/>
    <w:uiPriority w:val="0"/>
    <w:rPr>
      <w:color w:val="0000FF"/>
      <w:u w:val="single"/>
    </w:rPr>
  </w:style>
  <w:style w:type="character" w:styleId="32">
    <w:name w:val="annotation reference"/>
    <w:basedOn w:val="30"/>
    <w:autoRedefine/>
    <w:qFormat/>
    <w:uiPriority w:val="0"/>
    <w:rPr>
      <w:sz w:val="21"/>
      <w:szCs w:val="21"/>
    </w:rPr>
  </w:style>
  <w:style w:type="paragraph" w:customStyle="1" w:styleId="33">
    <w:name w:val="4、正文"/>
    <w:basedOn w:val="1"/>
    <w:autoRedefine/>
    <w:qFormat/>
    <w:uiPriority w:val="0"/>
    <w:pPr>
      <w:ind w:firstLine="200" w:firstLineChars="200"/>
    </w:pPr>
    <w:rPr>
      <w:rFonts w:ascii="宋体"/>
      <w:sz w:val="24"/>
      <w:szCs w:val="28"/>
    </w:rPr>
  </w:style>
  <w:style w:type="paragraph" w:customStyle="1" w:styleId="34">
    <w:name w:val="Default"/>
    <w:next w:val="35"/>
    <w:autoRedefine/>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表格文字"/>
    <w:basedOn w:val="1"/>
    <w:next w:val="3"/>
    <w:autoRedefine/>
    <w:qFormat/>
    <w:uiPriority w:val="0"/>
    <w:pPr>
      <w:jc w:val="left"/>
      <w:textAlignment w:val="top"/>
    </w:pPr>
    <w:rPr>
      <w:sz w:val="18"/>
    </w:rPr>
  </w:style>
  <w:style w:type="paragraph" w:customStyle="1" w:styleId="3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0"/>
    <w:rPr>
      <w:rFonts w:ascii="Times New Roman" w:hAnsi="Times New Roman" w:eastAsia="宋体" w:cs="Times New Roman"/>
      <w:sz w:val="21"/>
      <w:szCs w:val="22"/>
      <w:lang w:val="en-US" w:eastAsia="zh-CN" w:bidi="ar-SA"/>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0"/>
    <w:pPr>
      <w:widowControl/>
      <w:jc w:val="left"/>
    </w:pPr>
    <w:rPr>
      <w:rFonts w:ascii="宋体" w:hAnsi="Courier New" w:eastAsia="宋体" w:cs="宋体"/>
      <w:szCs w:val="21"/>
    </w:rPr>
  </w:style>
  <w:style w:type="paragraph" w:customStyle="1" w:styleId="49">
    <w:name w:val="纯文本_0_1"/>
    <w:basedOn w:val="1"/>
    <w:autoRedefine/>
    <w:qFormat/>
    <w:uiPriority w:val="0"/>
    <w:pPr>
      <w:widowControl/>
      <w:jc w:val="left"/>
    </w:pPr>
    <w:rPr>
      <w:rFonts w:ascii="宋体" w:hAnsi="Courier New" w:eastAsia="宋体" w:cs="宋体"/>
      <w:szCs w:val="21"/>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0"/>
    <w:autoRedefine/>
    <w:qFormat/>
    <w:uiPriority w:val="0"/>
    <w:rPr>
      <w:rFonts w:hint="default" w:ascii="Arial" w:hAnsi="Arial" w:cs="Arial"/>
      <w:color w:val="000000"/>
      <w:sz w:val="20"/>
      <w:szCs w:val="20"/>
      <w:u w:val="none"/>
    </w:rPr>
  </w:style>
  <w:style w:type="character" w:customStyle="1" w:styleId="55">
    <w:name w:val="font01"/>
    <w:basedOn w:val="30"/>
    <w:autoRedefine/>
    <w:qFormat/>
    <w:uiPriority w:val="0"/>
    <w:rPr>
      <w:rFonts w:hint="eastAsia" w:ascii="宋体" w:hAnsi="宋体" w:eastAsia="宋体" w:cs="宋体"/>
      <w:color w:val="000000"/>
      <w:sz w:val="20"/>
      <w:szCs w:val="20"/>
      <w:u w:val="none"/>
    </w:rPr>
  </w:style>
  <w:style w:type="paragraph" w:customStyle="1" w:styleId="56">
    <w:name w:val="纯文本1"/>
    <w:basedOn w:val="57"/>
    <w:autoRedefine/>
    <w:qFormat/>
    <w:uiPriority w:val="0"/>
    <w:pPr>
      <w:widowControl/>
      <w:jc w:val="left"/>
    </w:pPr>
    <w:rPr>
      <w:rFonts w:ascii="宋体" w:hAnsi="Courier New"/>
    </w:rPr>
  </w:style>
  <w:style w:type="paragraph" w:customStyle="1" w:styleId="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autoRedefine/>
    <w:qFormat/>
    <w:uiPriority w:val="1"/>
    <w:rPr>
      <w:rFonts w:ascii="宋体" w:hAnsi="宋体" w:cs="宋体"/>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字符"/>
    <w:basedOn w:val="30"/>
    <w:link w:val="16"/>
    <w:autoRedefine/>
    <w:qFormat/>
    <w:uiPriority w:val="0"/>
    <w:rPr>
      <w:kern w:val="2"/>
      <w:sz w:val="18"/>
      <w:szCs w:val="18"/>
    </w:rPr>
  </w:style>
  <w:style w:type="paragraph" w:customStyle="1" w:styleId="62">
    <w:name w:val="英文"/>
    <w:basedOn w:val="1"/>
    <w:link w:val="64"/>
    <w:autoRedefine/>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autoRedefine/>
    <w:qFormat/>
    <w:uiPriority w:val="0"/>
    <w:rPr>
      <w:rFonts w:ascii="Arial" w:hAnsi="Arial" w:cs="Arial"/>
      <w:sz w:val="24"/>
    </w:rPr>
  </w:style>
  <w:style w:type="paragraph" w:customStyle="1" w:styleId="6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autoRedefine/>
    <w:qFormat/>
    <w:uiPriority w:val="0"/>
    <w:pPr>
      <w:spacing w:line="360" w:lineRule="auto"/>
      <w:ind w:firstLine="200" w:firstLineChars="200"/>
    </w:pPr>
    <w:rPr>
      <w:rFonts w:eastAsia="仿宋"/>
      <w:sz w:val="28"/>
    </w:rPr>
  </w:style>
  <w:style w:type="paragraph" w:customStyle="1" w:styleId="67">
    <w:name w:val="Normal Indent1"/>
    <w:basedOn w:val="1"/>
    <w:autoRedefine/>
    <w:qFormat/>
    <w:uiPriority w:val="0"/>
    <w:pPr>
      <w:ind w:firstLine="420" w:firstLineChars="200"/>
    </w:p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style>
  <w:style w:type="character" w:customStyle="1" w:styleId="71">
    <w:name w:val="纯文本 字符"/>
    <w:link w:val="14"/>
    <w:autoRedefine/>
    <w:qFormat/>
    <w:uiPriority w:val="0"/>
    <w:rPr>
      <w:rFonts w:ascii="宋体" w:hAnsi="Courier New" w:cs="宋体"/>
      <w:kern w:val="2"/>
      <w:sz w:val="21"/>
      <w:szCs w:val="24"/>
    </w:rPr>
  </w:style>
  <w:style w:type="character" w:customStyle="1" w:styleId="72">
    <w:name w:val="NormalCharacter"/>
    <w:autoRedefine/>
    <w:qFormat/>
    <w:uiPriority w:val="0"/>
  </w:style>
  <w:style w:type="paragraph" w:customStyle="1" w:styleId="73">
    <w:name w:val="UserStyle_4"/>
    <w:basedOn w:val="1"/>
    <w:autoRedefine/>
    <w:qFormat/>
    <w:uiPriority w:val="0"/>
    <w:pPr>
      <w:ind w:firstLine="420" w:firstLineChars="200"/>
    </w:pPr>
    <w:rPr>
      <w:sz w:val="24"/>
    </w:rPr>
  </w:style>
  <w:style w:type="paragraph" w:customStyle="1" w:styleId="74">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autoRedefine/>
    <w:qFormat/>
    <w:uiPriority w:val="0"/>
    <w:pPr>
      <w:ind w:firstLine="420" w:firstLineChars="200"/>
    </w:pPr>
    <w:rPr>
      <w:szCs w:val="21"/>
    </w:rPr>
  </w:style>
  <w:style w:type="paragraph" w:customStyle="1" w:styleId="76">
    <w:name w:val="PlainText"/>
    <w:basedOn w:val="1"/>
    <w:autoRedefine/>
    <w:qFormat/>
    <w:uiPriority w:val="0"/>
    <w:pPr>
      <w:spacing w:before="156" w:after="156" w:line="400" w:lineRule="atLeast"/>
    </w:pPr>
    <w:rPr>
      <w:rFonts w:ascii="宋体" w:hAnsi="Courier New"/>
      <w:sz w:val="24"/>
    </w:rPr>
  </w:style>
  <w:style w:type="paragraph" w:customStyle="1" w:styleId="77">
    <w:name w:val="UserStyle_29"/>
    <w:basedOn w:val="1"/>
    <w:autoRedefine/>
    <w:qFormat/>
    <w:uiPriority w:val="0"/>
    <w:pPr>
      <w:ind w:firstLine="420" w:firstLineChars="200"/>
    </w:pPr>
    <w:rPr>
      <w:szCs w:val="22"/>
    </w:rPr>
  </w:style>
  <w:style w:type="table" w:customStyle="1" w:styleId="78">
    <w:name w:val="Table Normal"/>
    <w:autoRedefine/>
    <w:qFormat/>
    <w:uiPriority w:val="0"/>
    <w:tblPr>
      <w:tblCellMar>
        <w:top w:w="0" w:type="dxa"/>
        <w:left w:w="0" w:type="dxa"/>
        <w:bottom w:w="0" w:type="dxa"/>
        <w:right w:w="0" w:type="dxa"/>
      </w:tblCellMar>
    </w:tblPr>
  </w:style>
  <w:style w:type="character" w:customStyle="1" w:styleId="79">
    <w:name w:val="批注文字 字符"/>
    <w:basedOn w:val="30"/>
    <w:link w:val="10"/>
    <w:autoRedefine/>
    <w:qFormat/>
    <w:uiPriority w:val="0"/>
    <w:rPr>
      <w:kern w:val="2"/>
      <w:sz w:val="21"/>
      <w:szCs w:val="24"/>
    </w:rPr>
  </w:style>
  <w:style w:type="character" w:customStyle="1" w:styleId="80">
    <w:name w:val="批注主题 字符"/>
    <w:basedOn w:val="79"/>
    <w:link w:val="26"/>
    <w:autoRedefine/>
    <w:qFormat/>
    <w:uiPriority w:val="0"/>
    <w:rPr>
      <w:b/>
      <w:bCs/>
      <w:kern w:val="2"/>
      <w:sz w:val="21"/>
      <w:szCs w:val="24"/>
    </w:rPr>
  </w:style>
  <w:style w:type="character" w:customStyle="1" w:styleId="81">
    <w:name w:val="正文文本首行缩进 字符"/>
    <w:basedOn w:val="30"/>
    <w:link w:val="2"/>
    <w:autoRedefine/>
    <w:qFormat/>
    <w:uiPriority w:val="0"/>
    <w:rPr>
      <w:kern w:val="2"/>
      <w:sz w:val="24"/>
      <w:szCs w:val="24"/>
    </w:rPr>
  </w:style>
  <w:style w:type="paragraph" w:customStyle="1" w:styleId="8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Unresolved Mention"/>
    <w:basedOn w:val="30"/>
    <w:autoRedefine/>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41</Pages>
  <Words>20489</Words>
  <Characters>21266</Characters>
  <Paragraphs>897</Paragraphs>
  <TotalTime>40</TotalTime>
  <ScaleCrop>false</ScaleCrop>
  <LinksUpToDate>false</LinksUpToDate>
  <CharactersWithSpaces>22521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建设咨询</cp:lastModifiedBy>
  <cp:lastPrinted>2024-05-14T08:18:00Z</cp:lastPrinted>
  <dcterms:modified xsi:type="dcterms:W3CDTF">2024-05-22T08:56:29Z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