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4"/>
        <w:jc w:val="center"/>
        <w:rPr>
          <w:rFonts w:hint="eastAsia" w:eastAsia="宋体"/>
          <w:b/>
          <w:bCs/>
          <w:sz w:val="36"/>
          <w:szCs w:val="40"/>
          <w:lang w:eastAsia="zh-CN"/>
        </w:rPr>
      </w:pPr>
      <w:r>
        <w:rPr>
          <w:rFonts w:hint="eastAsia"/>
          <w:b/>
          <w:bCs/>
          <w:sz w:val="32"/>
          <w:szCs w:val="32"/>
          <w:lang w:eastAsia="zh-CN"/>
        </w:rPr>
        <w:t>台州湾新区2024年度历史围填海处置区域出让区块海域使用价格评估报告书编制项目(重新招标）</w:t>
      </w:r>
    </w:p>
    <w:p>
      <w:pPr>
        <w:pStyle w:val="84"/>
        <w:jc w:val="center"/>
        <w:rPr>
          <w:b/>
          <w:bCs/>
          <w:sz w:val="36"/>
          <w:szCs w:val="40"/>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84"/>
          <w:szCs w:val="84"/>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r>
        <w:rPr>
          <w:rFonts w:hint="eastAsia" w:ascii="宋体"/>
          <w:b/>
          <w:kern w:val="0"/>
          <w:sz w:val="84"/>
          <w:szCs w:val="84"/>
        </w:rPr>
        <w:t>采 购 文 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b/>
          <w:kern w:val="0"/>
          <w:sz w:val="24"/>
        </w:rPr>
      </w:pPr>
      <w:r>
        <w:rPr>
          <w:rFonts w:hint="eastAsia" w:ascii="宋体" w:hAnsi="宋体" w:cs="Calibri Light"/>
          <w:kern w:val="0"/>
          <w:sz w:val="24"/>
        </w:rPr>
        <w:t>采购编号：</w:t>
      </w:r>
      <w:r>
        <w:rPr>
          <w:rFonts w:ascii="Verdana" w:hAnsi="Verdana" w:eastAsia="宋体" w:cs="Verdana"/>
          <w:i w:val="0"/>
          <w:iCs w:val="0"/>
          <w:caps w:val="0"/>
          <w:color w:val="000000"/>
          <w:spacing w:val="0"/>
          <w:sz w:val="18"/>
          <w:szCs w:val="18"/>
          <w:shd w:val="clear" w:fill="FFFFFF"/>
        </w:rPr>
        <w:t>QBJ2024095</w:t>
      </w:r>
      <w:r>
        <w:rPr>
          <w:rFonts w:hint="eastAsia" w:ascii="宋体" w:hAnsi="宋体" w:cs="Calibri Light"/>
          <w:kern w:val="0"/>
          <w:sz w:val="24"/>
          <w:lang w:val="en-US" w:eastAsia="zh-CN"/>
        </w:rPr>
        <w:t xml:space="preserve">    </w:t>
      </w:r>
      <w:r>
        <w:rPr>
          <w:rFonts w:ascii="宋体"/>
          <w:b/>
          <w:kern w:val="0"/>
          <w:sz w:val="24"/>
        </w:rPr>
        <w:t xml:space="preserve"> </w:t>
      </w:r>
      <w:r>
        <w:rPr>
          <w:rFonts w:hint="eastAsia" w:ascii="宋体"/>
          <w:b/>
          <w:kern w:val="0"/>
          <w:sz w:val="24"/>
        </w:rPr>
        <w:t xml:space="preserve"> </w:t>
      </w:r>
    </w:p>
    <w:p>
      <w:pPr>
        <w:tabs>
          <w:tab w:val="left" w:pos="1260"/>
        </w:tabs>
        <w:spacing w:line="640" w:lineRule="exact"/>
        <w:outlineLvl w:val="0"/>
        <w:rPr>
          <w:rFonts w:ascii="宋体" w:hAnsi="宋体"/>
          <w:spacing w:val="20"/>
          <w:kern w:val="21"/>
          <w:sz w:val="30"/>
          <w:szCs w:val="30"/>
        </w:rPr>
      </w:pPr>
    </w:p>
    <w:p>
      <w:pPr>
        <w:pStyle w:val="36"/>
        <w:rPr>
          <w:rFonts w:ascii="宋体" w:hAnsi="宋体"/>
          <w:spacing w:val="20"/>
          <w:kern w:val="21"/>
          <w:sz w:val="30"/>
          <w:szCs w:val="30"/>
        </w:rPr>
      </w:pPr>
    </w:p>
    <w:p>
      <w:pPr>
        <w:pStyle w:val="36"/>
        <w:rPr>
          <w:rFonts w:ascii="宋体" w:hAnsi="宋体"/>
          <w:spacing w:val="20"/>
          <w:kern w:val="21"/>
          <w:sz w:val="30"/>
          <w:szCs w:val="30"/>
        </w:rPr>
      </w:pPr>
    </w:p>
    <w:p>
      <w:pPr>
        <w:tabs>
          <w:tab w:val="left" w:pos="1260"/>
        </w:tabs>
        <w:spacing w:line="640" w:lineRule="exact"/>
        <w:outlineLvl w:val="0"/>
        <w:rPr>
          <w:rFonts w:ascii="宋体" w:hAnsi="宋体"/>
          <w:spacing w:val="20"/>
          <w:kern w:val="21"/>
          <w:sz w:val="28"/>
          <w:szCs w:val="28"/>
        </w:rPr>
      </w:pPr>
      <w:r>
        <w:rPr>
          <w:rFonts w:hint="eastAsia" w:ascii="宋体" w:hAnsi="宋体"/>
          <w:spacing w:val="20"/>
          <w:kern w:val="21"/>
          <w:sz w:val="28"/>
          <w:szCs w:val="28"/>
        </w:rPr>
        <w:t>采购人：</w:t>
      </w:r>
      <w:r>
        <w:rPr>
          <w:rFonts w:hint="eastAsia"/>
          <w:sz w:val="24"/>
          <w:szCs w:val="22"/>
          <w:u w:val="single"/>
        </w:rPr>
        <w:t>台州市自然资源和规划局台州湾新区（高新区）分局</w:t>
      </w:r>
      <w:r>
        <w:rPr>
          <w:rFonts w:hint="eastAsia" w:ascii="宋体" w:hAnsi="宋体"/>
          <w:spacing w:val="20"/>
          <w:kern w:val="21"/>
          <w:sz w:val="28"/>
          <w:szCs w:val="28"/>
        </w:rPr>
        <w:t>（盖章）</w:t>
      </w:r>
    </w:p>
    <w:p>
      <w:pPr>
        <w:spacing w:line="640" w:lineRule="exact"/>
        <w:outlineLvl w:val="0"/>
        <w:rPr>
          <w:rFonts w:ascii="宋体" w:hAnsi="宋体"/>
          <w:spacing w:val="20"/>
          <w:kern w:val="21"/>
          <w:sz w:val="28"/>
          <w:szCs w:val="28"/>
        </w:rPr>
      </w:pPr>
      <w:r>
        <w:rPr>
          <w:rFonts w:hint="eastAsia" w:ascii="宋体" w:hAnsi="宋体"/>
          <w:spacing w:val="20"/>
          <w:kern w:val="21"/>
          <w:sz w:val="28"/>
          <w:szCs w:val="28"/>
        </w:rPr>
        <w:t>联 系 人：</w:t>
      </w:r>
      <w:r>
        <w:rPr>
          <w:rFonts w:hint="eastAsia" w:hAnsi="宋体"/>
          <w:sz w:val="24"/>
          <w:szCs w:val="22"/>
          <w:u w:val="single"/>
        </w:rPr>
        <w:t>蒋先生</w:t>
      </w:r>
    </w:p>
    <w:p>
      <w:pPr>
        <w:spacing w:line="640" w:lineRule="exact"/>
        <w:outlineLvl w:val="0"/>
        <w:rPr>
          <w:rFonts w:ascii="宋体" w:hAnsi="宋体"/>
          <w:spacing w:val="20"/>
          <w:kern w:val="21"/>
          <w:sz w:val="28"/>
          <w:szCs w:val="28"/>
        </w:rPr>
      </w:pPr>
      <w:r>
        <w:rPr>
          <w:rFonts w:hint="eastAsia" w:ascii="宋体" w:hAnsi="宋体"/>
          <w:spacing w:val="20"/>
          <w:kern w:val="21"/>
          <w:sz w:val="28"/>
          <w:szCs w:val="28"/>
        </w:rPr>
        <w:t>联系电话：</w:t>
      </w:r>
      <w:r>
        <w:rPr>
          <w:rFonts w:hint="eastAsia" w:hAnsi="宋体"/>
          <w:sz w:val="24"/>
          <w:szCs w:val="22"/>
          <w:u w:val="single"/>
        </w:rPr>
        <w:t>0576-88909633</w:t>
      </w:r>
    </w:p>
    <w:p>
      <w:pPr>
        <w:pStyle w:val="15"/>
        <w:numPr>
          <w:ilvl w:val="0"/>
          <w:numId w:val="0"/>
        </w:numPr>
        <w:rPr>
          <w:sz w:val="20"/>
          <w:szCs w:val="22"/>
        </w:rPr>
      </w:pPr>
    </w:p>
    <w:p>
      <w:pPr>
        <w:spacing w:line="640" w:lineRule="exact"/>
        <w:outlineLvl w:val="0"/>
        <w:rPr>
          <w:rFonts w:ascii="宋体" w:hAnsi="宋体"/>
          <w:spacing w:val="20"/>
          <w:kern w:val="21"/>
          <w:sz w:val="28"/>
          <w:szCs w:val="28"/>
        </w:rPr>
      </w:pPr>
      <w:r>
        <w:rPr>
          <w:rFonts w:hint="eastAsia" w:ascii="宋体" w:hAnsi="宋体"/>
          <w:spacing w:val="20"/>
          <w:kern w:val="21"/>
          <w:sz w:val="28"/>
          <w:szCs w:val="28"/>
        </w:rPr>
        <w:t>招标代理：</w:t>
      </w:r>
      <w:r>
        <w:rPr>
          <w:rFonts w:hint="eastAsia" w:ascii="宋体" w:hAnsi="宋体"/>
          <w:sz w:val="24"/>
          <w:szCs w:val="22"/>
          <w:u w:val="single"/>
        </w:rPr>
        <w:t>台州市建设咨询有限公司</w:t>
      </w:r>
      <w:r>
        <w:rPr>
          <w:rFonts w:hint="eastAsia" w:ascii="宋体" w:hAnsi="宋体"/>
          <w:spacing w:val="20"/>
          <w:kern w:val="21"/>
          <w:sz w:val="28"/>
          <w:szCs w:val="28"/>
        </w:rPr>
        <w:t>（盖章）</w:t>
      </w:r>
    </w:p>
    <w:p>
      <w:pPr>
        <w:spacing w:line="640" w:lineRule="exact"/>
        <w:outlineLvl w:val="0"/>
        <w:rPr>
          <w:rFonts w:ascii="宋体" w:hAnsi="宋体"/>
          <w:spacing w:val="20"/>
          <w:kern w:val="21"/>
          <w:sz w:val="28"/>
          <w:szCs w:val="28"/>
        </w:rPr>
      </w:pPr>
      <w:r>
        <w:rPr>
          <w:rFonts w:hint="eastAsia" w:ascii="宋体" w:hAnsi="宋体"/>
          <w:spacing w:val="20"/>
          <w:kern w:val="21"/>
          <w:sz w:val="28"/>
          <w:szCs w:val="28"/>
        </w:rPr>
        <w:t>联 系 人：</w:t>
      </w:r>
      <w:r>
        <w:rPr>
          <w:rFonts w:hint="eastAsia" w:ascii="宋体" w:hAnsi="宋体"/>
          <w:sz w:val="24"/>
          <w:szCs w:val="22"/>
          <w:u w:val="single"/>
        </w:rPr>
        <w:t>葛俊</w:t>
      </w:r>
    </w:p>
    <w:p>
      <w:pPr>
        <w:spacing w:line="480" w:lineRule="auto"/>
        <w:rPr>
          <w:rFonts w:ascii="宋体" w:hAnsi="宋体"/>
          <w:spacing w:val="20"/>
          <w:kern w:val="21"/>
          <w:sz w:val="28"/>
          <w:szCs w:val="28"/>
        </w:rPr>
      </w:pPr>
      <w:r>
        <w:rPr>
          <w:rFonts w:hint="eastAsia" w:ascii="宋体" w:hAnsi="宋体"/>
          <w:spacing w:val="20"/>
          <w:kern w:val="21"/>
          <w:sz w:val="28"/>
          <w:szCs w:val="28"/>
        </w:rPr>
        <w:t>联系电话：</w:t>
      </w:r>
      <w:r>
        <w:rPr>
          <w:rFonts w:hint="eastAsia" w:ascii="宋体" w:hAnsi="宋体"/>
          <w:sz w:val="24"/>
          <w:szCs w:val="22"/>
          <w:u w:val="single"/>
        </w:rPr>
        <w:t>0576-88517782</w:t>
      </w:r>
    </w:p>
    <w:p>
      <w:pPr>
        <w:spacing w:line="640" w:lineRule="exact"/>
        <w:outlineLvl w:val="0"/>
        <w:rPr>
          <w:rFonts w:ascii="宋体" w:hAnsi="宋体"/>
          <w:b/>
          <w:sz w:val="32"/>
          <w:szCs w:val="22"/>
        </w:rPr>
        <w:sectPr>
          <w:headerReference r:id="rId5" w:type="first"/>
          <w:footerReference r:id="rId8" w:type="first"/>
          <w:headerReference r:id="rId3" w:type="default"/>
          <w:footerReference r:id="rId6" w:type="default"/>
          <w:headerReference r:id="rId4" w:type="even"/>
          <w:footerReference r:id="rId7" w:type="even"/>
          <w:pgSz w:w="11906" w:h="16838"/>
          <w:pgMar w:top="1588" w:right="1797" w:bottom="1304" w:left="1797" w:header="851" w:footer="992" w:gutter="0"/>
          <w:pgNumType w:start="1"/>
          <w:cols w:space="720" w:num="1"/>
          <w:titlePg/>
          <w:docGrid w:type="lines" w:linePitch="312" w:charSpace="0"/>
        </w:sectPr>
      </w:pPr>
      <w:r>
        <w:rPr>
          <w:rFonts w:hint="eastAsia" w:ascii="宋体" w:hAnsi="宋体"/>
          <w:spacing w:val="20"/>
          <w:kern w:val="21"/>
          <w:sz w:val="28"/>
          <w:szCs w:val="28"/>
        </w:rPr>
        <w:t>日    期：2024年05月</w:t>
      </w:r>
    </w:p>
    <w:p>
      <w:pPr>
        <w:pStyle w:val="36"/>
      </w:pPr>
    </w:p>
    <w:p>
      <w:pPr>
        <w:spacing w:line="480" w:lineRule="auto"/>
        <w:jc w:val="center"/>
        <w:rPr>
          <w:rFonts w:ascii="宋体" w:hAnsi="宋体"/>
          <w:kern w:val="0"/>
          <w:sz w:val="28"/>
          <w:szCs w:val="28"/>
        </w:rPr>
      </w:pPr>
      <w:bookmarkStart w:id="0" w:name="_Toc25017_WPSOffice_Type1"/>
    </w:p>
    <w:p>
      <w:pPr>
        <w:spacing w:line="480" w:lineRule="auto"/>
        <w:jc w:val="center"/>
        <w:rPr>
          <w:sz w:val="28"/>
          <w:szCs w:val="28"/>
        </w:rPr>
      </w:pPr>
      <w:r>
        <w:rPr>
          <w:rFonts w:ascii="宋体" w:hAnsi="宋体"/>
          <w:b/>
          <w:bCs/>
          <w:sz w:val="36"/>
          <w:szCs w:val="36"/>
        </w:rPr>
        <w:t>目</w:t>
      </w:r>
      <w:r>
        <w:rPr>
          <w:rFonts w:hint="eastAsia" w:ascii="宋体" w:hAnsi="宋体"/>
          <w:b/>
          <w:bCs/>
          <w:sz w:val="36"/>
          <w:szCs w:val="36"/>
        </w:rPr>
        <w:t xml:space="preserve">  </w:t>
      </w:r>
      <w:r>
        <w:rPr>
          <w:rFonts w:ascii="宋体" w:hAnsi="宋体"/>
          <w:b/>
          <w:bCs/>
          <w:sz w:val="36"/>
          <w:szCs w:val="36"/>
        </w:rPr>
        <w:t>录</w:t>
      </w:r>
    </w:p>
    <w:p>
      <w:pPr>
        <w:pStyle w:val="21"/>
        <w:tabs>
          <w:tab w:val="right" w:leader="dot" w:pos="8620"/>
        </w:tabs>
        <w:rPr>
          <w:rFonts w:cs="宋体"/>
          <w:sz w:val="28"/>
          <w:szCs w:val="28"/>
        </w:rPr>
      </w:pPr>
      <w:r>
        <w:fldChar w:fldCharType="begin"/>
      </w:r>
      <w:r>
        <w:instrText xml:space="preserve"> HYPERLINK \l "_Toc4350_WPSOffice_Level1" </w:instrText>
      </w:r>
      <w:r>
        <w:fldChar w:fldCharType="separate"/>
      </w:r>
      <w:r>
        <w:rPr>
          <w:rFonts w:hint="eastAsia" w:cs="宋体"/>
          <w:sz w:val="28"/>
          <w:szCs w:val="28"/>
        </w:rPr>
        <w:t>第一章 招标公告</w:t>
      </w:r>
      <w:r>
        <w:rPr>
          <w:rFonts w:cs="宋体"/>
          <w:sz w:val="28"/>
          <w:szCs w:val="28"/>
        </w:rPr>
        <w:tab/>
      </w:r>
      <w:bookmarkStart w:id="1" w:name="_Toc4350_WPSOffice_Level1Page"/>
      <w:r>
        <w:rPr>
          <w:rFonts w:cs="宋体"/>
          <w:sz w:val="28"/>
          <w:szCs w:val="28"/>
        </w:rPr>
        <w:t>3</w:t>
      </w:r>
      <w:bookmarkEnd w:id="1"/>
      <w:r>
        <w:rPr>
          <w:rFonts w:cs="宋体"/>
          <w:sz w:val="28"/>
          <w:szCs w:val="28"/>
        </w:rPr>
        <w:fldChar w:fldCharType="end"/>
      </w:r>
    </w:p>
    <w:p>
      <w:pPr>
        <w:pStyle w:val="21"/>
        <w:tabs>
          <w:tab w:val="right" w:leader="dot" w:pos="8620"/>
        </w:tabs>
        <w:rPr>
          <w:rFonts w:cs="宋体"/>
          <w:sz w:val="28"/>
          <w:szCs w:val="28"/>
        </w:rPr>
      </w:pPr>
      <w:r>
        <w:fldChar w:fldCharType="begin"/>
      </w:r>
      <w:r>
        <w:instrText xml:space="preserve"> HYPERLINK \l "_Toc25017_WPSOffice_Level1" </w:instrText>
      </w:r>
      <w:r>
        <w:fldChar w:fldCharType="separate"/>
      </w:r>
      <w:r>
        <w:rPr>
          <w:rFonts w:hint="eastAsia" w:cs="宋体"/>
          <w:sz w:val="28"/>
          <w:szCs w:val="28"/>
        </w:rPr>
        <w:t>第二章 投标人须知</w:t>
      </w:r>
      <w:r>
        <w:rPr>
          <w:rFonts w:cs="宋体"/>
          <w:sz w:val="28"/>
          <w:szCs w:val="28"/>
        </w:rPr>
        <w:tab/>
      </w:r>
      <w:r>
        <w:rPr>
          <w:rFonts w:hint="eastAsia" w:cs="宋体"/>
          <w:sz w:val="28"/>
          <w:szCs w:val="28"/>
        </w:rPr>
        <w:t>7</w:t>
      </w:r>
      <w:r>
        <w:rPr>
          <w:rFonts w:hint="eastAsia" w:cs="宋体"/>
          <w:sz w:val="28"/>
          <w:szCs w:val="28"/>
        </w:rPr>
        <w:fldChar w:fldCharType="end"/>
      </w:r>
    </w:p>
    <w:p>
      <w:pPr>
        <w:pStyle w:val="21"/>
        <w:tabs>
          <w:tab w:val="right" w:leader="dot" w:pos="8620"/>
        </w:tabs>
        <w:ind w:right="638" w:rightChars="304"/>
        <w:rPr>
          <w:rFonts w:cs="宋体"/>
          <w:sz w:val="28"/>
          <w:szCs w:val="28"/>
        </w:rPr>
      </w:pPr>
      <w:r>
        <w:fldChar w:fldCharType="begin"/>
      </w:r>
      <w:r>
        <w:instrText xml:space="preserve"> HYPERLINK \l "_Toc13072_WPSOffice_Level1" </w:instrText>
      </w:r>
      <w:r>
        <w:fldChar w:fldCharType="separate"/>
      </w:r>
      <w:r>
        <w:rPr>
          <w:rFonts w:hint="eastAsia" w:cs="宋体"/>
          <w:sz w:val="28"/>
          <w:szCs w:val="28"/>
        </w:rPr>
        <w:t>第三章 招标需求</w:t>
      </w:r>
      <w:r>
        <w:rPr>
          <w:rFonts w:cs="宋体"/>
          <w:sz w:val="28"/>
          <w:szCs w:val="28"/>
        </w:rPr>
        <w:tab/>
      </w:r>
      <w:r>
        <w:rPr>
          <w:rFonts w:hint="eastAsia" w:cs="宋体"/>
          <w:sz w:val="28"/>
          <w:szCs w:val="28"/>
        </w:rPr>
        <w:t>1</w:t>
      </w:r>
      <w:r>
        <w:rPr>
          <w:rFonts w:hint="eastAsia" w:cs="宋体"/>
          <w:sz w:val="28"/>
          <w:szCs w:val="28"/>
        </w:rPr>
        <w:fldChar w:fldCharType="end"/>
      </w:r>
      <w:r>
        <w:rPr>
          <w:rFonts w:hint="eastAsia" w:cs="宋体"/>
          <w:sz w:val="28"/>
          <w:szCs w:val="28"/>
        </w:rPr>
        <w:t>5</w:t>
      </w:r>
    </w:p>
    <w:p>
      <w:pPr>
        <w:pStyle w:val="21"/>
        <w:tabs>
          <w:tab w:val="right" w:leader="dot" w:pos="8620"/>
        </w:tabs>
        <w:rPr>
          <w:rFonts w:cs="宋体"/>
          <w:sz w:val="28"/>
          <w:szCs w:val="28"/>
        </w:rPr>
      </w:pPr>
      <w:r>
        <w:fldChar w:fldCharType="begin"/>
      </w:r>
      <w:r>
        <w:instrText xml:space="preserve"> HYPERLINK \l "_Toc31173_WPSOffice_Level1" </w:instrText>
      </w:r>
      <w:r>
        <w:fldChar w:fldCharType="separate"/>
      </w:r>
      <w:r>
        <w:rPr>
          <w:rFonts w:hint="eastAsia" w:cs="宋体"/>
          <w:sz w:val="28"/>
          <w:szCs w:val="28"/>
        </w:rPr>
        <w:t>第四章 评标</w:t>
      </w:r>
      <w:r>
        <w:rPr>
          <w:rFonts w:cs="宋体"/>
          <w:sz w:val="28"/>
          <w:szCs w:val="28"/>
        </w:rPr>
        <w:tab/>
      </w:r>
      <w:r>
        <w:rPr>
          <w:rFonts w:hint="eastAsia" w:cs="宋体"/>
          <w:sz w:val="28"/>
          <w:szCs w:val="28"/>
        </w:rPr>
        <w:t>2</w:t>
      </w:r>
      <w:r>
        <w:rPr>
          <w:rFonts w:hint="eastAsia" w:cs="宋体"/>
          <w:sz w:val="28"/>
          <w:szCs w:val="28"/>
        </w:rPr>
        <w:fldChar w:fldCharType="end"/>
      </w:r>
      <w:r>
        <w:rPr>
          <w:rFonts w:hint="eastAsia" w:cs="宋体"/>
          <w:sz w:val="28"/>
          <w:szCs w:val="28"/>
        </w:rPr>
        <w:t>5</w:t>
      </w:r>
    </w:p>
    <w:p>
      <w:pPr>
        <w:pStyle w:val="21"/>
        <w:tabs>
          <w:tab w:val="right" w:leader="dot" w:pos="8620"/>
        </w:tabs>
        <w:rPr>
          <w:rFonts w:cs="宋体"/>
          <w:sz w:val="28"/>
          <w:szCs w:val="28"/>
        </w:rPr>
      </w:pPr>
      <w:r>
        <w:fldChar w:fldCharType="begin"/>
      </w:r>
      <w:r>
        <w:instrText xml:space="preserve"> HYPERLINK \l "_Toc27944_WPSOffice_Level1" </w:instrText>
      </w:r>
      <w:r>
        <w:fldChar w:fldCharType="separate"/>
      </w:r>
      <w:r>
        <w:rPr>
          <w:rFonts w:hint="eastAsia" w:cs="宋体"/>
          <w:sz w:val="28"/>
          <w:szCs w:val="28"/>
        </w:rPr>
        <w:t>第五章 合同格式</w:t>
      </w:r>
      <w:r>
        <w:rPr>
          <w:rFonts w:cs="宋体"/>
          <w:sz w:val="28"/>
          <w:szCs w:val="28"/>
        </w:rPr>
        <w:tab/>
      </w:r>
      <w:r>
        <w:rPr>
          <w:rFonts w:hint="eastAsia" w:cs="宋体"/>
          <w:sz w:val="28"/>
          <w:szCs w:val="28"/>
        </w:rPr>
        <w:t>3</w:t>
      </w:r>
      <w:r>
        <w:rPr>
          <w:rFonts w:hint="eastAsia" w:cs="宋体"/>
          <w:sz w:val="28"/>
          <w:szCs w:val="28"/>
        </w:rPr>
        <w:fldChar w:fldCharType="end"/>
      </w:r>
      <w:r>
        <w:rPr>
          <w:rFonts w:hint="eastAsia" w:cs="宋体"/>
          <w:sz w:val="28"/>
          <w:szCs w:val="28"/>
        </w:rPr>
        <w:t>2</w:t>
      </w:r>
    </w:p>
    <w:p>
      <w:pPr>
        <w:pStyle w:val="21"/>
        <w:tabs>
          <w:tab w:val="right" w:leader="dot" w:pos="8620"/>
        </w:tabs>
      </w:pPr>
      <w:r>
        <w:fldChar w:fldCharType="begin"/>
      </w:r>
      <w:r>
        <w:instrText xml:space="preserve"> HYPERLINK \l "_Toc5481_WPSOffice_Level1" </w:instrText>
      </w:r>
      <w:r>
        <w:fldChar w:fldCharType="separate"/>
      </w:r>
      <w:r>
        <w:rPr>
          <w:rFonts w:hint="eastAsia" w:cs="宋体"/>
          <w:sz w:val="28"/>
          <w:szCs w:val="28"/>
        </w:rPr>
        <w:t>第六章 投标文件格式</w:t>
      </w:r>
      <w:r>
        <w:rPr>
          <w:rFonts w:cs="宋体"/>
          <w:sz w:val="28"/>
          <w:szCs w:val="28"/>
        </w:rPr>
        <w:tab/>
      </w:r>
      <w:r>
        <w:rPr>
          <w:rFonts w:hint="eastAsia" w:cs="宋体"/>
          <w:sz w:val="28"/>
          <w:szCs w:val="28"/>
        </w:rPr>
        <w:t>4</w:t>
      </w:r>
      <w:r>
        <w:rPr>
          <w:rFonts w:hint="eastAsia" w:cs="宋体"/>
          <w:sz w:val="28"/>
          <w:szCs w:val="28"/>
        </w:rPr>
        <w:fldChar w:fldCharType="end"/>
      </w:r>
      <w:r>
        <w:rPr>
          <w:rFonts w:hint="eastAsia" w:cs="宋体"/>
          <w:sz w:val="28"/>
          <w:szCs w:val="28"/>
        </w:rPr>
        <w:t>4</w:t>
      </w:r>
    </w:p>
    <w:bookmarkEnd w:id="0"/>
    <w:p>
      <w:pPr>
        <w:spacing w:line="480" w:lineRule="auto"/>
        <w:rPr>
          <w:sz w:val="28"/>
          <w:szCs w:val="28"/>
        </w:rPr>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rPr>
          <w:rFonts w:ascii="宋体" w:hAnsi="宋体"/>
          <w:b/>
          <w:sz w:val="36"/>
          <w:szCs w:val="36"/>
        </w:rPr>
      </w:pPr>
      <w:r>
        <w:rPr>
          <w:rFonts w:hint="eastAsia" w:ascii="宋体" w:hAnsi="宋体"/>
          <w:b/>
          <w:kern w:val="0"/>
          <w:sz w:val="36"/>
          <w:szCs w:val="36"/>
        </w:rPr>
        <w:br w:type="page"/>
      </w:r>
    </w:p>
    <w:p>
      <w:pPr>
        <w:numPr>
          <w:ilvl w:val="0"/>
          <w:numId w:val="5"/>
        </w:numPr>
        <w:tabs>
          <w:tab w:val="left" w:pos="180"/>
          <w:tab w:val="left" w:pos="360"/>
          <w:tab w:val="left" w:pos="540"/>
          <w:tab w:val="left" w:pos="8280"/>
        </w:tabs>
        <w:autoSpaceDE w:val="0"/>
        <w:autoSpaceDN w:val="0"/>
        <w:adjustRightInd w:val="0"/>
        <w:snapToGrid w:val="0"/>
        <w:spacing w:line="360" w:lineRule="auto"/>
        <w:ind w:right="23"/>
        <w:jc w:val="center"/>
        <w:rPr>
          <w:rFonts w:ascii="宋体" w:hAnsi="宋体" w:cs="宋体"/>
          <w:b/>
          <w:sz w:val="36"/>
          <w:szCs w:val="36"/>
        </w:rPr>
      </w:pPr>
      <w:r>
        <w:rPr>
          <w:rFonts w:hint="eastAsia" w:ascii="宋体" w:hAnsi="宋体" w:cs="宋体"/>
          <w:b/>
          <w:sz w:val="36"/>
          <w:szCs w:val="36"/>
        </w:rPr>
        <w:t>招标公告</w:t>
      </w:r>
    </w:p>
    <w:p>
      <w:pPr>
        <w:pStyle w:val="4"/>
        <w:snapToGrid w:val="0"/>
        <w:ind w:firstLine="480" w:firstLineChars="200"/>
        <w:rPr>
          <w:rFonts w:cs="宋体"/>
          <w:b w:val="0"/>
          <w:sz w:val="24"/>
          <w:szCs w:val="24"/>
        </w:rPr>
      </w:pPr>
      <w:bookmarkStart w:id="2" w:name="_Toc35393790"/>
      <w:bookmarkStart w:id="3" w:name="_Toc35393621"/>
      <w:bookmarkStart w:id="4" w:name="_Toc28359002"/>
      <w:bookmarkStart w:id="5" w:name="_Toc28359079"/>
      <w:bookmarkStart w:id="6" w:name="_Hlk24379207"/>
      <w:r>
        <w:rPr>
          <w:rFonts w:hint="eastAsia" w:cs="宋体"/>
          <w:b w:val="0"/>
          <w:sz w:val="24"/>
          <w:szCs w:val="24"/>
          <w:u w:val="single"/>
        </w:rPr>
        <w:t>台州市建设咨询有限公司</w:t>
      </w:r>
      <w:r>
        <w:rPr>
          <w:rFonts w:hint="eastAsia" w:cs="宋体"/>
          <w:b w:val="0"/>
          <w:sz w:val="24"/>
          <w:szCs w:val="24"/>
        </w:rPr>
        <w:t>受</w:t>
      </w:r>
      <w:r>
        <w:rPr>
          <w:rFonts w:hint="eastAsia" w:cs="宋体"/>
          <w:b w:val="0"/>
          <w:sz w:val="24"/>
          <w:szCs w:val="24"/>
          <w:u w:val="single"/>
        </w:rPr>
        <w:t>台州市自然资源和规划局台州湾新区（高新区）分局</w:t>
      </w:r>
      <w:r>
        <w:rPr>
          <w:rFonts w:hint="eastAsia" w:cs="宋体"/>
          <w:b w:val="0"/>
          <w:sz w:val="24"/>
          <w:szCs w:val="24"/>
        </w:rPr>
        <w:t>委托，就</w:t>
      </w:r>
      <w:r>
        <w:rPr>
          <w:rFonts w:hint="eastAsia" w:cs="宋体"/>
          <w:b w:val="0"/>
          <w:sz w:val="24"/>
          <w:szCs w:val="24"/>
          <w:u w:val="single"/>
          <w:lang w:eastAsia="zh-CN"/>
        </w:rPr>
        <w:t>台州湾新区2024年度历史围填海处置区域出让区块海域使用价格评估报告书编制项目(重新招标）</w:t>
      </w:r>
      <w:r>
        <w:rPr>
          <w:rFonts w:hint="eastAsia" w:cs="宋体"/>
          <w:b w:val="0"/>
          <w:sz w:val="24"/>
          <w:szCs w:val="24"/>
        </w:rPr>
        <w:t>进行公开招标，欢迎符合资格条件的国内投标人参加投标。</w:t>
      </w:r>
    </w:p>
    <w:p>
      <w:pPr>
        <w:pStyle w:val="4"/>
        <w:snapToGrid w:val="0"/>
        <w:ind w:firstLine="482" w:firstLineChars="200"/>
        <w:rPr>
          <w:rFonts w:cs="宋体"/>
          <w:sz w:val="24"/>
        </w:rPr>
      </w:pPr>
      <w:r>
        <w:rPr>
          <w:rFonts w:hint="eastAsia" w:cs="宋体"/>
          <w:bCs/>
          <w:sz w:val="24"/>
          <w:szCs w:val="24"/>
        </w:rPr>
        <w:t>一、项目基本情况</w:t>
      </w:r>
      <w:bookmarkEnd w:id="2"/>
      <w:bookmarkEnd w:id="3"/>
      <w:bookmarkEnd w:id="4"/>
      <w:bookmarkEnd w:id="5"/>
      <w:r>
        <w:rPr>
          <w:rFonts w:cs="宋体"/>
          <w:sz w:val="24"/>
        </w:rPr>
        <w:t xml:space="preserve"> </w:t>
      </w:r>
    </w:p>
    <w:bookmarkEnd w:id="6"/>
    <w:tbl>
      <w:tblPr>
        <w:tblStyle w:val="28"/>
        <w:tblpPr w:leftFromText="181" w:rightFromText="181" w:bottomFromText="170" w:vertAnchor="text" w:tblpXSpec="center" w:tblpY="1"/>
        <w:tblOverlap w:val="never"/>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
        <w:gridCol w:w="2917"/>
        <w:gridCol w:w="973"/>
        <w:gridCol w:w="952"/>
        <w:gridCol w:w="1269"/>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505" w:type="pct"/>
            <w:vAlign w:val="center"/>
          </w:tcPr>
          <w:p>
            <w:pPr>
              <w:tabs>
                <w:tab w:val="left" w:pos="8280"/>
              </w:tabs>
              <w:autoSpaceDE w:val="0"/>
              <w:autoSpaceDN w:val="0"/>
              <w:adjustRightInd w:val="0"/>
              <w:jc w:val="center"/>
              <w:rPr>
                <w:rFonts w:ascii="宋体" w:hAnsi="宋体" w:cs="宋体"/>
                <w:b/>
                <w:szCs w:val="21"/>
              </w:rPr>
            </w:pPr>
            <w:bookmarkStart w:id="7" w:name="_Toc35393791"/>
            <w:bookmarkStart w:id="8" w:name="_Toc28359080"/>
            <w:bookmarkStart w:id="9" w:name="_Toc28359003"/>
            <w:bookmarkStart w:id="10" w:name="_Toc35393622"/>
            <w:r>
              <w:rPr>
                <w:rFonts w:hint="eastAsia" w:ascii="宋体" w:hAnsi="宋体" w:cs="宋体"/>
                <w:b/>
                <w:szCs w:val="21"/>
              </w:rPr>
              <w:t>标项号</w:t>
            </w:r>
          </w:p>
        </w:tc>
        <w:tc>
          <w:tcPr>
            <w:tcW w:w="1712" w:type="pct"/>
            <w:vAlign w:val="center"/>
          </w:tcPr>
          <w:p>
            <w:pPr>
              <w:tabs>
                <w:tab w:val="left" w:pos="8280"/>
              </w:tabs>
              <w:autoSpaceDE w:val="0"/>
              <w:autoSpaceDN w:val="0"/>
              <w:adjustRightInd w:val="0"/>
              <w:ind w:firstLine="105" w:firstLineChars="50"/>
              <w:jc w:val="center"/>
              <w:rPr>
                <w:rFonts w:ascii="宋体" w:hAnsi="宋体" w:cs="宋体"/>
                <w:b/>
                <w:szCs w:val="21"/>
              </w:rPr>
            </w:pPr>
            <w:r>
              <w:rPr>
                <w:rFonts w:hint="eastAsia" w:ascii="宋体" w:hAnsi="宋体" w:cs="宋体"/>
                <w:b/>
                <w:szCs w:val="21"/>
              </w:rPr>
              <w:t>标项名称</w:t>
            </w:r>
          </w:p>
        </w:tc>
        <w:tc>
          <w:tcPr>
            <w:tcW w:w="571" w:type="pct"/>
            <w:vAlign w:val="center"/>
          </w:tcPr>
          <w:p>
            <w:pPr>
              <w:tabs>
                <w:tab w:val="left" w:pos="8280"/>
              </w:tabs>
              <w:autoSpaceDE w:val="0"/>
              <w:autoSpaceDN w:val="0"/>
              <w:adjustRightInd w:val="0"/>
              <w:jc w:val="center"/>
              <w:rPr>
                <w:rFonts w:ascii="宋体" w:hAnsi="宋体" w:cs="宋体"/>
                <w:b/>
                <w:szCs w:val="21"/>
              </w:rPr>
            </w:pPr>
            <w:r>
              <w:rPr>
                <w:rFonts w:hint="eastAsia" w:ascii="宋体" w:hAnsi="宋体" w:cs="宋体"/>
                <w:b/>
                <w:kern w:val="0"/>
                <w:szCs w:val="21"/>
              </w:rPr>
              <w:t>数量</w:t>
            </w:r>
          </w:p>
        </w:tc>
        <w:tc>
          <w:tcPr>
            <w:tcW w:w="559" w:type="pct"/>
            <w:vAlign w:val="center"/>
          </w:tcPr>
          <w:p>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单位</w:t>
            </w:r>
          </w:p>
        </w:tc>
        <w:tc>
          <w:tcPr>
            <w:tcW w:w="745" w:type="pct"/>
            <w:vAlign w:val="center"/>
          </w:tcPr>
          <w:p>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预算</w:t>
            </w:r>
          </w:p>
          <w:p>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（万元）</w:t>
            </w:r>
          </w:p>
        </w:tc>
        <w:tc>
          <w:tcPr>
            <w:tcW w:w="906" w:type="pct"/>
            <w:vAlign w:val="center"/>
          </w:tcPr>
          <w:p>
            <w:pPr>
              <w:jc w:val="center"/>
              <w:rPr>
                <w:rFonts w:ascii="宋体" w:hAnsi="宋体" w:cs="宋体"/>
                <w:b/>
                <w:szCs w:val="21"/>
              </w:rPr>
            </w:pPr>
            <w:r>
              <w:rPr>
                <w:rFonts w:hint="eastAsia" w:ascii="宋体" w:hAnsi="宋体" w:cs="宋体"/>
                <w:b/>
                <w:szCs w:val="21"/>
              </w:rPr>
              <w:t>报价系数上限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505" w:type="pct"/>
            <w:vAlign w:val="center"/>
          </w:tcPr>
          <w:p>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1</w:t>
            </w:r>
          </w:p>
        </w:tc>
        <w:tc>
          <w:tcPr>
            <w:tcW w:w="1712" w:type="pct"/>
            <w:vAlign w:val="center"/>
          </w:tcPr>
          <w:p>
            <w:pPr>
              <w:tabs>
                <w:tab w:val="left" w:pos="8280"/>
              </w:tabs>
              <w:autoSpaceDE w:val="0"/>
              <w:autoSpaceDN w:val="0"/>
              <w:adjustRightInd w:val="0"/>
              <w:rPr>
                <w:rFonts w:ascii="宋体" w:hAnsi="宋体" w:cs="宋体"/>
                <w:b/>
                <w:szCs w:val="21"/>
              </w:rPr>
            </w:pPr>
            <w:r>
              <w:rPr>
                <w:rFonts w:hint="eastAsia" w:ascii="宋体" w:hAnsi="宋体" w:cs="宋体"/>
                <w:b/>
                <w:szCs w:val="21"/>
              </w:rPr>
              <w:t>台州湾新区2024年度历史围填海处置区域出让区块海域使用论证报告书编制项目</w:t>
            </w:r>
            <w:r>
              <w:rPr>
                <w:rFonts w:hint="eastAsia" w:ascii="宋体" w:hAnsi="宋体" w:cs="宋体"/>
                <w:b/>
                <w:szCs w:val="21"/>
                <w:lang w:eastAsia="zh-CN"/>
              </w:rPr>
              <w:t>(重新招标）</w:t>
            </w:r>
          </w:p>
        </w:tc>
        <w:tc>
          <w:tcPr>
            <w:tcW w:w="571" w:type="pct"/>
            <w:vAlign w:val="center"/>
          </w:tcPr>
          <w:p>
            <w:pPr>
              <w:tabs>
                <w:tab w:val="left" w:pos="8280"/>
              </w:tabs>
              <w:autoSpaceDE w:val="0"/>
              <w:autoSpaceDN w:val="0"/>
              <w:adjustRightInd w:val="0"/>
              <w:jc w:val="center"/>
              <w:rPr>
                <w:rFonts w:ascii="宋体" w:hAnsi="宋体" w:cs="宋体"/>
                <w:bCs/>
                <w:szCs w:val="21"/>
              </w:rPr>
            </w:pPr>
            <w:r>
              <w:rPr>
                <w:rFonts w:hint="eastAsia" w:ascii="宋体" w:hAnsi="宋体" w:cs="宋体"/>
                <w:bCs/>
                <w:szCs w:val="21"/>
              </w:rPr>
              <w:t>1</w:t>
            </w:r>
          </w:p>
        </w:tc>
        <w:tc>
          <w:tcPr>
            <w:tcW w:w="559" w:type="pct"/>
            <w:vAlign w:val="center"/>
          </w:tcPr>
          <w:p>
            <w:pPr>
              <w:tabs>
                <w:tab w:val="left" w:pos="8280"/>
              </w:tabs>
              <w:autoSpaceDE w:val="0"/>
              <w:autoSpaceDN w:val="0"/>
              <w:adjustRightInd w:val="0"/>
              <w:jc w:val="center"/>
              <w:rPr>
                <w:rFonts w:ascii="宋体" w:hAnsi="宋体" w:cs="宋体"/>
                <w:bCs/>
                <w:szCs w:val="21"/>
              </w:rPr>
            </w:pPr>
            <w:r>
              <w:rPr>
                <w:rFonts w:hint="eastAsia" w:ascii="宋体" w:hAnsi="宋体" w:cs="宋体"/>
                <w:bCs/>
                <w:szCs w:val="21"/>
              </w:rPr>
              <w:t>年</w:t>
            </w:r>
          </w:p>
        </w:tc>
        <w:tc>
          <w:tcPr>
            <w:tcW w:w="745" w:type="pct"/>
            <w:vAlign w:val="center"/>
          </w:tcPr>
          <w:p>
            <w:pPr>
              <w:tabs>
                <w:tab w:val="left" w:pos="8280"/>
              </w:tabs>
              <w:autoSpaceDE w:val="0"/>
              <w:autoSpaceDN w:val="0"/>
              <w:adjustRightInd w:val="0"/>
              <w:jc w:val="center"/>
              <w:rPr>
                <w:rFonts w:ascii="宋体" w:hAnsi="宋体" w:cs="宋体"/>
                <w:bCs/>
                <w:szCs w:val="21"/>
              </w:rPr>
            </w:pPr>
            <w:r>
              <w:rPr>
                <w:rFonts w:hint="eastAsia" w:ascii="宋体" w:hAnsi="宋体" w:cs="宋体"/>
                <w:bCs/>
                <w:szCs w:val="21"/>
              </w:rPr>
              <w:t>25</w:t>
            </w:r>
          </w:p>
        </w:tc>
        <w:tc>
          <w:tcPr>
            <w:tcW w:w="906" w:type="pct"/>
            <w:vAlign w:val="center"/>
          </w:tcPr>
          <w:p>
            <w:pPr>
              <w:tabs>
                <w:tab w:val="left" w:pos="8280"/>
              </w:tabs>
              <w:autoSpaceDE w:val="0"/>
              <w:autoSpaceDN w:val="0"/>
              <w:adjustRightInd w:val="0"/>
              <w:jc w:val="center"/>
              <w:rPr>
                <w:rFonts w:ascii="宋体" w:hAnsi="宋体" w:cs="宋体"/>
                <w:b/>
                <w:szCs w:val="21"/>
              </w:rPr>
            </w:pPr>
            <w:r>
              <w:rPr>
                <w:rFonts w:hint="eastAsia" w:ascii="宋体" w:hAnsi="宋体" w:cs="宋体"/>
                <w:bCs/>
                <w:szCs w:val="21"/>
              </w:rPr>
              <w:t>0.7</w:t>
            </w:r>
          </w:p>
        </w:tc>
      </w:tr>
    </w:tbl>
    <w:p>
      <w:pPr>
        <w:pStyle w:val="4"/>
        <w:tabs>
          <w:tab w:val="clear" w:pos="8280"/>
        </w:tabs>
        <w:snapToGrid w:val="0"/>
        <w:ind w:right="23" w:firstLine="482" w:firstLineChars="200"/>
        <w:jc w:val="left"/>
        <w:rPr>
          <w:rFonts w:cs="宋体"/>
          <w:bCs/>
          <w:sz w:val="24"/>
          <w:szCs w:val="24"/>
        </w:rPr>
      </w:pPr>
      <w:r>
        <w:rPr>
          <w:rFonts w:hint="eastAsia" w:cs="宋体"/>
          <w:bCs/>
          <w:sz w:val="24"/>
          <w:szCs w:val="24"/>
        </w:rPr>
        <w:t>二、投标人的资格要求</w:t>
      </w:r>
      <w:bookmarkEnd w:id="7"/>
      <w:bookmarkEnd w:id="8"/>
      <w:bookmarkEnd w:id="9"/>
      <w:bookmarkEnd w:id="10"/>
    </w:p>
    <w:p>
      <w:pPr>
        <w:pStyle w:val="86"/>
        <w:snapToGrid w:val="0"/>
        <w:spacing w:before="0" w:line="360" w:lineRule="auto"/>
        <w:ind w:left="0" w:right="0" w:firstLine="480" w:firstLineChars="200"/>
        <w:jc w:val="left"/>
        <w:rPr>
          <w:rFonts w:ascii="宋体" w:eastAsia="宋体" w:cs="宋体"/>
          <w:color w:val="auto"/>
          <w:sz w:val="24"/>
        </w:rPr>
      </w:pPr>
      <w:r>
        <w:rPr>
          <w:rFonts w:hint="eastAsia" w:ascii="宋体" w:cs="宋体"/>
          <w:color w:val="auto"/>
          <w:sz w:val="24"/>
        </w:rPr>
        <w:t>（一）满足《中华人民共和国政府采购法》第二十二条规定。</w:t>
      </w:r>
    </w:p>
    <w:p>
      <w:pPr>
        <w:snapToGrid w:val="0"/>
        <w:spacing w:line="360" w:lineRule="auto"/>
        <w:ind w:firstLine="480" w:firstLineChars="200"/>
        <w:rPr>
          <w:rFonts w:ascii="宋体" w:hAnsi="宋体" w:cs="宋体"/>
          <w:sz w:val="24"/>
        </w:rPr>
      </w:pPr>
      <w:bookmarkStart w:id="11" w:name="_Toc28359004"/>
      <w:bookmarkStart w:id="12" w:name="_Toc28359081"/>
      <w:bookmarkStart w:id="13" w:name="_Toc35393792"/>
      <w:bookmarkStart w:id="14" w:name="_Toc35393623"/>
      <w:r>
        <w:rPr>
          <w:rFonts w:hint="eastAsia" w:ascii="宋体" w:hAnsi="宋体" w:cs="宋体"/>
          <w:sz w:val="24"/>
        </w:rPr>
        <w:t>（二）本项目的特定资格要求：无。</w:t>
      </w:r>
    </w:p>
    <w:p>
      <w:pPr>
        <w:snapToGrid w:val="0"/>
        <w:spacing w:line="360" w:lineRule="auto"/>
        <w:ind w:firstLine="480" w:firstLineChars="200"/>
        <w:rPr>
          <w:rFonts w:ascii="宋体" w:hAnsi="宋体" w:cs="宋体"/>
          <w:sz w:val="24"/>
        </w:rPr>
      </w:pPr>
      <w:r>
        <w:rPr>
          <w:rFonts w:hint="eastAsia" w:ascii="宋体" w:hAnsi="宋体" w:cs="宋体"/>
          <w:sz w:val="24"/>
        </w:rPr>
        <w:t>（三）本项目不接受联合体投标。</w:t>
      </w:r>
      <w:bookmarkStart w:id="43" w:name="_GoBack"/>
      <w:bookmarkEnd w:id="43"/>
    </w:p>
    <w:p>
      <w:pPr>
        <w:pStyle w:val="4"/>
        <w:tabs>
          <w:tab w:val="clear" w:pos="8280"/>
        </w:tabs>
        <w:snapToGrid w:val="0"/>
        <w:ind w:right="23" w:firstLine="482" w:firstLineChars="200"/>
        <w:jc w:val="left"/>
        <w:rPr>
          <w:rFonts w:cs="宋体"/>
          <w:bCs/>
          <w:sz w:val="24"/>
          <w:szCs w:val="24"/>
        </w:rPr>
      </w:pPr>
      <w:r>
        <w:rPr>
          <w:rFonts w:hint="eastAsia" w:cs="宋体"/>
          <w:bCs/>
          <w:sz w:val="24"/>
          <w:szCs w:val="24"/>
        </w:rPr>
        <w:t>三、获取</w:t>
      </w:r>
      <w:bookmarkEnd w:id="11"/>
      <w:bookmarkEnd w:id="12"/>
      <w:bookmarkEnd w:id="13"/>
      <w:bookmarkEnd w:id="14"/>
      <w:r>
        <w:rPr>
          <w:rFonts w:hint="eastAsia" w:cs="宋体"/>
          <w:bCs/>
          <w:sz w:val="24"/>
          <w:szCs w:val="24"/>
        </w:rPr>
        <w:t>采购文件</w:t>
      </w:r>
    </w:p>
    <w:p>
      <w:pPr>
        <w:snapToGrid w:val="0"/>
        <w:spacing w:line="360" w:lineRule="auto"/>
        <w:ind w:firstLine="480" w:firstLineChars="200"/>
        <w:jc w:val="left"/>
        <w:rPr>
          <w:rFonts w:ascii="宋体" w:hAnsi="宋体" w:cs="宋体"/>
          <w:sz w:val="24"/>
        </w:rPr>
      </w:pPr>
      <w:r>
        <w:rPr>
          <w:rFonts w:hint="eastAsia" w:ascii="宋体" w:hAnsi="宋体" w:cs="宋体"/>
          <w:sz w:val="24"/>
        </w:rPr>
        <w:t>（一）时间：项目发布之日起至</w:t>
      </w:r>
      <w:r>
        <w:rPr>
          <w:rFonts w:hint="eastAsia" w:ascii="宋体" w:hAnsi="宋体" w:cs="宋体"/>
          <w:sz w:val="24"/>
          <w:u w:val="single"/>
        </w:rPr>
        <w:t>开标截止时间</w:t>
      </w:r>
    </w:p>
    <w:p>
      <w:pPr>
        <w:tabs>
          <w:tab w:val="left" w:pos="180"/>
          <w:tab w:val="left" w:pos="360"/>
          <w:tab w:val="left" w:pos="540"/>
          <w:tab w:val="left" w:pos="8280"/>
        </w:tabs>
        <w:autoSpaceDE w:val="0"/>
        <w:autoSpaceDN w:val="0"/>
        <w:adjustRightInd w:val="0"/>
        <w:snapToGrid w:val="0"/>
        <w:spacing w:line="360" w:lineRule="auto"/>
        <w:ind w:left="479" w:leftChars="228"/>
        <w:jc w:val="left"/>
        <w:rPr>
          <w:rFonts w:ascii="宋体" w:hAnsi="宋体" w:cs="宋体"/>
          <w:b/>
          <w:kern w:val="0"/>
          <w:sz w:val="24"/>
        </w:rPr>
      </w:pPr>
      <w:r>
        <w:rPr>
          <w:rFonts w:hint="eastAsia" w:ascii="宋体" w:hAnsi="宋体" w:cs="宋体"/>
          <w:sz w:val="24"/>
        </w:rPr>
        <w:t>（二）方式：</w:t>
      </w:r>
      <w:r>
        <w:rPr>
          <w:rFonts w:hint="eastAsia" w:ascii="宋体" w:hAnsi="宋体" w:cs="宋体"/>
          <w:b/>
          <w:kern w:val="0"/>
          <w:sz w:val="24"/>
        </w:rPr>
        <w:t>网上下载-台州湾新区小额工程电子交易平台（</w:t>
      </w:r>
      <w:r>
        <w:rPr>
          <w:rFonts w:ascii="宋体" w:hAnsi="宋体" w:cs="宋体"/>
          <w:b/>
          <w:kern w:val="0"/>
          <w:sz w:val="24"/>
        </w:rPr>
        <w:t>http://www.tzwztb.com/</w:t>
      </w:r>
      <w:r>
        <w:rPr>
          <w:rFonts w:hint="eastAsia" w:ascii="宋体" w:hAnsi="宋体" w:cs="宋体"/>
          <w:b/>
          <w:kern w:val="0"/>
          <w:sz w:val="24"/>
        </w:rPr>
        <w:t>)</w:t>
      </w:r>
    </w:p>
    <w:p>
      <w:pPr>
        <w:pStyle w:val="4"/>
        <w:snapToGrid w:val="0"/>
        <w:ind w:right="0" w:firstLine="482" w:firstLineChars="200"/>
        <w:rPr>
          <w:rFonts w:cs="宋体"/>
          <w:bCs/>
          <w:sz w:val="24"/>
          <w:szCs w:val="24"/>
        </w:rPr>
      </w:pPr>
      <w:bookmarkStart w:id="15" w:name="_Toc28359005"/>
      <w:bookmarkStart w:id="16" w:name="_Toc28359082"/>
      <w:bookmarkStart w:id="17" w:name="_Toc35393624"/>
      <w:bookmarkStart w:id="18" w:name="_Toc35393793"/>
      <w:r>
        <w:rPr>
          <w:rFonts w:hint="eastAsia" w:cs="宋体"/>
          <w:bCs/>
          <w:sz w:val="24"/>
          <w:szCs w:val="24"/>
        </w:rPr>
        <w:t>四、提交投标文件</w:t>
      </w:r>
      <w:bookmarkEnd w:id="15"/>
      <w:bookmarkEnd w:id="16"/>
      <w:bookmarkEnd w:id="17"/>
      <w:bookmarkEnd w:id="18"/>
    </w:p>
    <w:p>
      <w:pPr>
        <w:snapToGrid w:val="0"/>
        <w:spacing w:line="360" w:lineRule="auto"/>
        <w:ind w:firstLine="480" w:firstLineChars="200"/>
        <w:jc w:val="left"/>
        <w:rPr>
          <w:rFonts w:ascii="宋体" w:hAnsi="宋体" w:cs="宋体"/>
          <w:sz w:val="24"/>
        </w:rPr>
      </w:pPr>
      <w:bookmarkStart w:id="19" w:name="_Toc28359007"/>
      <w:bookmarkStart w:id="20" w:name="_Toc35393625"/>
      <w:bookmarkStart w:id="21" w:name="_Toc35393794"/>
      <w:bookmarkStart w:id="22" w:name="_Toc28359084"/>
      <w:r>
        <w:rPr>
          <w:rFonts w:hint="eastAsia" w:ascii="宋体" w:hAnsi="宋体" w:cs="宋体"/>
          <w:sz w:val="24"/>
        </w:rPr>
        <w:t>（一）截止时间（开标时间）：</w:t>
      </w:r>
      <w:r>
        <w:rPr>
          <w:rFonts w:hint="eastAsia" w:ascii="宋体" w:hAnsi="宋体" w:cs="宋体"/>
          <w:bCs/>
          <w:sz w:val="24"/>
          <w:u w:val="single"/>
        </w:rPr>
        <w:t>2024年</w:t>
      </w:r>
      <w:r>
        <w:rPr>
          <w:rFonts w:hint="eastAsia" w:ascii="宋体" w:hAnsi="宋体" w:cs="宋体"/>
          <w:sz w:val="24"/>
          <w:u w:val="single"/>
          <w:lang w:val="en-US" w:eastAsia="zh-CN"/>
        </w:rPr>
        <w:t>06</w:t>
      </w:r>
      <w:r>
        <w:rPr>
          <w:rFonts w:hint="eastAsia" w:ascii="宋体" w:hAnsi="宋体" w:cs="宋体"/>
          <w:bCs/>
          <w:sz w:val="24"/>
          <w:u w:val="single"/>
        </w:rPr>
        <w:t>月</w:t>
      </w:r>
      <w:r>
        <w:rPr>
          <w:rFonts w:hint="eastAsia" w:ascii="宋体" w:hAnsi="宋体" w:cs="宋体"/>
          <w:bCs/>
          <w:sz w:val="24"/>
          <w:u w:val="single"/>
          <w:lang w:val="en-US" w:eastAsia="zh-CN"/>
        </w:rPr>
        <w:t>07</w:t>
      </w:r>
      <w:r>
        <w:rPr>
          <w:rFonts w:hint="eastAsia" w:ascii="宋体" w:hAnsi="宋体" w:cs="宋体"/>
          <w:bCs/>
          <w:sz w:val="24"/>
          <w:u w:val="single"/>
        </w:rPr>
        <w:t>日09点30分</w:t>
      </w:r>
      <w:r>
        <w:rPr>
          <w:rFonts w:hint="eastAsia" w:ascii="宋体" w:hAnsi="宋体" w:cs="宋体"/>
          <w:sz w:val="24"/>
        </w:rPr>
        <w:t>（北京时间）</w:t>
      </w:r>
    </w:p>
    <w:p>
      <w:pPr>
        <w:snapToGrid w:val="0"/>
        <w:spacing w:line="360" w:lineRule="auto"/>
        <w:ind w:firstLine="480" w:firstLineChars="200"/>
        <w:jc w:val="left"/>
        <w:rPr>
          <w:rFonts w:ascii="宋体" w:hAnsi="宋体" w:cs="宋体"/>
          <w:sz w:val="24"/>
        </w:rPr>
      </w:pPr>
      <w:r>
        <w:rPr>
          <w:rFonts w:hint="eastAsia" w:ascii="宋体" w:hAnsi="宋体" w:cs="宋体"/>
          <w:sz w:val="24"/>
        </w:rPr>
        <w:t>（二）投标网址：台州湾新区小额工程电子交易平台（网址：</w:t>
      </w:r>
      <w:r>
        <w:rPr>
          <w:sz w:val="24"/>
        </w:rPr>
        <w:t>http://www.tzwztb.com/</w:t>
      </w:r>
      <w:r>
        <w:rPr>
          <w:rFonts w:hint="eastAsia" w:ascii="宋体" w:hAnsi="宋体" w:cs="宋体"/>
          <w:sz w:val="24"/>
        </w:rPr>
        <w:t>）</w:t>
      </w:r>
    </w:p>
    <w:bookmarkEnd w:id="19"/>
    <w:bookmarkEnd w:id="20"/>
    <w:bookmarkEnd w:id="21"/>
    <w:bookmarkEnd w:id="22"/>
    <w:p>
      <w:pPr>
        <w:pStyle w:val="27"/>
        <w:snapToGrid w:val="0"/>
        <w:spacing w:after="0" w:line="360" w:lineRule="auto"/>
        <w:ind w:left="0" w:leftChars="0" w:firstLine="482" w:firstLineChars="200"/>
        <w:rPr>
          <w:rFonts w:ascii="宋体" w:hAnsi="宋体" w:cs="宋体"/>
          <w:b/>
          <w:bCs/>
          <w:kern w:val="0"/>
          <w:sz w:val="24"/>
        </w:rPr>
      </w:pPr>
      <w:r>
        <w:rPr>
          <w:rFonts w:hint="eastAsia" w:ascii="宋体" w:hAnsi="宋体" w:cs="宋体"/>
          <w:b/>
          <w:bCs/>
          <w:kern w:val="0"/>
          <w:sz w:val="24"/>
        </w:rPr>
        <w:t>五、发布公告</w:t>
      </w:r>
    </w:p>
    <w:p>
      <w:pPr>
        <w:pStyle w:val="27"/>
        <w:snapToGrid w:val="0"/>
        <w:spacing w:after="0" w:line="360" w:lineRule="auto"/>
        <w:ind w:left="0" w:leftChars="0" w:firstLine="480" w:firstLineChars="200"/>
        <w:rPr>
          <w:rFonts w:ascii="宋体" w:hAnsi="宋体" w:cs="宋体"/>
          <w:kern w:val="0"/>
          <w:sz w:val="24"/>
        </w:rPr>
      </w:pPr>
      <w:r>
        <w:rPr>
          <w:rFonts w:hint="eastAsia" w:ascii="宋体" w:hAnsi="宋体" w:cs="宋体"/>
          <w:sz w:val="24"/>
        </w:rPr>
        <w:t>（一）公告网址：台州湾新区小额工程电子交易平台</w:t>
      </w:r>
      <w:r>
        <w:rPr>
          <w:rFonts w:ascii="宋体" w:hAnsi="宋体" w:cs="宋体"/>
          <w:sz w:val="24"/>
        </w:rPr>
        <w:t>”</w:t>
      </w:r>
      <w:r>
        <w:rPr>
          <w:rFonts w:hint="eastAsia" w:ascii="宋体" w:hAnsi="宋体" w:cs="宋体"/>
          <w:sz w:val="24"/>
        </w:rPr>
        <w:t>（http://www.tzwztb.com）、</w:t>
      </w:r>
      <w:r>
        <w:rPr>
          <w:rFonts w:hint="eastAsia" w:ascii="宋体" w:hAnsi="宋体" w:cs="宋体"/>
          <w:kern w:val="0"/>
          <w:sz w:val="24"/>
        </w:rPr>
        <w:t>浙江政府采购网（</w:t>
      </w:r>
      <w:r>
        <w:rPr>
          <w:rFonts w:hint="eastAsia" w:ascii="宋体" w:hAnsi="宋体" w:cs="宋体"/>
          <w:sz w:val="24"/>
        </w:rPr>
        <w:t>https://zfcg.czt.zj.gov.cn</w:t>
      </w:r>
      <w:r>
        <w:rPr>
          <w:rFonts w:hint="eastAsia" w:ascii="宋体" w:hAnsi="宋体" w:cs="宋体"/>
          <w:kern w:val="0"/>
          <w:sz w:val="24"/>
        </w:rPr>
        <w:t>）</w:t>
      </w:r>
    </w:p>
    <w:p>
      <w:pPr>
        <w:pStyle w:val="27"/>
        <w:snapToGrid w:val="0"/>
        <w:spacing w:after="0" w:line="360" w:lineRule="auto"/>
        <w:ind w:left="0" w:leftChars="0" w:firstLine="480" w:firstLineChars="200"/>
        <w:rPr>
          <w:rFonts w:ascii="宋体" w:hAnsi="宋体" w:cs="宋体"/>
          <w:kern w:val="0"/>
          <w:sz w:val="24"/>
        </w:rPr>
      </w:pPr>
      <w:r>
        <w:rPr>
          <w:rFonts w:hint="eastAsia" w:ascii="宋体" w:hAnsi="宋体" w:cs="宋体"/>
          <w:sz w:val="24"/>
        </w:rPr>
        <w:t>（二）公告期限：</w:t>
      </w:r>
      <w:r>
        <w:rPr>
          <w:rFonts w:hint="eastAsia" w:ascii="宋体" w:hAnsi="宋体" w:cs="宋体"/>
          <w:kern w:val="0"/>
          <w:sz w:val="24"/>
        </w:rPr>
        <w:t>本公告期限自发布之日起五个工作日</w:t>
      </w:r>
    </w:p>
    <w:p>
      <w:pPr>
        <w:pStyle w:val="4"/>
        <w:snapToGrid w:val="0"/>
        <w:ind w:right="0" w:firstLine="482" w:firstLineChars="200"/>
        <w:rPr>
          <w:rFonts w:cs="宋体"/>
          <w:bCs/>
          <w:sz w:val="24"/>
          <w:szCs w:val="24"/>
        </w:rPr>
      </w:pPr>
      <w:bookmarkStart w:id="23" w:name="_Toc35393795"/>
      <w:bookmarkStart w:id="24" w:name="_Toc35393626"/>
      <w:r>
        <w:rPr>
          <w:rFonts w:hint="eastAsia" w:cs="宋体"/>
          <w:bCs/>
          <w:sz w:val="24"/>
          <w:szCs w:val="24"/>
        </w:rPr>
        <w:t>六、</w:t>
      </w:r>
      <w:bookmarkEnd w:id="23"/>
      <w:bookmarkEnd w:id="24"/>
      <w:r>
        <w:rPr>
          <w:rFonts w:hint="eastAsia" w:cs="宋体"/>
          <w:bCs/>
          <w:sz w:val="24"/>
          <w:szCs w:val="24"/>
        </w:rPr>
        <w:t>注册报名</w:t>
      </w:r>
    </w:p>
    <w:p>
      <w:pPr>
        <w:tabs>
          <w:tab w:val="left" w:pos="180"/>
          <w:tab w:val="left" w:pos="360"/>
          <w:tab w:val="left" w:pos="540"/>
          <w:tab w:val="left" w:pos="8280"/>
        </w:tabs>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投标人需登录</w:t>
      </w:r>
      <w:r>
        <w:rPr>
          <w:rFonts w:hint="eastAsia" w:ascii="宋体" w:hAnsi="宋体" w:cs="宋体"/>
          <w:b/>
          <w:kern w:val="0"/>
          <w:sz w:val="24"/>
        </w:rPr>
        <w:t>台州湾新区小额工程电子交易平台（</w:t>
      </w:r>
      <w:r>
        <w:rPr>
          <w:rFonts w:ascii="宋体" w:hAnsi="宋体" w:cs="宋体"/>
          <w:b/>
          <w:kern w:val="0"/>
          <w:sz w:val="24"/>
        </w:rPr>
        <w:t>http://www.tzwztb.com/</w:t>
      </w:r>
      <w:r>
        <w:rPr>
          <w:rFonts w:hint="eastAsia" w:ascii="宋体" w:hAnsi="宋体" w:cs="宋体"/>
          <w:b/>
          <w:kern w:val="0"/>
          <w:sz w:val="24"/>
        </w:rPr>
        <w:t>)</w:t>
      </w:r>
      <w:r>
        <w:rPr>
          <w:rFonts w:hint="eastAsia" w:ascii="宋体" w:hAnsi="宋体" w:cs="宋体"/>
          <w:sz w:val="24"/>
        </w:rPr>
        <w:t>进行注册后报名。</w:t>
      </w:r>
    </w:p>
    <w:p>
      <w:pPr>
        <w:snapToGrid w:val="0"/>
        <w:spacing w:line="360" w:lineRule="auto"/>
        <w:ind w:firstLine="482" w:firstLineChars="200"/>
        <w:rPr>
          <w:rFonts w:ascii="宋体" w:hAnsi="宋体" w:cs="宋体"/>
          <w:sz w:val="24"/>
          <w:szCs w:val="20"/>
        </w:rPr>
      </w:pPr>
      <w:r>
        <w:rPr>
          <w:rFonts w:hint="eastAsia" w:ascii="宋体" w:hAnsi="宋体" w:cs="宋体"/>
          <w:b/>
          <w:bCs/>
          <w:sz w:val="24"/>
        </w:rPr>
        <w:t>七、投标保证金</w:t>
      </w:r>
      <w:r>
        <w:rPr>
          <w:rFonts w:hint="eastAsia" w:ascii="宋体" w:hAnsi="宋体" w:cs="宋体"/>
          <w:sz w:val="24"/>
        </w:rPr>
        <w:t>：</w:t>
      </w:r>
    </w:p>
    <w:p>
      <w:pPr>
        <w:tabs>
          <w:tab w:val="left" w:pos="180"/>
          <w:tab w:val="left" w:pos="360"/>
          <w:tab w:val="left" w:pos="540"/>
          <w:tab w:val="left" w:pos="8280"/>
        </w:tabs>
        <w:autoSpaceDE w:val="0"/>
        <w:autoSpaceDN w:val="0"/>
        <w:adjustRightInd w:val="0"/>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（一）投标保证金金额：</w:t>
      </w:r>
      <w:r>
        <w:rPr>
          <w:rFonts w:hint="eastAsia" w:ascii="宋体" w:hAnsi="宋体" w:cs="宋体"/>
          <w:bCs/>
          <w:kern w:val="0"/>
          <w:sz w:val="24"/>
          <w:u w:val="single"/>
        </w:rPr>
        <w:t>不低于5000</w:t>
      </w:r>
      <w:r>
        <w:rPr>
          <w:rFonts w:hint="eastAsia" w:ascii="宋体" w:hAnsi="宋体" w:cs="宋体"/>
          <w:bCs/>
          <w:kern w:val="0"/>
          <w:sz w:val="24"/>
        </w:rPr>
        <w:t>元。</w:t>
      </w:r>
    </w:p>
    <w:p>
      <w:pPr>
        <w:pStyle w:val="27"/>
        <w:snapToGrid w:val="0"/>
        <w:spacing w:after="0" w:line="360" w:lineRule="auto"/>
        <w:ind w:left="0" w:leftChars="0" w:firstLine="480"/>
        <w:jc w:val="left"/>
        <w:rPr>
          <w:rFonts w:ascii="宋体" w:hAnsi="宋体" w:cs="宋体"/>
          <w:bCs/>
          <w:kern w:val="0"/>
          <w:sz w:val="24"/>
        </w:rPr>
      </w:pPr>
      <w:r>
        <w:rPr>
          <w:rFonts w:hint="eastAsia" w:ascii="宋体" w:hAnsi="宋体" w:cs="宋体"/>
          <w:bCs/>
          <w:kern w:val="0"/>
          <w:sz w:val="24"/>
        </w:rPr>
        <w:t>（二）投标保证金缴纳方式：现金转账、银行保函、保险机构保证保险保单、融资担保公司保函。</w:t>
      </w:r>
    </w:p>
    <w:p>
      <w:pPr>
        <w:tabs>
          <w:tab w:val="left" w:pos="180"/>
          <w:tab w:val="left" w:pos="360"/>
          <w:tab w:val="left" w:pos="540"/>
          <w:tab w:val="left" w:pos="8280"/>
        </w:tabs>
        <w:autoSpaceDE w:val="0"/>
        <w:autoSpaceDN w:val="0"/>
        <w:adjustRightInd w:val="0"/>
        <w:snapToGrid w:val="0"/>
        <w:spacing w:line="360" w:lineRule="auto"/>
        <w:ind w:firstLine="482" w:firstLineChars="200"/>
        <w:jc w:val="left"/>
        <w:rPr>
          <w:rFonts w:ascii="宋体" w:hAnsi="宋体" w:cs="宋体"/>
          <w:b/>
          <w:kern w:val="0"/>
          <w:sz w:val="24"/>
        </w:rPr>
      </w:pPr>
      <w:r>
        <w:rPr>
          <w:rFonts w:hint="eastAsia" w:ascii="宋体" w:hAnsi="宋体" w:cs="宋体"/>
          <w:b/>
          <w:kern w:val="0"/>
          <w:sz w:val="24"/>
        </w:rPr>
        <w:t>（1）现金转账</w:t>
      </w:r>
    </w:p>
    <w:p>
      <w:pPr>
        <w:tabs>
          <w:tab w:val="left" w:pos="180"/>
          <w:tab w:val="left" w:pos="360"/>
          <w:tab w:val="left" w:pos="540"/>
          <w:tab w:val="left" w:pos="8280"/>
        </w:tabs>
        <w:autoSpaceDE w:val="0"/>
        <w:autoSpaceDN w:val="0"/>
        <w:adjustRightInd w:val="0"/>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① 电汇或银行转账（请不要使用“支付宝”等第三方支付平台），通过“台州湾新区小额工程电子交易平台”取得相应的银行账号后支付，投标保证金收款账号根据不同工程（标段）由系统随机生成，此账号只在本工程（标段）中使用有效，请注意核对。</w:t>
      </w:r>
    </w:p>
    <w:p>
      <w:pPr>
        <w:tabs>
          <w:tab w:val="left" w:pos="180"/>
          <w:tab w:val="left" w:pos="360"/>
          <w:tab w:val="left" w:pos="540"/>
          <w:tab w:val="left" w:pos="8280"/>
        </w:tabs>
        <w:autoSpaceDE w:val="0"/>
        <w:autoSpaceDN w:val="0"/>
        <w:adjustRightInd w:val="0"/>
        <w:snapToGrid w:val="0"/>
        <w:spacing w:line="360" w:lineRule="auto"/>
        <w:ind w:firstLine="480" w:firstLineChars="200"/>
        <w:jc w:val="left"/>
        <w:rPr>
          <w:rFonts w:ascii="宋体" w:hAnsi="宋体" w:cs="宋体"/>
          <w:b/>
          <w:kern w:val="0"/>
          <w:sz w:val="24"/>
        </w:rPr>
      </w:pPr>
      <w:r>
        <w:rPr>
          <w:rFonts w:hint="eastAsia" w:ascii="宋体" w:hAnsi="宋体" w:cs="宋体"/>
          <w:bCs/>
          <w:kern w:val="0"/>
          <w:sz w:val="24"/>
        </w:rPr>
        <w:t>②投标人缴纳的投标保证金必须在投标截止时间前到达上述指定账户，否则导致投标无效等后果由投标人自行承担。另外须注意双休日银行柜台休息对公对公转账的影响。开标结束后，未中标投标单位及时返还;中标人的投标保证金由招标人暂时保管，待履约担保办理完毕并签订施工合同后，招标人返还中标人。</w:t>
      </w:r>
    </w:p>
    <w:p>
      <w:pPr>
        <w:tabs>
          <w:tab w:val="left" w:pos="180"/>
          <w:tab w:val="left" w:pos="360"/>
          <w:tab w:val="left" w:pos="540"/>
          <w:tab w:val="left" w:pos="8280"/>
        </w:tabs>
        <w:autoSpaceDE w:val="0"/>
        <w:autoSpaceDN w:val="0"/>
        <w:adjustRightInd w:val="0"/>
        <w:snapToGrid w:val="0"/>
        <w:spacing w:line="360" w:lineRule="auto"/>
        <w:ind w:firstLine="482" w:firstLineChars="200"/>
        <w:jc w:val="left"/>
        <w:rPr>
          <w:rFonts w:ascii="宋体" w:hAnsi="宋体" w:cs="宋体"/>
          <w:b/>
          <w:kern w:val="0"/>
          <w:sz w:val="24"/>
        </w:rPr>
      </w:pPr>
      <w:r>
        <w:rPr>
          <w:rFonts w:hint="eastAsia" w:ascii="宋体" w:hAnsi="宋体" w:cs="宋体"/>
          <w:b/>
          <w:kern w:val="0"/>
          <w:sz w:val="24"/>
        </w:rPr>
        <w:t>（2）银行保函、保险机构保证保险保单、融资担保公司保函（以下合称“工程保函”）</w:t>
      </w:r>
    </w:p>
    <w:p>
      <w:pPr>
        <w:tabs>
          <w:tab w:val="left" w:pos="180"/>
          <w:tab w:val="left" w:pos="360"/>
          <w:tab w:val="left" w:pos="540"/>
          <w:tab w:val="left" w:pos="8280"/>
        </w:tabs>
        <w:autoSpaceDE w:val="0"/>
        <w:autoSpaceDN w:val="0"/>
        <w:adjustRightInd w:val="0"/>
        <w:snapToGrid w:val="0"/>
        <w:spacing w:line="360" w:lineRule="auto"/>
        <w:ind w:firstLine="480" w:firstLineChars="200"/>
        <w:jc w:val="left"/>
        <w:rPr>
          <w:rFonts w:ascii="宋体" w:hAnsi="宋体" w:cs="宋体"/>
          <w:bCs/>
          <w:kern w:val="0"/>
          <w:sz w:val="24"/>
          <w:u w:val="single"/>
        </w:rPr>
      </w:pPr>
      <w:r>
        <w:rPr>
          <w:rFonts w:hint="eastAsia" w:ascii="宋体" w:hAnsi="宋体" w:cs="宋体"/>
          <w:bCs/>
          <w:kern w:val="0"/>
          <w:sz w:val="24"/>
        </w:rPr>
        <w:t>①工程保函的受益人：</w:t>
      </w:r>
      <w:r>
        <w:rPr>
          <w:rFonts w:hint="eastAsia" w:ascii="宋体" w:hAnsi="宋体" w:cs="宋体"/>
          <w:bCs/>
          <w:kern w:val="0"/>
          <w:sz w:val="24"/>
          <w:u w:val="single"/>
        </w:rPr>
        <w:t>台州市自然资源和规划局台州湾新区（高新区）分局</w:t>
      </w:r>
      <w:r>
        <w:rPr>
          <w:rFonts w:hint="eastAsia" w:ascii="宋体" w:hAnsi="宋体" w:cs="宋体"/>
          <w:bCs/>
          <w:kern w:val="0"/>
          <w:sz w:val="24"/>
        </w:rPr>
        <w:t>（招标人名称）；</w:t>
      </w:r>
    </w:p>
    <w:p>
      <w:pPr>
        <w:tabs>
          <w:tab w:val="left" w:pos="180"/>
          <w:tab w:val="left" w:pos="360"/>
          <w:tab w:val="left" w:pos="540"/>
          <w:tab w:val="left" w:pos="8280"/>
        </w:tabs>
        <w:autoSpaceDE w:val="0"/>
        <w:autoSpaceDN w:val="0"/>
        <w:adjustRightInd w:val="0"/>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②工程保函的有效期为1年；</w:t>
      </w:r>
    </w:p>
    <w:p>
      <w:pPr>
        <w:tabs>
          <w:tab w:val="left" w:pos="180"/>
          <w:tab w:val="left" w:pos="360"/>
          <w:tab w:val="left" w:pos="540"/>
          <w:tab w:val="left" w:pos="8280"/>
        </w:tabs>
        <w:autoSpaceDE w:val="0"/>
        <w:autoSpaceDN w:val="0"/>
        <w:adjustRightInd w:val="0"/>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③递交方式：</w:t>
      </w:r>
    </w:p>
    <w:p>
      <w:pPr>
        <w:tabs>
          <w:tab w:val="left" w:pos="180"/>
          <w:tab w:val="left" w:pos="360"/>
          <w:tab w:val="left" w:pos="540"/>
          <w:tab w:val="left" w:pos="8280"/>
        </w:tabs>
        <w:autoSpaceDE w:val="0"/>
        <w:autoSpaceDN w:val="0"/>
        <w:adjustRightInd w:val="0"/>
        <w:snapToGrid w:val="0"/>
        <w:spacing w:line="360" w:lineRule="auto"/>
        <w:ind w:firstLine="482" w:firstLineChars="200"/>
        <w:jc w:val="left"/>
        <w:rPr>
          <w:rFonts w:ascii="宋体" w:hAnsi="宋体" w:cs="宋体"/>
          <w:b/>
          <w:kern w:val="0"/>
          <w:sz w:val="24"/>
        </w:rPr>
      </w:pPr>
      <w:r>
        <w:rPr>
          <w:rFonts w:hint="eastAsia" w:ascii="宋体" w:hAnsi="宋体" w:cs="宋体"/>
          <w:b/>
          <w:kern w:val="0"/>
          <w:sz w:val="24"/>
        </w:rPr>
        <w:t>递交方式一（电子保函系统）：</w:t>
      </w:r>
    </w:p>
    <w:p>
      <w:pPr>
        <w:tabs>
          <w:tab w:val="left" w:pos="180"/>
          <w:tab w:val="left" w:pos="360"/>
          <w:tab w:val="left" w:pos="540"/>
          <w:tab w:val="left" w:pos="8280"/>
        </w:tabs>
        <w:autoSpaceDE w:val="0"/>
        <w:autoSpaceDN w:val="0"/>
        <w:adjustRightInd w:val="0"/>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通过台州湾新区小额工程电子交易平台选择“电子保函”递交方式，并按系统流程进行操作、购买电子保函。</w:t>
      </w:r>
    </w:p>
    <w:p>
      <w:pPr>
        <w:tabs>
          <w:tab w:val="left" w:pos="180"/>
          <w:tab w:val="left" w:pos="360"/>
          <w:tab w:val="left" w:pos="540"/>
          <w:tab w:val="left" w:pos="8280"/>
        </w:tabs>
        <w:autoSpaceDE w:val="0"/>
        <w:autoSpaceDN w:val="0"/>
        <w:adjustRightInd w:val="0"/>
        <w:snapToGrid w:val="0"/>
        <w:spacing w:line="360" w:lineRule="auto"/>
        <w:ind w:firstLine="480" w:firstLineChars="200"/>
        <w:jc w:val="left"/>
        <w:rPr>
          <w:rFonts w:ascii="宋体" w:hAnsi="宋体" w:cs="宋体"/>
          <w:b/>
          <w:kern w:val="0"/>
          <w:sz w:val="24"/>
        </w:rPr>
      </w:pPr>
      <w:r>
        <w:rPr>
          <w:rFonts w:hint="eastAsia" w:ascii="宋体" w:hAnsi="宋体" w:cs="宋体"/>
          <w:bCs/>
          <w:kern w:val="0"/>
          <w:sz w:val="24"/>
        </w:rPr>
        <w:t>注：电子保单生效时间为投保第二天00:00,各投标人须在投标截止时间前一工作日下午16点之前申购电子保函；付款后请确认已收到出单提醒短信，或者在系统中查看保单状态为“已出单”。因未确认保函出单情况导致递交投标保证金失败的，所有后果由投标人自行承担。</w:t>
      </w:r>
      <w:r>
        <w:rPr>
          <w:rFonts w:hint="eastAsia" w:ascii="宋体" w:hAnsi="宋体" w:cs="宋体"/>
          <w:bCs/>
          <w:kern w:val="0"/>
          <w:sz w:val="24"/>
          <w:u w:val="single"/>
        </w:rPr>
        <w:t>投标电子保函针对具体项目标段的要求“一标段一保函”，每个标段对应相应的订单号，汇款时备注订单号。</w:t>
      </w:r>
    </w:p>
    <w:p>
      <w:pPr>
        <w:tabs>
          <w:tab w:val="left" w:pos="180"/>
          <w:tab w:val="left" w:pos="360"/>
          <w:tab w:val="left" w:pos="540"/>
          <w:tab w:val="left" w:pos="8280"/>
        </w:tabs>
        <w:autoSpaceDE w:val="0"/>
        <w:autoSpaceDN w:val="0"/>
        <w:adjustRightInd w:val="0"/>
        <w:snapToGrid w:val="0"/>
        <w:spacing w:line="360" w:lineRule="auto"/>
        <w:ind w:firstLine="482" w:firstLineChars="200"/>
        <w:jc w:val="left"/>
        <w:rPr>
          <w:rFonts w:ascii="宋体" w:hAnsi="宋体" w:cs="宋体"/>
          <w:b/>
          <w:kern w:val="0"/>
          <w:sz w:val="24"/>
        </w:rPr>
      </w:pPr>
      <w:r>
        <w:rPr>
          <w:rFonts w:hint="eastAsia" w:ascii="宋体" w:hAnsi="宋体" w:cs="宋体"/>
          <w:b/>
          <w:kern w:val="0"/>
          <w:sz w:val="24"/>
        </w:rPr>
        <w:t>递交方式二（非电子保函系统）：</w:t>
      </w:r>
    </w:p>
    <w:p>
      <w:pPr>
        <w:tabs>
          <w:tab w:val="left" w:pos="180"/>
          <w:tab w:val="left" w:pos="360"/>
          <w:tab w:val="left" w:pos="540"/>
          <w:tab w:val="left" w:pos="8280"/>
        </w:tabs>
        <w:autoSpaceDE w:val="0"/>
        <w:autoSpaceDN w:val="0"/>
        <w:adjustRightInd w:val="0"/>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 xml:space="preserve">投标人须在投标截止时间前将工程保函纸质原件、基本账户证明材料扫描件、保费支付的银行回单一并按要求递交。 </w:t>
      </w:r>
    </w:p>
    <w:p>
      <w:pPr>
        <w:tabs>
          <w:tab w:val="left" w:pos="180"/>
          <w:tab w:val="left" w:pos="360"/>
          <w:tab w:val="left" w:pos="540"/>
          <w:tab w:val="left" w:pos="8280"/>
        </w:tabs>
        <w:autoSpaceDE w:val="0"/>
        <w:autoSpaceDN w:val="0"/>
        <w:adjustRightInd w:val="0"/>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递交方式：现场递交。</w:t>
      </w:r>
    </w:p>
    <w:p>
      <w:pPr>
        <w:tabs>
          <w:tab w:val="left" w:pos="180"/>
          <w:tab w:val="left" w:pos="360"/>
          <w:tab w:val="left" w:pos="540"/>
          <w:tab w:val="left" w:pos="8280"/>
        </w:tabs>
        <w:autoSpaceDE w:val="0"/>
        <w:autoSpaceDN w:val="0"/>
        <w:adjustRightInd w:val="0"/>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提交地点：</w:t>
      </w:r>
      <w:r>
        <w:rPr>
          <w:rFonts w:hint="eastAsia" w:ascii="宋体" w:hAnsi="宋体" w:cs="宋体"/>
          <w:bCs/>
          <w:kern w:val="0"/>
          <w:sz w:val="24"/>
          <w:u w:val="single"/>
        </w:rPr>
        <w:t>台州湾新区海虹街道一楼大厅</w:t>
      </w:r>
    </w:p>
    <w:p>
      <w:pPr>
        <w:tabs>
          <w:tab w:val="left" w:pos="180"/>
          <w:tab w:val="left" w:pos="360"/>
          <w:tab w:val="left" w:pos="540"/>
          <w:tab w:val="left" w:pos="8280"/>
        </w:tabs>
        <w:autoSpaceDE w:val="0"/>
        <w:autoSpaceDN w:val="0"/>
        <w:adjustRightInd w:val="0"/>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提交时间：</w:t>
      </w:r>
      <w:r>
        <w:rPr>
          <w:rFonts w:hint="eastAsia" w:ascii="宋体" w:hAnsi="宋体" w:cs="宋体"/>
          <w:bCs/>
          <w:sz w:val="24"/>
          <w:u w:val="single"/>
        </w:rPr>
        <w:t>2024年</w:t>
      </w:r>
      <w:r>
        <w:rPr>
          <w:rFonts w:hint="eastAsia" w:ascii="宋体" w:hAnsi="宋体" w:cs="宋体"/>
          <w:sz w:val="24"/>
          <w:u w:val="single"/>
          <w:lang w:val="en-US" w:eastAsia="zh-CN"/>
        </w:rPr>
        <w:t>06</w:t>
      </w:r>
      <w:r>
        <w:rPr>
          <w:rFonts w:hint="eastAsia" w:ascii="宋体" w:hAnsi="宋体" w:cs="宋体"/>
          <w:bCs/>
          <w:sz w:val="24"/>
          <w:u w:val="single"/>
        </w:rPr>
        <w:t>月</w:t>
      </w:r>
      <w:r>
        <w:rPr>
          <w:rFonts w:hint="eastAsia" w:ascii="宋体" w:hAnsi="宋体" w:cs="宋体"/>
          <w:bCs/>
          <w:sz w:val="24"/>
          <w:u w:val="single"/>
          <w:lang w:val="en-US" w:eastAsia="zh-CN"/>
        </w:rPr>
        <w:t>07</w:t>
      </w:r>
      <w:r>
        <w:rPr>
          <w:rFonts w:hint="eastAsia" w:ascii="宋体" w:hAnsi="宋体" w:cs="宋体"/>
          <w:bCs/>
          <w:sz w:val="24"/>
          <w:u w:val="single"/>
        </w:rPr>
        <w:t>日</w:t>
      </w:r>
      <w:r>
        <w:rPr>
          <w:rFonts w:hint="eastAsia" w:ascii="宋体" w:hAnsi="宋体" w:cs="宋体"/>
          <w:bCs/>
          <w:kern w:val="0"/>
          <w:sz w:val="24"/>
          <w:u w:val="single"/>
        </w:rPr>
        <w:t>09</w:t>
      </w:r>
      <w:r>
        <w:rPr>
          <w:rFonts w:ascii="宋体" w:hAnsi="宋体" w:cs="宋体"/>
          <w:bCs/>
          <w:kern w:val="0"/>
          <w:sz w:val="24"/>
          <w:u w:val="single"/>
        </w:rPr>
        <w:t>：</w:t>
      </w:r>
      <w:r>
        <w:rPr>
          <w:rFonts w:hint="eastAsia" w:ascii="宋体" w:hAnsi="宋体" w:cs="宋体"/>
          <w:bCs/>
          <w:kern w:val="0"/>
          <w:sz w:val="24"/>
          <w:u w:val="single"/>
        </w:rPr>
        <w:t xml:space="preserve">00 - 09：30  </w:t>
      </w:r>
    </w:p>
    <w:p>
      <w:pPr>
        <w:tabs>
          <w:tab w:val="left" w:pos="180"/>
          <w:tab w:val="left" w:pos="360"/>
          <w:tab w:val="left" w:pos="540"/>
          <w:tab w:val="left" w:pos="8280"/>
        </w:tabs>
        <w:autoSpaceDE w:val="0"/>
        <w:autoSpaceDN w:val="0"/>
        <w:adjustRightInd w:val="0"/>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接收人：</w:t>
      </w:r>
      <w:r>
        <w:rPr>
          <w:rFonts w:hint="eastAsia" w:ascii="宋体" w:hAnsi="宋体" w:cs="宋体"/>
          <w:bCs/>
          <w:kern w:val="0"/>
          <w:sz w:val="24"/>
          <w:u w:val="single"/>
        </w:rPr>
        <w:t>台州市建设咨询有限公司</w:t>
      </w:r>
      <w:r>
        <w:rPr>
          <w:rFonts w:hint="eastAsia" w:ascii="宋体" w:hAnsi="宋体" w:cs="宋体"/>
          <w:bCs/>
          <w:kern w:val="0"/>
          <w:sz w:val="24"/>
        </w:rPr>
        <w:t>（代理机构）</w:t>
      </w:r>
    </w:p>
    <w:p>
      <w:pPr>
        <w:tabs>
          <w:tab w:val="left" w:pos="180"/>
          <w:tab w:val="left" w:pos="360"/>
          <w:tab w:val="left" w:pos="540"/>
          <w:tab w:val="left" w:pos="8280"/>
        </w:tabs>
        <w:autoSpaceDE w:val="0"/>
        <w:autoSpaceDN w:val="0"/>
        <w:adjustRightInd w:val="0"/>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接收人联系方式：</w:t>
      </w:r>
      <w:r>
        <w:rPr>
          <w:rFonts w:hint="eastAsia" w:ascii="宋体" w:hAnsi="宋体" w:cs="宋体"/>
          <w:bCs/>
          <w:kern w:val="0"/>
          <w:sz w:val="24"/>
          <w:u w:val="single"/>
        </w:rPr>
        <w:t>0576-88517782</w:t>
      </w:r>
    </w:p>
    <w:p>
      <w:pPr>
        <w:tabs>
          <w:tab w:val="left" w:pos="180"/>
          <w:tab w:val="left" w:pos="360"/>
          <w:tab w:val="left" w:pos="540"/>
          <w:tab w:val="left" w:pos="8280"/>
        </w:tabs>
        <w:autoSpaceDE w:val="0"/>
        <w:autoSpaceDN w:val="0"/>
        <w:adjustRightInd w:val="0"/>
        <w:snapToGrid w:val="0"/>
        <w:spacing w:line="360" w:lineRule="auto"/>
        <w:ind w:firstLine="480" w:firstLineChars="200"/>
        <w:jc w:val="left"/>
        <w:rPr>
          <w:rFonts w:ascii="宋体" w:hAnsi="宋体" w:cs="宋体"/>
          <w:b/>
          <w:kern w:val="0"/>
          <w:sz w:val="24"/>
        </w:rPr>
      </w:pPr>
      <w:r>
        <w:rPr>
          <w:rFonts w:hint="eastAsia" w:ascii="宋体" w:hAnsi="宋体" w:cs="宋体"/>
          <w:bCs/>
          <w:kern w:val="0"/>
          <w:sz w:val="24"/>
        </w:rPr>
        <w:t xml:space="preserve">注：投标保函文件中必须包含投标企业的信息，包含但不仅限于投标企业名称、保证方式、保证金额、保函获得时间、保证项目名称、保函有效期限、保费标准、费用支付账户（基本账户）等。工程保函的保险（保证）责任必须包括本采购文件“第四章第六条”所列条款。 </w:t>
      </w:r>
    </w:p>
    <w:p>
      <w:pPr>
        <w:tabs>
          <w:tab w:val="left" w:pos="180"/>
          <w:tab w:val="left" w:pos="360"/>
          <w:tab w:val="left" w:pos="540"/>
          <w:tab w:val="left" w:pos="8280"/>
        </w:tabs>
        <w:autoSpaceDE w:val="0"/>
        <w:autoSpaceDN w:val="0"/>
        <w:adjustRightInd w:val="0"/>
        <w:snapToGrid w:val="0"/>
        <w:spacing w:line="360" w:lineRule="auto"/>
        <w:ind w:firstLine="482" w:firstLineChars="200"/>
        <w:jc w:val="left"/>
        <w:rPr>
          <w:rFonts w:ascii="宋体" w:hAnsi="宋体" w:cs="宋体"/>
          <w:b/>
          <w:kern w:val="0"/>
          <w:sz w:val="24"/>
        </w:rPr>
      </w:pPr>
      <w:r>
        <w:rPr>
          <w:rFonts w:hint="eastAsia" w:ascii="宋体" w:hAnsi="宋体" w:cs="宋体"/>
          <w:b/>
          <w:kern w:val="0"/>
          <w:sz w:val="24"/>
        </w:rPr>
        <w:t>（三）注意事项</w:t>
      </w:r>
    </w:p>
    <w:p>
      <w:pPr>
        <w:pStyle w:val="4"/>
        <w:snapToGrid w:val="0"/>
        <w:ind w:firstLine="480" w:firstLineChars="200"/>
        <w:rPr>
          <w:rFonts w:cs="宋体"/>
          <w:b w:val="0"/>
          <w:bCs/>
          <w:kern w:val="0"/>
          <w:sz w:val="24"/>
          <w:szCs w:val="24"/>
        </w:rPr>
      </w:pPr>
      <w:r>
        <w:rPr>
          <w:rFonts w:hint="eastAsia" w:cs="宋体"/>
          <w:b w:val="0"/>
          <w:bCs/>
          <w:kern w:val="0"/>
          <w:sz w:val="24"/>
          <w:szCs w:val="24"/>
        </w:rPr>
        <w:t>① 若采购文件允许联合体投标且投标人以联合体身份投标的，由联合体牵头人提交投标保证金；</w:t>
      </w:r>
    </w:p>
    <w:p>
      <w:pPr>
        <w:pStyle w:val="4"/>
        <w:snapToGrid w:val="0"/>
        <w:ind w:firstLine="480" w:firstLineChars="200"/>
        <w:rPr>
          <w:rFonts w:cs="宋体"/>
          <w:b w:val="0"/>
          <w:bCs/>
          <w:kern w:val="0"/>
          <w:sz w:val="24"/>
          <w:szCs w:val="24"/>
        </w:rPr>
      </w:pPr>
      <w:r>
        <w:rPr>
          <w:rFonts w:hint="eastAsia" w:cs="宋体"/>
          <w:b w:val="0"/>
          <w:bCs/>
          <w:kern w:val="0"/>
          <w:sz w:val="24"/>
          <w:szCs w:val="24"/>
        </w:rPr>
        <w:t>② 现金转账账号根据不同工程（标段）由系统随机生成，此账号只在本工程（标段）中使用有效，请注意核对。账号漏填、混填或错填均视为未按时缴纳保证金。</w:t>
      </w:r>
    </w:p>
    <w:p>
      <w:pPr>
        <w:pStyle w:val="4"/>
        <w:snapToGrid w:val="0"/>
        <w:ind w:firstLine="482" w:firstLineChars="200"/>
        <w:rPr>
          <w:rFonts w:cs="宋体"/>
          <w:kern w:val="0"/>
          <w:sz w:val="24"/>
          <w:szCs w:val="24"/>
        </w:rPr>
      </w:pPr>
      <w:r>
        <w:rPr>
          <w:rFonts w:hint="eastAsia" w:cs="宋体"/>
          <w:kern w:val="0"/>
          <w:sz w:val="24"/>
          <w:szCs w:val="24"/>
        </w:rPr>
        <w:t>③ 以现金转账形式提交的投标保证金应当从投标人基本账户转出，购买工程保函的费用应当从投标人基本账户支付；</w:t>
      </w:r>
    </w:p>
    <w:p>
      <w:pPr>
        <w:pStyle w:val="4"/>
        <w:snapToGrid w:val="0"/>
        <w:ind w:firstLine="480" w:firstLineChars="200"/>
        <w:rPr>
          <w:rFonts w:cs="宋体"/>
          <w:b w:val="0"/>
          <w:bCs/>
          <w:kern w:val="0"/>
          <w:sz w:val="24"/>
          <w:szCs w:val="24"/>
        </w:rPr>
      </w:pPr>
      <w:r>
        <w:rPr>
          <w:rFonts w:hint="eastAsia" w:cs="宋体"/>
          <w:b w:val="0"/>
          <w:bCs/>
          <w:kern w:val="0"/>
          <w:sz w:val="24"/>
          <w:szCs w:val="24"/>
        </w:rPr>
        <w:t>④ 若有疑问，请咨询技术服务热线：0576-88865501</w:t>
      </w:r>
    </w:p>
    <w:p>
      <w:pPr>
        <w:pStyle w:val="4"/>
        <w:snapToGrid w:val="0"/>
        <w:ind w:firstLine="480" w:firstLineChars="200"/>
        <w:rPr>
          <w:rFonts w:cs="宋体"/>
          <w:b w:val="0"/>
          <w:bCs/>
          <w:kern w:val="0"/>
          <w:sz w:val="24"/>
          <w:szCs w:val="24"/>
        </w:rPr>
      </w:pPr>
      <w:r>
        <w:rPr>
          <w:rFonts w:hint="eastAsia" w:cs="宋体"/>
          <w:b w:val="0"/>
          <w:bCs/>
          <w:kern w:val="0"/>
          <w:sz w:val="24"/>
          <w:szCs w:val="24"/>
        </w:rPr>
        <w:t>⑤ 以上未按要求提供或提供不清晰的，评标委员会可能做出不利于投标人的评审结果，由此造成的风险由投标人自行承担。</w:t>
      </w:r>
    </w:p>
    <w:p>
      <w:pPr>
        <w:tabs>
          <w:tab w:val="left" w:pos="180"/>
          <w:tab w:val="left" w:pos="360"/>
          <w:tab w:val="left" w:pos="540"/>
          <w:tab w:val="left" w:pos="8280"/>
        </w:tabs>
        <w:autoSpaceDE w:val="0"/>
        <w:autoSpaceDN w:val="0"/>
        <w:adjustRightInd w:val="0"/>
        <w:snapToGrid w:val="0"/>
        <w:spacing w:line="360" w:lineRule="auto"/>
        <w:ind w:firstLine="482" w:firstLineChars="200"/>
        <w:jc w:val="left"/>
        <w:rPr>
          <w:rFonts w:ascii="宋体" w:hAnsi="宋体" w:cs="宋体"/>
          <w:b/>
          <w:bCs/>
          <w:sz w:val="24"/>
        </w:rPr>
      </w:pPr>
      <w:r>
        <w:rPr>
          <w:rFonts w:hint="eastAsia" w:ascii="宋体" w:hAnsi="宋体" w:cs="宋体"/>
          <w:b/>
          <w:kern w:val="0"/>
          <w:sz w:val="24"/>
        </w:rPr>
        <w:t>（四）</w:t>
      </w:r>
      <w:r>
        <w:rPr>
          <w:rFonts w:hint="eastAsia" w:ascii="宋体" w:hAnsi="宋体" w:cs="宋体"/>
          <w:bCs/>
          <w:kern w:val="0"/>
          <w:sz w:val="24"/>
        </w:rPr>
        <w:t>购买工程电子保函截止时间：</w:t>
      </w:r>
      <w:r>
        <w:rPr>
          <w:rFonts w:hint="eastAsia" w:ascii="宋体" w:hAnsi="宋体" w:cs="宋体"/>
          <w:bCs/>
          <w:sz w:val="24"/>
          <w:u w:val="single"/>
        </w:rPr>
        <w:t>2024年</w:t>
      </w:r>
      <w:r>
        <w:rPr>
          <w:rFonts w:hint="eastAsia" w:ascii="宋体" w:hAnsi="宋体" w:cs="宋体"/>
          <w:sz w:val="24"/>
          <w:u w:val="single"/>
          <w:lang w:val="en-US" w:eastAsia="zh-CN"/>
        </w:rPr>
        <w:t>06</w:t>
      </w:r>
      <w:r>
        <w:rPr>
          <w:rFonts w:hint="eastAsia" w:ascii="宋体" w:hAnsi="宋体" w:cs="宋体"/>
          <w:bCs/>
          <w:sz w:val="24"/>
          <w:u w:val="single"/>
        </w:rPr>
        <w:t>月</w:t>
      </w:r>
      <w:r>
        <w:rPr>
          <w:rFonts w:hint="eastAsia" w:ascii="宋体" w:hAnsi="宋体" w:cs="宋体"/>
          <w:bCs/>
          <w:sz w:val="24"/>
          <w:u w:val="single"/>
          <w:lang w:val="en-US" w:eastAsia="zh-CN"/>
        </w:rPr>
        <w:t>06</w:t>
      </w:r>
      <w:r>
        <w:rPr>
          <w:rFonts w:hint="eastAsia" w:ascii="宋体" w:hAnsi="宋体" w:cs="宋体"/>
          <w:bCs/>
          <w:sz w:val="24"/>
          <w:u w:val="single"/>
        </w:rPr>
        <w:t>日</w:t>
      </w:r>
      <w:r>
        <w:rPr>
          <w:rFonts w:hint="eastAsia" w:ascii="宋体" w:hAnsi="宋体" w:cs="宋体"/>
          <w:b/>
          <w:bCs/>
          <w:kern w:val="0"/>
          <w:sz w:val="24"/>
        </w:rPr>
        <w:t>下午16点前。</w:t>
      </w:r>
    </w:p>
    <w:p>
      <w:pPr>
        <w:pStyle w:val="4"/>
        <w:snapToGrid w:val="0"/>
        <w:ind w:right="0" w:firstLine="482" w:firstLineChars="200"/>
        <w:rPr>
          <w:rFonts w:cs="宋体"/>
          <w:bCs/>
          <w:sz w:val="24"/>
          <w:szCs w:val="24"/>
        </w:rPr>
      </w:pPr>
      <w:bookmarkStart w:id="25" w:name="_Toc35393796"/>
      <w:bookmarkStart w:id="26" w:name="_Toc28359085"/>
      <w:bookmarkStart w:id="27" w:name="_Toc28359008"/>
      <w:bookmarkStart w:id="28" w:name="_Toc35393627"/>
      <w:r>
        <w:rPr>
          <w:rFonts w:hint="eastAsia" w:cs="宋体"/>
          <w:bCs/>
          <w:sz w:val="24"/>
          <w:szCs w:val="24"/>
        </w:rPr>
        <w:t>八、</w:t>
      </w:r>
      <w:bookmarkEnd w:id="25"/>
      <w:bookmarkEnd w:id="26"/>
      <w:bookmarkEnd w:id="27"/>
      <w:bookmarkEnd w:id="28"/>
      <w:r>
        <w:rPr>
          <w:rFonts w:hint="eastAsia" w:cs="宋体"/>
          <w:bCs/>
          <w:sz w:val="24"/>
          <w:szCs w:val="24"/>
        </w:rPr>
        <w:t>联系方式</w:t>
      </w:r>
    </w:p>
    <w:p>
      <w:pPr>
        <w:snapToGrid w:val="0"/>
        <w:spacing w:line="360" w:lineRule="auto"/>
        <w:ind w:firstLine="482" w:firstLineChars="200"/>
        <w:rPr>
          <w:rFonts w:ascii="宋体" w:hAnsi="宋体" w:cs="宋体"/>
          <w:b/>
          <w:bCs/>
          <w:sz w:val="24"/>
        </w:rPr>
      </w:pPr>
      <w:r>
        <w:rPr>
          <w:rFonts w:hint="eastAsia" w:ascii="宋体" w:hAnsi="宋体" w:cs="宋体"/>
          <w:b/>
          <w:bCs/>
          <w:sz w:val="24"/>
        </w:rPr>
        <w:t xml:space="preserve">（一）采购人（受理采购文件相关质疑及答复） </w:t>
      </w:r>
    </w:p>
    <w:p>
      <w:pPr>
        <w:snapToGrid w:val="0"/>
        <w:spacing w:line="360" w:lineRule="auto"/>
        <w:ind w:firstLine="480" w:firstLineChars="200"/>
        <w:rPr>
          <w:rFonts w:ascii="宋体" w:hAnsi="宋体" w:cs="宋体"/>
          <w:sz w:val="24"/>
        </w:rPr>
      </w:pPr>
      <w:r>
        <w:rPr>
          <w:rFonts w:hint="eastAsia" w:ascii="宋体" w:hAnsi="宋体" w:cs="宋体"/>
          <w:sz w:val="24"/>
        </w:rPr>
        <w:t>名 称：</w:t>
      </w:r>
      <w:r>
        <w:rPr>
          <w:rFonts w:hint="eastAsia" w:cs="宋体"/>
          <w:sz w:val="24"/>
          <w:u w:val="single"/>
        </w:rPr>
        <w:t>台州市自然资源和规划局台州湾新区（高新区）分局</w:t>
      </w:r>
    </w:p>
    <w:p>
      <w:pPr>
        <w:snapToGrid w:val="0"/>
        <w:spacing w:line="360" w:lineRule="auto"/>
        <w:ind w:firstLine="480" w:firstLineChars="200"/>
        <w:rPr>
          <w:rFonts w:ascii="宋体" w:hAnsi="宋体" w:cs="宋体"/>
          <w:sz w:val="24"/>
          <w:u w:val="single"/>
        </w:rPr>
      </w:pPr>
      <w:r>
        <w:rPr>
          <w:rFonts w:hint="eastAsia" w:ascii="宋体" w:hAnsi="宋体" w:cs="宋体"/>
          <w:sz w:val="24"/>
        </w:rPr>
        <w:t>地 址：</w:t>
      </w:r>
      <w:r>
        <w:rPr>
          <w:rFonts w:hint="eastAsia" w:ascii="宋体" w:hAnsi="宋体" w:cs="宋体"/>
          <w:sz w:val="24"/>
          <w:u w:val="single"/>
        </w:rPr>
        <w:t>台州市台州湾新区甲南大道东段9号</w:t>
      </w:r>
    </w:p>
    <w:p>
      <w:pPr>
        <w:snapToGrid w:val="0"/>
        <w:spacing w:line="360" w:lineRule="auto"/>
        <w:ind w:firstLine="480" w:firstLineChars="200"/>
        <w:rPr>
          <w:rFonts w:ascii="宋体" w:hAnsi="宋体" w:cs="宋体"/>
          <w:sz w:val="24"/>
          <w:u w:val="single"/>
        </w:rPr>
      </w:pPr>
      <w:r>
        <w:rPr>
          <w:rFonts w:hint="eastAsia" w:ascii="宋体" w:hAnsi="宋体" w:cs="宋体"/>
          <w:sz w:val="24"/>
        </w:rPr>
        <w:t>联系人：</w:t>
      </w:r>
      <w:bookmarkStart w:id="29" w:name="_Toc28359086"/>
      <w:bookmarkStart w:id="30" w:name="_Toc28359009"/>
      <w:r>
        <w:rPr>
          <w:rFonts w:hint="eastAsia" w:ascii="宋体" w:hAnsi="宋体" w:cs="宋体"/>
          <w:sz w:val="24"/>
        </w:rPr>
        <w:t xml:space="preserve"> </w:t>
      </w:r>
      <w:r>
        <w:rPr>
          <w:rFonts w:hint="eastAsia" w:ascii="宋体" w:hAnsi="宋体" w:cs="宋体"/>
          <w:sz w:val="24"/>
          <w:u w:val="single"/>
        </w:rPr>
        <w:t>蒋先生</w:t>
      </w:r>
    </w:p>
    <w:p>
      <w:pPr>
        <w:snapToGrid w:val="0"/>
        <w:spacing w:line="360" w:lineRule="auto"/>
        <w:ind w:firstLine="480" w:firstLineChars="200"/>
        <w:rPr>
          <w:rFonts w:ascii="宋体" w:hAnsi="宋体" w:cs="宋体"/>
          <w:sz w:val="24"/>
          <w:u w:val="single"/>
        </w:rPr>
      </w:pPr>
      <w:r>
        <w:rPr>
          <w:rFonts w:hint="eastAsia" w:ascii="宋体" w:hAnsi="宋体" w:cs="宋体"/>
          <w:sz w:val="24"/>
        </w:rPr>
        <w:t>联系电话：</w:t>
      </w:r>
      <w:r>
        <w:rPr>
          <w:rFonts w:hint="eastAsia" w:ascii="宋体" w:hAnsi="宋体" w:cs="宋体"/>
          <w:sz w:val="24"/>
          <w:u w:val="single"/>
        </w:rPr>
        <w:t>0576-88909633</w:t>
      </w:r>
    </w:p>
    <w:bookmarkEnd w:id="29"/>
    <w:bookmarkEnd w:id="30"/>
    <w:p>
      <w:pPr>
        <w:snapToGrid w:val="0"/>
        <w:spacing w:line="360" w:lineRule="auto"/>
        <w:ind w:firstLine="482" w:firstLineChars="200"/>
        <w:rPr>
          <w:rFonts w:ascii="宋体" w:hAnsi="宋体" w:cs="宋体"/>
          <w:b/>
          <w:sz w:val="24"/>
        </w:rPr>
      </w:pPr>
      <w:r>
        <w:rPr>
          <w:rFonts w:hint="eastAsia" w:ascii="宋体" w:hAnsi="宋体" w:cs="宋体"/>
          <w:b/>
          <w:bCs/>
          <w:sz w:val="24"/>
        </w:rPr>
        <w:t>（二）采购组织机构</w:t>
      </w:r>
    </w:p>
    <w:p>
      <w:pPr>
        <w:snapToGrid w:val="0"/>
        <w:spacing w:line="360" w:lineRule="auto"/>
        <w:ind w:firstLine="480" w:firstLineChars="200"/>
        <w:rPr>
          <w:rFonts w:ascii="宋体" w:hAnsi="宋体" w:cs="宋体"/>
          <w:sz w:val="24"/>
          <w:u w:val="single"/>
        </w:rPr>
      </w:pPr>
      <w:bookmarkStart w:id="31" w:name="_Toc28359010"/>
      <w:bookmarkStart w:id="32" w:name="_Toc28359087"/>
      <w:r>
        <w:rPr>
          <w:rFonts w:hint="eastAsia" w:ascii="宋体" w:hAnsi="宋体" w:cs="宋体"/>
          <w:sz w:val="24"/>
        </w:rPr>
        <w:t>名 称：</w:t>
      </w:r>
      <w:r>
        <w:rPr>
          <w:rFonts w:hint="eastAsia" w:ascii="宋体" w:hAnsi="宋体" w:cs="宋体"/>
          <w:sz w:val="24"/>
          <w:u w:val="single"/>
        </w:rPr>
        <w:t>台州市建设咨询有限公司</w:t>
      </w:r>
    </w:p>
    <w:p>
      <w:pPr>
        <w:snapToGrid w:val="0"/>
        <w:spacing w:line="360" w:lineRule="auto"/>
        <w:ind w:firstLine="480" w:firstLineChars="200"/>
        <w:rPr>
          <w:rFonts w:ascii="宋体" w:hAnsi="宋体" w:cs="宋体"/>
          <w:sz w:val="24"/>
          <w:u w:val="single"/>
        </w:rPr>
      </w:pPr>
      <w:r>
        <w:rPr>
          <w:rFonts w:hint="eastAsia" w:ascii="宋体" w:hAnsi="宋体" w:cs="宋体"/>
          <w:sz w:val="24"/>
        </w:rPr>
        <w:t>地 址：</w:t>
      </w:r>
      <w:r>
        <w:rPr>
          <w:rFonts w:hint="eastAsia" w:ascii="宋体" w:hAnsi="宋体" w:cs="宋体"/>
          <w:sz w:val="24"/>
          <w:u w:val="single"/>
        </w:rPr>
        <w:t>浙江省台州市市府大道507号台州国际商务广场1幢（北门）11楼</w:t>
      </w:r>
    </w:p>
    <w:p>
      <w:pPr>
        <w:snapToGrid w:val="0"/>
        <w:spacing w:line="360" w:lineRule="auto"/>
        <w:ind w:firstLine="480" w:firstLineChars="200"/>
        <w:rPr>
          <w:rFonts w:ascii="宋体" w:hAnsi="宋体" w:cs="宋体"/>
          <w:sz w:val="24"/>
          <w:u w:val="single"/>
        </w:rPr>
      </w:pPr>
      <w:r>
        <w:rPr>
          <w:rFonts w:hint="eastAsia" w:ascii="宋体" w:hAnsi="宋体" w:cs="宋体"/>
          <w:sz w:val="24"/>
        </w:rPr>
        <w:t>项目联系人：</w:t>
      </w:r>
      <w:r>
        <w:rPr>
          <w:rFonts w:hint="eastAsia" w:ascii="宋体" w:hAnsi="宋体" w:cs="宋体"/>
          <w:sz w:val="24"/>
          <w:u w:val="single"/>
        </w:rPr>
        <w:t>葛俊</w:t>
      </w:r>
    </w:p>
    <w:p>
      <w:pPr>
        <w:snapToGrid w:val="0"/>
        <w:spacing w:line="360" w:lineRule="auto"/>
        <w:ind w:firstLine="480" w:firstLineChars="200"/>
        <w:rPr>
          <w:rFonts w:ascii="宋体" w:hAnsi="宋体" w:cs="宋体"/>
          <w:sz w:val="24"/>
          <w:u w:val="single"/>
        </w:rPr>
      </w:pPr>
      <w:r>
        <w:rPr>
          <w:rFonts w:hint="eastAsia" w:ascii="宋体" w:hAnsi="宋体" w:cs="宋体"/>
          <w:sz w:val="24"/>
        </w:rPr>
        <w:t>联系电话：</w:t>
      </w:r>
      <w:r>
        <w:rPr>
          <w:rFonts w:hint="eastAsia" w:ascii="宋体" w:hAnsi="宋体" w:cs="宋体"/>
          <w:sz w:val="24"/>
          <w:u w:val="single"/>
        </w:rPr>
        <w:t>0576-88517782</w:t>
      </w:r>
    </w:p>
    <w:p>
      <w:pPr>
        <w:snapToGrid w:val="0"/>
        <w:spacing w:line="360" w:lineRule="auto"/>
        <w:ind w:firstLine="480" w:firstLineChars="200"/>
        <w:rPr>
          <w:rFonts w:ascii="宋体" w:hAnsi="宋体" w:cs="宋体"/>
          <w:sz w:val="24"/>
          <w:u w:val="single"/>
        </w:rPr>
      </w:pPr>
      <w:r>
        <w:rPr>
          <w:rFonts w:hint="eastAsia" w:ascii="宋体" w:hAnsi="宋体" w:cs="宋体"/>
          <w:sz w:val="24"/>
        </w:rPr>
        <w:t>质疑受理联系人：</w:t>
      </w:r>
      <w:r>
        <w:rPr>
          <w:rFonts w:hint="eastAsia" w:ascii="宋体" w:hAnsi="宋体" w:cs="宋体"/>
          <w:sz w:val="24"/>
          <w:u w:val="single"/>
        </w:rPr>
        <w:t>徐先生</w:t>
      </w:r>
    </w:p>
    <w:p>
      <w:pPr>
        <w:snapToGrid w:val="0"/>
        <w:spacing w:line="360" w:lineRule="auto"/>
        <w:ind w:firstLine="480" w:firstLineChars="200"/>
        <w:rPr>
          <w:rFonts w:ascii="宋体" w:hAnsi="宋体" w:cs="宋体"/>
          <w:sz w:val="24"/>
          <w:u w:val="single"/>
        </w:rPr>
      </w:pPr>
      <w:r>
        <w:rPr>
          <w:rFonts w:hint="eastAsia" w:ascii="宋体" w:hAnsi="宋体" w:cs="宋体"/>
          <w:sz w:val="24"/>
        </w:rPr>
        <w:t>联系电话：</w:t>
      </w:r>
      <w:r>
        <w:rPr>
          <w:rFonts w:hint="eastAsia" w:ascii="宋体" w:hAnsi="宋体" w:cs="宋体"/>
          <w:sz w:val="24"/>
          <w:u w:val="single"/>
        </w:rPr>
        <w:t>0576-88517783</w:t>
      </w:r>
    </w:p>
    <w:p>
      <w:pPr>
        <w:snapToGrid w:val="0"/>
        <w:spacing w:line="360" w:lineRule="auto"/>
        <w:ind w:firstLine="482" w:firstLineChars="200"/>
        <w:rPr>
          <w:rFonts w:ascii="宋体" w:hAnsi="宋体" w:cs="宋体"/>
          <w:b/>
          <w:sz w:val="24"/>
        </w:rPr>
      </w:pPr>
      <w:r>
        <w:rPr>
          <w:rFonts w:hint="eastAsia" w:ascii="宋体" w:hAnsi="宋体" w:cs="宋体"/>
          <w:b/>
          <w:sz w:val="24"/>
        </w:rPr>
        <w:t>（三）同级采购监管机构</w:t>
      </w:r>
    </w:p>
    <w:p>
      <w:pPr>
        <w:snapToGrid w:val="0"/>
        <w:spacing w:line="360" w:lineRule="auto"/>
        <w:ind w:firstLine="480" w:firstLineChars="200"/>
        <w:rPr>
          <w:rFonts w:ascii="宋体" w:hAnsi="宋体" w:cs="宋体"/>
          <w:sz w:val="24"/>
          <w:u w:val="single"/>
        </w:rPr>
      </w:pPr>
      <w:r>
        <w:rPr>
          <w:rFonts w:hint="eastAsia" w:ascii="宋体" w:hAnsi="宋体" w:cs="宋体"/>
          <w:sz w:val="24"/>
        </w:rPr>
        <w:t>名 称：</w:t>
      </w:r>
      <w:r>
        <w:rPr>
          <w:rFonts w:hint="eastAsia" w:ascii="宋体" w:hAnsi="宋体" w:cs="宋体"/>
          <w:sz w:val="24"/>
          <w:u w:val="single"/>
        </w:rPr>
        <w:t>台州湾新区行政审批与投资服务局</w:t>
      </w:r>
    </w:p>
    <w:p>
      <w:pPr>
        <w:snapToGrid w:val="0"/>
        <w:spacing w:line="360" w:lineRule="auto"/>
        <w:ind w:firstLine="480" w:firstLineChars="200"/>
        <w:rPr>
          <w:rFonts w:ascii="宋体" w:hAnsi="宋体" w:cs="宋体"/>
          <w:sz w:val="24"/>
          <w:u w:val="single"/>
        </w:rPr>
      </w:pPr>
      <w:r>
        <w:rPr>
          <w:rFonts w:hint="eastAsia" w:ascii="宋体" w:hAnsi="宋体" w:cs="宋体"/>
          <w:sz w:val="24"/>
        </w:rPr>
        <w:t>地 址：</w:t>
      </w:r>
      <w:r>
        <w:rPr>
          <w:rFonts w:hint="eastAsia" w:ascii="宋体" w:hAnsi="宋体" w:cs="宋体"/>
          <w:sz w:val="24"/>
          <w:u w:val="single"/>
        </w:rPr>
        <w:t>台州市甲南大道东段9号</w:t>
      </w:r>
    </w:p>
    <w:p>
      <w:pPr>
        <w:snapToGrid w:val="0"/>
        <w:spacing w:line="360" w:lineRule="auto"/>
        <w:ind w:firstLine="480" w:firstLineChars="200"/>
        <w:rPr>
          <w:rFonts w:ascii="宋体" w:hAnsi="宋体" w:cs="宋体"/>
          <w:sz w:val="24"/>
          <w:u w:val="single"/>
        </w:rPr>
      </w:pPr>
      <w:r>
        <w:rPr>
          <w:rFonts w:hint="eastAsia" w:ascii="宋体" w:hAnsi="宋体" w:cs="宋体"/>
          <w:sz w:val="24"/>
        </w:rPr>
        <w:t>联系人：</w:t>
      </w:r>
      <w:r>
        <w:rPr>
          <w:rFonts w:hint="eastAsia" w:ascii="宋体" w:hAnsi="宋体" w:cs="宋体"/>
          <w:sz w:val="24"/>
          <w:u w:val="single"/>
        </w:rPr>
        <w:t>徐先生</w:t>
      </w:r>
    </w:p>
    <w:p>
      <w:pPr>
        <w:snapToGrid w:val="0"/>
        <w:spacing w:line="360" w:lineRule="auto"/>
        <w:ind w:firstLine="480" w:firstLineChars="200"/>
        <w:rPr>
          <w:rFonts w:ascii="宋体" w:hAnsi="宋体" w:cs="宋体"/>
          <w:sz w:val="24"/>
          <w:u w:val="single"/>
        </w:rPr>
      </w:pPr>
      <w:r>
        <w:rPr>
          <w:rFonts w:hint="eastAsia" w:ascii="宋体" w:hAnsi="宋体" w:cs="宋体"/>
          <w:sz w:val="24"/>
        </w:rPr>
        <w:t>联系电话：</w:t>
      </w:r>
      <w:r>
        <w:rPr>
          <w:rFonts w:hint="eastAsia" w:ascii="宋体" w:hAnsi="宋体" w:cs="宋体"/>
          <w:sz w:val="24"/>
          <w:u w:val="single"/>
        </w:rPr>
        <w:t>0576-88538849</w:t>
      </w:r>
    </w:p>
    <w:p>
      <w:pPr>
        <w:snapToGrid w:val="0"/>
        <w:spacing w:line="360" w:lineRule="auto"/>
        <w:ind w:firstLine="482" w:firstLineChars="200"/>
        <w:rPr>
          <w:rFonts w:ascii="宋体" w:hAnsi="宋体" w:cs="宋体"/>
          <w:b/>
          <w:sz w:val="24"/>
        </w:rPr>
      </w:pPr>
      <w:r>
        <w:rPr>
          <w:rFonts w:hint="eastAsia" w:ascii="宋体" w:hAnsi="宋体" w:cs="宋体"/>
          <w:b/>
          <w:sz w:val="24"/>
        </w:rPr>
        <w:t>（四）台州湾新区小额工程电子交易平台</w:t>
      </w:r>
    </w:p>
    <w:p>
      <w:pPr>
        <w:snapToGrid w:val="0"/>
        <w:spacing w:line="360" w:lineRule="auto"/>
        <w:ind w:firstLine="480" w:firstLineChars="200"/>
        <w:rPr>
          <w:rFonts w:ascii="宋体" w:hAnsi="宋体" w:cs="宋体"/>
          <w:sz w:val="24"/>
        </w:rPr>
      </w:pPr>
      <w:r>
        <w:rPr>
          <w:rFonts w:hint="eastAsia" w:ascii="宋体" w:hAnsi="宋体" w:cs="宋体"/>
          <w:sz w:val="24"/>
        </w:rPr>
        <w:t>联系人：</w:t>
      </w:r>
      <w:r>
        <w:rPr>
          <w:rFonts w:hint="eastAsia" w:ascii="宋体" w:hAnsi="宋体" w:cs="宋体"/>
          <w:sz w:val="24"/>
          <w:u w:val="single"/>
        </w:rPr>
        <w:t>蔡先生、王女士</w:t>
      </w:r>
    </w:p>
    <w:p>
      <w:pPr>
        <w:snapToGrid w:val="0"/>
        <w:spacing w:line="360" w:lineRule="auto"/>
        <w:ind w:firstLine="480" w:firstLineChars="200"/>
        <w:rPr>
          <w:rFonts w:ascii="宋体" w:hAnsi="宋体" w:cs="宋体"/>
          <w:sz w:val="24"/>
          <w:shd w:val="clear" w:color="auto" w:fill="FFFFFF"/>
        </w:rPr>
      </w:pPr>
      <w:r>
        <w:rPr>
          <w:rFonts w:hint="eastAsia" w:ascii="宋体" w:hAnsi="宋体" w:cs="宋体"/>
          <w:sz w:val="24"/>
        </w:rPr>
        <w:t>联系电话：</w:t>
      </w:r>
      <w:r>
        <w:rPr>
          <w:rFonts w:hint="eastAsia" w:ascii="宋体" w:hAnsi="宋体" w:cs="宋体"/>
          <w:sz w:val="24"/>
          <w:u w:val="single"/>
        </w:rPr>
        <w:t>13454667697、13757680207</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napToGrid w:val="0"/>
        <w:spacing w:line="360" w:lineRule="auto"/>
        <w:ind w:firstLine="200"/>
        <w:jc w:val="right"/>
        <w:rPr>
          <w:rFonts w:ascii="宋体" w:hAnsi="宋体" w:cs="宋体"/>
          <w:sz w:val="24"/>
          <w:shd w:val="clear" w:color="auto" w:fill="FFFFFF"/>
        </w:rPr>
      </w:pP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napToGrid w:val="0"/>
        <w:spacing w:line="360" w:lineRule="auto"/>
        <w:ind w:firstLine="200"/>
        <w:jc w:val="right"/>
        <w:rPr>
          <w:rFonts w:ascii="宋体" w:hAnsi="宋体" w:cs="宋体"/>
          <w:sz w:val="24"/>
          <w:shd w:val="clear" w:color="auto" w:fill="FFFFFF"/>
        </w:rPr>
      </w:pP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napToGrid w:val="0"/>
        <w:spacing w:line="360" w:lineRule="auto"/>
        <w:ind w:firstLine="200"/>
        <w:jc w:val="right"/>
        <w:rPr>
          <w:rFonts w:ascii="宋体" w:hAnsi="宋体" w:cs="宋体"/>
          <w:sz w:val="24"/>
          <w:shd w:val="clear" w:color="auto" w:fill="FFFFFF"/>
        </w:rPr>
      </w:pPr>
      <w:r>
        <w:rPr>
          <w:rFonts w:hint="eastAsia" w:ascii="宋体" w:hAnsi="宋体" w:cs="宋体"/>
          <w:sz w:val="24"/>
          <w:shd w:val="clear" w:color="auto" w:fill="FFFFFF"/>
        </w:rPr>
        <w:t>台州市自然资源和规划局台州湾新区（高新区）分局</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napToGrid w:val="0"/>
        <w:spacing w:line="360" w:lineRule="auto"/>
        <w:ind w:firstLine="200"/>
        <w:jc w:val="right"/>
        <w:rPr>
          <w:rFonts w:ascii="宋体" w:hAnsi="宋体" w:cs="宋体"/>
          <w:sz w:val="24"/>
        </w:rPr>
      </w:pPr>
      <w:r>
        <w:rPr>
          <w:rFonts w:hint="eastAsia" w:ascii="宋体" w:hAnsi="宋体" w:cs="宋体"/>
          <w:sz w:val="24"/>
          <w:shd w:val="clear" w:color="auto" w:fill="FFFFFF"/>
        </w:rPr>
        <w:t>台州市建设咨询有限公司</w:t>
      </w:r>
      <w:r>
        <w:rPr>
          <w:rFonts w:hint="eastAsia" w:ascii="宋体" w:hAnsi="宋体" w:cs="宋体"/>
          <w:kern w:val="0"/>
          <w:sz w:val="24"/>
        </w:rPr>
        <w:t xml:space="preserve">  </w:t>
      </w:r>
    </w:p>
    <w:p>
      <w:pPr>
        <w:widowControl/>
        <w:snapToGrid w:val="0"/>
        <w:spacing w:line="360" w:lineRule="auto"/>
        <w:ind w:firstLine="200"/>
        <w:jc w:val="right"/>
        <w:rPr>
          <w:rFonts w:ascii="宋体" w:hAnsi="宋体" w:cs="宋体"/>
          <w:kern w:val="0"/>
          <w:sz w:val="24"/>
        </w:rPr>
      </w:pPr>
      <w:r>
        <w:rPr>
          <w:rFonts w:hint="eastAsia" w:ascii="宋体" w:hAnsi="宋体" w:cs="宋体"/>
          <w:kern w:val="0"/>
          <w:sz w:val="24"/>
        </w:rPr>
        <w:t xml:space="preserve">                                                      2024年</w:t>
      </w:r>
      <w:r>
        <w:rPr>
          <w:rFonts w:hint="eastAsia" w:ascii="宋体" w:hAnsi="宋体" w:cs="宋体"/>
          <w:sz w:val="24"/>
        </w:rPr>
        <w:t>05</w:t>
      </w:r>
      <w:r>
        <w:rPr>
          <w:rFonts w:hint="eastAsia" w:ascii="宋体" w:hAnsi="宋体" w:cs="宋体"/>
          <w:kern w:val="0"/>
          <w:sz w:val="24"/>
        </w:rPr>
        <w:t>月</w:t>
      </w:r>
    </w:p>
    <w:p>
      <w:pPr>
        <w:pStyle w:val="34"/>
        <w:ind w:firstLine="480"/>
        <w:rPr>
          <w:rFonts w:hAnsi="宋体" w:cs="宋体"/>
          <w:kern w:val="0"/>
        </w:rPr>
      </w:pPr>
    </w:p>
    <w:p>
      <w:pPr>
        <w:pStyle w:val="34"/>
        <w:ind w:firstLine="480"/>
        <w:rPr>
          <w:rFonts w:hAnsi="宋体" w:cs="宋体"/>
          <w:kern w:val="0"/>
        </w:rPr>
      </w:pPr>
    </w:p>
    <w:p>
      <w:pPr>
        <w:pStyle w:val="34"/>
        <w:ind w:firstLine="0" w:firstLineChars="0"/>
        <w:rPr>
          <w:rFonts w:hAnsi="宋体" w:cs="宋体"/>
          <w:kern w:val="0"/>
        </w:rPr>
      </w:pPr>
    </w:p>
    <w:bookmarkEnd w:id="31"/>
    <w:bookmarkEnd w:id="32"/>
    <w:p>
      <w:pPr>
        <w:rPr>
          <w:rFonts w:ascii="宋体" w:hAnsi="宋体"/>
          <w:b/>
          <w:sz w:val="36"/>
          <w:szCs w:val="36"/>
        </w:rPr>
      </w:pPr>
      <w:bookmarkStart w:id="33" w:name="_Toc25017_WPSOffice_Level1"/>
      <w:r>
        <w:rPr>
          <w:rFonts w:hint="eastAsia" w:ascii="宋体" w:hAnsi="宋体"/>
          <w:b/>
          <w:sz w:val="36"/>
          <w:szCs w:val="36"/>
        </w:rPr>
        <w:br w:type="page"/>
      </w:r>
    </w:p>
    <w:p>
      <w:pPr>
        <w:numPr>
          <w:ilvl w:val="0"/>
          <w:numId w:val="6"/>
        </w:numPr>
        <w:spacing w:line="360" w:lineRule="auto"/>
        <w:jc w:val="center"/>
        <w:rPr>
          <w:rFonts w:ascii="宋体" w:hAnsi="宋体"/>
          <w:b/>
          <w:sz w:val="36"/>
          <w:szCs w:val="36"/>
        </w:rPr>
      </w:pPr>
      <w:r>
        <w:rPr>
          <w:rFonts w:hint="eastAsia" w:ascii="宋体" w:hAnsi="宋体"/>
          <w:b/>
          <w:sz w:val="36"/>
          <w:szCs w:val="36"/>
        </w:rPr>
        <w:t>投标人须知</w:t>
      </w:r>
      <w:bookmarkEnd w:id="33"/>
    </w:p>
    <w:p>
      <w:pPr>
        <w:snapToGrid w:val="0"/>
        <w:ind w:firstLine="420" w:firstLineChars="200"/>
      </w:pPr>
      <w:r>
        <w:rPr>
          <w:rFonts w:hint="eastAsia"/>
        </w:rPr>
        <w:t>一、</w:t>
      </w:r>
      <w:r>
        <w:rPr>
          <w:rFonts w:hint="eastAsia" w:ascii="宋体" w:hAnsi="宋体"/>
          <w:b/>
          <w:sz w:val="24"/>
        </w:rPr>
        <w:t>前附表</w:t>
      </w:r>
    </w:p>
    <w:tbl>
      <w:tblPr>
        <w:tblStyle w:val="28"/>
        <w:tblpPr w:leftFromText="181" w:rightFromText="181" w:bottomFromText="170" w:vertAnchor="text" w:horzAnchor="page" w:tblpXSpec="center" w:tblpY="449"/>
        <w:tblOverlap w:val="never"/>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585"/>
        <w:gridCol w:w="6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b/>
                <w:bCs/>
              </w:rPr>
            </w:pPr>
            <w:r>
              <w:rPr>
                <w:rFonts w:hint="eastAsia" w:ascii="宋体" w:hAnsi="宋体" w:cs="宋体"/>
                <w:b/>
                <w:bCs/>
              </w:rPr>
              <w:t>序 号</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b/>
                <w:bCs/>
              </w:rPr>
            </w:pPr>
            <w:r>
              <w:rPr>
                <w:rFonts w:hint="eastAsia" w:ascii="宋体" w:hAnsi="宋体" w:cs="宋体"/>
                <w:b/>
                <w:bCs/>
              </w:rPr>
              <w:t>事 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b/>
                <w:bCs/>
              </w:rPr>
            </w:pPr>
            <w:r>
              <w:rPr>
                <w:rFonts w:hint="eastAsia" w:ascii="宋体" w:hAnsi="宋体" w:cs="宋体"/>
                <w:b/>
                <w:bCs/>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cs="宋体"/>
              </w:rPr>
            </w:pPr>
            <w:r>
              <w:rPr>
                <w:rFonts w:hint="eastAsia" w:ascii="宋体" w:hAnsi="宋体" w:cs="宋体"/>
              </w:rPr>
              <w:t>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cs="宋体"/>
              </w:rPr>
            </w:pPr>
            <w:r>
              <w:rPr>
                <w:rFonts w:hint="eastAsia" w:ascii="宋体" w:hAnsi="宋体" w:cs="宋体"/>
              </w:rPr>
              <w:t>是否允许联合体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rPr>
                <w:rFonts w:ascii="宋体" w:hAnsi="宋体" w:cs="宋体"/>
              </w:rPr>
            </w:pPr>
            <w:r>
              <w:rPr>
                <w:rFonts w:hint="eastAsia" w:ascii="宋体" w:hAnsi="宋体"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cs="宋体"/>
              </w:rPr>
            </w:pPr>
            <w:r>
              <w:rPr>
                <w:rFonts w:hint="eastAsia" w:ascii="宋体" w:hAnsi="宋体" w:cs="宋体"/>
              </w:rPr>
              <w:t>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cs="宋体"/>
              </w:rPr>
            </w:pPr>
            <w:r>
              <w:rPr>
                <w:rFonts w:hint="eastAsia" w:ascii="宋体" w:hAnsi="宋体" w:cs="宋体"/>
              </w:rPr>
              <w:t>是否允许分包</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rPr>
                <w:rFonts w:ascii="宋体" w:hAnsi="宋体" w:cs="宋体"/>
              </w:rPr>
            </w:pPr>
            <w:r>
              <w:rPr>
                <w:rFonts w:hint="eastAsia" w:ascii="宋体" w:hAnsi="宋体"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cs="宋体"/>
              </w:rPr>
            </w:pPr>
            <w:r>
              <w:rPr>
                <w:rFonts w:hint="eastAsia" w:ascii="宋体" w:hAnsi="宋体" w:cs="宋体"/>
              </w:rPr>
              <w:t>3</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cs="宋体"/>
              </w:rPr>
            </w:pPr>
            <w:r>
              <w:rPr>
                <w:rFonts w:hint="eastAsia" w:ascii="宋体" w:hAnsi="宋体" w:cs="宋体"/>
              </w:rPr>
              <w:t>答疑会或</w:t>
            </w:r>
          </w:p>
          <w:p>
            <w:pPr>
              <w:snapToGrid w:val="0"/>
              <w:jc w:val="center"/>
              <w:rPr>
                <w:rFonts w:ascii="宋体" w:hAnsi="宋体" w:cs="宋体"/>
              </w:rPr>
            </w:pPr>
            <w:r>
              <w:rPr>
                <w:rFonts w:hint="eastAsia" w:ascii="宋体" w:hAnsi="宋体" w:cs="宋体"/>
              </w:rPr>
              <w:t>现场踏勘</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rPr>
                <w:rFonts w:ascii="宋体" w:hAnsi="宋体" w:cs="宋体"/>
              </w:rPr>
            </w:pPr>
            <w:r>
              <w:rPr>
                <w:rFonts w:hint="eastAsia" w:ascii="宋体" w:hAnsi="宋体" w:cs="宋体"/>
              </w:rPr>
              <w:t xml:space="preserve">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cs="宋体"/>
              </w:rPr>
            </w:pPr>
            <w:r>
              <w:rPr>
                <w:rFonts w:hint="eastAsia" w:ascii="宋体" w:hAnsi="宋体" w:cs="宋体"/>
              </w:rPr>
              <w:t>4</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cs="宋体"/>
              </w:rPr>
            </w:pPr>
            <w:r>
              <w:rPr>
                <w:rFonts w:hint="eastAsia" w:ascii="宋体" w:hAnsi="宋体" w:cs="宋体"/>
              </w:rPr>
              <w:t>投标文件的制作和投标</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rPr>
                <w:rFonts w:ascii="宋体" w:hAnsi="宋体" w:cs="宋体"/>
              </w:rPr>
            </w:pPr>
            <w:r>
              <w:rPr>
                <w:rFonts w:hint="eastAsia" w:ascii="宋体" w:hAnsi="宋体" w:cs="宋体"/>
              </w:rPr>
              <w:t>1、投标人无需到开标现场，电子投标文件上传至台州湾新区小额工程电子交易平台。如遇有问题的请联系蔡先生，13454667697；王女士，13757680207。</w:t>
            </w:r>
          </w:p>
          <w:p>
            <w:pPr>
              <w:snapToGrid w:val="0"/>
              <w:rPr>
                <w:rFonts w:ascii="宋体" w:hAnsi="宋体" w:cs="宋体"/>
              </w:rPr>
            </w:pPr>
            <w:r>
              <w:rPr>
                <w:rFonts w:hint="eastAsia" w:ascii="宋体" w:hAnsi="宋体" w:cs="宋体"/>
              </w:rPr>
              <w:t>2、电子投标文件上传步骤：</w:t>
            </w:r>
          </w:p>
          <w:p>
            <w:pPr>
              <w:snapToGrid w:val="0"/>
              <w:rPr>
                <w:rFonts w:ascii="宋体" w:hAnsi="宋体" w:cs="宋体"/>
              </w:rPr>
            </w:pPr>
            <w:r>
              <w:rPr>
                <w:rFonts w:hint="eastAsia" w:ascii="宋体" w:hAnsi="宋体" w:cs="宋体"/>
              </w:rPr>
              <w:t>1) 台州湾新区小额工程电子交易平台（网址：http://www.tzwztb.com/）；</w:t>
            </w:r>
          </w:p>
          <w:p>
            <w:pPr>
              <w:snapToGrid w:val="0"/>
              <w:rPr>
                <w:rFonts w:ascii="宋体" w:hAnsi="宋体" w:cs="宋体"/>
              </w:rPr>
            </w:pPr>
            <w:r>
              <w:rPr>
                <w:rFonts w:hint="eastAsia" w:ascii="宋体" w:hAnsi="宋体" w:cs="宋体"/>
              </w:rPr>
              <w:t>2) 投标人应提前办好ca锁（办理网址：http://www.tseal.cn/tcloud/common.xhtml?projId=295），绑定平台账户。</w:t>
            </w:r>
          </w:p>
          <w:p>
            <w:pPr>
              <w:snapToGrid w:val="0"/>
              <w:rPr>
                <w:rFonts w:ascii="宋体" w:hAnsi="宋体" w:cs="宋体"/>
              </w:rPr>
            </w:pPr>
            <w:r>
              <w:rPr>
                <w:rFonts w:hint="eastAsia" w:ascii="宋体" w:hAnsi="宋体" w:cs="宋体"/>
              </w:rPr>
              <w:t>3)缴纳保证金（或购买电子保函）后，点击“电子投标文件制作工具”，进入制作页面，签章并加密上传电子投标文件。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cs="宋体"/>
              </w:rPr>
            </w:pPr>
            <w:r>
              <w:rPr>
                <w:rFonts w:hint="eastAsia" w:ascii="宋体" w:hAnsi="宋体" w:cs="宋体"/>
              </w:rPr>
              <w:t>5</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cs="宋体"/>
              </w:rPr>
            </w:pPr>
            <w:r>
              <w:rPr>
                <w:rFonts w:hint="eastAsia" w:ascii="宋体" w:hAnsi="宋体" w:cs="宋体"/>
              </w:rPr>
              <w:t>投标与开标</w:t>
            </w:r>
          </w:p>
          <w:p>
            <w:pPr>
              <w:snapToGrid w:val="0"/>
              <w:jc w:val="center"/>
              <w:rPr>
                <w:rFonts w:ascii="宋体" w:hAnsi="宋体" w:cs="宋体"/>
              </w:rPr>
            </w:pPr>
            <w:r>
              <w:rPr>
                <w:rFonts w:hint="eastAsia" w:ascii="宋体" w:hAnsi="宋体" w:cs="宋体"/>
              </w:rPr>
              <w:t>注意事项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rPr>
                <w:rFonts w:ascii="宋体" w:hAnsi="宋体" w:cs="宋体"/>
              </w:rPr>
            </w:pPr>
            <w:r>
              <w:rPr>
                <w:rFonts w:hint="eastAsia" w:ascii="宋体" w:hAnsi="宋体" w:cs="宋体"/>
              </w:rPr>
              <w:t>1.本项目实行电子投标，投标人自行承担投标一切费用。</w:t>
            </w:r>
          </w:p>
          <w:p>
            <w:pPr>
              <w:snapToGrid w:val="0"/>
              <w:rPr>
                <w:rFonts w:ascii="宋体" w:hAnsi="宋体" w:cs="宋体"/>
              </w:rPr>
            </w:pPr>
            <w:r>
              <w:rPr>
                <w:rFonts w:hint="eastAsia" w:ascii="宋体" w:hAnsi="宋体" w:cs="宋体"/>
              </w:rPr>
              <w:t>2.标前准备：投标人在开标前确保成为台州湾新区小额工程电子交易平台正式注册用户，并完成CA数字证书办理（办理流程详见平台官网附件：CA签章申领操作流程）。因未注册入库、未办理CA数字证书等原因造成无法投标或投标失败等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cs="宋体"/>
              </w:rPr>
            </w:pPr>
            <w:r>
              <w:rPr>
                <w:rFonts w:hint="eastAsia" w:ascii="宋体" w:hAnsi="宋体" w:cs="宋体"/>
              </w:rPr>
              <w:t>6</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cs="宋体"/>
              </w:rPr>
            </w:pPr>
            <w:r>
              <w:rPr>
                <w:rFonts w:hint="eastAsia" w:ascii="宋体" w:hAnsi="宋体" w:cs="宋体"/>
              </w:rPr>
              <w:t>信用信息</w:t>
            </w:r>
          </w:p>
          <w:p>
            <w:pPr>
              <w:snapToGrid w:val="0"/>
              <w:jc w:val="center"/>
              <w:rPr>
                <w:rFonts w:ascii="宋体" w:hAnsi="宋体" w:cs="宋体"/>
              </w:rPr>
            </w:pPr>
            <w:r>
              <w:rPr>
                <w:rFonts w:hint="eastAsia" w:ascii="宋体" w:hAnsi="宋体" w:cs="宋体"/>
              </w:rPr>
              <w:t>查询渠道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rPr>
                <w:rFonts w:ascii="宋体" w:hAnsi="宋体" w:cs="宋体"/>
              </w:rPr>
            </w:pPr>
            <w:r>
              <w:rPr>
                <w:rFonts w:hint="eastAsia" w:ascii="宋体" w:hAnsi="宋体" w:cs="宋体"/>
              </w:rPr>
              <w:t>信用中国（网址：</w:t>
            </w:r>
            <w:r>
              <w:rPr>
                <w:rFonts w:hint="eastAsia"/>
              </w:rPr>
              <w:fldChar w:fldCharType="begin"/>
            </w:r>
            <w:r>
              <w:instrText xml:space="preserve"> HYPERLINK "http://www.creditchina.gov.cn" </w:instrText>
            </w:r>
            <w:r>
              <w:rPr>
                <w:rFonts w:hint="eastAsia"/>
              </w:rPr>
              <w:fldChar w:fldCharType="separate"/>
            </w:r>
            <w:r>
              <w:rPr>
                <w:rFonts w:hint="eastAsia" w:ascii="宋体" w:hAnsi="宋体" w:cs="宋体"/>
              </w:rPr>
              <w:t>http://www.creditchina.gov.cn</w:t>
            </w:r>
            <w:r>
              <w:rPr>
                <w:rFonts w:hint="eastAsia" w:ascii="宋体" w:hAnsi="宋体" w:cs="宋体"/>
              </w:rPr>
              <w:fldChar w:fldCharType="end"/>
            </w:r>
            <w:r>
              <w:rPr>
                <w:rFonts w:hint="eastAsia" w:ascii="宋体" w:hAnsi="宋体" w:cs="宋体"/>
              </w:rPr>
              <w:t>）</w:t>
            </w:r>
          </w:p>
          <w:p>
            <w:pPr>
              <w:snapToGrid w:val="0"/>
              <w:rPr>
                <w:rFonts w:ascii="宋体" w:hAnsi="宋体" w:cs="宋体"/>
              </w:rPr>
            </w:pPr>
            <w:r>
              <w:rPr>
                <w:rFonts w:hint="eastAsia" w:ascii="宋体" w:hAnsi="宋体" w:cs="宋体"/>
              </w:rPr>
              <w:t>中国政府采购网（网址：http://www.ccgp.gov.cn）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cs="宋体"/>
              </w:rPr>
            </w:pPr>
            <w:r>
              <w:rPr>
                <w:rFonts w:hint="eastAsia" w:ascii="宋体" w:hAnsi="宋体" w:cs="宋体"/>
              </w:rPr>
              <w:t>7</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cs="宋体"/>
              </w:rPr>
            </w:pPr>
            <w:r>
              <w:rPr>
                <w:rFonts w:hint="eastAsia" w:ascii="宋体" w:hAnsi="宋体" w:cs="宋体"/>
              </w:rPr>
              <w:t>质疑渠道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rPr>
                <w:rFonts w:ascii="宋体" w:hAnsi="宋体" w:cs="宋体"/>
              </w:rPr>
            </w:pPr>
            <w:r>
              <w:rPr>
                <w:rFonts w:hint="eastAsia" w:ascii="宋体" w:hAnsi="宋体" w:cs="宋体"/>
              </w:rPr>
              <w:t>以书面形式向采购人、采购代理机构递交质疑函。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cs="宋体"/>
              </w:rPr>
            </w:pPr>
            <w:r>
              <w:rPr>
                <w:rFonts w:hint="eastAsia" w:ascii="宋体" w:hAnsi="宋体" w:cs="宋体"/>
              </w:rPr>
              <w:t>8</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cs="宋体"/>
              </w:rPr>
            </w:pPr>
            <w:r>
              <w:rPr>
                <w:rFonts w:hint="eastAsia" w:ascii="宋体" w:hAnsi="宋体" w:cs="宋体"/>
                <w:lang w:val="zh-CN"/>
              </w:rPr>
              <w:t>实质性条款</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rPr>
                <w:rFonts w:ascii="宋体" w:hAnsi="宋体" w:cs="宋体"/>
              </w:rPr>
            </w:pPr>
            <w:r>
              <w:rPr>
                <w:rFonts w:hint="eastAsia" w:ascii="宋体" w:hAnsi="宋体" w:cs="宋体"/>
                <w:lang w:val="zh-CN"/>
              </w:rPr>
              <w:t>带“</w:t>
            </w:r>
            <w:r>
              <w:rPr>
                <w:rFonts w:hint="eastAsia" w:ascii="宋体" w:hAnsi="宋体" w:cs="宋体"/>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cs="宋体"/>
              </w:rPr>
            </w:pPr>
            <w:r>
              <w:rPr>
                <w:rFonts w:hint="eastAsia" w:ascii="宋体" w:hAnsi="宋体" w:cs="宋体"/>
              </w:rPr>
              <w:t>9</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cs="宋体"/>
              </w:rPr>
            </w:pPr>
            <w:r>
              <w:rPr>
                <w:rFonts w:hint="eastAsia" w:ascii="宋体" w:hAnsi="宋体" w:cs="宋体"/>
              </w:rPr>
              <w:t>主要性能参数</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rPr>
                <w:rFonts w:ascii="宋体" w:hAnsi="宋体" w:cs="宋体"/>
              </w:rPr>
            </w:pPr>
            <w:r>
              <w:rPr>
                <w:rFonts w:hint="eastAsia" w:ascii="宋体" w:hAnsi="宋体" w:cs="宋体"/>
              </w:rPr>
              <w:t>带“★”的条款是主要性能参数。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cs="宋体"/>
              </w:rPr>
            </w:pPr>
            <w:r>
              <w:rPr>
                <w:rFonts w:hint="eastAsia" w:ascii="宋体" w:hAnsi="宋体" w:cs="宋体"/>
              </w:rPr>
              <w:t>10</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cs="宋体"/>
              </w:rPr>
            </w:pPr>
            <w:r>
              <w:rPr>
                <w:rFonts w:hint="eastAsia" w:ascii="宋体" w:hAnsi="宋体" w:cs="宋体"/>
              </w:rPr>
              <w:t>书面形式</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rPr>
                <w:rFonts w:ascii="宋体" w:hAnsi="宋体" w:cs="宋体"/>
              </w:rPr>
            </w:pPr>
            <w:r>
              <w:rPr>
                <w:rFonts w:hint="eastAsia" w:ascii="宋体" w:hAnsi="宋体" w:cs="宋体"/>
              </w:rPr>
              <w:t>包括电子邮件、信函、传真。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cs="宋体"/>
              </w:rPr>
            </w:pPr>
            <w:r>
              <w:rPr>
                <w:rFonts w:hint="eastAsia" w:ascii="宋体" w:hAnsi="宋体" w:cs="宋体"/>
              </w:rPr>
              <w:t>11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cs="宋体"/>
              </w:rPr>
            </w:pPr>
            <w:r>
              <w:rPr>
                <w:rFonts w:hint="eastAsia" w:ascii="宋体" w:hAnsi="宋体" w:cs="宋体"/>
              </w:rPr>
              <w:t>解释权</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rPr>
                <w:rFonts w:ascii="宋体" w:hAnsi="宋体" w:cs="宋体"/>
              </w:rPr>
            </w:pPr>
            <w:r>
              <w:rPr>
                <w:rFonts w:hint="eastAsia" w:ascii="宋体" w:hAnsi="宋体" w:cs="宋体"/>
              </w:rPr>
              <w:t>本采购文件解释权属于采购人和采购组织机构。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cs="宋体"/>
              </w:rPr>
            </w:pPr>
            <w:r>
              <w:rPr>
                <w:rFonts w:hint="eastAsia" w:ascii="宋体" w:hAnsi="宋体" w:cs="宋体"/>
              </w:rPr>
              <w:t>12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cs="宋体"/>
              </w:rPr>
            </w:pPr>
            <w:r>
              <w:rPr>
                <w:rFonts w:hint="eastAsia" w:ascii="宋体" w:hAnsi="宋体" w:cs="宋体"/>
              </w:rPr>
              <w:t>投标报价及费用</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rPr>
                <w:rFonts w:ascii="宋体" w:hAnsi="宋体" w:cs="宋体"/>
              </w:rPr>
            </w:pPr>
            <w:r>
              <w:rPr>
                <w:rFonts w:hint="eastAsia" w:ascii="宋体" w:hAnsi="宋体" w:cs="宋体"/>
              </w:rPr>
              <w:t>本项目投标应以</w:t>
            </w:r>
            <w:r>
              <w:rPr>
                <w:rFonts w:hint="eastAsia" w:ascii="宋体" w:hAnsi="宋体" w:cs="宋体"/>
                <w:b/>
                <w:bCs/>
              </w:rPr>
              <w:t>报价系数报价</w:t>
            </w:r>
            <w:r>
              <w:rPr>
                <w:rFonts w:hint="eastAsia" w:ascii="宋体" w:hAnsi="宋体" w:cs="宋体"/>
              </w:rPr>
              <w:t>；</w:t>
            </w:r>
          </w:p>
          <w:p>
            <w:pPr>
              <w:snapToGrid w:val="0"/>
              <w:rPr>
                <w:rFonts w:ascii="宋体" w:hAnsi="宋体" w:cs="宋体"/>
              </w:rPr>
            </w:pPr>
            <w:r>
              <w:rPr>
                <w:rFonts w:hint="eastAsia" w:ascii="宋体" w:hAnsi="宋体" w:cs="宋体"/>
              </w:rPr>
              <w:t>不论投标结果如何，投标人均应自行承担所有与投标有关的全部费用。本项目的招标代理费为</w:t>
            </w:r>
            <w:r>
              <w:rPr>
                <w:rFonts w:hint="eastAsia" w:ascii="宋体" w:hAnsi="宋体" w:cs="宋体"/>
                <w:b/>
                <w:bCs/>
                <w:u w:val="single"/>
              </w:rPr>
              <w:t>4000元</w:t>
            </w:r>
            <w:r>
              <w:rPr>
                <w:rFonts w:hint="eastAsia" w:ascii="宋体" w:hAnsi="宋体" w:cs="宋体"/>
              </w:rPr>
              <w:t>由中标人支付。中标人在领取中标通知书前交纳招标代理费，请各投标单位报价时综合考虑。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cs="宋体"/>
              </w:rPr>
            </w:pPr>
            <w:r>
              <w:rPr>
                <w:rFonts w:hint="eastAsia" w:ascii="宋体" w:hAnsi="宋体" w:cs="宋体"/>
              </w:rPr>
              <w:t>13</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cs="宋体"/>
              </w:rPr>
            </w:pPr>
            <w:r>
              <w:rPr>
                <w:rFonts w:hint="eastAsia" w:ascii="宋体" w:hAnsi="宋体" w:cs="宋体"/>
              </w:rPr>
              <w:t>履约保证金</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rPr>
                <w:rFonts w:ascii="宋体" w:hAnsi="宋体" w:cs="宋体"/>
              </w:rPr>
            </w:pPr>
            <w:r>
              <w:rPr>
                <w:rFonts w:hint="eastAsia" w:ascii="宋体" w:hAnsi="宋体" w:cs="宋体"/>
              </w:rPr>
              <w:t>履约保证金的收取及退还:无。</w:t>
            </w:r>
          </w:p>
        </w:tc>
      </w:tr>
    </w:tbl>
    <w:p>
      <w:pPr>
        <w:pStyle w:val="16"/>
        <w:snapToGrid w:val="0"/>
        <w:spacing w:line="440" w:lineRule="exact"/>
        <w:ind w:firstLine="241" w:firstLineChars="100"/>
        <w:rPr>
          <w:rFonts w:hAnsi="宋体"/>
          <w:b/>
          <w:sz w:val="24"/>
        </w:rPr>
      </w:pPr>
      <w:r>
        <w:rPr>
          <w:rFonts w:hint="eastAsia" w:hAnsi="宋体"/>
          <w:b/>
          <w:sz w:val="24"/>
        </w:rPr>
        <w:t>二、说 明</w:t>
      </w:r>
    </w:p>
    <w:p>
      <w:pPr>
        <w:pStyle w:val="17"/>
        <w:snapToGrid w:val="0"/>
        <w:spacing w:line="440" w:lineRule="exact"/>
        <w:ind w:left="0" w:leftChars="0" w:firstLine="482" w:firstLineChars="200"/>
        <w:rPr>
          <w:rFonts w:ascii="宋体" w:hAnsi="宋体" w:eastAsia="宋体"/>
          <w:b/>
          <w:sz w:val="24"/>
          <w:szCs w:val="24"/>
        </w:rPr>
      </w:pPr>
      <w:r>
        <w:rPr>
          <w:rFonts w:hint="eastAsia" w:ascii="宋体" w:hAnsi="宋体" w:eastAsia="宋体"/>
          <w:b/>
          <w:sz w:val="24"/>
          <w:szCs w:val="24"/>
        </w:rPr>
        <w:t>（一）总则</w:t>
      </w:r>
    </w:p>
    <w:p>
      <w:pPr>
        <w:snapToGrid w:val="0"/>
        <w:spacing w:line="440" w:lineRule="exact"/>
        <w:ind w:firstLine="480" w:firstLineChars="200"/>
        <w:rPr>
          <w:rFonts w:ascii="宋体" w:hAnsi="宋体"/>
          <w:sz w:val="24"/>
        </w:rPr>
      </w:pPr>
      <w:r>
        <w:rPr>
          <w:rFonts w:ascii="宋体" w:hAnsi="宋体"/>
          <w:sz w:val="24"/>
        </w:rPr>
        <w:t>本</w:t>
      </w:r>
      <w:r>
        <w:rPr>
          <w:rFonts w:hint="eastAsia" w:ascii="宋体" w:hAnsi="宋体"/>
          <w:sz w:val="24"/>
        </w:rPr>
        <w:t>采购文件</w:t>
      </w:r>
      <w:r>
        <w:rPr>
          <w:rFonts w:ascii="宋体" w:hAnsi="宋体"/>
          <w:sz w:val="24"/>
        </w:rPr>
        <w:t>依据</w:t>
      </w:r>
      <w:r>
        <w:rPr>
          <w:rFonts w:hint="eastAsia" w:ascii="宋体" w:hAnsi="宋体" w:cs="宋体"/>
          <w:sz w:val="24"/>
          <w:shd w:val="clear" w:color="auto" w:fill="FFFFFF"/>
        </w:rPr>
        <w:t>台州市自然资源和规划局台州湾新区（高新区）分局相关规章及</w:t>
      </w:r>
      <w:r>
        <w:rPr>
          <w:rFonts w:hint="eastAsia" w:ascii="宋体" w:hAnsi="宋体"/>
          <w:sz w:val="24"/>
        </w:rPr>
        <w:t>有关</w:t>
      </w:r>
      <w:r>
        <w:rPr>
          <w:rFonts w:ascii="宋体" w:hAnsi="宋体"/>
          <w:sz w:val="24"/>
        </w:rPr>
        <w:t>法律、法规、规章编制。</w:t>
      </w:r>
    </w:p>
    <w:p>
      <w:pPr>
        <w:snapToGrid w:val="0"/>
        <w:spacing w:line="440" w:lineRule="exact"/>
        <w:ind w:firstLine="480" w:firstLineChars="200"/>
        <w:rPr>
          <w:rFonts w:ascii="宋体" w:hAnsi="宋体"/>
          <w:sz w:val="24"/>
        </w:rPr>
      </w:pPr>
      <w:r>
        <w:rPr>
          <w:rFonts w:ascii="宋体" w:hAnsi="宋体"/>
          <w:sz w:val="24"/>
        </w:rPr>
        <w:t>投标</w:t>
      </w:r>
      <w:r>
        <w:rPr>
          <w:rFonts w:hint="eastAsia" w:ascii="宋体" w:hAnsi="宋体"/>
          <w:sz w:val="24"/>
        </w:rPr>
        <w:t>人</w:t>
      </w:r>
      <w:r>
        <w:rPr>
          <w:rFonts w:ascii="宋体" w:hAnsi="宋体"/>
          <w:sz w:val="24"/>
        </w:rPr>
        <w:t>应仔细阅读本项目招标公告及</w:t>
      </w:r>
      <w:r>
        <w:rPr>
          <w:rFonts w:hint="eastAsia" w:ascii="宋体" w:hAnsi="宋体"/>
          <w:sz w:val="24"/>
        </w:rPr>
        <w:t>采购文件</w:t>
      </w:r>
      <w:r>
        <w:rPr>
          <w:rFonts w:ascii="宋体" w:hAnsi="宋体"/>
          <w:sz w:val="24"/>
        </w:rPr>
        <w:t>的所有内容（包括变更、补充、澄清以及修改等，且均为</w:t>
      </w:r>
      <w:r>
        <w:rPr>
          <w:rFonts w:hint="eastAsia" w:ascii="宋体" w:hAnsi="宋体"/>
          <w:sz w:val="24"/>
        </w:rPr>
        <w:t>采购文件</w:t>
      </w:r>
      <w:r>
        <w:rPr>
          <w:rFonts w:ascii="宋体" w:hAnsi="宋体"/>
          <w:sz w:val="24"/>
        </w:rPr>
        <w:t>的组成部分），按照</w:t>
      </w:r>
      <w:r>
        <w:rPr>
          <w:rFonts w:hint="eastAsia" w:ascii="宋体" w:hAnsi="宋体"/>
          <w:sz w:val="24"/>
        </w:rPr>
        <w:t>采购文件</w:t>
      </w:r>
      <w:r>
        <w:rPr>
          <w:rFonts w:ascii="宋体" w:hAnsi="宋体"/>
          <w:sz w:val="24"/>
        </w:rPr>
        <w:t>要求以及格式编制投标文件，并保证其真实性，否则</w:t>
      </w:r>
      <w:r>
        <w:rPr>
          <w:rFonts w:hint="eastAsia"/>
          <w:sz w:val="24"/>
        </w:rPr>
        <w:t>由此引起的一切后果应由</w:t>
      </w:r>
      <w:r>
        <w:rPr>
          <w:rFonts w:ascii="宋体" w:hAnsi="宋体"/>
          <w:sz w:val="24"/>
        </w:rPr>
        <w:t>投标</w:t>
      </w:r>
      <w:r>
        <w:rPr>
          <w:rFonts w:hint="eastAsia" w:ascii="宋体" w:hAnsi="宋体"/>
          <w:sz w:val="24"/>
        </w:rPr>
        <w:t>人</w:t>
      </w:r>
      <w:r>
        <w:rPr>
          <w:rFonts w:hint="eastAsia"/>
          <w:sz w:val="24"/>
        </w:rPr>
        <w:t>承担。</w:t>
      </w:r>
    </w:p>
    <w:p>
      <w:pPr>
        <w:snapToGrid w:val="0"/>
        <w:spacing w:line="440" w:lineRule="exact"/>
        <w:ind w:firstLine="482" w:firstLineChars="200"/>
        <w:rPr>
          <w:rFonts w:ascii="宋体" w:hAnsi="宋体"/>
          <w:b/>
          <w:sz w:val="24"/>
        </w:rPr>
      </w:pPr>
      <w:r>
        <w:rPr>
          <w:rFonts w:hint="eastAsia" w:ascii="宋体" w:hAnsi="宋体"/>
          <w:b/>
          <w:sz w:val="24"/>
        </w:rPr>
        <w:t>（二）</w:t>
      </w:r>
      <w:r>
        <w:rPr>
          <w:rFonts w:ascii="宋体" w:hAnsi="宋体"/>
          <w:b/>
          <w:sz w:val="24"/>
        </w:rPr>
        <w:t>适用范围</w:t>
      </w:r>
    </w:p>
    <w:p>
      <w:pPr>
        <w:snapToGrid w:val="0"/>
        <w:spacing w:line="440" w:lineRule="exact"/>
        <w:ind w:firstLine="480" w:firstLineChars="200"/>
        <w:rPr>
          <w:rFonts w:ascii="宋体" w:hAnsi="宋体"/>
          <w:sz w:val="24"/>
        </w:rPr>
      </w:pPr>
      <w:r>
        <w:rPr>
          <w:rFonts w:hint="eastAsia" w:ascii="宋体" w:hAnsi="宋体"/>
          <w:sz w:val="24"/>
        </w:rPr>
        <w:t>本采购文件适用于</w:t>
      </w:r>
      <w:r>
        <w:rPr>
          <w:rFonts w:hint="eastAsia" w:ascii="宋体" w:hAnsi="宋体"/>
          <w:bCs/>
          <w:sz w:val="24"/>
        </w:rPr>
        <w:t>本次</w:t>
      </w:r>
      <w:r>
        <w:rPr>
          <w:rFonts w:hint="eastAsia" w:ascii="宋体" w:hAnsi="宋体"/>
          <w:sz w:val="24"/>
        </w:rPr>
        <w:t>项目的招标、投标、评标、定标、验收、合同履约、付款等行为（法律、法规另有规定的，从其规定）。</w:t>
      </w:r>
    </w:p>
    <w:p>
      <w:pPr>
        <w:pStyle w:val="11"/>
        <w:snapToGrid w:val="0"/>
        <w:spacing w:line="440" w:lineRule="exact"/>
        <w:ind w:firstLine="480" w:firstLineChars="200"/>
      </w:pPr>
      <w:r>
        <w:t>本</w:t>
      </w:r>
      <w:r>
        <w:rPr>
          <w:rFonts w:hint="eastAsia"/>
        </w:rPr>
        <w:t>采购文件</w:t>
      </w:r>
      <w:r>
        <w:t>仅适用于本次招标公告中所涉及的项目和内容。</w:t>
      </w:r>
    </w:p>
    <w:p>
      <w:pPr>
        <w:snapToGrid w:val="0"/>
        <w:spacing w:before="156" w:beforeLines="50" w:line="440" w:lineRule="exact"/>
        <w:ind w:firstLine="482" w:firstLineChars="200"/>
        <w:rPr>
          <w:rFonts w:ascii="宋体" w:hAnsi="宋体"/>
          <w:b/>
          <w:sz w:val="24"/>
        </w:rPr>
      </w:pPr>
      <w:r>
        <w:rPr>
          <w:rFonts w:hint="eastAsia" w:ascii="宋体" w:hAnsi="宋体"/>
          <w:b/>
          <w:sz w:val="24"/>
        </w:rPr>
        <w:t>（三）当事人</w:t>
      </w:r>
    </w:p>
    <w:p>
      <w:pPr>
        <w:pStyle w:val="5"/>
        <w:keepNext w:val="0"/>
        <w:keepLines w:val="0"/>
        <w:tabs>
          <w:tab w:val="left" w:pos="0"/>
          <w:tab w:val="left" w:pos="851"/>
        </w:tabs>
        <w:snapToGrid w:val="0"/>
        <w:spacing w:before="0" w:after="0" w:line="440" w:lineRule="exact"/>
        <w:ind w:firstLine="480" w:firstLineChars="200"/>
        <w:rPr>
          <w:rFonts w:ascii="宋体" w:hAnsi="宋体"/>
          <w:bCs w:val="0"/>
          <w:sz w:val="24"/>
          <w:szCs w:val="24"/>
        </w:rPr>
      </w:pPr>
      <w:r>
        <w:rPr>
          <w:rFonts w:hint="eastAsia" w:ascii="宋体" w:hAnsi="宋体"/>
          <w:sz w:val="24"/>
          <w:szCs w:val="24"/>
        </w:rPr>
        <w:t>1.</w:t>
      </w:r>
      <w:r>
        <w:rPr>
          <w:rFonts w:hint="eastAsia"/>
          <w:bCs w:val="0"/>
          <w:sz w:val="24"/>
          <w:szCs w:val="24"/>
          <w:lang w:val="zh-CN"/>
        </w:rPr>
        <w:t>采购组织机构：</w:t>
      </w:r>
      <w:r>
        <w:rPr>
          <w:rFonts w:hint="eastAsia" w:ascii="宋体" w:hAnsi="宋体"/>
          <w:sz w:val="24"/>
          <w:szCs w:val="24"/>
        </w:rPr>
        <w:t>是</w:t>
      </w:r>
      <w:r>
        <w:rPr>
          <w:rFonts w:hint="eastAsia"/>
          <w:bCs w:val="0"/>
          <w:sz w:val="24"/>
          <w:szCs w:val="24"/>
          <w:lang w:val="zh-CN"/>
        </w:rPr>
        <w:t>指采购人委托组织招标的采购代理机构；</w:t>
      </w:r>
    </w:p>
    <w:p>
      <w:pPr>
        <w:snapToGrid w:val="0"/>
        <w:spacing w:line="440" w:lineRule="exact"/>
        <w:ind w:firstLine="480" w:firstLineChars="200"/>
        <w:rPr>
          <w:rFonts w:ascii="宋体" w:hAnsi="宋体"/>
          <w:sz w:val="24"/>
        </w:rPr>
      </w:pPr>
      <w:r>
        <w:rPr>
          <w:rFonts w:hint="eastAsia" w:ascii="宋体" w:hAnsi="宋体"/>
          <w:sz w:val="24"/>
        </w:rPr>
        <w:t>2.采购人：是指依法进行招标的国家机关、事业单位、团体组织和企业；</w:t>
      </w:r>
    </w:p>
    <w:p>
      <w:pPr>
        <w:snapToGrid w:val="0"/>
        <w:spacing w:line="440" w:lineRule="exact"/>
        <w:ind w:firstLine="480" w:firstLineChars="200"/>
        <w:rPr>
          <w:rFonts w:ascii="宋体" w:hAnsi="宋体"/>
          <w:sz w:val="24"/>
        </w:rPr>
      </w:pPr>
      <w:r>
        <w:rPr>
          <w:rFonts w:hint="eastAsia" w:ascii="宋体" w:hAnsi="宋体"/>
          <w:sz w:val="24"/>
        </w:rPr>
        <w:t>3.</w:t>
      </w:r>
      <w:r>
        <w:rPr>
          <w:rFonts w:ascii="宋体" w:hAnsi="宋体"/>
          <w:sz w:val="24"/>
        </w:rPr>
        <w:t>投标人</w:t>
      </w:r>
      <w:r>
        <w:rPr>
          <w:rFonts w:hint="eastAsia" w:ascii="宋体" w:hAnsi="宋体"/>
          <w:sz w:val="24"/>
        </w:rPr>
        <w:t>：是</w:t>
      </w:r>
      <w:r>
        <w:rPr>
          <w:rFonts w:ascii="宋体" w:hAnsi="宋体"/>
          <w:sz w:val="24"/>
        </w:rPr>
        <w:t>指</w:t>
      </w:r>
      <w:r>
        <w:rPr>
          <w:rFonts w:hint="eastAsia" w:ascii="宋体" w:hAnsi="宋体"/>
          <w:sz w:val="24"/>
        </w:rPr>
        <w:t>响应招标、参加投标竞争的法人、其他组织或者自然人；</w:t>
      </w:r>
    </w:p>
    <w:p>
      <w:pPr>
        <w:snapToGrid w:val="0"/>
        <w:spacing w:line="440" w:lineRule="exact"/>
        <w:ind w:firstLine="480" w:firstLineChars="200"/>
        <w:rPr>
          <w:rFonts w:ascii="宋体" w:hAnsi="宋体"/>
          <w:sz w:val="24"/>
          <w:lang w:val="zh-CN"/>
        </w:rPr>
      </w:pPr>
      <w:r>
        <w:rPr>
          <w:rFonts w:hint="eastAsia" w:ascii="宋体" w:hAnsi="宋体"/>
          <w:sz w:val="24"/>
        </w:rPr>
        <w:t>4.</w:t>
      </w:r>
      <w:r>
        <w:rPr>
          <w:rFonts w:hint="eastAsia" w:ascii="宋体" w:hAnsi="宋体"/>
          <w:sz w:val="24"/>
          <w:lang w:val="zh-CN"/>
        </w:rPr>
        <w:t>中标</w:t>
      </w:r>
      <w:r>
        <w:rPr>
          <w:rFonts w:hint="eastAsia" w:ascii="宋体" w:hAnsi="宋体"/>
          <w:sz w:val="24"/>
        </w:rPr>
        <w:t>人</w:t>
      </w:r>
      <w:r>
        <w:rPr>
          <w:rFonts w:hint="eastAsia" w:ascii="宋体" w:hAnsi="宋体"/>
          <w:sz w:val="24"/>
          <w:lang w:val="zh-CN"/>
        </w:rPr>
        <w:t>：是指经评</w:t>
      </w:r>
      <w:r>
        <w:rPr>
          <w:rFonts w:hint="eastAsia" w:ascii="宋体" w:hAnsi="宋体"/>
          <w:sz w:val="24"/>
        </w:rPr>
        <w:t>标</w:t>
      </w:r>
      <w:r>
        <w:rPr>
          <w:rFonts w:hint="eastAsia" w:ascii="宋体" w:hAnsi="宋体"/>
          <w:sz w:val="24"/>
          <w:lang w:val="zh-CN"/>
        </w:rPr>
        <w:t>委员会评审确定的对采购文件</w:t>
      </w:r>
      <w:r>
        <w:rPr>
          <w:rFonts w:hint="eastAsia" w:ascii="宋体" w:hAnsi="宋体"/>
          <w:sz w:val="24"/>
        </w:rPr>
        <w:t>作</w:t>
      </w:r>
      <w:r>
        <w:rPr>
          <w:rFonts w:hint="eastAsia" w:ascii="宋体" w:hAnsi="宋体"/>
          <w:sz w:val="24"/>
          <w:lang w:val="zh-CN"/>
        </w:rPr>
        <w:t>出实质性响应，经采购人按照规定在评</w:t>
      </w:r>
      <w:r>
        <w:rPr>
          <w:rFonts w:hint="eastAsia" w:ascii="宋体" w:hAnsi="宋体"/>
          <w:sz w:val="24"/>
        </w:rPr>
        <w:t>标</w:t>
      </w:r>
      <w:r>
        <w:rPr>
          <w:rFonts w:hint="eastAsia" w:ascii="宋体" w:hAnsi="宋体"/>
          <w:sz w:val="24"/>
          <w:lang w:val="zh-CN"/>
        </w:rPr>
        <w:t>委员会推荐的中标候选人中确定的或受采购人委托直接确认的，与采购人签订合同资格的投标</w:t>
      </w:r>
      <w:r>
        <w:rPr>
          <w:rFonts w:hint="eastAsia" w:ascii="宋体" w:hAnsi="宋体"/>
          <w:sz w:val="24"/>
        </w:rPr>
        <w:t>人；</w:t>
      </w:r>
    </w:p>
    <w:p>
      <w:pPr>
        <w:snapToGrid w:val="0"/>
        <w:spacing w:line="440" w:lineRule="exact"/>
        <w:ind w:firstLine="480" w:firstLineChars="200"/>
        <w:rPr>
          <w:sz w:val="24"/>
        </w:rPr>
      </w:pPr>
      <w:r>
        <w:rPr>
          <w:rFonts w:hint="eastAsia" w:ascii="宋体" w:hAnsi="宋体"/>
          <w:sz w:val="24"/>
        </w:rPr>
        <w:t>5</w:t>
      </w:r>
      <w:r>
        <w:rPr>
          <w:rFonts w:hint="eastAsia" w:ascii="宋体" w:hAnsi="宋体"/>
          <w:sz w:val="24"/>
          <w:lang w:val="zh-CN"/>
        </w:rPr>
        <w:t>.</w:t>
      </w:r>
      <w:r>
        <w:rPr>
          <w:rFonts w:hint="eastAsia" w:ascii="宋体" w:hAnsi="宋体"/>
          <w:sz w:val="24"/>
        </w:rPr>
        <w:t>联合体：</w:t>
      </w:r>
      <w:r>
        <w:rPr>
          <w:rFonts w:hint="eastAsia"/>
          <w:sz w:val="24"/>
        </w:rPr>
        <w:t>两个或两个以上法人或者其他组织可以组成一个联合体，以一个投标人的身份共同投标。</w:t>
      </w:r>
    </w:p>
    <w:p>
      <w:pPr>
        <w:snapToGrid w:val="0"/>
        <w:spacing w:line="440" w:lineRule="exact"/>
        <w:ind w:firstLine="482" w:firstLineChars="200"/>
        <w:rPr>
          <w:b/>
          <w:bCs/>
          <w:sz w:val="24"/>
        </w:rPr>
      </w:pPr>
      <w:r>
        <w:rPr>
          <w:rFonts w:hint="eastAsia"/>
          <w:b/>
          <w:bCs/>
          <w:sz w:val="24"/>
        </w:rPr>
        <w:t>（四）</w:t>
      </w:r>
      <w:r>
        <w:rPr>
          <w:b/>
          <w:bCs/>
          <w:sz w:val="24"/>
        </w:rPr>
        <w:t>以联合体形式投标的，应符合以下规定</w:t>
      </w:r>
    </w:p>
    <w:p>
      <w:pPr>
        <w:snapToGrid w:val="0"/>
        <w:spacing w:line="440" w:lineRule="exact"/>
        <w:ind w:firstLine="480" w:firstLineChars="200"/>
        <w:rPr>
          <w:rFonts w:ascii="宋体" w:hAnsi="宋体"/>
          <w:sz w:val="24"/>
        </w:rPr>
      </w:pPr>
      <w:r>
        <w:rPr>
          <w:rFonts w:hint="eastAsia" w:ascii="宋体" w:hAnsi="宋体"/>
          <w:sz w:val="24"/>
        </w:rPr>
        <w:t>本项目不接受联合体投标。</w:t>
      </w:r>
    </w:p>
    <w:p>
      <w:pPr>
        <w:snapToGrid w:val="0"/>
        <w:spacing w:line="440" w:lineRule="exact"/>
        <w:ind w:firstLine="482" w:firstLineChars="200"/>
        <w:rPr>
          <w:b/>
          <w:bCs/>
          <w:sz w:val="24"/>
        </w:rPr>
      </w:pPr>
      <w:r>
        <w:rPr>
          <w:rFonts w:hint="eastAsia"/>
          <w:b/>
          <w:bCs/>
          <w:sz w:val="24"/>
        </w:rPr>
        <w:t>（五）</w:t>
      </w:r>
      <w:r>
        <w:rPr>
          <w:b/>
          <w:bCs/>
          <w:sz w:val="24"/>
        </w:rPr>
        <w:t>语言文字以及度量衡单位</w:t>
      </w:r>
    </w:p>
    <w:p>
      <w:pPr>
        <w:snapToGrid w:val="0"/>
        <w:spacing w:line="440" w:lineRule="exact"/>
        <w:ind w:firstLine="480" w:firstLineChars="200"/>
        <w:rPr>
          <w:rFonts w:ascii="宋体" w:hAnsi="宋体"/>
          <w:sz w:val="24"/>
        </w:rPr>
      </w:pPr>
      <w:r>
        <w:rPr>
          <w:rFonts w:hint="eastAsia" w:ascii="宋体" w:hAnsi="宋体"/>
          <w:sz w:val="24"/>
        </w:rPr>
        <w:t>1.投标文件以及投标人与</w:t>
      </w:r>
      <w:r>
        <w:rPr>
          <w:rFonts w:hint="eastAsia" w:ascii="宋体" w:hAnsi="宋体" w:cs="宋体"/>
          <w:kern w:val="0"/>
          <w:sz w:val="24"/>
        </w:rPr>
        <w:t>台州市建设咨询有限公司</w:t>
      </w:r>
      <w:r>
        <w:rPr>
          <w:rFonts w:hint="eastAsia" w:ascii="宋体" w:hAnsi="宋体"/>
          <w:sz w:val="24"/>
        </w:rPr>
        <w:t>就有关投标事宜的所有来往函电，均应以中文汉语书写，除签字、盖章、专用名称等特殊情形外。投标资料提供外文证书或者外国语视听资料的，应当附有中文译本，由翻译机构盖章或者翻译人员签名。</w:t>
      </w:r>
    </w:p>
    <w:p>
      <w:pPr>
        <w:snapToGrid w:val="0"/>
        <w:spacing w:line="440" w:lineRule="exact"/>
        <w:ind w:firstLine="480" w:firstLineChars="200"/>
        <w:rPr>
          <w:rFonts w:ascii="宋体" w:hAnsi="宋体"/>
          <w:sz w:val="24"/>
        </w:rPr>
      </w:pPr>
      <w:r>
        <w:rPr>
          <w:rFonts w:hint="eastAsia" w:ascii="宋体" w:hAnsi="宋体"/>
          <w:sz w:val="24"/>
        </w:rPr>
        <w:t>2.所有计量均采用中国法定的计量单位。</w:t>
      </w:r>
    </w:p>
    <w:p>
      <w:pPr>
        <w:snapToGrid w:val="0"/>
        <w:spacing w:line="440" w:lineRule="exact"/>
        <w:ind w:firstLine="480" w:firstLineChars="200"/>
        <w:rPr>
          <w:sz w:val="24"/>
        </w:rPr>
      </w:pPr>
      <w:r>
        <w:rPr>
          <w:rFonts w:hint="eastAsia" w:ascii="宋体" w:hAnsi="宋体"/>
          <w:sz w:val="24"/>
        </w:rPr>
        <w:t>3.所有</w:t>
      </w:r>
      <w:r>
        <w:rPr>
          <w:sz w:val="24"/>
        </w:rPr>
        <w:t>报价一律使用</w:t>
      </w:r>
      <w:r>
        <w:rPr>
          <w:rFonts w:hint="eastAsia"/>
          <w:sz w:val="24"/>
        </w:rPr>
        <w:t>报价系数</w:t>
      </w:r>
      <w:r>
        <w:rPr>
          <w:sz w:val="24"/>
        </w:rPr>
        <w:t>。</w:t>
      </w:r>
    </w:p>
    <w:p>
      <w:pPr>
        <w:snapToGrid w:val="0"/>
        <w:spacing w:line="440" w:lineRule="exact"/>
        <w:ind w:firstLine="482" w:firstLineChars="200"/>
        <w:rPr>
          <w:b/>
          <w:bCs/>
          <w:sz w:val="24"/>
        </w:rPr>
      </w:pPr>
      <w:r>
        <w:rPr>
          <w:rFonts w:hint="eastAsia"/>
          <w:b/>
          <w:bCs/>
          <w:sz w:val="24"/>
        </w:rPr>
        <w:t>（六）</w:t>
      </w:r>
      <w:r>
        <w:rPr>
          <w:b/>
          <w:bCs/>
          <w:sz w:val="24"/>
        </w:rPr>
        <w:t>现场踏勘</w:t>
      </w:r>
    </w:p>
    <w:p>
      <w:pPr>
        <w:snapToGrid w:val="0"/>
        <w:spacing w:line="440" w:lineRule="exact"/>
        <w:ind w:firstLine="480" w:firstLineChars="200"/>
        <w:rPr>
          <w:rFonts w:ascii="宋体" w:hAnsi="宋体"/>
          <w:sz w:val="24"/>
        </w:rPr>
      </w:pPr>
      <w:r>
        <w:rPr>
          <w:rFonts w:hint="eastAsia" w:ascii="宋体" w:hAnsi="宋体"/>
          <w:sz w:val="24"/>
        </w:rPr>
        <w:t>1.本项目不组织现场踏勘。</w:t>
      </w:r>
    </w:p>
    <w:p>
      <w:pPr>
        <w:snapToGrid w:val="0"/>
        <w:spacing w:line="440" w:lineRule="exact"/>
        <w:ind w:firstLine="480" w:firstLineChars="200"/>
        <w:rPr>
          <w:rFonts w:ascii="宋体" w:hAnsi="宋体"/>
          <w:sz w:val="24"/>
        </w:rPr>
      </w:pPr>
      <w:r>
        <w:rPr>
          <w:rFonts w:hint="eastAsia" w:ascii="宋体" w:hAnsi="宋体"/>
          <w:sz w:val="24"/>
        </w:rPr>
        <w:t>2.投标人自行承担踏勘现场发生的责任、风险和自身费用。</w:t>
      </w:r>
    </w:p>
    <w:p>
      <w:pPr>
        <w:snapToGrid w:val="0"/>
        <w:spacing w:line="440" w:lineRule="exact"/>
        <w:ind w:firstLine="480" w:firstLineChars="200"/>
        <w:rPr>
          <w:sz w:val="24"/>
        </w:rPr>
      </w:pPr>
      <w:r>
        <w:rPr>
          <w:rFonts w:hint="eastAsia" w:ascii="宋体" w:hAnsi="宋体"/>
          <w:sz w:val="24"/>
        </w:rPr>
        <w:t>3.采购人</w:t>
      </w:r>
      <w:r>
        <w:rPr>
          <w:sz w:val="24"/>
        </w:rPr>
        <w:t>在踏勘现场中介绍的资料和数据等，不构成对</w:t>
      </w:r>
      <w:r>
        <w:rPr>
          <w:rFonts w:hint="eastAsia"/>
          <w:sz w:val="24"/>
        </w:rPr>
        <w:t>采购文件</w:t>
      </w:r>
      <w:r>
        <w:rPr>
          <w:sz w:val="24"/>
        </w:rPr>
        <w:t>的修改或不作为投标人编制投标文件的依据。</w:t>
      </w:r>
    </w:p>
    <w:p>
      <w:pPr>
        <w:pStyle w:val="16"/>
        <w:snapToGrid w:val="0"/>
        <w:spacing w:line="440" w:lineRule="exact"/>
        <w:ind w:left="2" w:leftChars="1" w:firstLine="482" w:firstLineChars="200"/>
        <w:rPr>
          <w:rFonts w:hAnsi="宋体"/>
          <w:b/>
          <w:sz w:val="24"/>
        </w:rPr>
      </w:pPr>
      <w:r>
        <w:rPr>
          <w:rFonts w:hint="eastAsia" w:hAnsi="宋体"/>
          <w:b/>
          <w:sz w:val="24"/>
        </w:rPr>
        <w:t>（七）特别说明</w:t>
      </w:r>
    </w:p>
    <w:p>
      <w:pPr>
        <w:pStyle w:val="16"/>
        <w:snapToGrid w:val="0"/>
        <w:spacing w:line="440" w:lineRule="exact"/>
        <w:ind w:left="2" w:leftChars="1" w:firstLine="480" w:firstLineChars="200"/>
        <w:rPr>
          <w:rFonts w:hAnsi="宋体"/>
          <w:sz w:val="24"/>
        </w:rPr>
      </w:pPr>
      <w:r>
        <w:rPr>
          <w:rFonts w:hint="eastAsia" w:hAnsi="宋体"/>
          <w:sz w:val="24"/>
        </w:rPr>
        <w:t>1.</w:t>
      </w:r>
      <w:r>
        <w:rPr>
          <w:rFonts w:hAnsi="宋体"/>
          <w:sz w:val="24"/>
        </w:rPr>
        <w:t>投标人投标所使用的资格、信誉、荣誉、业绩与企业认证必须为本</w:t>
      </w:r>
      <w:r>
        <w:rPr>
          <w:rFonts w:hint="eastAsia" w:hAnsi="宋体"/>
          <w:sz w:val="24"/>
        </w:rPr>
        <w:t>投标投标人</w:t>
      </w:r>
      <w:r>
        <w:rPr>
          <w:rFonts w:hAnsi="宋体"/>
          <w:sz w:val="24"/>
        </w:rPr>
        <w:t>所拥有</w:t>
      </w:r>
      <w:r>
        <w:rPr>
          <w:rFonts w:hint="eastAsia" w:hAnsi="宋体"/>
          <w:sz w:val="24"/>
        </w:rPr>
        <w:t>且所提供的资料都是真实有效的</w:t>
      </w:r>
      <w:r>
        <w:rPr>
          <w:rFonts w:hAnsi="宋体"/>
          <w:sz w:val="24"/>
        </w:rPr>
        <w:t>。投标人投标所使用的采购项目实施人员必须为本</w:t>
      </w:r>
      <w:r>
        <w:rPr>
          <w:rFonts w:hint="eastAsia" w:hAnsi="宋体"/>
          <w:sz w:val="24"/>
        </w:rPr>
        <w:t>投标人</w:t>
      </w:r>
      <w:r>
        <w:rPr>
          <w:rFonts w:hAnsi="宋体"/>
          <w:sz w:val="24"/>
        </w:rPr>
        <w:t>员工。</w:t>
      </w:r>
    </w:p>
    <w:p>
      <w:pPr>
        <w:pStyle w:val="41"/>
        <w:snapToGrid w:val="0"/>
        <w:spacing w:line="440" w:lineRule="exact"/>
        <w:ind w:firstLine="480"/>
        <w:rPr>
          <w:rFonts w:ascii="宋体" w:hAnsi="宋体" w:cs="宋体"/>
          <w:sz w:val="24"/>
          <w:szCs w:val="24"/>
        </w:rPr>
      </w:pPr>
      <w:r>
        <w:rPr>
          <w:rFonts w:hint="eastAsia" w:ascii="宋体" w:hAnsi="宋体" w:cs="宋体"/>
          <w:sz w:val="24"/>
          <w:szCs w:val="24"/>
        </w:rPr>
        <w:t>2.本采购文件中关于电子招投标的内容、流程，如与台州湾新区小额工程电子交易平台系统中最新的内容、操作不一致的，以台州湾新区小额工程电子交易平台系统中的要求为准。</w:t>
      </w:r>
    </w:p>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440" w:lineRule="exact"/>
        <w:ind w:firstLine="482" w:firstLineChars="200"/>
        <w:rPr>
          <w:rFonts w:ascii="宋体" w:hAnsi="宋体"/>
          <w:b/>
          <w:kern w:val="0"/>
          <w:sz w:val="24"/>
        </w:rPr>
      </w:pPr>
      <w:r>
        <w:rPr>
          <w:rFonts w:hint="eastAsia" w:ascii="宋体" w:hAnsi="宋体"/>
          <w:b/>
          <w:kern w:val="0"/>
          <w:sz w:val="24"/>
        </w:rPr>
        <w:t>三、采购文件</w:t>
      </w:r>
    </w:p>
    <w:p>
      <w:pPr>
        <w:pStyle w:val="41"/>
        <w:snapToGrid w:val="0"/>
        <w:spacing w:line="440" w:lineRule="exact"/>
        <w:ind w:firstLine="480"/>
        <w:rPr>
          <w:rFonts w:ascii="宋体" w:hAnsi="宋体" w:cs="宋体"/>
          <w:sz w:val="24"/>
          <w:szCs w:val="24"/>
        </w:rPr>
      </w:pPr>
      <w:r>
        <w:rPr>
          <w:rFonts w:hint="eastAsia" w:ascii="宋体" w:hAnsi="宋体" w:cs="宋体"/>
          <w:sz w:val="24"/>
          <w:szCs w:val="24"/>
        </w:rPr>
        <w:t>（一）采购文件由采购文件目录所列内容组成。</w:t>
      </w:r>
    </w:p>
    <w:p>
      <w:pPr>
        <w:pStyle w:val="41"/>
        <w:snapToGrid w:val="0"/>
        <w:spacing w:line="440" w:lineRule="exact"/>
        <w:ind w:firstLine="480"/>
        <w:rPr>
          <w:rFonts w:ascii="宋体" w:hAnsi="宋体" w:cs="宋体"/>
          <w:sz w:val="24"/>
          <w:szCs w:val="24"/>
        </w:rPr>
      </w:pPr>
      <w:r>
        <w:rPr>
          <w:rFonts w:hint="eastAsia" w:ascii="宋体" w:hAnsi="宋体" w:cs="宋体"/>
          <w:sz w:val="24"/>
          <w:szCs w:val="24"/>
        </w:rPr>
        <w:t>（二）投标人在规定的时间内未对采购文件提出疑问、质疑或要求澄清的，将视其为无异议。</w:t>
      </w:r>
    </w:p>
    <w:p>
      <w:pPr>
        <w:pStyle w:val="41"/>
        <w:snapToGrid w:val="0"/>
        <w:spacing w:line="440" w:lineRule="exact"/>
        <w:ind w:firstLine="480"/>
        <w:rPr>
          <w:rFonts w:ascii="宋体" w:hAnsi="宋体" w:cs="宋体"/>
          <w:sz w:val="24"/>
          <w:szCs w:val="24"/>
        </w:rPr>
      </w:pPr>
      <w:r>
        <w:rPr>
          <w:rFonts w:hint="eastAsia" w:ascii="宋体" w:hAnsi="宋体" w:cs="宋体"/>
          <w:sz w:val="24"/>
          <w:szCs w:val="24"/>
        </w:rPr>
        <w:t>（三）对采购文件中描述有歧义或前后不一致的地方，评标委员会有权进行评判，但对同一条款的评判应适用于每个投标人。</w:t>
      </w:r>
    </w:p>
    <w:p>
      <w:pPr>
        <w:pStyle w:val="41"/>
        <w:snapToGrid w:val="0"/>
        <w:spacing w:line="440" w:lineRule="exact"/>
        <w:ind w:firstLine="480"/>
        <w:rPr>
          <w:rFonts w:ascii="宋体" w:hAnsi="宋体" w:cs="宋体"/>
          <w:sz w:val="24"/>
          <w:szCs w:val="24"/>
        </w:rPr>
      </w:pPr>
      <w:r>
        <w:rPr>
          <w:rFonts w:hint="eastAsia" w:ascii="宋体" w:hAnsi="宋体" w:cs="宋体"/>
          <w:sz w:val="24"/>
          <w:szCs w:val="24"/>
        </w:rPr>
        <w:t>（四）采购组织机构对采购文件进行必要的澄清更正的，澄清或者修改的内容可能影响投标文件编制的，于投标截止时间的15日前在浙江省政府采购网及</w:t>
      </w:r>
      <w:r>
        <w:rPr>
          <w:rFonts w:cs="宋体"/>
          <w:sz w:val="24"/>
          <w:szCs w:val="24"/>
        </w:rPr>
        <w:t>台州湾新区小额工程电子交易平台</w:t>
      </w:r>
      <w:r>
        <w:rPr>
          <w:rFonts w:hint="eastAsia" w:ascii="宋体" w:hAnsi="宋体" w:cs="宋体"/>
          <w:sz w:val="24"/>
          <w:szCs w:val="24"/>
        </w:rPr>
        <w:t>上以更正公告的形式通知各潜在的投标人；不足15日的，采购组织机构应当顺延提交投标文件的截止时间。</w:t>
      </w:r>
    </w:p>
    <w:p>
      <w:pPr>
        <w:tabs>
          <w:tab w:val="left" w:pos="1418"/>
        </w:tabs>
        <w:autoSpaceDE w:val="0"/>
        <w:autoSpaceDN w:val="0"/>
        <w:adjustRightInd w:val="0"/>
        <w:snapToGrid w:val="0"/>
        <w:spacing w:line="440" w:lineRule="exact"/>
        <w:ind w:firstLine="482" w:firstLineChars="200"/>
        <w:rPr>
          <w:rFonts w:ascii="宋体" w:hAnsi="宋体"/>
          <w:b/>
          <w:kern w:val="0"/>
          <w:sz w:val="24"/>
        </w:rPr>
      </w:pPr>
      <w:r>
        <w:rPr>
          <w:rFonts w:hint="eastAsia" w:ascii="宋体" w:hAnsi="宋体"/>
          <w:b/>
          <w:kern w:val="0"/>
          <w:sz w:val="24"/>
        </w:rPr>
        <w:t>四、投标文件</w:t>
      </w:r>
    </w:p>
    <w:p>
      <w:pPr>
        <w:pStyle w:val="6"/>
        <w:snapToGrid w:val="0"/>
        <w:spacing w:line="440" w:lineRule="exact"/>
        <w:ind w:firstLine="482" w:firstLineChars="200"/>
        <w:rPr>
          <w:rFonts w:ascii="宋体" w:hAnsi="宋体"/>
          <w:b/>
          <w:kern w:val="0"/>
          <w:sz w:val="24"/>
          <w:szCs w:val="24"/>
        </w:rPr>
      </w:pPr>
      <w:r>
        <w:rPr>
          <w:rFonts w:hint="eastAsia" w:ascii="宋体" w:hAnsi="宋体"/>
          <w:b/>
          <w:kern w:val="0"/>
          <w:sz w:val="24"/>
          <w:szCs w:val="24"/>
        </w:rPr>
        <w:t>（一）投标文件的编制</w:t>
      </w:r>
    </w:p>
    <w:p>
      <w:pPr>
        <w:pStyle w:val="6"/>
        <w:snapToGrid w:val="0"/>
        <w:spacing w:line="440" w:lineRule="exact"/>
        <w:ind w:firstLine="480" w:firstLineChars="200"/>
        <w:rPr>
          <w:rFonts w:ascii="宋体" w:hAnsi="宋体"/>
          <w:bCs/>
          <w:kern w:val="0"/>
          <w:sz w:val="24"/>
          <w:szCs w:val="24"/>
        </w:rPr>
      </w:pPr>
      <w:r>
        <w:rPr>
          <w:rFonts w:hint="eastAsia" w:ascii="宋体" w:hAnsi="宋体"/>
          <w:kern w:val="0"/>
          <w:sz w:val="24"/>
          <w:szCs w:val="24"/>
        </w:rPr>
        <w:t>投标人获取采购文件后，按照采购组织机构的要求提供：资信技术标和商务标</w:t>
      </w:r>
      <w:r>
        <w:rPr>
          <w:rFonts w:hint="eastAsia" w:ascii="宋体" w:hAnsi="宋体"/>
          <w:kern w:val="0"/>
          <w:sz w:val="24"/>
          <w:szCs w:val="24"/>
          <w:lang w:val="zh-CN"/>
        </w:rPr>
        <w:t>。【特别提示：如在投标时有要求提供资料原件的，将原件扫描放入投标文件】若参与多标项投标的，则按每个标项分别独立编制投标文件。</w:t>
      </w:r>
    </w:p>
    <w:p>
      <w:pPr>
        <w:snapToGrid w:val="0"/>
        <w:spacing w:line="440" w:lineRule="exact"/>
        <w:ind w:firstLine="482" w:firstLineChars="200"/>
        <w:rPr>
          <w:rFonts w:ascii="宋体" w:hAnsi="宋体"/>
          <w:kern w:val="0"/>
          <w:sz w:val="24"/>
        </w:rPr>
      </w:pPr>
      <w:r>
        <w:rPr>
          <w:rFonts w:hint="eastAsia" w:ascii="宋体" w:hAnsi="宋体" w:cs="宋体"/>
          <w:b/>
          <w:sz w:val="24"/>
        </w:rPr>
        <w:t>▲</w:t>
      </w:r>
      <w:r>
        <w:rPr>
          <w:rFonts w:hint="eastAsia" w:ascii="宋体" w:hAnsi="宋体"/>
          <w:b/>
          <w:sz w:val="24"/>
        </w:rPr>
        <w:t>1、资信技术标组成</w:t>
      </w:r>
    </w:p>
    <w:tbl>
      <w:tblPr>
        <w:tblStyle w:val="28"/>
        <w:tblW w:w="85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5844"/>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30" w:type="dxa"/>
            <w:vAlign w:val="center"/>
          </w:tcPr>
          <w:p>
            <w:pPr>
              <w:snapToGrid w:val="0"/>
              <w:jc w:val="center"/>
              <w:rPr>
                <w:rFonts w:ascii="宋体" w:hAnsi="宋体" w:cs="宋体"/>
                <w:b/>
                <w:bCs/>
                <w:sz w:val="24"/>
                <w:lang w:val="zh-CN"/>
              </w:rPr>
            </w:pPr>
            <w:r>
              <w:rPr>
                <w:rFonts w:hint="eastAsia" w:ascii="宋体" w:hAnsi="宋体" w:cs="宋体"/>
                <w:b/>
                <w:bCs/>
                <w:sz w:val="24"/>
                <w:lang w:val="zh-CN"/>
              </w:rPr>
              <w:t>(1)</w:t>
            </w:r>
          </w:p>
        </w:tc>
        <w:tc>
          <w:tcPr>
            <w:tcW w:w="5844" w:type="dxa"/>
            <w:vAlign w:val="center"/>
          </w:tcPr>
          <w:p>
            <w:pPr>
              <w:snapToGrid w:val="0"/>
              <w:jc w:val="left"/>
              <w:rPr>
                <w:rFonts w:ascii="宋体" w:hAnsi="宋体" w:cs="宋体"/>
                <w:b/>
                <w:bCs/>
                <w:sz w:val="24"/>
                <w:lang w:val="zh-CN"/>
              </w:rPr>
            </w:pPr>
            <w:r>
              <w:rPr>
                <w:rFonts w:hint="eastAsia" w:ascii="宋体" w:hAnsi="宋体" w:cs="宋体"/>
                <w:b/>
                <w:bCs/>
                <w:sz w:val="24"/>
                <w:lang w:val="zh-CN"/>
              </w:rPr>
              <w:t>投标声明书</w:t>
            </w:r>
            <w:r>
              <w:rPr>
                <w:rFonts w:hint="eastAsia" w:ascii="宋体" w:hAnsi="宋体" w:cs="宋体"/>
                <w:b/>
                <w:bCs/>
                <w:sz w:val="24"/>
              </w:rPr>
              <w:t>；</w:t>
            </w:r>
          </w:p>
        </w:tc>
        <w:tc>
          <w:tcPr>
            <w:tcW w:w="1770" w:type="dxa"/>
            <w:vAlign w:val="center"/>
          </w:tcPr>
          <w:p>
            <w:pPr>
              <w:snapToGrid w:val="0"/>
              <w:jc w:val="center"/>
              <w:rPr>
                <w:rFonts w:ascii="宋体" w:hAnsi="宋体" w:cs="宋体"/>
                <w:b/>
                <w:bCs/>
                <w:sz w:val="24"/>
                <w:lang w:val="zh-CN"/>
              </w:rPr>
            </w:pPr>
            <w:r>
              <w:rPr>
                <w:rFonts w:hint="eastAsia" w:ascii="宋体" w:hAnsi="宋体" w:cs="宋体"/>
                <w:b/>
                <w:bCs/>
                <w:sz w:val="24"/>
              </w:rPr>
              <w:t>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30" w:type="dxa"/>
            <w:vAlign w:val="center"/>
          </w:tcPr>
          <w:p>
            <w:pPr>
              <w:snapToGrid w:val="0"/>
              <w:jc w:val="center"/>
              <w:rPr>
                <w:rFonts w:ascii="宋体" w:hAnsi="宋体" w:cs="宋体"/>
                <w:b/>
                <w:bCs/>
                <w:sz w:val="24"/>
                <w:lang w:val="zh-CN"/>
              </w:rPr>
            </w:pPr>
            <w:r>
              <w:rPr>
                <w:rFonts w:hint="eastAsia" w:ascii="宋体" w:hAnsi="宋体" w:cs="宋体"/>
                <w:b/>
                <w:bCs/>
                <w:sz w:val="24"/>
                <w:lang w:val="zh-CN"/>
              </w:rPr>
              <w:t>(</w:t>
            </w:r>
            <w:r>
              <w:rPr>
                <w:rFonts w:hint="eastAsia" w:ascii="宋体" w:hAnsi="宋体" w:cs="宋体"/>
                <w:b/>
                <w:bCs/>
                <w:sz w:val="24"/>
              </w:rPr>
              <w:t>2</w:t>
            </w:r>
            <w:r>
              <w:rPr>
                <w:rFonts w:hint="eastAsia" w:ascii="宋体" w:hAnsi="宋体" w:cs="宋体"/>
                <w:b/>
                <w:bCs/>
                <w:sz w:val="24"/>
                <w:lang w:val="zh-CN"/>
              </w:rPr>
              <w:t>)</w:t>
            </w:r>
          </w:p>
        </w:tc>
        <w:tc>
          <w:tcPr>
            <w:tcW w:w="5844" w:type="dxa"/>
            <w:vAlign w:val="center"/>
          </w:tcPr>
          <w:p>
            <w:pPr>
              <w:snapToGrid w:val="0"/>
              <w:jc w:val="left"/>
              <w:rPr>
                <w:rFonts w:ascii="宋体" w:hAnsi="宋体" w:cs="宋体"/>
                <w:b/>
                <w:bCs/>
                <w:sz w:val="24"/>
                <w:lang w:val="zh-CN"/>
              </w:rPr>
            </w:pPr>
            <w:r>
              <w:rPr>
                <w:rFonts w:hint="eastAsia" w:ascii="宋体" w:hAnsi="宋体" w:cs="宋体"/>
                <w:b/>
                <w:bCs/>
                <w:sz w:val="24"/>
              </w:rPr>
              <w:t>法定代表人身份证明或</w:t>
            </w:r>
            <w:r>
              <w:rPr>
                <w:rFonts w:hint="eastAsia" w:ascii="宋体" w:hAnsi="宋体" w:cs="宋体"/>
                <w:b/>
                <w:bCs/>
                <w:sz w:val="24"/>
                <w:lang w:val="zh-CN"/>
              </w:rPr>
              <w:t>授权委托书</w:t>
            </w:r>
            <w:r>
              <w:rPr>
                <w:rFonts w:hint="eastAsia" w:ascii="宋体" w:hAnsi="宋体" w:cs="宋体"/>
                <w:b/>
                <w:bCs/>
                <w:sz w:val="24"/>
              </w:rPr>
              <w:t>；</w:t>
            </w:r>
          </w:p>
        </w:tc>
        <w:tc>
          <w:tcPr>
            <w:tcW w:w="1770" w:type="dxa"/>
            <w:vAlign w:val="center"/>
          </w:tcPr>
          <w:p>
            <w:pPr>
              <w:snapToGrid w:val="0"/>
              <w:jc w:val="center"/>
              <w:rPr>
                <w:rFonts w:ascii="宋体" w:hAnsi="宋体" w:cs="宋体"/>
                <w:b/>
                <w:bCs/>
                <w:sz w:val="24"/>
                <w:lang w:val="zh-CN"/>
              </w:rPr>
            </w:pPr>
            <w:r>
              <w:rPr>
                <w:rFonts w:hint="eastAsia" w:ascii="宋体" w:hAnsi="宋体" w:cs="宋体"/>
                <w:b/>
                <w:bCs/>
                <w:sz w:val="24"/>
              </w:rPr>
              <w:t>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30" w:type="dxa"/>
            <w:vAlign w:val="center"/>
          </w:tcPr>
          <w:p>
            <w:pPr>
              <w:snapToGrid w:val="0"/>
              <w:jc w:val="center"/>
              <w:rPr>
                <w:rFonts w:ascii="宋体" w:hAnsi="宋体" w:cs="宋体"/>
                <w:b/>
                <w:bCs/>
                <w:sz w:val="24"/>
                <w:lang w:val="zh-CN"/>
              </w:rPr>
            </w:pPr>
            <w:r>
              <w:rPr>
                <w:rFonts w:hint="eastAsia" w:ascii="宋体" w:hAnsi="宋体" w:cs="宋体"/>
                <w:b/>
                <w:bCs/>
                <w:sz w:val="24"/>
                <w:lang w:val="zh-CN"/>
              </w:rPr>
              <w:t>(</w:t>
            </w:r>
            <w:r>
              <w:rPr>
                <w:rFonts w:hint="eastAsia" w:ascii="宋体" w:hAnsi="宋体" w:cs="宋体"/>
                <w:b/>
                <w:bCs/>
                <w:sz w:val="24"/>
              </w:rPr>
              <w:t>3</w:t>
            </w:r>
            <w:r>
              <w:rPr>
                <w:rFonts w:hint="eastAsia" w:ascii="宋体" w:hAnsi="宋体" w:cs="宋体"/>
                <w:b/>
                <w:bCs/>
                <w:sz w:val="24"/>
                <w:lang w:val="zh-CN"/>
              </w:rPr>
              <w:t>)</w:t>
            </w:r>
          </w:p>
        </w:tc>
        <w:tc>
          <w:tcPr>
            <w:tcW w:w="5844" w:type="dxa"/>
            <w:vAlign w:val="center"/>
          </w:tcPr>
          <w:p>
            <w:pPr>
              <w:snapToGrid w:val="0"/>
              <w:jc w:val="left"/>
              <w:rPr>
                <w:rFonts w:ascii="宋体" w:hAnsi="宋体" w:cs="宋体"/>
                <w:b/>
                <w:bCs/>
                <w:sz w:val="24"/>
                <w:lang w:val="zh-CN"/>
              </w:rPr>
            </w:pPr>
            <w:r>
              <w:rPr>
                <w:rFonts w:hint="eastAsia" w:ascii="宋体" w:hAnsi="宋体" w:cs="宋体"/>
                <w:b/>
                <w:bCs/>
                <w:sz w:val="24"/>
              </w:rPr>
              <w:t>法人或者其他组织的营业执照等证明文件或自然人的身份证明；</w:t>
            </w:r>
          </w:p>
        </w:tc>
        <w:tc>
          <w:tcPr>
            <w:tcW w:w="1770" w:type="dxa"/>
          </w:tcPr>
          <w:p>
            <w:pPr>
              <w:snapToGrid w:val="0"/>
              <w:jc w:val="center"/>
              <w:rPr>
                <w:rFonts w:ascii="宋体" w:hAnsi="宋体" w:cs="宋体"/>
                <w:b/>
                <w:bCs/>
                <w:sz w:val="24"/>
              </w:rPr>
            </w:pPr>
            <w:r>
              <w:rPr>
                <w:rFonts w:hint="eastAsia" w:ascii="宋体" w:hAnsi="宋体" w:cs="宋体"/>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30" w:type="dxa"/>
            <w:vAlign w:val="center"/>
          </w:tcPr>
          <w:p>
            <w:pPr>
              <w:snapToGrid w:val="0"/>
              <w:jc w:val="center"/>
              <w:rPr>
                <w:rFonts w:ascii="宋体" w:hAnsi="宋体" w:cs="宋体"/>
                <w:b/>
                <w:bCs/>
                <w:sz w:val="24"/>
                <w:lang w:val="zh-CN"/>
              </w:rPr>
            </w:pPr>
            <w:r>
              <w:rPr>
                <w:rFonts w:hint="eastAsia" w:ascii="宋体" w:hAnsi="宋体" w:cs="宋体"/>
                <w:b/>
                <w:bCs/>
                <w:sz w:val="24"/>
                <w:lang w:val="zh-CN"/>
              </w:rPr>
              <w:t>(</w:t>
            </w:r>
            <w:r>
              <w:rPr>
                <w:rFonts w:hint="eastAsia" w:ascii="宋体" w:hAnsi="宋体" w:cs="宋体"/>
                <w:b/>
                <w:bCs/>
                <w:sz w:val="24"/>
              </w:rPr>
              <w:t>4</w:t>
            </w:r>
            <w:r>
              <w:rPr>
                <w:rFonts w:hint="eastAsia" w:ascii="宋体" w:hAnsi="宋体" w:cs="宋体"/>
                <w:b/>
                <w:bCs/>
                <w:sz w:val="24"/>
                <w:lang w:val="zh-CN"/>
              </w:rPr>
              <w:t>)</w:t>
            </w:r>
          </w:p>
        </w:tc>
        <w:tc>
          <w:tcPr>
            <w:tcW w:w="5844" w:type="dxa"/>
            <w:vAlign w:val="center"/>
          </w:tcPr>
          <w:p>
            <w:pPr>
              <w:snapToGrid w:val="0"/>
              <w:jc w:val="left"/>
              <w:rPr>
                <w:rFonts w:ascii="宋体" w:hAnsi="宋体" w:cs="宋体"/>
                <w:b/>
                <w:bCs/>
                <w:sz w:val="24"/>
              </w:rPr>
            </w:pPr>
            <w:r>
              <w:rPr>
                <w:rFonts w:hint="eastAsia" w:ascii="宋体" w:hAnsi="宋体" w:cs="宋体"/>
                <w:b/>
                <w:bCs/>
                <w:sz w:val="24"/>
                <w:lang w:val="zh-CN"/>
              </w:rPr>
              <w:t>具有依法缴纳税收和社会保障资金证明的承诺函</w:t>
            </w:r>
            <w:r>
              <w:rPr>
                <w:rFonts w:hint="eastAsia" w:ascii="宋体" w:hAnsi="宋体" w:cs="宋体"/>
                <w:b/>
                <w:bCs/>
                <w:sz w:val="24"/>
              </w:rPr>
              <w:t>；</w:t>
            </w:r>
          </w:p>
        </w:tc>
        <w:tc>
          <w:tcPr>
            <w:tcW w:w="1770" w:type="dxa"/>
            <w:vAlign w:val="center"/>
          </w:tcPr>
          <w:p>
            <w:pPr>
              <w:snapToGrid w:val="0"/>
              <w:jc w:val="center"/>
              <w:rPr>
                <w:rFonts w:ascii="宋体" w:hAnsi="宋体" w:cs="宋体"/>
                <w:b/>
                <w:bCs/>
                <w:sz w:val="24"/>
                <w:lang w:val="zh-CN"/>
              </w:rPr>
            </w:pPr>
            <w:r>
              <w:rPr>
                <w:rFonts w:hint="eastAsia" w:ascii="宋体" w:hAnsi="宋体" w:cs="宋体"/>
                <w:b/>
                <w:bCs/>
                <w:sz w:val="24"/>
              </w:rPr>
              <w:t>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30" w:type="dxa"/>
            <w:vAlign w:val="center"/>
          </w:tcPr>
          <w:p>
            <w:pPr>
              <w:snapToGrid w:val="0"/>
              <w:jc w:val="center"/>
              <w:rPr>
                <w:rFonts w:ascii="宋体" w:hAnsi="宋体" w:cs="宋体"/>
                <w:b/>
                <w:bCs/>
                <w:sz w:val="24"/>
                <w:lang w:val="zh-CN"/>
              </w:rPr>
            </w:pPr>
            <w:r>
              <w:rPr>
                <w:rFonts w:hint="eastAsia" w:ascii="宋体" w:hAnsi="宋体" w:cs="宋体"/>
                <w:b/>
                <w:bCs/>
                <w:sz w:val="24"/>
                <w:lang w:val="zh-CN"/>
              </w:rPr>
              <w:t>(5)</w:t>
            </w:r>
          </w:p>
        </w:tc>
        <w:tc>
          <w:tcPr>
            <w:tcW w:w="5844" w:type="dxa"/>
            <w:vAlign w:val="center"/>
          </w:tcPr>
          <w:p>
            <w:pPr>
              <w:snapToGrid w:val="0"/>
              <w:jc w:val="left"/>
              <w:rPr>
                <w:rFonts w:ascii="宋体" w:hAnsi="宋体" w:cs="宋体"/>
                <w:b/>
                <w:bCs/>
                <w:sz w:val="24"/>
                <w:lang w:val="zh-CN"/>
              </w:rPr>
            </w:pPr>
            <w:r>
              <w:rPr>
                <w:rFonts w:hint="eastAsia" w:ascii="宋体" w:hAnsi="宋体" w:cs="宋体"/>
                <w:b/>
                <w:bCs/>
                <w:sz w:val="24"/>
              </w:rPr>
              <w:t>具有良好的商业信誉和健全的财务会计制度的承诺函；</w:t>
            </w:r>
          </w:p>
        </w:tc>
        <w:tc>
          <w:tcPr>
            <w:tcW w:w="1770" w:type="dxa"/>
            <w:vAlign w:val="center"/>
          </w:tcPr>
          <w:p>
            <w:pPr>
              <w:snapToGrid w:val="0"/>
              <w:jc w:val="center"/>
              <w:rPr>
                <w:rFonts w:ascii="宋体" w:hAnsi="宋体" w:cs="宋体"/>
                <w:b/>
                <w:bCs/>
                <w:sz w:val="24"/>
                <w:lang w:val="zh-CN"/>
              </w:rPr>
            </w:pPr>
            <w:r>
              <w:rPr>
                <w:rFonts w:hint="eastAsia" w:ascii="宋体" w:hAnsi="宋体" w:cs="宋体"/>
                <w:b/>
                <w:bCs/>
                <w:sz w:val="24"/>
              </w:rPr>
              <w:t>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930" w:type="dxa"/>
            <w:vAlign w:val="center"/>
          </w:tcPr>
          <w:p>
            <w:pPr>
              <w:snapToGrid w:val="0"/>
              <w:jc w:val="center"/>
              <w:rPr>
                <w:rFonts w:ascii="宋体" w:hAnsi="宋体" w:cs="宋体"/>
                <w:b/>
                <w:bCs/>
                <w:sz w:val="24"/>
                <w:lang w:val="zh-CN"/>
              </w:rPr>
            </w:pPr>
            <w:r>
              <w:rPr>
                <w:rFonts w:hint="eastAsia" w:ascii="宋体" w:hAnsi="宋体" w:cs="宋体"/>
                <w:b/>
                <w:bCs/>
                <w:sz w:val="24"/>
                <w:lang w:val="zh-CN"/>
              </w:rPr>
              <w:t>（</w:t>
            </w:r>
            <w:r>
              <w:rPr>
                <w:rFonts w:hint="eastAsia" w:ascii="宋体" w:hAnsi="宋体" w:cs="宋体"/>
                <w:b/>
                <w:bCs/>
                <w:sz w:val="24"/>
              </w:rPr>
              <w:t>6</w:t>
            </w:r>
            <w:r>
              <w:rPr>
                <w:rFonts w:hint="eastAsia" w:ascii="宋体" w:hAnsi="宋体" w:cs="宋体"/>
                <w:b/>
                <w:bCs/>
                <w:sz w:val="24"/>
                <w:lang w:val="zh-CN"/>
              </w:rPr>
              <w:t>）</w:t>
            </w:r>
          </w:p>
        </w:tc>
        <w:tc>
          <w:tcPr>
            <w:tcW w:w="5844" w:type="dxa"/>
            <w:vAlign w:val="center"/>
          </w:tcPr>
          <w:p>
            <w:pPr>
              <w:snapToGrid w:val="0"/>
              <w:jc w:val="left"/>
              <w:rPr>
                <w:rFonts w:ascii="宋体" w:hAnsi="宋体" w:cs="宋体"/>
                <w:b/>
                <w:bCs/>
                <w:sz w:val="24"/>
                <w:lang w:val="zh-CN"/>
              </w:rPr>
            </w:pPr>
            <w:r>
              <w:rPr>
                <w:rFonts w:hint="eastAsia" w:ascii="宋体" w:hAnsi="宋体" w:cs="宋体"/>
                <w:b/>
                <w:bCs/>
                <w:sz w:val="24"/>
              </w:rPr>
              <w:t>投标人基本情况表；</w:t>
            </w:r>
          </w:p>
        </w:tc>
        <w:tc>
          <w:tcPr>
            <w:tcW w:w="1770" w:type="dxa"/>
            <w:vAlign w:val="center"/>
          </w:tcPr>
          <w:p>
            <w:pPr>
              <w:snapToGrid w:val="0"/>
              <w:jc w:val="center"/>
              <w:rPr>
                <w:rFonts w:ascii="宋体" w:hAnsi="宋体" w:cs="宋体"/>
                <w:b/>
                <w:bCs/>
                <w:sz w:val="24"/>
                <w:lang w:val="zh-CN"/>
              </w:rPr>
            </w:pPr>
            <w:r>
              <w:rPr>
                <w:rFonts w:hint="eastAsia" w:ascii="宋体" w:hAnsi="宋体" w:cs="宋体"/>
                <w:b/>
                <w:bCs/>
                <w:sz w:val="24"/>
              </w:rPr>
              <w:t>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930" w:type="dxa"/>
            <w:vAlign w:val="center"/>
          </w:tcPr>
          <w:p>
            <w:pPr>
              <w:snapToGrid w:val="0"/>
              <w:jc w:val="center"/>
              <w:rPr>
                <w:rFonts w:ascii="宋体" w:hAnsi="宋体" w:cs="宋体"/>
                <w:b/>
                <w:bCs/>
                <w:sz w:val="24"/>
                <w:lang w:val="zh-CN"/>
              </w:rPr>
            </w:pPr>
            <w:r>
              <w:rPr>
                <w:rFonts w:hint="eastAsia" w:ascii="宋体" w:hAnsi="宋体" w:cs="宋体"/>
                <w:b/>
                <w:bCs/>
                <w:sz w:val="24"/>
                <w:lang w:val="zh-CN"/>
              </w:rPr>
              <w:t>（</w:t>
            </w:r>
            <w:r>
              <w:rPr>
                <w:rFonts w:hint="eastAsia" w:ascii="宋体" w:hAnsi="宋体" w:cs="宋体"/>
                <w:b/>
                <w:bCs/>
                <w:sz w:val="24"/>
              </w:rPr>
              <w:t>7</w:t>
            </w:r>
            <w:r>
              <w:rPr>
                <w:rFonts w:hint="eastAsia" w:ascii="宋体" w:hAnsi="宋体" w:cs="宋体"/>
                <w:b/>
                <w:bCs/>
                <w:sz w:val="24"/>
                <w:lang w:val="zh-CN"/>
              </w:rPr>
              <w:t>）</w:t>
            </w:r>
          </w:p>
        </w:tc>
        <w:tc>
          <w:tcPr>
            <w:tcW w:w="5844" w:type="dxa"/>
            <w:vAlign w:val="center"/>
          </w:tcPr>
          <w:p>
            <w:pPr>
              <w:autoSpaceDE w:val="0"/>
              <w:snapToGrid w:val="0"/>
              <w:jc w:val="left"/>
              <w:rPr>
                <w:rFonts w:ascii="宋体" w:hAnsi="宋体" w:cs="宋体"/>
                <w:sz w:val="24"/>
              </w:rPr>
            </w:pPr>
            <w:r>
              <w:rPr>
                <w:rFonts w:hint="eastAsia" w:ascii="宋体" w:hAnsi="宋体" w:cs="宋体"/>
                <w:b/>
                <w:bCs/>
                <w:sz w:val="24"/>
              </w:rPr>
              <w:t>证书一览表；</w:t>
            </w:r>
          </w:p>
        </w:tc>
        <w:tc>
          <w:tcPr>
            <w:tcW w:w="1770" w:type="dxa"/>
            <w:vAlign w:val="center"/>
          </w:tcPr>
          <w:p>
            <w:pPr>
              <w:snapToGrid w:val="0"/>
              <w:jc w:val="center"/>
              <w:rPr>
                <w:rFonts w:ascii="宋体" w:hAnsi="宋体" w:cs="宋体"/>
                <w:b/>
                <w:bCs/>
                <w:sz w:val="24"/>
                <w:lang w:val="zh-CN"/>
              </w:rPr>
            </w:pPr>
            <w:r>
              <w:rPr>
                <w:rFonts w:hint="eastAsia" w:ascii="宋体" w:hAnsi="宋体" w:cs="宋体"/>
                <w:b/>
                <w:bCs/>
                <w:sz w:val="24"/>
              </w:rPr>
              <w:t>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930" w:type="dxa"/>
            <w:vAlign w:val="center"/>
          </w:tcPr>
          <w:p>
            <w:pPr>
              <w:snapToGrid w:val="0"/>
              <w:jc w:val="center"/>
              <w:rPr>
                <w:rFonts w:ascii="宋体" w:hAnsi="宋体" w:cs="宋体"/>
                <w:b/>
                <w:bCs/>
                <w:sz w:val="24"/>
                <w:lang w:val="zh-CN"/>
              </w:rPr>
            </w:pPr>
            <w:r>
              <w:rPr>
                <w:rFonts w:hint="eastAsia" w:ascii="宋体" w:hAnsi="宋体" w:cs="宋体"/>
                <w:b/>
                <w:bCs/>
                <w:sz w:val="24"/>
                <w:lang w:val="zh-CN"/>
              </w:rPr>
              <w:t>（</w:t>
            </w:r>
            <w:r>
              <w:rPr>
                <w:rFonts w:hint="eastAsia" w:ascii="宋体" w:hAnsi="宋体" w:cs="宋体"/>
                <w:b/>
                <w:bCs/>
                <w:sz w:val="24"/>
              </w:rPr>
              <w:t>8</w:t>
            </w:r>
            <w:r>
              <w:rPr>
                <w:rFonts w:hint="eastAsia" w:ascii="宋体" w:hAnsi="宋体" w:cs="宋体"/>
                <w:b/>
                <w:bCs/>
                <w:sz w:val="24"/>
                <w:lang w:val="zh-CN"/>
              </w:rPr>
              <w:t>）</w:t>
            </w:r>
          </w:p>
        </w:tc>
        <w:tc>
          <w:tcPr>
            <w:tcW w:w="5844" w:type="dxa"/>
            <w:vAlign w:val="center"/>
          </w:tcPr>
          <w:p>
            <w:pPr>
              <w:autoSpaceDE w:val="0"/>
              <w:snapToGrid w:val="0"/>
              <w:jc w:val="left"/>
              <w:rPr>
                <w:rFonts w:ascii="宋体" w:hAnsi="宋体" w:cs="宋体"/>
                <w:sz w:val="24"/>
              </w:rPr>
            </w:pPr>
            <w:r>
              <w:rPr>
                <w:rFonts w:hint="eastAsia" w:ascii="宋体" w:hAnsi="宋体" w:cs="宋体"/>
                <w:b/>
                <w:bCs/>
                <w:sz w:val="24"/>
              </w:rPr>
              <w:t>项目实施人员一览表；</w:t>
            </w:r>
          </w:p>
        </w:tc>
        <w:tc>
          <w:tcPr>
            <w:tcW w:w="1770" w:type="dxa"/>
            <w:vAlign w:val="center"/>
          </w:tcPr>
          <w:p>
            <w:pPr>
              <w:snapToGrid w:val="0"/>
              <w:jc w:val="center"/>
              <w:rPr>
                <w:rFonts w:ascii="宋体" w:hAnsi="宋体" w:cs="宋体"/>
                <w:b/>
                <w:bCs/>
                <w:sz w:val="24"/>
                <w:lang w:val="zh-CN"/>
              </w:rPr>
            </w:pPr>
            <w:r>
              <w:rPr>
                <w:rFonts w:hint="eastAsia" w:ascii="宋体" w:hAnsi="宋体" w:cs="宋体"/>
                <w:b/>
                <w:bCs/>
                <w:sz w:val="24"/>
              </w:rPr>
              <w:t>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930" w:type="dxa"/>
            <w:vAlign w:val="center"/>
          </w:tcPr>
          <w:p>
            <w:pPr>
              <w:snapToGrid w:val="0"/>
              <w:jc w:val="center"/>
              <w:rPr>
                <w:rFonts w:ascii="宋体" w:hAnsi="宋体" w:cs="宋体"/>
                <w:b/>
                <w:bCs/>
                <w:sz w:val="24"/>
                <w:lang w:val="zh-CN"/>
              </w:rPr>
            </w:pPr>
            <w:r>
              <w:rPr>
                <w:rFonts w:hint="eastAsia" w:ascii="宋体" w:hAnsi="宋体" w:cs="宋体"/>
                <w:b/>
                <w:bCs/>
                <w:sz w:val="24"/>
                <w:lang w:val="zh-CN"/>
              </w:rPr>
              <w:t>(</w:t>
            </w:r>
            <w:r>
              <w:rPr>
                <w:rFonts w:hint="eastAsia" w:ascii="宋体" w:hAnsi="宋体" w:cs="宋体"/>
                <w:b/>
                <w:bCs/>
                <w:sz w:val="24"/>
              </w:rPr>
              <w:t>9</w:t>
            </w:r>
            <w:r>
              <w:rPr>
                <w:rFonts w:hint="eastAsia" w:ascii="宋体" w:hAnsi="宋体" w:cs="宋体"/>
                <w:b/>
                <w:bCs/>
                <w:sz w:val="24"/>
                <w:lang w:val="zh-CN"/>
              </w:rPr>
              <w:t>)</w:t>
            </w:r>
          </w:p>
        </w:tc>
        <w:tc>
          <w:tcPr>
            <w:tcW w:w="5844" w:type="dxa"/>
            <w:vAlign w:val="center"/>
          </w:tcPr>
          <w:p>
            <w:pPr>
              <w:autoSpaceDE w:val="0"/>
              <w:snapToGrid w:val="0"/>
              <w:jc w:val="left"/>
              <w:rPr>
                <w:rFonts w:ascii="宋体" w:hAnsi="宋体" w:cs="宋体"/>
                <w:b/>
                <w:bCs/>
                <w:sz w:val="24"/>
              </w:rPr>
            </w:pPr>
            <w:r>
              <w:rPr>
                <w:rFonts w:hint="eastAsia" w:ascii="宋体" w:hAnsi="宋体" w:cs="宋体"/>
                <w:b/>
                <w:bCs/>
                <w:sz w:val="24"/>
              </w:rPr>
              <w:t>类似项目实施情况一览表；</w:t>
            </w:r>
          </w:p>
        </w:tc>
        <w:tc>
          <w:tcPr>
            <w:tcW w:w="1770" w:type="dxa"/>
            <w:vAlign w:val="center"/>
          </w:tcPr>
          <w:p>
            <w:pPr>
              <w:snapToGrid w:val="0"/>
              <w:jc w:val="center"/>
              <w:rPr>
                <w:rFonts w:ascii="宋体" w:hAnsi="宋体" w:cs="宋体"/>
                <w:b/>
                <w:bCs/>
                <w:sz w:val="24"/>
              </w:rPr>
            </w:pPr>
            <w:r>
              <w:rPr>
                <w:rFonts w:hint="eastAsia" w:ascii="宋体" w:hAnsi="宋体" w:cs="宋体"/>
                <w:b/>
                <w:bCs/>
                <w:sz w:val="24"/>
              </w:rPr>
              <w:t>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930" w:type="dxa"/>
            <w:vAlign w:val="center"/>
          </w:tcPr>
          <w:p>
            <w:pPr>
              <w:snapToGrid w:val="0"/>
              <w:jc w:val="center"/>
              <w:rPr>
                <w:rFonts w:ascii="宋体" w:hAnsi="宋体" w:cs="宋体"/>
                <w:b/>
                <w:bCs/>
                <w:sz w:val="24"/>
                <w:lang w:val="zh-CN"/>
              </w:rPr>
            </w:pPr>
            <w:r>
              <w:rPr>
                <w:rFonts w:hint="eastAsia" w:ascii="宋体" w:hAnsi="宋体" w:cs="宋体"/>
                <w:b/>
                <w:bCs/>
                <w:sz w:val="24"/>
                <w:lang w:val="zh-CN"/>
              </w:rPr>
              <w:t>(</w:t>
            </w:r>
            <w:r>
              <w:rPr>
                <w:rFonts w:hint="eastAsia" w:ascii="宋体" w:hAnsi="宋体" w:cs="宋体"/>
                <w:b/>
                <w:bCs/>
                <w:sz w:val="24"/>
              </w:rPr>
              <w:t>10</w:t>
            </w:r>
            <w:r>
              <w:rPr>
                <w:rFonts w:hint="eastAsia" w:ascii="宋体" w:hAnsi="宋体" w:cs="宋体"/>
                <w:b/>
                <w:bCs/>
                <w:sz w:val="24"/>
                <w:lang w:val="zh-CN"/>
              </w:rPr>
              <w:t>)</w:t>
            </w:r>
          </w:p>
        </w:tc>
        <w:tc>
          <w:tcPr>
            <w:tcW w:w="5844" w:type="dxa"/>
            <w:vAlign w:val="center"/>
          </w:tcPr>
          <w:p>
            <w:pPr>
              <w:snapToGrid w:val="0"/>
              <w:jc w:val="left"/>
              <w:rPr>
                <w:rFonts w:ascii="宋体" w:hAnsi="宋体" w:cs="宋体"/>
                <w:b/>
                <w:bCs/>
                <w:sz w:val="24"/>
              </w:rPr>
            </w:pPr>
            <w:r>
              <w:rPr>
                <w:rFonts w:hint="eastAsia" w:ascii="宋体" w:hAnsi="宋体" w:cs="宋体"/>
                <w:b/>
                <w:bCs/>
                <w:sz w:val="24"/>
              </w:rPr>
              <w:t>其他内容根据</w:t>
            </w:r>
            <w:r>
              <w:rPr>
                <w:rFonts w:hint="eastAsia" w:ascii="宋体" w:hAnsi="宋体" w:cs="宋体"/>
                <w:b/>
                <w:bCs/>
                <w:sz w:val="24"/>
                <w:lang w:val="zh-CN"/>
              </w:rPr>
              <w:t>评标办法自拟；</w:t>
            </w:r>
          </w:p>
        </w:tc>
        <w:tc>
          <w:tcPr>
            <w:tcW w:w="1770" w:type="dxa"/>
            <w:vAlign w:val="center"/>
          </w:tcPr>
          <w:p>
            <w:pPr>
              <w:snapToGrid w:val="0"/>
              <w:jc w:val="center"/>
              <w:rPr>
                <w:rFonts w:ascii="宋体" w:hAnsi="宋体" w:cs="宋体"/>
                <w:b/>
                <w:bCs/>
                <w:sz w:val="24"/>
                <w:lang w:val="zh-CN"/>
              </w:rPr>
            </w:pPr>
            <w:r>
              <w:rPr>
                <w:rFonts w:hint="eastAsia" w:ascii="宋体" w:hAnsi="宋体" w:cs="宋体"/>
                <w:b/>
                <w:bCs/>
                <w:sz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930" w:type="dxa"/>
            <w:vAlign w:val="center"/>
          </w:tcPr>
          <w:p>
            <w:pPr>
              <w:snapToGrid w:val="0"/>
              <w:jc w:val="center"/>
              <w:rPr>
                <w:rFonts w:ascii="宋体" w:hAnsi="宋体" w:cs="宋体"/>
                <w:b/>
                <w:bCs/>
                <w:sz w:val="24"/>
                <w:lang w:val="zh-CN"/>
              </w:rPr>
            </w:pPr>
            <w:r>
              <w:rPr>
                <w:rFonts w:hint="eastAsia" w:ascii="宋体" w:hAnsi="宋体" w:cs="宋体"/>
                <w:b/>
                <w:bCs/>
                <w:sz w:val="24"/>
                <w:lang w:val="zh-CN"/>
              </w:rPr>
              <w:t>(</w:t>
            </w:r>
            <w:r>
              <w:rPr>
                <w:rFonts w:hint="eastAsia" w:ascii="宋体" w:hAnsi="宋体" w:cs="宋体"/>
                <w:b/>
                <w:bCs/>
                <w:sz w:val="24"/>
              </w:rPr>
              <w:t>11</w:t>
            </w:r>
            <w:r>
              <w:rPr>
                <w:rFonts w:hint="eastAsia" w:ascii="宋体" w:hAnsi="宋体" w:cs="宋体"/>
                <w:b/>
                <w:bCs/>
                <w:sz w:val="24"/>
                <w:lang w:val="zh-CN"/>
              </w:rPr>
              <w:t>)</w:t>
            </w:r>
          </w:p>
        </w:tc>
        <w:tc>
          <w:tcPr>
            <w:tcW w:w="5844" w:type="dxa"/>
            <w:vAlign w:val="center"/>
          </w:tcPr>
          <w:p>
            <w:pPr>
              <w:snapToGrid w:val="0"/>
              <w:jc w:val="left"/>
              <w:rPr>
                <w:rFonts w:ascii="宋体" w:hAnsi="宋体" w:cs="宋体"/>
                <w:b/>
                <w:bCs/>
                <w:sz w:val="24"/>
              </w:rPr>
            </w:pPr>
            <w:r>
              <w:rPr>
                <w:rFonts w:hint="eastAsia" w:ascii="宋体" w:hAnsi="宋体" w:cs="宋体"/>
                <w:b/>
                <w:bCs/>
                <w:sz w:val="24"/>
              </w:rPr>
              <w:t>投标人认为需要提供的其他文件和资料（如有）。</w:t>
            </w:r>
          </w:p>
        </w:tc>
        <w:tc>
          <w:tcPr>
            <w:tcW w:w="1770" w:type="dxa"/>
            <w:vAlign w:val="center"/>
          </w:tcPr>
          <w:p>
            <w:pPr>
              <w:snapToGrid w:val="0"/>
              <w:jc w:val="center"/>
              <w:rPr>
                <w:rFonts w:ascii="宋体" w:hAnsi="宋体" w:cs="宋体"/>
                <w:b/>
                <w:bCs/>
                <w:sz w:val="24"/>
                <w:lang w:val="zh-CN"/>
              </w:rPr>
            </w:pPr>
            <w:r>
              <w:rPr>
                <w:rFonts w:hint="eastAsia" w:ascii="宋体" w:hAnsi="宋体" w:cs="宋体"/>
                <w:b/>
                <w:bCs/>
                <w:sz w:val="24"/>
                <w:lang w:val="zh-CN"/>
              </w:rPr>
              <w:t>/</w:t>
            </w:r>
          </w:p>
        </w:tc>
      </w:tr>
    </w:tbl>
    <w:p>
      <w:pPr>
        <w:autoSpaceDE w:val="0"/>
        <w:autoSpaceDN w:val="0"/>
        <w:adjustRightInd w:val="0"/>
        <w:snapToGrid w:val="0"/>
        <w:spacing w:line="440" w:lineRule="exact"/>
        <w:ind w:firstLine="482" w:firstLineChars="200"/>
        <w:rPr>
          <w:rFonts w:ascii="宋体" w:hAnsi="宋体"/>
          <w:b/>
          <w:kern w:val="0"/>
          <w:sz w:val="24"/>
        </w:rPr>
      </w:pPr>
      <w:r>
        <w:rPr>
          <w:rFonts w:hint="eastAsia" w:ascii="宋体" w:hAnsi="宋体" w:cs="宋体"/>
          <w:b/>
          <w:sz w:val="24"/>
        </w:rPr>
        <w:t>▲</w:t>
      </w:r>
      <w:r>
        <w:rPr>
          <w:rFonts w:hint="eastAsia" w:ascii="宋体" w:hAnsi="宋体"/>
          <w:b/>
          <w:kern w:val="0"/>
          <w:sz w:val="24"/>
        </w:rPr>
        <w:t>2、商务标组成</w:t>
      </w:r>
    </w:p>
    <w:tbl>
      <w:tblPr>
        <w:tblStyle w:val="28"/>
        <w:tblW w:w="85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5959"/>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15" w:type="dxa"/>
            <w:vAlign w:val="center"/>
          </w:tcPr>
          <w:p>
            <w:pPr>
              <w:snapToGrid w:val="0"/>
              <w:jc w:val="center"/>
              <w:rPr>
                <w:rFonts w:ascii="宋体" w:hAnsi="宋体" w:cs="宋体"/>
                <w:b/>
                <w:bCs/>
                <w:sz w:val="24"/>
                <w:lang w:val="zh-CN"/>
              </w:rPr>
            </w:pPr>
            <w:r>
              <w:rPr>
                <w:rFonts w:hint="eastAsia" w:ascii="宋体" w:hAnsi="宋体" w:cs="宋体"/>
                <w:b/>
                <w:bCs/>
                <w:sz w:val="24"/>
                <w:lang w:val="zh-CN"/>
              </w:rPr>
              <w:t>(</w:t>
            </w:r>
            <w:r>
              <w:rPr>
                <w:rFonts w:hint="eastAsia" w:ascii="宋体" w:hAnsi="宋体" w:cs="宋体"/>
                <w:b/>
                <w:bCs/>
                <w:sz w:val="24"/>
              </w:rPr>
              <w:t>1</w:t>
            </w:r>
            <w:r>
              <w:rPr>
                <w:rFonts w:hint="eastAsia" w:ascii="宋体" w:hAnsi="宋体" w:cs="宋体"/>
                <w:b/>
                <w:bCs/>
                <w:sz w:val="24"/>
                <w:lang w:val="zh-CN"/>
              </w:rPr>
              <w:t>)</w:t>
            </w:r>
          </w:p>
        </w:tc>
        <w:tc>
          <w:tcPr>
            <w:tcW w:w="5959" w:type="dxa"/>
            <w:vAlign w:val="center"/>
          </w:tcPr>
          <w:p>
            <w:pPr>
              <w:snapToGrid w:val="0"/>
              <w:jc w:val="left"/>
              <w:rPr>
                <w:rFonts w:ascii="宋体" w:hAnsi="宋体" w:cs="宋体"/>
                <w:b/>
                <w:bCs/>
                <w:sz w:val="24"/>
                <w:lang w:val="zh-CN"/>
              </w:rPr>
            </w:pPr>
            <w:r>
              <w:rPr>
                <w:rFonts w:hint="eastAsia" w:ascii="宋体" w:hAnsi="宋体" w:cs="宋体"/>
                <w:b/>
                <w:bCs/>
                <w:sz w:val="24"/>
              </w:rPr>
              <w:t>开标一览表；</w:t>
            </w:r>
          </w:p>
        </w:tc>
        <w:tc>
          <w:tcPr>
            <w:tcW w:w="1770" w:type="dxa"/>
            <w:vAlign w:val="center"/>
          </w:tcPr>
          <w:p>
            <w:pPr>
              <w:snapToGrid w:val="0"/>
              <w:jc w:val="center"/>
              <w:rPr>
                <w:rFonts w:ascii="宋体" w:hAnsi="宋体" w:cs="宋体"/>
                <w:b/>
                <w:bCs/>
                <w:sz w:val="24"/>
                <w:lang w:val="zh-CN"/>
              </w:rPr>
            </w:pPr>
            <w:r>
              <w:rPr>
                <w:rFonts w:hint="eastAsia" w:ascii="宋体" w:hAnsi="宋体" w:cs="宋体"/>
                <w:b/>
                <w:bCs/>
                <w:sz w:val="24"/>
              </w:rPr>
              <w:t>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15" w:type="dxa"/>
            <w:vAlign w:val="center"/>
          </w:tcPr>
          <w:p>
            <w:pPr>
              <w:snapToGrid w:val="0"/>
              <w:jc w:val="center"/>
              <w:rPr>
                <w:rFonts w:ascii="宋体" w:hAnsi="宋体" w:cs="宋体"/>
                <w:b/>
                <w:bCs/>
                <w:sz w:val="24"/>
                <w:lang w:val="zh-CN"/>
              </w:rPr>
            </w:pPr>
            <w:r>
              <w:rPr>
                <w:rFonts w:hint="eastAsia" w:ascii="宋体" w:hAnsi="宋体" w:cs="宋体"/>
                <w:b/>
                <w:bCs/>
                <w:sz w:val="24"/>
                <w:lang w:val="zh-CN"/>
              </w:rPr>
              <w:t>(</w:t>
            </w:r>
            <w:r>
              <w:rPr>
                <w:rFonts w:hint="eastAsia" w:ascii="宋体" w:hAnsi="宋体" w:cs="宋体"/>
                <w:b/>
                <w:bCs/>
                <w:sz w:val="24"/>
              </w:rPr>
              <w:t>2</w:t>
            </w:r>
            <w:r>
              <w:rPr>
                <w:rFonts w:hint="eastAsia" w:ascii="宋体" w:hAnsi="宋体" w:cs="宋体"/>
                <w:b/>
                <w:bCs/>
                <w:sz w:val="24"/>
                <w:lang w:val="zh-CN"/>
              </w:rPr>
              <w:t>)</w:t>
            </w:r>
          </w:p>
        </w:tc>
        <w:tc>
          <w:tcPr>
            <w:tcW w:w="5959" w:type="dxa"/>
            <w:vAlign w:val="center"/>
          </w:tcPr>
          <w:p>
            <w:pPr>
              <w:snapToGrid w:val="0"/>
              <w:jc w:val="left"/>
              <w:rPr>
                <w:rFonts w:ascii="宋体" w:hAnsi="宋体" w:cs="宋体"/>
                <w:b/>
                <w:bCs/>
                <w:sz w:val="24"/>
              </w:rPr>
            </w:pPr>
            <w:r>
              <w:rPr>
                <w:rFonts w:hint="eastAsia" w:ascii="宋体" w:hAnsi="宋体" w:cs="宋体"/>
                <w:b/>
                <w:bCs/>
                <w:sz w:val="24"/>
              </w:rPr>
              <w:t>投标人认为需要提供的其他文件和资料（如有）。</w:t>
            </w:r>
          </w:p>
        </w:tc>
        <w:tc>
          <w:tcPr>
            <w:tcW w:w="1770" w:type="dxa"/>
            <w:vAlign w:val="center"/>
          </w:tcPr>
          <w:p>
            <w:pPr>
              <w:snapToGrid w:val="0"/>
              <w:jc w:val="center"/>
              <w:rPr>
                <w:rFonts w:ascii="宋体" w:hAnsi="宋体" w:cs="宋体"/>
                <w:b/>
                <w:bCs/>
                <w:sz w:val="24"/>
                <w:lang w:val="zh-CN"/>
              </w:rPr>
            </w:pPr>
            <w:r>
              <w:rPr>
                <w:rFonts w:hint="eastAsia" w:ascii="宋体" w:hAnsi="宋体" w:cs="宋体"/>
                <w:b/>
                <w:bCs/>
                <w:sz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exact"/>
        </w:trPr>
        <w:tc>
          <w:tcPr>
            <w:tcW w:w="8544" w:type="dxa"/>
            <w:gridSpan w:val="3"/>
            <w:vAlign w:val="center"/>
          </w:tcPr>
          <w:p>
            <w:pPr>
              <w:snapToGrid w:val="0"/>
              <w:ind w:firstLine="482" w:firstLineChars="200"/>
              <w:jc w:val="left"/>
              <w:rPr>
                <w:rFonts w:ascii="宋体" w:hAnsi="宋体" w:cs="宋体"/>
                <w:b/>
                <w:bCs/>
                <w:sz w:val="24"/>
              </w:rPr>
            </w:pPr>
            <w:r>
              <w:rPr>
                <w:rFonts w:hint="eastAsia" w:ascii="宋体" w:hAnsi="宋体" w:cs="宋体"/>
                <w:b/>
                <w:bCs/>
                <w:sz w:val="24"/>
              </w:rPr>
              <w:t>1.相关开标一览表需打印或用不退色的墨水填写， 开标一览表不得涂改和增删，如有错漏必须修改，修改处须由同一签署人签字或盖章。由于字迹模糊或表达不清引起的后果由投标人负责。</w:t>
            </w:r>
          </w:p>
          <w:p>
            <w:pPr>
              <w:snapToGrid w:val="0"/>
              <w:ind w:firstLine="482" w:firstLineChars="200"/>
              <w:jc w:val="left"/>
              <w:rPr>
                <w:rFonts w:ascii="宋体" w:hAnsi="宋体" w:cs="宋体"/>
                <w:sz w:val="24"/>
              </w:rPr>
            </w:pPr>
            <w:r>
              <w:rPr>
                <w:rFonts w:hint="eastAsia" w:ascii="宋体" w:hAnsi="宋体" w:cs="宋体"/>
                <w:b/>
                <w:bCs/>
                <w:sz w:val="24"/>
              </w:rPr>
              <w:t>2.开标一览表格式应按采购文件中相关附表格式填写。</w:t>
            </w:r>
          </w:p>
        </w:tc>
      </w:tr>
    </w:tbl>
    <w:p>
      <w:pPr>
        <w:autoSpaceDE w:val="0"/>
        <w:autoSpaceDN w:val="0"/>
        <w:adjustRightInd w:val="0"/>
        <w:snapToGrid w:val="0"/>
        <w:spacing w:line="440" w:lineRule="exact"/>
        <w:ind w:firstLine="482" w:firstLineChars="200"/>
        <w:rPr>
          <w:rFonts w:ascii="宋体" w:hAnsi="宋体" w:cs="宋体"/>
          <w:b/>
          <w:kern w:val="0"/>
          <w:sz w:val="24"/>
        </w:rPr>
      </w:pPr>
      <w:r>
        <w:rPr>
          <w:rFonts w:hint="eastAsia" w:ascii="宋体" w:hAnsi="宋体" w:cs="宋体"/>
          <w:b/>
          <w:kern w:val="0"/>
          <w:sz w:val="24"/>
        </w:rPr>
        <w:t>注：以上内容均需在台州湾新区小额工程电子交易平台投标工具（在线网页版）中对应处自行上传后生成，添加的内容须为清晰的电子文档，同时加盖公司电子公章。</w:t>
      </w:r>
    </w:p>
    <w:p>
      <w:pPr>
        <w:autoSpaceDE w:val="0"/>
        <w:autoSpaceDN w:val="0"/>
        <w:adjustRightInd w:val="0"/>
        <w:snapToGrid w:val="0"/>
        <w:spacing w:line="440" w:lineRule="exact"/>
        <w:ind w:firstLine="482" w:firstLineChars="200"/>
        <w:rPr>
          <w:rFonts w:ascii="宋体" w:hAnsi="宋体" w:cs="宋体"/>
          <w:b/>
          <w:kern w:val="0"/>
          <w:sz w:val="24"/>
        </w:rPr>
      </w:pPr>
      <w:r>
        <w:rPr>
          <w:rFonts w:hint="eastAsia" w:ascii="宋体" w:hAnsi="宋体" w:cs="宋体"/>
          <w:b/>
          <w:kern w:val="0"/>
          <w:sz w:val="24"/>
        </w:rPr>
        <w:t>（二）投标报价</w:t>
      </w:r>
    </w:p>
    <w:p>
      <w:pPr>
        <w:pStyle w:val="6"/>
        <w:snapToGrid w:val="0"/>
        <w:spacing w:line="440" w:lineRule="exact"/>
        <w:ind w:firstLine="480" w:firstLineChars="200"/>
        <w:rPr>
          <w:rFonts w:ascii="宋体" w:hAnsi="宋体"/>
          <w:bCs/>
          <w:kern w:val="0"/>
          <w:sz w:val="24"/>
          <w:szCs w:val="24"/>
        </w:rPr>
      </w:pPr>
      <w:r>
        <w:rPr>
          <w:rFonts w:hint="eastAsia" w:ascii="宋体" w:hAnsi="宋体"/>
          <w:bCs/>
          <w:kern w:val="0"/>
          <w:sz w:val="24"/>
          <w:szCs w:val="24"/>
        </w:rPr>
        <w:t>1.投标人应按照招标需求内容、责任范围以及合同条款进行报价。并按“</w:t>
      </w:r>
      <w:r>
        <w:rPr>
          <w:rFonts w:hint="eastAsia" w:ascii="宋体" w:hAnsi="宋体" w:cs="宋体"/>
          <w:b/>
          <w:bCs/>
          <w:sz w:val="24"/>
        </w:rPr>
        <w:t>开标一览表</w:t>
      </w:r>
      <w:r>
        <w:rPr>
          <w:rFonts w:hint="eastAsia" w:ascii="宋体" w:hAnsi="宋体"/>
          <w:bCs/>
          <w:kern w:val="0"/>
          <w:sz w:val="24"/>
          <w:szCs w:val="24"/>
        </w:rPr>
        <w:t>”规定的格式报出报价系数。报价系数中不得包含采购文件要求以外的内容，否则，在评标时不予核减。</w:t>
      </w:r>
    </w:p>
    <w:p>
      <w:pPr>
        <w:pStyle w:val="6"/>
        <w:snapToGrid w:val="0"/>
        <w:spacing w:line="440" w:lineRule="exact"/>
        <w:ind w:firstLine="480" w:firstLineChars="200"/>
        <w:rPr>
          <w:rFonts w:ascii="宋体" w:hAnsi="宋体"/>
          <w:bCs/>
          <w:kern w:val="0"/>
          <w:sz w:val="24"/>
          <w:szCs w:val="24"/>
        </w:rPr>
      </w:pPr>
      <w:r>
        <w:rPr>
          <w:rFonts w:hint="eastAsia" w:ascii="宋体" w:hAnsi="宋体"/>
          <w:bCs/>
          <w:kern w:val="0"/>
          <w:sz w:val="24"/>
          <w:szCs w:val="24"/>
        </w:rPr>
        <w:t>2.投标报价包括本项目采购需求和投入使用的所有费用，包括现场踏勘、资料收集整理、数据调查分析、工作大纲编制、取样、试验、测试、检测、测量、模拟计算、组织评审费、会务费、餐费、住宿费、最终相关专题及报告的编制、印刷、报相关主管部门审批、咨询费、风险费、保险、利润、规费、税金、政策性文件规定及合同包含的所有风险、责任等所有费用。各投标人应根据招标人提供的招标需求，以及本项目实际情况和自身的综合实力，竞报投标报价。投标人在投标报价时综合考虑，以后不作任何调整。</w:t>
      </w:r>
    </w:p>
    <w:p>
      <w:pPr>
        <w:pStyle w:val="6"/>
        <w:snapToGrid w:val="0"/>
        <w:spacing w:line="440" w:lineRule="exact"/>
        <w:ind w:firstLine="480" w:firstLineChars="200"/>
        <w:rPr>
          <w:rFonts w:ascii="宋体" w:hAnsi="宋体"/>
          <w:bCs/>
          <w:kern w:val="0"/>
          <w:sz w:val="24"/>
          <w:szCs w:val="24"/>
        </w:rPr>
      </w:pPr>
      <w:r>
        <w:rPr>
          <w:rFonts w:hint="eastAsia" w:ascii="宋体" w:hAnsi="宋体"/>
          <w:bCs/>
          <w:kern w:val="0"/>
          <w:sz w:val="24"/>
          <w:szCs w:val="24"/>
        </w:rPr>
        <w:t>3.投标报价不得为选择性报价和附有条件的报价。</w:t>
      </w:r>
    </w:p>
    <w:p>
      <w:pPr>
        <w:pStyle w:val="6"/>
        <w:snapToGrid w:val="0"/>
        <w:spacing w:line="440" w:lineRule="exact"/>
        <w:ind w:firstLine="482" w:firstLineChars="200"/>
        <w:rPr>
          <w:rFonts w:ascii="宋体" w:hAnsi="宋体"/>
          <w:b/>
          <w:kern w:val="0"/>
          <w:sz w:val="24"/>
          <w:szCs w:val="24"/>
        </w:rPr>
      </w:pPr>
      <w:r>
        <w:rPr>
          <w:rFonts w:hint="eastAsia" w:ascii="宋体" w:hAnsi="宋体"/>
          <w:b/>
          <w:kern w:val="0"/>
          <w:sz w:val="24"/>
          <w:szCs w:val="24"/>
        </w:rPr>
        <w:t>（三）投标文件的有效期</w:t>
      </w:r>
    </w:p>
    <w:p>
      <w:pPr>
        <w:pStyle w:val="6"/>
        <w:snapToGrid w:val="0"/>
        <w:spacing w:line="440" w:lineRule="exact"/>
        <w:ind w:firstLine="480" w:firstLineChars="200"/>
        <w:rPr>
          <w:rFonts w:ascii="宋体" w:hAnsi="宋体" w:cs="宋体"/>
          <w:sz w:val="24"/>
          <w:szCs w:val="24"/>
          <w:lang w:val="en-GB"/>
        </w:rPr>
      </w:pPr>
      <w:r>
        <w:rPr>
          <w:rFonts w:hint="eastAsia" w:ascii="宋体" w:hAnsi="宋体" w:cs="宋体"/>
          <w:sz w:val="24"/>
          <w:szCs w:val="24"/>
        </w:rPr>
        <w:t>1.投标文件有效期为</w:t>
      </w:r>
      <w:r>
        <w:rPr>
          <w:rFonts w:hint="eastAsia" w:ascii="宋体" w:hAnsi="宋体" w:cs="宋体"/>
          <w:sz w:val="24"/>
          <w:szCs w:val="24"/>
          <w:lang w:val="en-GB"/>
        </w:rPr>
        <w:t>投标截止日起90天。</w:t>
      </w:r>
    </w:p>
    <w:p>
      <w:pPr>
        <w:pStyle w:val="6"/>
        <w:snapToGrid w:val="0"/>
        <w:spacing w:line="440" w:lineRule="exact"/>
        <w:ind w:firstLine="480" w:firstLineChars="200"/>
        <w:rPr>
          <w:rFonts w:ascii="宋体" w:hAnsi="宋体" w:cs="宋体"/>
          <w:sz w:val="24"/>
          <w:szCs w:val="24"/>
          <w:lang w:val="en-GB"/>
        </w:rPr>
      </w:pPr>
      <w:r>
        <w:rPr>
          <w:rFonts w:hint="eastAsia" w:ascii="宋体" w:hAnsi="宋体" w:cs="宋体"/>
          <w:sz w:val="24"/>
          <w:szCs w:val="24"/>
        </w:rPr>
        <w:t>2.</w:t>
      </w:r>
      <w:r>
        <w:rPr>
          <w:rFonts w:hint="eastAsia" w:ascii="宋体" w:hAnsi="宋体" w:cs="宋体"/>
          <w:sz w:val="24"/>
          <w:szCs w:val="24"/>
          <w:lang w:val="en-GB"/>
        </w:rPr>
        <w:t>在特殊情况下，采购人可与投标人协商延长投标文件的有效期。</w:t>
      </w:r>
    </w:p>
    <w:p>
      <w:pPr>
        <w:snapToGrid w:val="0"/>
        <w:spacing w:line="440" w:lineRule="exact"/>
        <w:ind w:firstLine="480" w:firstLineChars="200"/>
        <w:rPr>
          <w:rFonts w:ascii="宋体" w:hAnsi="宋体" w:cs="宋体"/>
          <w:sz w:val="24"/>
        </w:rPr>
      </w:pPr>
      <w:r>
        <w:rPr>
          <w:rFonts w:hint="eastAsia" w:ascii="宋体" w:hAnsi="宋体" w:cs="宋体"/>
          <w:sz w:val="24"/>
        </w:rPr>
        <w:t>3.中标人的投标文件自开标之日起至合同履行完毕均应保持有效。</w:t>
      </w:r>
    </w:p>
    <w:p>
      <w:pPr>
        <w:snapToGrid w:val="0"/>
        <w:spacing w:line="440" w:lineRule="exact"/>
        <w:ind w:firstLine="482" w:firstLineChars="200"/>
        <w:rPr>
          <w:rFonts w:ascii="宋体" w:hAnsi="宋体"/>
          <w:b/>
          <w:kern w:val="0"/>
          <w:sz w:val="24"/>
        </w:rPr>
      </w:pPr>
      <w:r>
        <w:rPr>
          <w:rFonts w:hint="eastAsia" w:ascii="宋体" w:hAnsi="宋体"/>
          <w:b/>
          <w:kern w:val="0"/>
          <w:sz w:val="24"/>
        </w:rPr>
        <w:t>（四）投标文件的签署</w:t>
      </w:r>
    </w:p>
    <w:p>
      <w:pPr>
        <w:pStyle w:val="6"/>
        <w:snapToGrid w:val="0"/>
        <w:spacing w:line="440" w:lineRule="exact"/>
        <w:ind w:firstLine="480" w:firstLineChars="200"/>
        <w:rPr>
          <w:rFonts w:ascii="宋体" w:hAnsi="宋体"/>
          <w:bCs/>
          <w:kern w:val="0"/>
          <w:sz w:val="24"/>
          <w:szCs w:val="24"/>
        </w:rPr>
      </w:pPr>
      <w:r>
        <w:rPr>
          <w:rFonts w:hint="eastAsia" w:ascii="宋体" w:hAnsi="宋体"/>
          <w:bCs/>
          <w:kern w:val="0"/>
          <w:sz w:val="24"/>
          <w:szCs w:val="24"/>
        </w:rPr>
        <w:t>1.投标文件需由法定代表人或经其正式授权的代表签字或盖章。授权代表须出具书面授权证明，其《法定代表人授权书》应附在投标文件中。</w:t>
      </w:r>
    </w:p>
    <w:p>
      <w:pPr>
        <w:pStyle w:val="6"/>
        <w:snapToGrid w:val="0"/>
        <w:spacing w:line="440" w:lineRule="exact"/>
        <w:ind w:firstLine="480" w:firstLineChars="200"/>
        <w:rPr>
          <w:rFonts w:ascii="宋体" w:hAnsi="宋体"/>
          <w:bCs/>
          <w:kern w:val="0"/>
          <w:sz w:val="24"/>
          <w:szCs w:val="24"/>
        </w:rPr>
      </w:pPr>
      <w:r>
        <w:rPr>
          <w:rFonts w:hint="eastAsia" w:ascii="宋体" w:hAnsi="宋体"/>
          <w:bCs/>
          <w:kern w:val="0"/>
          <w:sz w:val="24"/>
          <w:szCs w:val="24"/>
        </w:rPr>
        <w:t>2.投标文件中所有的插字、涂改和增删，必须由法定代表人或经其正式授权的代表在旁边签字或盖章才有效。</w:t>
      </w:r>
    </w:p>
    <w:p>
      <w:pPr>
        <w:pStyle w:val="6"/>
        <w:snapToGrid w:val="0"/>
        <w:spacing w:line="440" w:lineRule="exact"/>
        <w:ind w:firstLine="480" w:firstLineChars="200"/>
        <w:rPr>
          <w:rFonts w:ascii="宋体" w:hAnsi="宋体"/>
          <w:bCs/>
          <w:kern w:val="0"/>
          <w:sz w:val="24"/>
          <w:szCs w:val="24"/>
        </w:rPr>
      </w:pPr>
      <w:r>
        <w:rPr>
          <w:rFonts w:hint="eastAsia" w:ascii="宋体" w:hAnsi="宋体"/>
          <w:bCs/>
          <w:kern w:val="0"/>
          <w:sz w:val="24"/>
          <w:szCs w:val="24"/>
        </w:rPr>
        <w:t>3.投标文件中要求加盖公章处，可使用有效安全的电子签章替代。</w:t>
      </w:r>
    </w:p>
    <w:p>
      <w:pPr>
        <w:autoSpaceDE w:val="0"/>
        <w:autoSpaceDN w:val="0"/>
        <w:adjustRightInd w:val="0"/>
        <w:snapToGrid w:val="0"/>
        <w:spacing w:line="440" w:lineRule="exact"/>
        <w:ind w:firstLine="482" w:firstLineChars="200"/>
        <w:rPr>
          <w:rFonts w:ascii="宋体" w:hAnsi="宋体"/>
          <w:b/>
          <w:bCs/>
          <w:sz w:val="24"/>
        </w:rPr>
      </w:pPr>
      <w:r>
        <w:rPr>
          <w:rFonts w:hint="eastAsia" w:ascii="宋体" w:hAnsi="宋体"/>
          <w:b/>
          <w:bCs/>
          <w:sz w:val="24"/>
        </w:rPr>
        <w:t>（五）投标文件的递交要求</w:t>
      </w:r>
    </w:p>
    <w:p>
      <w:pPr>
        <w:tabs>
          <w:tab w:val="left" w:pos="1418"/>
        </w:tabs>
        <w:autoSpaceDE w:val="0"/>
        <w:autoSpaceDN w:val="0"/>
        <w:adjustRightInd w:val="0"/>
        <w:snapToGrid w:val="0"/>
        <w:spacing w:line="440" w:lineRule="exact"/>
        <w:ind w:firstLine="480" w:firstLineChars="200"/>
        <w:rPr>
          <w:rFonts w:ascii="宋体" w:hAnsi="宋体"/>
          <w:kern w:val="0"/>
          <w:sz w:val="24"/>
        </w:rPr>
      </w:pPr>
      <w:r>
        <w:rPr>
          <w:rFonts w:hint="eastAsia" w:ascii="宋体" w:hAnsi="宋体" w:cs="宋体"/>
          <w:sz w:val="24"/>
        </w:rPr>
        <w:t>按照前附表要求提交，</w:t>
      </w:r>
      <w:r>
        <w:rPr>
          <w:rFonts w:hint="eastAsia" w:ascii="宋体" w:hAnsi="宋体"/>
          <w:kern w:val="0"/>
          <w:sz w:val="24"/>
        </w:rPr>
        <w:t>如采购组织机构延长截止时间和开标时间，采购组织机构和投标人的权利和义务将受到新的截止时间和开标时间的约束。</w:t>
      </w:r>
    </w:p>
    <w:p>
      <w:pPr>
        <w:snapToGrid w:val="0"/>
        <w:spacing w:line="440" w:lineRule="exact"/>
        <w:ind w:firstLine="482" w:firstLineChars="200"/>
        <w:rPr>
          <w:rFonts w:ascii="宋体" w:hAnsi="宋体"/>
          <w:b/>
          <w:kern w:val="0"/>
          <w:sz w:val="24"/>
        </w:rPr>
      </w:pPr>
      <w:r>
        <w:rPr>
          <w:rFonts w:hint="eastAsia" w:ascii="宋体" w:hAnsi="宋体"/>
          <w:b/>
          <w:kern w:val="0"/>
          <w:sz w:val="24"/>
        </w:rPr>
        <w:t>五、开标</w:t>
      </w:r>
    </w:p>
    <w:p>
      <w:pPr>
        <w:pStyle w:val="16"/>
        <w:snapToGrid w:val="0"/>
        <w:spacing w:line="440" w:lineRule="exact"/>
        <w:ind w:firstLine="472" w:firstLineChars="196"/>
        <w:rPr>
          <w:rFonts w:hAnsi="宋体"/>
          <w:b/>
          <w:bCs/>
          <w:sz w:val="24"/>
        </w:rPr>
      </w:pPr>
      <w:r>
        <w:rPr>
          <w:rFonts w:hAnsi="宋体"/>
          <w:b/>
          <w:bCs/>
          <w:sz w:val="24"/>
        </w:rPr>
        <w:t>（一）开标</w:t>
      </w:r>
    </w:p>
    <w:p>
      <w:pPr>
        <w:pStyle w:val="24"/>
        <w:widowControl w:val="0"/>
        <w:snapToGrid w:val="0"/>
        <w:spacing w:before="156" w:beforeLines="50" w:beforeAutospacing="0" w:after="0" w:afterAutospacing="0" w:line="440" w:lineRule="exact"/>
        <w:ind w:firstLine="480" w:firstLineChars="200"/>
        <w:jc w:val="both"/>
        <w:rPr>
          <w:rFonts w:hint="default"/>
          <w:bCs/>
        </w:rPr>
      </w:pPr>
      <w:r>
        <w:t>投标人代表一律不参加现场开标，通过在线直播参与监督开标过程。直播网络地址：</w:t>
      </w:r>
      <w:r>
        <w:fldChar w:fldCharType="begin"/>
      </w:r>
      <w:r>
        <w:instrText xml:space="preserve"> HYPERLINK "http://www.tzwztb.com/live/" </w:instrText>
      </w:r>
      <w:r>
        <w:fldChar w:fldCharType="separate"/>
      </w:r>
      <w:r>
        <w:rPr>
          <w:rStyle w:val="32"/>
          <w:color w:val="auto"/>
        </w:rPr>
        <w:t>http://www.tzwztb.com/live/</w:t>
      </w:r>
      <w:r>
        <w:rPr>
          <w:rStyle w:val="32"/>
          <w:color w:val="auto"/>
        </w:rPr>
        <w:fldChar w:fldCharType="end"/>
      </w:r>
      <w:r>
        <w:rPr>
          <w:rFonts w:hint="default"/>
        </w:rPr>
        <w:t xml:space="preserve"> </w:t>
      </w:r>
      <w:r>
        <w:t>。</w:t>
      </w:r>
    </w:p>
    <w:p>
      <w:pPr>
        <w:pStyle w:val="16"/>
        <w:snapToGrid w:val="0"/>
        <w:spacing w:line="440" w:lineRule="exact"/>
        <w:ind w:firstLine="472" w:firstLineChars="196"/>
        <w:rPr>
          <w:rFonts w:hAnsi="宋体"/>
          <w:b/>
          <w:bCs/>
          <w:sz w:val="24"/>
        </w:rPr>
      </w:pPr>
      <w:r>
        <w:rPr>
          <w:rFonts w:hAnsi="宋体"/>
          <w:b/>
          <w:bCs/>
          <w:sz w:val="24"/>
        </w:rPr>
        <w:t>（二） 开标程序：</w:t>
      </w:r>
    </w:p>
    <w:p>
      <w:pPr>
        <w:snapToGrid w:val="0"/>
        <w:spacing w:line="440" w:lineRule="exact"/>
        <w:ind w:firstLine="480" w:firstLineChars="200"/>
        <w:rPr>
          <w:rFonts w:ascii="宋体" w:hAnsi="宋体" w:cs="宋体"/>
          <w:sz w:val="24"/>
        </w:rPr>
      </w:pPr>
      <w:r>
        <w:rPr>
          <w:rFonts w:ascii="宋体" w:hAnsi="宋体" w:cs="宋体"/>
          <w:sz w:val="24"/>
        </w:rPr>
        <w:t>1</w:t>
      </w:r>
      <w:r>
        <w:rPr>
          <w:rFonts w:hint="eastAsia" w:ascii="宋体" w:hAnsi="宋体" w:cs="宋体"/>
          <w:sz w:val="24"/>
        </w:rPr>
        <w:t>.</w:t>
      </w:r>
      <w:r>
        <w:rPr>
          <w:rFonts w:ascii="宋体" w:hAnsi="宋体" w:cs="宋体"/>
          <w:sz w:val="24"/>
        </w:rPr>
        <w:t>开标由采购代理机构工作人员主持</w:t>
      </w:r>
      <w:r>
        <w:rPr>
          <w:rFonts w:hint="eastAsia" w:ascii="宋体" w:hAnsi="宋体" w:cs="宋体"/>
          <w:sz w:val="24"/>
        </w:rPr>
        <w:t>。</w:t>
      </w:r>
    </w:p>
    <w:p>
      <w:pPr>
        <w:snapToGrid w:val="0"/>
        <w:spacing w:line="440" w:lineRule="exact"/>
        <w:ind w:firstLine="480" w:firstLineChars="200"/>
        <w:rPr>
          <w:rFonts w:ascii="宋体" w:hAnsi="宋体" w:cs="宋体"/>
          <w:sz w:val="24"/>
        </w:rPr>
      </w:pPr>
      <w:r>
        <w:rPr>
          <w:rFonts w:ascii="宋体" w:hAnsi="宋体" w:cs="宋体"/>
          <w:sz w:val="24"/>
        </w:rPr>
        <w:t>2</w:t>
      </w:r>
      <w:r>
        <w:rPr>
          <w:rFonts w:hint="eastAsia" w:ascii="宋体" w:hAnsi="宋体" w:cs="宋体"/>
          <w:sz w:val="24"/>
        </w:rPr>
        <w:t>.</w:t>
      </w:r>
      <w:r>
        <w:rPr>
          <w:rFonts w:ascii="宋体" w:hAnsi="宋体" w:cs="宋体"/>
          <w:sz w:val="24"/>
        </w:rPr>
        <w:t>投标人</w:t>
      </w:r>
      <w:r>
        <w:rPr>
          <w:rFonts w:hint="eastAsia" w:ascii="宋体" w:hAnsi="宋体" w:cs="宋体"/>
          <w:sz w:val="24"/>
        </w:rPr>
        <w:t>可</w:t>
      </w:r>
      <w:r>
        <w:rPr>
          <w:rFonts w:ascii="宋体" w:hAnsi="宋体" w:cs="宋体"/>
          <w:sz w:val="24"/>
        </w:rPr>
        <w:t>进行在线</w:t>
      </w:r>
      <w:r>
        <w:rPr>
          <w:rFonts w:hint="eastAsia" w:ascii="宋体" w:hAnsi="宋体" w:cs="宋体"/>
          <w:sz w:val="24"/>
        </w:rPr>
        <w:t>沟通</w:t>
      </w:r>
      <w:r>
        <w:rPr>
          <w:rFonts w:ascii="宋体" w:hAnsi="宋体" w:cs="宋体"/>
          <w:sz w:val="24"/>
        </w:rPr>
        <w:t>。</w:t>
      </w:r>
    </w:p>
    <w:p>
      <w:pPr>
        <w:snapToGrid w:val="0"/>
        <w:spacing w:line="440" w:lineRule="exact"/>
        <w:ind w:firstLine="480" w:firstLineChars="200"/>
        <w:rPr>
          <w:rFonts w:ascii="宋体" w:hAnsi="宋体" w:cs="宋体"/>
          <w:sz w:val="24"/>
        </w:rPr>
      </w:pPr>
      <w:r>
        <w:rPr>
          <w:rFonts w:ascii="宋体" w:hAnsi="宋体" w:cs="宋体"/>
          <w:sz w:val="24"/>
        </w:rPr>
        <w:t>3</w:t>
      </w:r>
      <w:r>
        <w:rPr>
          <w:rFonts w:hint="eastAsia" w:ascii="宋体" w:hAnsi="宋体" w:cs="宋体"/>
          <w:sz w:val="24"/>
        </w:rPr>
        <w:t>.</w:t>
      </w:r>
      <w:r>
        <w:rPr>
          <w:rFonts w:ascii="宋体" w:hAnsi="宋体" w:cs="宋体"/>
          <w:sz w:val="24"/>
        </w:rPr>
        <w:t>采购人依法对</w:t>
      </w:r>
      <w:r>
        <w:rPr>
          <w:rFonts w:hint="eastAsia" w:ascii="宋体" w:hAnsi="宋体" w:cs="宋体"/>
          <w:sz w:val="24"/>
        </w:rPr>
        <w:t>资信技术标</w:t>
      </w:r>
      <w:r>
        <w:rPr>
          <w:rFonts w:ascii="宋体" w:hAnsi="宋体" w:cs="宋体"/>
          <w:sz w:val="24"/>
        </w:rPr>
        <w:t>进行</w:t>
      </w:r>
      <w:r>
        <w:rPr>
          <w:rFonts w:hint="eastAsia" w:ascii="宋体" w:hAnsi="宋体" w:cs="宋体"/>
          <w:sz w:val="24"/>
        </w:rPr>
        <w:t>资格</w:t>
      </w:r>
      <w:r>
        <w:rPr>
          <w:rFonts w:ascii="宋体" w:hAnsi="宋体" w:cs="宋体"/>
          <w:sz w:val="24"/>
        </w:rPr>
        <w:t>审查，评标委员会对</w:t>
      </w:r>
      <w:r>
        <w:rPr>
          <w:rFonts w:hint="eastAsia" w:ascii="宋体" w:hAnsi="宋体" w:cs="宋体"/>
          <w:sz w:val="24"/>
        </w:rPr>
        <w:t>资信技术标</w:t>
      </w:r>
      <w:r>
        <w:rPr>
          <w:rFonts w:ascii="宋体" w:hAnsi="宋体" w:cs="宋体"/>
          <w:sz w:val="24"/>
        </w:rPr>
        <w:t>进行评审。</w:t>
      </w:r>
    </w:p>
    <w:p>
      <w:pPr>
        <w:snapToGrid w:val="0"/>
        <w:spacing w:line="440" w:lineRule="exact"/>
        <w:ind w:firstLine="480" w:firstLineChars="200"/>
        <w:rPr>
          <w:rFonts w:ascii="宋体" w:hAnsi="宋体" w:cs="宋体"/>
          <w:sz w:val="24"/>
        </w:rPr>
      </w:pPr>
      <w:r>
        <w:rPr>
          <w:rFonts w:ascii="宋体" w:hAnsi="宋体" w:cs="宋体"/>
          <w:sz w:val="24"/>
        </w:rPr>
        <w:t>4</w:t>
      </w:r>
      <w:r>
        <w:rPr>
          <w:rFonts w:hint="eastAsia" w:ascii="宋体" w:hAnsi="宋体" w:cs="宋体"/>
          <w:sz w:val="24"/>
        </w:rPr>
        <w:t>.资信技术标</w:t>
      </w:r>
      <w:r>
        <w:rPr>
          <w:rFonts w:ascii="宋体" w:hAnsi="宋体" w:cs="宋体"/>
          <w:sz w:val="24"/>
        </w:rPr>
        <w:t>评审完成后，主持人宣告</w:t>
      </w:r>
      <w:r>
        <w:rPr>
          <w:rFonts w:hint="eastAsia" w:ascii="宋体" w:hAnsi="宋体" w:cs="宋体"/>
          <w:sz w:val="24"/>
        </w:rPr>
        <w:t>资格标</w:t>
      </w:r>
      <w:r>
        <w:rPr>
          <w:rFonts w:ascii="宋体" w:hAnsi="宋体" w:cs="宋体"/>
          <w:sz w:val="24"/>
        </w:rPr>
        <w:t>评审无效投标人名称及理由，公布经资格</w:t>
      </w:r>
      <w:r>
        <w:rPr>
          <w:rFonts w:hint="eastAsia" w:ascii="宋体" w:hAnsi="宋体" w:cs="宋体"/>
          <w:sz w:val="24"/>
        </w:rPr>
        <w:t>标</w:t>
      </w:r>
      <w:r>
        <w:rPr>
          <w:rFonts w:ascii="宋体" w:hAnsi="宋体" w:cs="宋体"/>
          <w:sz w:val="24"/>
        </w:rPr>
        <w:t>评审符合采购需求的投标人名单。</w:t>
      </w:r>
    </w:p>
    <w:p>
      <w:pPr>
        <w:snapToGrid w:val="0"/>
        <w:spacing w:line="440" w:lineRule="exact"/>
        <w:ind w:firstLine="480" w:firstLineChars="200"/>
        <w:rPr>
          <w:rFonts w:ascii="宋体" w:hAnsi="宋体" w:cs="宋体"/>
          <w:sz w:val="24"/>
        </w:rPr>
      </w:pPr>
      <w:r>
        <w:rPr>
          <w:rFonts w:ascii="宋体" w:hAnsi="宋体" w:cs="宋体"/>
          <w:sz w:val="24"/>
        </w:rPr>
        <w:t>5</w:t>
      </w:r>
      <w:r>
        <w:rPr>
          <w:rFonts w:hint="eastAsia" w:ascii="宋体" w:hAnsi="宋体" w:cs="宋体"/>
          <w:sz w:val="24"/>
        </w:rPr>
        <w:t>.</w:t>
      </w:r>
      <w:r>
        <w:rPr>
          <w:rFonts w:ascii="宋体" w:hAnsi="宋体" w:cs="宋体"/>
          <w:sz w:val="24"/>
        </w:rPr>
        <w:t>开启各投标人</w:t>
      </w:r>
      <w:r>
        <w:rPr>
          <w:rFonts w:hint="eastAsia" w:ascii="宋体" w:hAnsi="宋体" w:cs="宋体"/>
          <w:sz w:val="24"/>
        </w:rPr>
        <w:t>商务标</w:t>
      </w:r>
      <w:r>
        <w:rPr>
          <w:rFonts w:ascii="宋体" w:hAnsi="宋体" w:cs="宋体"/>
          <w:sz w:val="24"/>
        </w:rPr>
        <w:t>。</w:t>
      </w:r>
    </w:p>
    <w:p>
      <w:pPr>
        <w:snapToGrid w:val="0"/>
        <w:spacing w:line="440" w:lineRule="exact"/>
        <w:ind w:firstLine="480" w:firstLineChars="200"/>
        <w:rPr>
          <w:rFonts w:ascii="宋体" w:hAnsi="宋体" w:cs="宋体"/>
          <w:sz w:val="24"/>
          <w:lang w:val="zh-CN"/>
        </w:rPr>
      </w:pPr>
      <w:r>
        <w:rPr>
          <w:rFonts w:ascii="宋体" w:hAnsi="宋体" w:cs="宋体"/>
          <w:sz w:val="24"/>
        </w:rPr>
        <w:t>6</w:t>
      </w:r>
      <w:r>
        <w:rPr>
          <w:rFonts w:hint="eastAsia" w:ascii="宋体" w:hAnsi="宋体" w:cs="宋体"/>
          <w:sz w:val="24"/>
        </w:rPr>
        <w:t>.</w:t>
      </w:r>
      <w:r>
        <w:rPr>
          <w:rFonts w:ascii="宋体" w:hAnsi="宋体" w:cs="宋体"/>
          <w:sz w:val="24"/>
        </w:rPr>
        <w:t>当场制作并打印开标记录表，由记录人、监督人当场签字确认。唱标结束后，由评标委员会对报价的合理性、准确性等进行审查核实。</w:t>
      </w:r>
    </w:p>
    <w:p>
      <w:pPr>
        <w:snapToGrid w:val="0"/>
        <w:spacing w:line="440" w:lineRule="exact"/>
        <w:ind w:firstLine="480" w:firstLineChars="200"/>
        <w:rPr>
          <w:rFonts w:ascii="宋体" w:hAnsi="宋体" w:cs="宋体"/>
          <w:sz w:val="24"/>
        </w:rPr>
      </w:pPr>
      <w:r>
        <w:rPr>
          <w:rFonts w:ascii="宋体" w:hAnsi="宋体" w:cs="宋体"/>
          <w:sz w:val="24"/>
        </w:rPr>
        <w:t>7</w:t>
      </w:r>
      <w:r>
        <w:rPr>
          <w:rFonts w:hint="eastAsia" w:ascii="宋体" w:hAnsi="宋体" w:cs="宋体"/>
          <w:sz w:val="24"/>
        </w:rPr>
        <w:t>.</w:t>
      </w:r>
      <w:r>
        <w:rPr>
          <w:rFonts w:ascii="宋体" w:hAnsi="宋体" w:cs="宋体"/>
          <w:sz w:val="24"/>
        </w:rPr>
        <w:t>评标结束后，主持人公布投标</w:t>
      </w:r>
      <w:r>
        <w:rPr>
          <w:rFonts w:hint="eastAsia" w:ascii="宋体" w:hAnsi="宋体" w:cs="宋体"/>
          <w:sz w:val="24"/>
        </w:rPr>
        <w:t>人总</w:t>
      </w:r>
      <w:r>
        <w:rPr>
          <w:rFonts w:ascii="宋体" w:hAnsi="宋体" w:cs="宋体"/>
          <w:sz w:val="24"/>
        </w:rPr>
        <w:t>得分以及推荐中标候选人排序名单。</w:t>
      </w:r>
    </w:p>
    <w:p>
      <w:pPr>
        <w:snapToGrid w:val="0"/>
        <w:spacing w:line="440" w:lineRule="exact"/>
        <w:ind w:firstLine="480" w:firstLineChars="200"/>
        <w:rPr>
          <w:rFonts w:ascii="宋体" w:hAnsi="宋体" w:cs="宋体"/>
          <w:sz w:val="24"/>
        </w:rPr>
      </w:pPr>
      <w:r>
        <w:rPr>
          <w:rFonts w:ascii="宋体" w:hAnsi="宋体" w:cs="宋体"/>
          <w:sz w:val="24"/>
        </w:rPr>
        <w:t>8</w:t>
      </w:r>
      <w:r>
        <w:rPr>
          <w:rFonts w:hint="eastAsia" w:ascii="宋体" w:hAnsi="宋体" w:cs="宋体"/>
          <w:sz w:val="24"/>
        </w:rPr>
        <w:t>.</w:t>
      </w:r>
      <w:r>
        <w:rPr>
          <w:rFonts w:ascii="宋体" w:hAnsi="宋体" w:cs="宋体"/>
          <w:sz w:val="24"/>
        </w:rPr>
        <w:t>开标会议结束。</w:t>
      </w:r>
    </w:p>
    <w:p>
      <w:pPr>
        <w:snapToGrid w:val="0"/>
        <w:spacing w:line="440" w:lineRule="exact"/>
        <w:ind w:firstLine="480" w:firstLineChars="200"/>
        <w:rPr>
          <w:rFonts w:ascii="宋体" w:hAnsi="宋体" w:cs="宋体"/>
          <w:sz w:val="24"/>
        </w:rPr>
      </w:pPr>
      <w:r>
        <w:rPr>
          <w:rFonts w:ascii="宋体" w:hAnsi="宋体" w:cs="宋体"/>
          <w:sz w:val="24"/>
        </w:rPr>
        <w:t>9</w:t>
      </w:r>
      <w:r>
        <w:rPr>
          <w:rFonts w:hint="eastAsia" w:ascii="宋体" w:hAnsi="宋体" w:cs="宋体"/>
          <w:sz w:val="24"/>
        </w:rPr>
        <w:t>.</w:t>
      </w:r>
      <w:r>
        <w:rPr>
          <w:rFonts w:ascii="宋体" w:hAnsi="宋体" w:cs="宋体"/>
          <w:sz w:val="24"/>
        </w:rPr>
        <w:t>其他注意事项：</w:t>
      </w:r>
    </w:p>
    <w:p>
      <w:pPr>
        <w:snapToGrid w:val="0"/>
        <w:spacing w:line="440" w:lineRule="exact"/>
        <w:ind w:firstLine="480" w:firstLineChars="200"/>
        <w:rPr>
          <w:rFonts w:ascii="宋体" w:hAnsi="宋体" w:cs="宋体"/>
          <w:sz w:val="24"/>
        </w:rPr>
      </w:pPr>
      <w:r>
        <w:rPr>
          <w:rFonts w:hint="eastAsia" w:ascii="宋体" w:hAnsi="宋体" w:cs="宋体"/>
          <w:sz w:val="24"/>
        </w:rPr>
        <w:t xml:space="preserve">1）开标当日，投标人不必抵达开标现场，通过台州湾新区小额工程电子交易平台不见面开标大厅参加开标会议，并根据需要使用开标系统与现场采购人进行互动交流、澄清、质疑等活动。未能在开标会议区内全程参与交互的，视为放弃交互和放弃对开评标全过程提疑的权利。 </w:t>
      </w:r>
    </w:p>
    <w:p>
      <w:pPr>
        <w:snapToGrid w:val="0"/>
        <w:spacing w:line="440" w:lineRule="exact"/>
        <w:ind w:firstLine="480" w:firstLineChars="200"/>
        <w:rPr>
          <w:rFonts w:ascii="宋体" w:hAnsi="宋体" w:cs="宋体"/>
          <w:sz w:val="24"/>
        </w:rPr>
      </w:pPr>
      <w:r>
        <w:rPr>
          <w:rFonts w:hint="eastAsia" w:ascii="宋体" w:hAnsi="宋体" w:cs="宋体"/>
          <w:sz w:val="24"/>
        </w:rPr>
        <w:t>2）因投标人网络与电源不稳定、未按操作手册要求配置软硬件等自身原因，导致投标文件未在规定时间内上传，视为投标人放弃投标；因采购人原因或网上招投标平台发生故障等，导致无法按时完成投标文件解密或开、评标工作无法进行的，可根据实际情况相应延迟解密时间或调整开、评标时间。</w:t>
      </w:r>
    </w:p>
    <w:p>
      <w:pPr>
        <w:snapToGrid w:val="0"/>
        <w:spacing w:line="440" w:lineRule="exact"/>
        <w:ind w:firstLine="480" w:firstLineChars="200"/>
        <w:rPr>
          <w:rFonts w:ascii="宋体" w:hAnsi="宋体" w:cs="宋体"/>
          <w:sz w:val="24"/>
        </w:rPr>
      </w:pPr>
      <w:r>
        <w:rPr>
          <w:rFonts w:hint="eastAsia" w:ascii="宋体" w:hAnsi="宋体" w:cs="宋体"/>
          <w:sz w:val="24"/>
        </w:rPr>
        <w:t>3)开评标全过程中，各投标人参与远程交互的授权委托人或法人代表应始终为同一个人，中途不得更换，在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pPr>
        <w:autoSpaceDE w:val="0"/>
        <w:autoSpaceDN w:val="0"/>
        <w:adjustRightInd w:val="0"/>
        <w:snapToGrid w:val="0"/>
        <w:spacing w:line="440" w:lineRule="exact"/>
        <w:ind w:right="-14"/>
        <w:jc w:val="left"/>
        <w:rPr>
          <w:rFonts w:ascii="宋体" w:hAnsi="宋体"/>
          <w:b/>
          <w:sz w:val="24"/>
        </w:rPr>
      </w:pPr>
      <w:r>
        <w:rPr>
          <w:rFonts w:hint="eastAsia" w:ascii="宋体" w:hAnsi="宋体"/>
          <w:b/>
          <w:sz w:val="24"/>
        </w:rPr>
        <w:t>重要事项说明：</w:t>
      </w:r>
    </w:p>
    <w:p>
      <w:pPr>
        <w:snapToGrid w:val="0"/>
        <w:spacing w:line="440" w:lineRule="exact"/>
        <w:ind w:firstLine="480" w:firstLineChars="200"/>
        <w:rPr>
          <w:rFonts w:ascii="宋体" w:hAnsi="宋体" w:cs="宋体"/>
          <w:sz w:val="24"/>
        </w:rPr>
      </w:pPr>
      <w:r>
        <w:rPr>
          <w:rFonts w:hint="eastAsia" w:ascii="宋体" w:hAnsi="宋体" w:cs="宋体"/>
          <w:sz w:val="24"/>
        </w:rPr>
        <w:t>（1）开标项目的时间均以国家授时中心发布的时间为准。</w:t>
      </w:r>
    </w:p>
    <w:p>
      <w:pPr>
        <w:snapToGrid w:val="0"/>
        <w:spacing w:line="440" w:lineRule="exact"/>
        <w:ind w:firstLine="480" w:firstLineChars="200"/>
        <w:rPr>
          <w:rFonts w:ascii="宋体" w:hAnsi="宋体" w:cs="宋体"/>
          <w:sz w:val="24"/>
        </w:rPr>
      </w:pPr>
      <w:r>
        <w:rPr>
          <w:rFonts w:hint="eastAsia" w:ascii="宋体" w:hAnsi="宋体" w:cs="宋体"/>
          <w:sz w:val="24"/>
        </w:rPr>
        <w:t>（2）若投标人已申请多把CA锁，请注意使用差别。因ca锁使用错误引发的问题，由投标人自己负责。</w:t>
      </w:r>
    </w:p>
    <w:p>
      <w:pPr>
        <w:snapToGrid w:val="0"/>
        <w:spacing w:line="440" w:lineRule="exact"/>
        <w:ind w:firstLine="480" w:firstLineChars="200"/>
        <w:rPr>
          <w:rFonts w:hAnsi="宋体"/>
          <w:bCs/>
          <w:sz w:val="24"/>
        </w:rPr>
      </w:pPr>
      <w:r>
        <w:rPr>
          <w:rFonts w:hint="eastAsia" w:ascii="宋体" w:hAnsi="宋体" w:cs="宋体"/>
          <w:sz w:val="24"/>
        </w:rPr>
        <w:t>（3）如有疑问，请咨询平台技术服务电话：蔡先生，13454667697；王女士，13757680207。QQ “台州湾新区小额工程交易平台交流”（群号：435057190），进行业务咨询。此群也作为不见面开标的备用远程交互群。</w:t>
      </w:r>
    </w:p>
    <w:p>
      <w:pPr>
        <w:snapToGrid w:val="0"/>
        <w:spacing w:line="440" w:lineRule="exact"/>
        <w:ind w:firstLine="723" w:firstLineChars="300"/>
        <w:jc w:val="left"/>
        <w:rPr>
          <w:rFonts w:ascii="宋体" w:hAnsi="宋体"/>
          <w:b/>
          <w:kern w:val="0"/>
          <w:sz w:val="24"/>
        </w:rPr>
      </w:pPr>
      <w:r>
        <w:rPr>
          <w:rFonts w:hint="eastAsia" w:ascii="宋体" w:hAnsi="宋体"/>
          <w:b/>
          <w:kern w:val="0"/>
          <w:sz w:val="24"/>
        </w:rPr>
        <w:t>（三） 异常情况处理：</w:t>
      </w:r>
    </w:p>
    <w:p>
      <w:pPr>
        <w:snapToGrid w:val="0"/>
        <w:spacing w:line="440" w:lineRule="exact"/>
        <w:ind w:firstLine="480" w:firstLineChars="200"/>
        <w:rPr>
          <w:rFonts w:ascii="宋体" w:hAnsi="宋体"/>
          <w:sz w:val="24"/>
        </w:rPr>
      </w:pPr>
      <w:r>
        <w:rPr>
          <w:rFonts w:hint="eastAsia" w:ascii="宋体" w:hAnsi="宋体"/>
          <w:sz w:val="24"/>
        </w:rPr>
        <w:t>采购过程中出现以下情形，导致电子交易平台无法正常运行，或者无法保证电子交易的公平、公正和安全时，采购组织机构可中止电子交易活动：</w:t>
      </w:r>
    </w:p>
    <w:p>
      <w:pPr>
        <w:snapToGrid w:val="0"/>
        <w:spacing w:line="440" w:lineRule="exact"/>
        <w:ind w:firstLine="480" w:firstLineChars="200"/>
        <w:rPr>
          <w:rFonts w:ascii="宋体" w:hAnsi="宋体"/>
          <w:sz w:val="24"/>
        </w:rPr>
      </w:pPr>
      <w:r>
        <w:rPr>
          <w:rFonts w:hint="eastAsia" w:ascii="宋体" w:hAnsi="宋体"/>
          <w:sz w:val="24"/>
        </w:rPr>
        <w:t>1.电子交易平台发生故障而无法登录访问的；</w:t>
      </w:r>
    </w:p>
    <w:p>
      <w:pPr>
        <w:snapToGrid w:val="0"/>
        <w:spacing w:line="440" w:lineRule="exact"/>
        <w:ind w:firstLine="480" w:firstLineChars="200"/>
        <w:rPr>
          <w:rFonts w:ascii="宋体" w:hAnsi="宋体"/>
          <w:sz w:val="24"/>
        </w:rPr>
      </w:pPr>
      <w:r>
        <w:rPr>
          <w:rFonts w:hint="eastAsia" w:ascii="宋体" w:hAnsi="宋体"/>
          <w:sz w:val="24"/>
        </w:rPr>
        <w:t>2.电子交易平台应用或数据库出现错误，不能进行正常操作的；</w:t>
      </w:r>
    </w:p>
    <w:p>
      <w:pPr>
        <w:snapToGrid w:val="0"/>
        <w:spacing w:line="440" w:lineRule="exact"/>
        <w:ind w:firstLine="480" w:firstLineChars="200"/>
        <w:rPr>
          <w:rFonts w:ascii="宋体" w:hAnsi="宋体"/>
          <w:sz w:val="24"/>
        </w:rPr>
      </w:pPr>
      <w:r>
        <w:rPr>
          <w:rFonts w:hint="eastAsia" w:ascii="宋体" w:hAnsi="宋体"/>
          <w:sz w:val="24"/>
        </w:rPr>
        <w:t>3.电子交易平台发现严重安全漏洞，有潜在泄密危险的；</w:t>
      </w:r>
    </w:p>
    <w:p>
      <w:pPr>
        <w:snapToGrid w:val="0"/>
        <w:spacing w:line="440" w:lineRule="exact"/>
        <w:ind w:firstLine="480" w:firstLineChars="200"/>
        <w:rPr>
          <w:rFonts w:ascii="宋体" w:hAnsi="宋体"/>
          <w:sz w:val="24"/>
        </w:rPr>
      </w:pPr>
      <w:r>
        <w:rPr>
          <w:rFonts w:hint="eastAsia" w:ascii="宋体" w:hAnsi="宋体"/>
          <w:sz w:val="24"/>
        </w:rPr>
        <w:t>4.病毒发作导致不能进行正常操作的；</w:t>
      </w:r>
    </w:p>
    <w:p>
      <w:pPr>
        <w:snapToGrid w:val="0"/>
        <w:spacing w:line="440" w:lineRule="exact"/>
        <w:ind w:firstLine="480" w:firstLineChars="200"/>
        <w:rPr>
          <w:rFonts w:ascii="宋体" w:hAnsi="宋体"/>
          <w:sz w:val="24"/>
        </w:rPr>
      </w:pPr>
      <w:r>
        <w:rPr>
          <w:rFonts w:hint="eastAsia" w:ascii="宋体" w:hAnsi="宋体"/>
          <w:sz w:val="24"/>
        </w:rPr>
        <w:t>5.其他无法保证电子交易的公平、公正和安全的情况。</w:t>
      </w:r>
    </w:p>
    <w:p>
      <w:pPr>
        <w:pStyle w:val="6"/>
        <w:snapToGrid w:val="0"/>
        <w:spacing w:line="440" w:lineRule="exact"/>
        <w:ind w:firstLine="480" w:firstLineChars="200"/>
        <w:rPr>
          <w:rFonts w:ascii="宋体" w:hAnsi="宋体"/>
          <w:sz w:val="24"/>
          <w:szCs w:val="24"/>
        </w:rPr>
      </w:pPr>
      <w:r>
        <w:rPr>
          <w:rFonts w:hint="eastAsia" w:ascii="宋体" w:hAnsi="宋体"/>
          <w:sz w:val="24"/>
          <w:szCs w:val="24"/>
        </w:rPr>
        <w:t>出现前款规定情形，不影响采购公平、公正性的，采购组织机构可以待上述情形消除后继续组织电子交易活动。</w:t>
      </w:r>
    </w:p>
    <w:p>
      <w:pPr>
        <w:pStyle w:val="6"/>
        <w:snapToGrid w:val="0"/>
        <w:spacing w:line="440" w:lineRule="exact"/>
        <w:ind w:firstLine="723" w:firstLineChars="300"/>
        <w:rPr>
          <w:b/>
          <w:bCs/>
          <w:sz w:val="24"/>
          <w:szCs w:val="24"/>
        </w:rPr>
      </w:pPr>
      <w:r>
        <w:rPr>
          <w:rFonts w:hint="eastAsia"/>
          <w:b/>
          <w:bCs/>
          <w:sz w:val="24"/>
          <w:szCs w:val="24"/>
        </w:rPr>
        <w:t>（四）开标异议</w:t>
      </w:r>
    </w:p>
    <w:p>
      <w:pPr>
        <w:pStyle w:val="6"/>
        <w:snapToGrid w:val="0"/>
        <w:spacing w:line="440" w:lineRule="exact"/>
        <w:ind w:firstLine="480" w:firstLineChars="200"/>
        <w:rPr>
          <w:sz w:val="24"/>
          <w:szCs w:val="24"/>
        </w:rPr>
      </w:pPr>
      <w:r>
        <w:rPr>
          <w:rFonts w:hint="eastAsia"/>
          <w:sz w:val="24"/>
          <w:szCs w:val="24"/>
        </w:rPr>
        <w:t>投标人代表对开标过程和开标记录有疑义，以及认为采购人、采购组织机构相关工作人员有需要回避的情形的，应当场提出询问或者回避申请，开标会议结束后不再接受相关询问、质疑或者回避申请。</w:t>
      </w:r>
    </w:p>
    <w:p>
      <w:pPr>
        <w:pStyle w:val="6"/>
        <w:snapToGrid w:val="0"/>
        <w:spacing w:line="440" w:lineRule="exact"/>
        <w:ind w:firstLine="723" w:firstLineChars="300"/>
        <w:rPr>
          <w:sz w:val="24"/>
          <w:szCs w:val="24"/>
        </w:rPr>
      </w:pPr>
      <w:r>
        <w:rPr>
          <w:rFonts w:hint="eastAsia"/>
          <w:b/>
          <w:bCs/>
          <w:sz w:val="24"/>
          <w:szCs w:val="24"/>
        </w:rPr>
        <w:t>（五）</w:t>
      </w:r>
      <w:r>
        <w:rPr>
          <w:rFonts w:hint="eastAsia"/>
          <w:sz w:val="24"/>
          <w:szCs w:val="24"/>
        </w:rPr>
        <w:t>投标人不足三家，不得开标。</w:t>
      </w:r>
    </w:p>
    <w:p>
      <w:pPr>
        <w:pStyle w:val="16"/>
        <w:snapToGrid w:val="0"/>
        <w:spacing w:line="440" w:lineRule="exact"/>
        <w:ind w:firstLine="482" w:firstLineChars="200"/>
        <w:rPr>
          <w:rFonts w:hAnsi="宋体"/>
          <w:b/>
          <w:sz w:val="24"/>
        </w:rPr>
      </w:pPr>
      <w:r>
        <w:rPr>
          <w:rFonts w:hint="eastAsia" w:hAnsi="宋体"/>
          <w:b/>
          <w:sz w:val="24"/>
        </w:rPr>
        <w:t>五、评标（详见第四章）</w:t>
      </w:r>
    </w:p>
    <w:p>
      <w:pPr>
        <w:pStyle w:val="24"/>
        <w:snapToGrid w:val="0"/>
        <w:spacing w:before="0" w:beforeAutospacing="0" w:after="0" w:afterAutospacing="0" w:line="440" w:lineRule="exact"/>
        <w:ind w:firstLine="482" w:firstLineChars="200"/>
        <w:jc w:val="both"/>
        <w:rPr>
          <w:rFonts w:hint="default"/>
          <w:b/>
        </w:rPr>
      </w:pPr>
      <w:r>
        <w:rPr>
          <w:b/>
        </w:rPr>
        <w:t>六、定标</w:t>
      </w:r>
    </w:p>
    <w:p>
      <w:pPr>
        <w:snapToGrid w:val="0"/>
        <w:spacing w:line="440" w:lineRule="exact"/>
        <w:ind w:firstLine="482" w:firstLineChars="200"/>
        <w:rPr>
          <w:rFonts w:ascii="宋体" w:hAnsi="宋体"/>
          <w:b/>
          <w:bCs/>
          <w:kern w:val="0"/>
          <w:sz w:val="24"/>
        </w:rPr>
      </w:pPr>
      <w:r>
        <w:rPr>
          <w:rFonts w:hint="eastAsia" w:ascii="宋体" w:hAnsi="宋体"/>
          <w:b/>
          <w:bCs/>
          <w:sz w:val="24"/>
        </w:rPr>
        <w:t>（一）</w:t>
      </w:r>
      <w:r>
        <w:rPr>
          <w:rFonts w:hint="eastAsia" w:ascii="宋体" w:hAnsi="宋体"/>
          <w:b/>
          <w:bCs/>
          <w:kern w:val="0"/>
          <w:sz w:val="24"/>
        </w:rPr>
        <w:t>发布</w:t>
      </w:r>
      <w:r>
        <w:rPr>
          <w:b/>
          <w:bCs/>
          <w:sz w:val="24"/>
        </w:rPr>
        <w:t>中标</w:t>
      </w:r>
      <w:r>
        <w:rPr>
          <w:rFonts w:hint="eastAsia" w:ascii="宋体" w:hAnsi="宋体"/>
          <w:b/>
          <w:bCs/>
          <w:kern w:val="0"/>
          <w:sz w:val="24"/>
        </w:rPr>
        <w:t>结果公示</w:t>
      </w:r>
    </w:p>
    <w:p>
      <w:pPr>
        <w:snapToGrid w:val="0"/>
        <w:spacing w:line="440" w:lineRule="exact"/>
        <w:ind w:firstLine="480" w:firstLineChars="200"/>
        <w:rPr>
          <w:rFonts w:ascii="宋体" w:hAnsi="宋体"/>
          <w:kern w:val="0"/>
          <w:sz w:val="24"/>
        </w:rPr>
      </w:pPr>
      <w:r>
        <w:rPr>
          <w:rFonts w:hint="eastAsia" w:ascii="宋体" w:hAnsi="宋体"/>
          <w:kern w:val="0"/>
          <w:sz w:val="24"/>
        </w:rPr>
        <w:t>本项目推荐一名中标候选人。评标委员会推荐总得分从高到低排名第一的为中标候选人，</w:t>
      </w:r>
      <w:r>
        <w:rPr>
          <w:rFonts w:hint="eastAsia" w:ascii="宋体" w:hAnsi="宋体" w:cs="宋体"/>
          <w:bCs/>
          <w:sz w:val="24"/>
        </w:rPr>
        <w:t>若出现</w:t>
      </w:r>
      <w:r>
        <w:rPr>
          <w:rFonts w:hint="eastAsia" w:ascii="宋体" w:hAnsi="宋体" w:cs="宋体"/>
          <w:sz w:val="24"/>
        </w:rPr>
        <w:t>总得分相同的，按资信技术得分由高到低顺序排列；总得分且资信技术得分相同的，按投标报价系数由低到高顺序排列；如果均相同，则由采购人代表抽签决定</w:t>
      </w:r>
      <w:r>
        <w:rPr>
          <w:rFonts w:hint="eastAsia" w:ascii="宋体" w:hAnsi="宋体" w:cs="宋体"/>
          <w:bCs/>
          <w:sz w:val="24"/>
        </w:rPr>
        <w:t>。</w:t>
      </w:r>
      <w:r>
        <w:rPr>
          <w:rFonts w:hint="eastAsia" w:ascii="宋体" w:hAnsi="宋体"/>
          <w:kern w:val="0"/>
          <w:sz w:val="24"/>
        </w:rPr>
        <w:t>如有效标不足三家使得投标明显缺乏竞争时，评标委员会可以否决全部报价，经评审后有效标不足三家但并非均高于报价系数上限，评标委员会认为有效报价仍具有竞争性的，开标继续有效。</w:t>
      </w:r>
    </w:p>
    <w:p>
      <w:pPr>
        <w:pStyle w:val="24"/>
        <w:snapToGrid w:val="0"/>
        <w:spacing w:before="0" w:beforeAutospacing="0" w:after="0" w:afterAutospacing="0" w:line="440" w:lineRule="exact"/>
        <w:ind w:firstLine="480" w:firstLineChars="200"/>
        <w:jc w:val="both"/>
        <w:rPr>
          <w:rFonts w:hint="default"/>
        </w:rPr>
      </w:pPr>
      <w:r>
        <w:t>采购组织机构自中标候选人确定之日起3个工作日内，在浙江省政府采购网和</w:t>
      </w:r>
      <w:r>
        <w:rPr>
          <w:rFonts w:cs="宋体"/>
        </w:rPr>
        <w:t>台州湾新区小额工程电子交易平台</w:t>
      </w:r>
      <w:r>
        <w:t>公告中标结果，中标结果公示期为3日。</w:t>
      </w:r>
    </w:p>
    <w:p>
      <w:pPr>
        <w:pStyle w:val="24"/>
        <w:snapToGrid w:val="0"/>
        <w:spacing w:before="0" w:beforeAutospacing="0" w:after="0" w:afterAutospacing="0" w:line="440" w:lineRule="exact"/>
        <w:ind w:firstLine="482" w:firstLineChars="200"/>
        <w:jc w:val="both"/>
        <w:rPr>
          <w:rFonts w:hint="default"/>
          <w:b/>
          <w:bCs/>
        </w:rPr>
      </w:pPr>
      <w:r>
        <w:rPr>
          <w:b/>
          <w:bCs/>
        </w:rPr>
        <w:t>（二）确定中标人</w:t>
      </w:r>
    </w:p>
    <w:p>
      <w:pPr>
        <w:snapToGrid w:val="0"/>
        <w:spacing w:line="440" w:lineRule="exact"/>
        <w:ind w:firstLine="480" w:firstLineChars="200"/>
        <w:rPr>
          <w:rFonts w:ascii="宋体" w:hAnsi="宋体"/>
          <w:kern w:val="0"/>
          <w:sz w:val="24"/>
        </w:rPr>
      </w:pPr>
      <w:r>
        <w:rPr>
          <w:rFonts w:hint="eastAsia" w:ascii="宋体" w:hAnsi="宋体"/>
          <w:kern w:val="0"/>
          <w:sz w:val="24"/>
        </w:rPr>
        <w:t>本项目确定一名中标人，公示期满后，采购人应确定本项目中标候选人为本项目中标人。</w:t>
      </w:r>
    </w:p>
    <w:p>
      <w:pPr>
        <w:pStyle w:val="9"/>
        <w:snapToGrid w:val="0"/>
        <w:spacing w:line="440" w:lineRule="exact"/>
        <w:ind w:firstLine="482" w:firstLineChars="200"/>
        <w:jc w:val="both"/>
        <w:rPr>
          <w:b/>
          <w:bCs/>
          <w:sz w:val="24"/>
        </w:rPr>
      </w:pPr>
      <w:r>
        <w:rPr>
          <w:rFonts w:hint="eastAsia"/>
          <w:b/>
          <w:bCs/>
          <w:sz w:val="24"/>
        </w:rPr>
        <w:t>（三）发放中标通知书</w:t>
      </w:r>
    </w:p>
    <w:p>
      <w:pPr>
        <w:pStyle w:val="11"/>
        <w:tabs>
          <w:tab w:val="left" w:pos="574"/>
        </w:tabs>
        <w:snapToGrid w:val="0"/>
        <w:spacing w:line="440" w:lineRule="exact"/>
        <w:ind w:firstLine="480" w:firstLineChars="200"/>
      </w:pPr>
      <w:r>
        <w:rPr>
          <w:rFonts w:hint="eastAsia"/>
        </w:rPr>
        <w:t>采购人应当确定中标候选人为中标人。如涉及其他投标人资格无效的，评标结果不作调整。</w:t>
      </w:r>
    </w:p>
    <w:p>
      <w:pPr>
        <w:pStyle w:val="11"/>
        <w:tabs>
          <w:tab w:val="left" w:pos="574"/>
        </w:tabs>
        <w:snapToGrid w:val="0"/>
        <w:spacing w:line="440" w:lineRule="exact"/>
        <w:ind w:firstLine="480" w:firstLineChars="200"/>
      </w:pPr>
      <w:r>
        <w:rPr>
          <w:rFonts w:hint="eastAsia"/>
        </w:rPr>
        <w:t>中标候选人放弃中标，或者因不可抗力提出不能履行合同，或者因违反规定造成其资格无效的，本次招标失败，重新组织招标。如涉及其他投标人资格无效的，评标结果不作调整。</w:t>
      </w:r>
    </w:p>
    <w:p>
      <w:pPr>
        <w:pStyle w:val="11"/>
        <w:tabs>
          <w:tab w:val="left" w:pos="574"/>
        </w:tabs>
        <w:snapToGrid w:val="0"/>
        <w:spacing w:line="440" w:lineRule="exact"/>
        <w:ind w:firstLine="480" w:firstLineChars="200"/>
      </w:pPr>
      <w:r>
        <w:rPr>
          <w:rFonts w:hint="eastAsia"/>
        </w:rPr>
        <w:t>中标人确定后，采购人应当向中标人发出《中标通知书》。</w:t>
      </w:r>
    </w:p>
    <w:p>
      <w:pPr>
        <w:pStyle w:val="11"/>
        <w:tabs>
          <w:tab w:val="left" w:pos="574"/>
        </w:tabs>
        <w:snapToGrid w:val="0"/>
        <w:spacing w:line="440" w:lineRule="exact"/>
        <w:ind w:firstLine="480" w:firstLineChars="200"/>
      </w:pPr>
      <w:r>
        <w:rPr>
          <w:rFonts w:hint="eastAsia"/>
        </w:rPr>
        <w:t>《中标通知书》对采购人和中标人具有法律约束力。《中标通知书》发出后，如中标人因违反法律法规规定而中标无效的，应承担相应的法律责任，本次招标失败，应重新组织招标。</w:t>
      </w:r>
    </w:p>
    <w:p>
      <w:pPr>
        <w:snapToGrid w:val="0"/>
        <w:spacing w:line="440" w:lineRule="exact"/>
        <w:ind w:firstLine="482" w:firstLineChars="200"/>
        <w:rPr>
          <w:rFonts w:ascii="宋体" w:hAnsi="宋体"/>
          <w:kern w:val="0"/>
          <w:sz w:val="24"/>
        </w:rPr>
      </w:pPr>
      <w:r>
        <w:rPr>
          <w:rFonts w:hint="eastAsia" w:ascii="宋体" w:hAnsi="宋体"/>
          <w:b/>
          <w:sz w:val="24"/>
        </w:rPr>
        <w:t>七</w:t>
      </w:r>
      <w:r>
        <w:rPr>
          <w:rFonts w:ascii="宋体" w:hAnsi="宋体"/>
          <w:b/>
          <w:sz w:val="24"/>
        </w:rPr>
        <w:t>、</w:t>
      </w:r>
      <w:r>
        <w:rPr>
          <w:rFonts w:hint="eastAsia" w:ascii="宋体" w:hAnsi="宋体"/>
          <w:b/>
          <w:kern w:val="0"/>
          <w:sz w:val="24"/>
        </w:rPr>
        <w:t>合同签订</w:t>
      </w:r>
    </w:p>
    <w:p>
      <w:pPr>
        <w:snapToGrid w:val="0"/>
        <w:spacing w:line="440" w:lineRule="exact"/>
        <w:ind w:firstLine="482" w:firstLineChars="200"/>
        <w:rPr>
          <w:rFonts w:ascii="宋体" w:hAnsi="宋体"/>
          <w:b/>
          <w:kern w:val="0"/>
          <w:sz w:val="24"/>
        </w:rPr>
      </w:pPr>
      <w:r>
        <w:rPr>
          <w:rFonts w:hint="eastAsia" w:ascii="宋体" w:hAnsi="宋体"/>
          <w:b/>
          <w:sz w:val="24"/>
        </w:rPr>
        <w:t>（一）签订合同</w:t>
      </w:r>
    </w:p>
    <w:p>
      <w:pPr>
        <w:pStyle w:val="24"/>
        <w:snapToGrid w:val="0"/>
        <w:spacing w:before="0" w:beforeAutospacing="0" w:after="0" w:afterAutospacing="0" w:line="440" w:lineRule="exact"/>
        <w:ind w:firstLine="480" w:firstLineChars="200"/>
        <w:jc w:val="both"/>
        <w:rPr>
          <w:rFonts w:hint="default" w:cs="宋体"/>
        </w:rPr>
      </w:pPr>
      <w:r>
        <w:rPr>
          <w:rFonts w:cs="宋体"/>
        </w:rPr>
        <w:t>1.采购人应当自中标通知书发出之日起30日内，按照采购文件和中标人投标文件内容要求，与中标人签订合同。所签订的合同不得对采购文件确定的事项和中标人投标文件作实质性修改。</w:t>
      </w:r>
    </w:p>
    <w:p>
      <w:pPr>
        <w:pStyle w:val="24"/>
        <w:snapToGrid w:val="0"/>
        <w:spacing w:before="0" w:beforeAutospacing="0" w:after="0" w:afterAutospacing="0" w:line="440" w:lineRule="exact"/>
        <w:ind w:firstLine="480" w:firstLineChars="200"/>
        <w:jc w:val="both"/>
        <w:rPr>
          <w:rFonts w:hint="default" w:cs="宋体"/>
        </w:rPr>
      </w:pPr>
      <w:r>
        <w:rPr>
          <w:rFonts w:cs="宋体"/>
        </w:rPr>
        <w:t>2.采购人不得向中标人提出任何不合理的要求作为签订合同的条件。</w:t>
      </w:r>
    </w:p>
    <w:p>
      <w:pPr>
        <w:pStyle w:val="24"/>
        <w:snapToGrid w:val="0"/>
        <w:spacing w:before="0" w:beforeAutospacing="0" w:after="0" w:afterAutospacing="0" w:line="440" w:lineRule="exact"/>
        <w:ind w:firstLine="480" w:firstLineChars="200"/>
        <w:jc w:val="both"/>
        <w:rPr>
          <w:rFonts w:hint="default" w:cs="宋体"/>
        </w:rPr>
      </w:pPr>
      <w:r>
        <w:rPr>
          <w:rFonts w:cs="宋体"/>
        </w:rPr>
        <w:t>3.中标人无故拖延、拒签合同的，将取消中标资格。</w:t>
      </w:r>
    </w:p>
    <w:p>
      <w:pPr>
        <w:pStyle w:val="24"/>
        <w:snapToGrid w:val="0"/>
        <w:spacing w:before="0" w:beforeAutospacing="0" w:after="0" w:afterAutospacing="0" w:line="440" w:lineRule="exact"/>
        <w:ind w:firstLine="480" w:firstLineChars="200"/>
        <w:jc w:val="both"/>
        <w:rPr>
          <w:rFonts w:hint="default" w:cs="宋体"/>
        </w:rPr>
      </w:pPr>
      <w:r>
        <w:rPr>
          <w:rFonts w:cs="宋体"/>
        </w:rPr>
        <w:t>4.中标人拒绝与采购人签订合同的，采购人可以重新开展采购活动。</w:t>
      </w:r>
    </w:p>
    <w:p>
      <w:pPr>
        <w:pStyle w:val="24"/>
        <w:snapToGrid w:val="0"/>
        <w:spacing w:before="0" w:beforeAutospacing="0" w:after="0" w:afterAutospacing="0" w:line="440" w:lineRule="exact"/>
        <w:ind w:firstLine="480" w:firstLineChars="200"/>
        <w:jc w:val="both"/>
        <w:rPr>
          <w:rFonts w:hint="default" w:cs="宋体"/>
        </w:rPr>
      </w:pPr>
      <w:r>
        <w:rPr>
          <w:rFonts w:cs="宋体"/>
        </w:rPr>
        <w:t>5.询问或者质疑事项可能影响中标结果的，采购人应当暂停签订合同，已经签订合同的，应当中止履行合同。</w:t>
      </w:r>
    </w:p>
    <w:p>
      <w:pPr>
        <w:pStyle w:val="9"/>
        <w:snapToGrid w:val="0"/>
        <w:spacing w:line="440" w:lineRule="exact"/>
        <w:ind w:firstLine="482" w:firstLineChars="200"/>
        <w:jc w:val="both"/>
        <w:rPr>
          <w:rFonts w:ascii="宋体" w:hAnsi="宋体" w:cs="宋体"/>
          <w:b/>
          <w:bCs/>
          <w:kern w:val="0"/>
          <w:sz w:val="24"/>
        </w:rPr>
      </w:pPr>
      <w:r>
        <w:rPr>
          <w:rFonts w:hint="eastAsia" w:ascii="宋体" w:hAnsi="宋体" w:cs="宋体"/>
          <w:b/>
          <w:bCs/>
          <w:kern w:val="0"/>
          <w:sz w:val="24"/>
        </w:rPr>
        <w:t>（二）履约保证金</w:t>
      </w:r>
    </w:p>
    <w:p>
      <w:pPr>
        <w:pStyle w:val="9"/>
        <w:snapToGrid w:val="0"/>
        <w:spacing w:line="440" w:lineRule="exact"/>
        <w:ind w:firstLine="480" w:firstLineChars="200"/>
        <w:jc w:val="both"/>
        <w:rPr>
          <w:rFonts w:ascii="宋体" w:hAnsi="宋体" w:cs="宋体"/>
          <w:kern w:val="0"/>
          <w:sz w:val="24"/>
        </w:rPr>
      </w:pPr>
      <w:r>
        <w:rPr>
          <w:rFonts w:hint="eastAsia" w:ascii="宋体" w:hAnsi="宋体" w:cs="宋体"/>
          <w:kern w:val="0"/>
          <w:sz w:val="24"/>
        </w:rPr>
        <w:t>1.中标人应在签订合同前向采购人提交履约保证金，未提交履约保证金的，不授予合同。履约保证金的收取及退还详见投标人须知前附表。</w:t>
      </w:r>
    </w:p>
    <w:p>
      <w:pPr>
        <w:pStyle w:val="9"/>
        <w:snapToGrid w:val="0"/>
        <w:spacing w:line="440" w:lineRule="exact"/>
        <w:ind w:firstLine="480" w:firstLineChars="200"/>
        <w:jc w:val="both"/>
        <w:rPr>
          <w:rFonts w:ascii="宋体" w:hAnsi="宋体" w:cs="宋体"/>
          <w:kern w:val="0"/>
          <w:sz w:val="24"/>
        </w:rPr>
      </w:pPr>
      <w:r>
        <w:rPr>
          <w:rFonts w:hint="eastAsia" w:ascii="宋体" w:hAnsi="宋体" w:cs="宋体"/>
          <w:kern w:val="0"/>
          <w:sz w:val="24"/>
        </w:rPr>
        <w:t>2.签订合同后，如中标人不按双方合同约定履约，则没收其全部履约保证金，履约保证金不足以赔偿损失的，按实际损失赔偿。</w:t>
      </w:r>
    </w:p>
    <w:p>
      <w:pPr>
        <w:pStyle w:val="9"/>
        <w:snapToGrid w:val="0"/>
        <w:spacing w:line="440" w:lineRule="exact"/>
        <w:ind w:firstLine="482" w:firstLineChars="200"/>
        <w:jc w:val="both"/>
        <w:rPr>
          <w:rFonts w:ascii="宋体" w:hAnsi="宋体"/>
          <w:b/>
          <w:bCs/>
          <w:sz w:val="24"/>
        </w:rPr>
      </w:pPr>
      <w:r>
        <w:rPr>
          <w:rFonts w:hint="eastAsia" w:ascii="宋体" w:hAnsi="宋体"/>
          <w:b/>
          <w:bCs/>
          <w:sz w:val="24"/>
        </w:rPr>
        <w:t>八、询问、质疑与投诉</w:t>
      </w:r>
    </w:p>
    <w:p>
      <w:pPr>
        <w:pStyle w:val="9"/>
        <w:snapToGrid w:val="0"/>
        <w:spacing w:line="440" w:lineRule="exact"/>
        <w:ind w:firstLine="482" w:firstLineChars="200"/>
        <w:jc w:val="both"/>
        <w:rPr>
          <w:rFonts w:ascii="宋体" w:hAnsi="宋体"/>
          <w:b/>
          <w:bCs/>
          <w:sz w:val="24"/>
        </w:rPr>
      </w:pPr>
      <w:r>
        <w:rPr>
          <w:rFonts w:hint="eastAsia" w:ascii="宋体" w:hAnsi="宋体"/>
          <w:b/>
          <w:bCs/>
          <w:sz w:val="24"/>
        </w:rPr>
        <w:t>（一）询问</w:t>
      </w:r>
    </w:p>
    <w:p>
      <w:pPr>
        <w:pStyle w:val="9"/>
        <w:snapToGrid w:val="0"/>
        <w:spacing w:line="440" w:lineRule="exact"/>
        <w:ind w:firstLine="480" w:firstLineChars="200"/>
        <w:jc w:val="both"/>
        <w:rPr>
          <w:rFonts w:ascii="宋体" w:hAnsi="宋体"/>
          <w:sz w:val="24"/>
        </w:rPr>
      </w:pPr>
      <w:r>
        <w:rPr>
          <w:rFonts w:hint="eastAsia" w:ascii="宋体" w:hAnsi="宋体"/>
          <w:sz w:val="24"/>
        </w:rPr>
        <w:t>投标人对招标活动事项（采购文件、采购过程和中标结果）有疑问的，可以向采购人或采购组织机构提出询问，采购人或采购组织机构将及时作出答复，但答复的内容不涉及商业秘密。询问可以口头方式提出，也可以书面方式提出。联系方式见第一章“招标公告”中“采购人、采购组织机构的名称、地址和联系方式”。</w:t>
      </w:r>
    </w:p>
    <w:p>
      <w:pPr>
        <w:pStyle w:val="9"/>
        <w:snapToGrid w:val="0"/>
        <w:spacing w:line="440" w:lineRule="exact"/>
        <w:ind w:firstLine="482" w:firstLineChars="200"/>
        <w:jc w:val="both"/>
        <w:rPr>
          <w:rFonts w:ascii="宋体" w:hAnsi="宋体"/>
          <w:b/>
          <w:bCs/>
          <w:sz w:val="24"/>
        </w:rPr>
      </w:pPr>
      <w:r>
        <w:rPr>
          <w:rFonts w:hint="eastAsia" w:ascii="宋体" w:hAnsi="宋体"/>
          <w:b/>
          <w:bCs/>
          <w:sz w:val="24"/>
        </w:rPr>
        <w:t>（二）质疑</w:t>
      </w:r>
    </w:p>
    <w:p>
      <w:pPr>
        <w:pStyle w:val="9"/>
        <w:snapToGrid w:val="0"/>
        <w:spacing w:line="440" w:lineRule="exact"/>
        <w:ind w:firstLine="480" w:firstLineChars="200"/>
        <w:jc w:val="both"/>
        <w:rPr>
          <w:rFonts w:ascii="宋体" w:hAnsi="宋体"/>
          <w:sz w:val="24"/>
        </w:rPr>
      </w:pPr>
      <w:r>
        <w:rPr>
          <w:rFonts w:hint="eastAsia" w:ascii="宋体" w:hAnsi="宋体"/>
          <w:sz w:val="24"/>
        </w:rPr>
        <w:t>1.报名本项目的投标人认为采购文件、采购过程和中标结果使自己的权益受到损害的，通过书面形式一次性向采购人或采购组织机构提出质疑：</w:t>
      </w:r>
    </w:p>
    <w:p>
      <w:pPr>
        <w:pStyle w:val="9"/>
        <w:snapToGrid w:val="0"/>
        <w:spacing w:line="440" w:lineRule="exact"/>
        <w:ind w:firstLine="480" w:firstLineChars="200"/>
        <w:jc w:val="both"/>
        <w:rPr>
          <w:rFonts w:ascii="宋体" w:hAnsi="宋体"/>
          <w:sz w:val="24"/>
        </w:rPr>
      </w:pPr>
      <w:r>
        <w:rPr>
          <w:rFonts w:hint="eastAsia" w:ascii="宋体" w:hAnsi="宋体"/>
          <w:sz w:val="24"/>
        </w:rPr>
        <w:t>（1）投标人认为采购文件的内容损害其权益的，应当在各采购程序环节结束之日起10日内提出质疑；</w:t>
      </w:r>
    </w:p>
    <w:p>
      <w:pPr>
        <w:pStyle w:val="9"/>
        <w:snapToGrid w:val="0"/>
        <w:spacing w:line="440" w:lineRule="exact"/>
        <w:ind w:firstLine="480" w:firstLineChars="200"/>
        <w:jc w:val="both"/>
        <w:rPr>
          <w:rFonts w:ascii="宋体" w:hAnsi="宋体"/>
          <w:sz w:val="24"/>
        </w:rPr>
      </w:pPr>
      <w:r>
        <w:rPr>
          <w:rFonts w:hint="eastAsia" w:ascii="宋体" w:hAnsi="宋体"/>
          <w:sz w:val="24"/>
        </w:rPr>
        <w:t>（2）投标人对中标结果提出质疑的，应当在中标结果公告期限届满之日起7个工作日内提出质疑。</w:t>
      </w:r>
    </w:p>
    <w:p>
      <w:pPr>
        <w:pStyle w:val="9"/>
        <w:snapToGrid w:val="0"/>
        <w:spacing w:line="440" w:lineRule="exact"/>
        <w:ind w:firstLine="480" w:firstLineChars="200"/>
        <w:jc w:val="both"/>
        <w:rPr>
          <w:rFonts w:ascii="宋体" w:hAnsi="宋体"/>
          <w:sz w:val="24"/>
        </w:rPr>
      </w:pPr>
      <w:r>
        <w:rPr>
          <w:rFonts w:hint="eastAsia" w:ascii="宋体" w:hAnsi="宋体"/>
          <w:sz w:val="24"/>
        </w:rPr>
        <w:t>2.采购人或采购组织机构在收到投标人的书面质疑后7个工作日内作出答复，并以书面形式回复质疑投标人和其他有关投标人，但答复内容不涉及商业秘密。</w:t>
      </w:r>
    </w:p>
    <w:p>
      <w:pPr>
        <w:pStyle w:val="9"/>
        <w:snapToGrid w:val="0"/>
        <w:spacing w:line="440" w:lineRule="exact"/>
        <w:ind w:firstLine="480" w:firstLineChars="200"/>
        <w:jc w:val="both"/>
        <w:rPr>
          <w:rFonts w:ascii="宋体" w:hAnsi="宋体"/>
          <w:sz w:val="24"/>
        </w:rPr>
      </w:pPr>
      <w:r>
        <w:rPr>
          <w:rFonts w:hint="eastAsia" w:ascii="宋体" w:hAnsi="宋体"/>
          <w:sz w:val="24"/>
        </w:rPr>
        <w:t>3.投标人质疑应当有明确的请求和必要的证明材料，包括但不限于权益受损害的情况说明及受损害的原因、证据内容等，并对质疑内容的真实性承担责任，捏造事实、提供虚假材料或者以非法手段取得证明材料不能作为质疑、投诉的证明材料）。</w:t>
      </w:r>
    </w:p>
    <w:p>
      <w:pPr>
        <w:pStyle w:val="9"/>
        <w:snapToGrid w:val="0"/>
        <w:spacing w:line="440" w:lineRule="exact"/>
        <w:ind w:firstLine="482" w:firstLineChars="200"/>
        <w:jc w:val="both"/>
        <w:rPr>
          <w:rFonts w:ascii="宋体" w:hAnsi="宋体"/>
          <w:b/>
          <w:bCs/>
          <w:sz w:val="24"/>
        </w:rPr>
      </w:pPr>
      <w:r>
        <w:rPr>
          <w:rFonts w:hint="eastAsia" w:ascii="宋体" w:hAnsi="宋体"/>
          <w:b/>
          <w:bCs/>
          <w:sz w:val="24"/>
        </w:rPr>
        <w:t>（三）投诉</w:t>
      </w:r>
    </w:p>
    <w:p>
      <w:pPr>
        <w:pStyle w:val="9"/>
        <w:snapToGrid w:val="0"/>
        <w:spacing w:line="440" w:lineRule="exact"/>
        <w:ind w:firstLine="480" w:firstLineChars="200"/>
        <w:jc w:val="both"/>
        <w:rPr>
          <w:rFonts w:ascii="宋体" w:hAnsi="宋体"/>
          <w:sz w:val="24"/>
        </w:rPr>
      </w:pPr>
      <w:r>
        <w:rPr>
          <w:rFonts w:hint="eastAsia" w:ascii="宋体" w:hAnsi="宋体"/>
          <w:sz w:val="24"/>
        </w:rPr>
        <w:t>投标人对采购人或采购组织机构的质疑答复不满意或在规定时间内未得到答复的，可以在答复期满后15个工作日内，向同级监督管理机构投诉。</w:t>
      </w:r>
    </w:p>
    <w:p>
      <w:pPr>
        <w:pStyle w:val="9"/>
        <w:snapToGrid w:val="0"/>
        <w:spacing w:line="440" w:lineRule="exact"/>
        <w:ind w:firstLine="480" w:firstLineChars="200"/>
        <w:jc w:val="both"/>
        <w:rPr>
          <w:rFonts w:ascii="宋体" w:hAnsi="宋体"/>
          <w:b/>
          <w:sz w:val="36"/>
          <w:szCs w:val="36"/>
        </w:rPr>
      </w:pPr>
      <w:r>
        <w:rPr>
          <w:rFonts w:hint="eastAsia" w:ascii="宋体" w:hAnsi="宋体"/>
          <w:sz w:val="24"/>
        </w:rPr>
        <w:br w:type="page"/>
      </w:r>
    </w:p>
    <w:p>
      <w:pPr>
        <w:numPr>
          <w:ilvl w:val="0"/>
          <w:numId w:val="6"/>
        </w:numPr>
        <w:spacing w:line="360" w:lineRule="auto"/>
        <w:jc w:val="center"/>
        <w:rPr>
          <w:rFonts w:ascii="宋体" w:hAnsi="宋体"/>
          <w:b/>
          <w:sz w:val="36"/>
          <w:szCs w:val="36"/>
        </w:rPr>
      </w:pPr>
      <w:bookmarkStart w:id="34" w:name="_Toc13072_WPSOffice_Level1"/>
      <w:r>
        <w:rPr>
          <w:rFonts w:hint="eastAsia" w:ascii="宋体" w:hAnsi="宋体"/>
          <w:b/>
          <w:sz w:val="36"/>
          <w:szCs w:val="36"/>
        </w:rPr>
        <w:t>招标需求</w:t>
      </w:r>
      <w:bookmarkEnd w:id="34"/>
    </w:p>
    <w:p>
      <w:pPr>
        <w:pStyle w:val="14"/>
        <w:spacing w:line="540" w:lineRule="exact"/>
        <w:ind w:left="765" w:hanging="345" w:hangingChars="143"/>
        <w:rPr>
          <w:rFonts w:asciiTheme="minorEastAsia" w:hAnsiTheme="minorEastAsia" w:eastAsiaTheme="minorEastAsia" w:cstheme="minorEastAsia"/>
          <w:b/>
          <w:sz w:val="24"/>
        </w:rPr>
      </w:pPr>
      <w:bookmarkStart w:id="35" w:name="_Toc31173_WPSOffice_Level1"/>
      <w:r>
        <w:rPr>
          <w:rFonts w:hint="eastAsia" w:asciiTheme="minorEastAsia" w:hAnsiTheme="minorEastAsia" w:eastAsiaTheme="minorEastAsia" w:cstheme="minorEastAsia"/>
          <w:b/>
          <w:sz w:val="24"/>
        </w:rPr>
        <w:t>一、项目概况</w:t>
      </w:r>
    </w:p>
    <w:p>
      <w:pPr>
        <w:pStyle w:val="14"/>
        <w:spacing w:line="540" w:lineRule="exact"/>
        <w:ind w:left="0" w:leftChars="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根据台州湾新区2024年用海项目计划安排，台州湾新区计划开展历史围填海处置区域出让区块海域价格评估报告编制工作，本次招标预算25万。</w:t>
      </w:r>
    </w:p>
    <w:p>
      <w:pPr>
        <w:pStyle w:val="14"/>
        <w:spacing w:line="540" w:lineRule="exact"/>
        <w:ind w:left="765" w:hanging="345" w:hangingChars="143"/>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二、工作内容及要求</w:t>
      </w:r>
    </w:p>
    <w:p>
      <w:pPr>
        <w:spacing w:line="540" w:lineRule="exact"/>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海域价格评估报告编制</w:t>
      </w:r>
    </w:p>
    <w:p>
      <w:pPr>
        <w:spacing w:line="540" w:lineRule="exact"/>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根据《海域价格评估技术规范》(HY/T 0288-2020)、《浙江省海域价格评估规范》（DB33/T 2029—2017）等相关法律法规及技术规范文件要求对</w:t>
      </w:r>
      <w:r>
        <w:rPr>
          <w:rFonts w:hint="eastAsia" w:asciiTheme="minorEastAsia" w:hAnsiTheme="minorEastAsia" w:eastAsiaTheme="minorEastAsia" w:cstheme="minorEastAsia"/>
          <w:sz w:val="24"/>
        </w:rPr>
        <w:t>台州湾新区历史围填海处置区域出让区块</w:t>
      </w:r>
      <w:r>
        <w:rPr>
          <w:rFonts w:hint="eastAsia" w:asciiTheme="minorEastAsia" w:hAnsiTheme="minorEastAsia" w:eastAsiaTheme="minorEastAsia" w:cstheme="minorEastAsia"/>
          <w:bCs/>
          <w:sz w:val="24"/>
        </w:rPr>
        <w:t>进行海域价格评估并编制评估报告。</w:t>
      </w:r>
    </w:p>
    <w:tbl>
      <w:tblPr>
        <w:tblStyle w:val="28"/>
        <w:tblW w:w="83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31"/>
        <w:gridCol w:w="713"/>
        <w:gridCol w:w="829"/>
        <w:gridCol w:w="1269"/>
        <w:gridCol w:w="1421"/>
        <w:gridCol w:w="1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660" w:type="dxa"/>
            <w:vAlign w:val="center"/>
          </w:tcPr>
          <w:p>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序号</w:t>
            </w:r>
          </w:p>
        </w:tc>
        <w:tc>
          <w:tcPr>
            <w:tcW w:w="2331" w:type="dxa"/>
            <w:vAlign w:val="center"/>
          </w:tcPr>
          <w:p>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名称</w:t>
            </w:r>
          </w:p>
        </w:tc>
        <w:tc>
          <w:tcPr>
            <w:tcW w:w="713" w:type="dxa"/>
            <w:vAlign w:val="center"/>
          </w:tcPr>
          <w:p>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数量</w:t>
            </w:r>
          </w:p>
        </w:tc>
        <w:tc>
          <w:tcPr>
            <w:tcW w:w="829" w:type="dxa"/>
            <w:vAlign w:val="center"/>
          </w:tcPr>
          <w:p>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单位</w:t>
            </w:r>
          </w:p>
        </w:tc>
        <w:tc>
          <w:tcPr>
            <w:tcW w:w="1269" w:type="dxa"/>
            <w:vAlign w:val="center"/>
          </w:tcPr>
          <w:p>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预算</w:t>
            </w:r>
          </w:p>
          <w:p>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（万元）</w:t>
            </w:r>
          </w:p>
        </w:tc>
        <w:tc>
          <w:tcPr>
            <w:tcW w:w="1421" w:type="dxa"/>
            <w:vAlign w:val="center"/>
          </w:tcPr>
          <w:p>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报价系数上限</w:t>
            </w:r>
          </w:p>
        </w:tc>
        <w:tc>
          <w:tcPr>
            <w:tcW w:w="1143" w:type="dxa"/>
            <w:vAlign w:val="center"/>
          </w:tcPr>
          <w:p>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660" w:type="dxa"/>
            <w:vAlign w:val="center"/>
          </w:tcPr>
          <w:p>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1</w:t>
            </w:r>
          </w:p>
        </w:tc>
        <w:tc>
          <w:tcPr>
            <w:tcW w:w="2331" w:type="dxa"/>
            <w:vAlign w:val="center"/>
          </w:tcPr>
          <w:p>
            <w:pPr>
              <w:tabs>
                <w:tab w:val="left" w:pos="8280"/>
              </w:tabs>
              <w:autoSpaceDE w:val="0"/>
              <w:autoSpaceDN w:val="0"/>
              <w:adjustRightInd w:val="0"/>
              <w:jc w:val="center"/>
              <w:rPr>
                <w:rFonts w:hint="eastAsia" w:ascii="宋体" w:hAnsi="宋体" w:eastAsia="宋体" w:cs="宋体"/>
                <w:b/>
                <w:szCs w:val="21"/>
                <w:lang w:eastAsia="zh-CN"/>
              </w:rPr>
            </w:pPr>
            <w:r>
              <w:rPr>
                <w:rFonts w:hint="eastAsia" w:ascii="宋体" w:hAnsi="宋体" w:cs="宋体"/>
                <w:b/>
                <w:szCs w:val="21"/>
                <w:lang w:eastAsia="zh-CN"/>
              </w:rPr>
              <w:t>台州湾新区2024年度历史围填海处置区域出让区块海域使用价格评估报告书编制项目(重新招标）</w:t>
            </w:r>
          </w:p>
        </w:tc>
        <w:tc>
          <w:tcPr>
            <w:tcW w:w="713" w:type="dxa"/>
            <w:vAlign w:val="center"/>
          </w:tcPr>
          <w:p>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1</w:t>
            </w:r>
          </w:p>
        </w:tc>
        <w:tc>
          <w:tcPr>
            <w:tcW w:w="829" w:type="dxa"/>
            <w:vAlign w:val="center"/>
          </w:tcPr>
          <w:p>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年</w:t>
            </w:r>
          </w:p>
        </w:tc>
        <w:tc>
          <w:tcPr>
            <w:tcW w:w="1269" w:type="dxa"/>
            <w:vAlign w:val="center"/>
          </w:tcPr>
          <w:p>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25</w:t>
            </w:r>
          </w:p>
        </w:tc>
        <w:tc>
          <w:tcPr>
            <w:tcW w:w="1421" w:type="dxa"/>
            <w:vAlign w:val="center"/>
          </w:tcPr>
          <w:p>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0.7</w:t>
            </w:r>
          </w:p>
        </w:tc>
        <w:tc>
          <w:tcPr>
            <w:tcW w:w="1143" w:type="dxa"/>
            <w:vAlign w:val="center"/>
          </w:tcPr>
          <w:p>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w:t>
            </w:r>
          </w:p>
        </w:tc>
      </w:tr>
    </w:tbl>
    <w:p>
      <w:pPr>
        <w:pStyle w:val="14"/>
        <w:ind w:left="0" w:leftChars="0"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费用按照《浙江省物价局关于制定资产评估收费标准的通知》（浙价服[2011]90号）规定的收费标准（详见下表），再乘以最终的报价系数，报价系数最高不超过0.7。</w:t>
      </w:r>
    </w:p>
    <w:p>
      <w:pPr>
        <w:pStyle w:val="14"/>
        <w:ind w:left="721" w:hanging="301" w:hangingChars="143"/>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浙江省资产评估基准收费标准：</w:t>
      </w:r>
    </w:p>
    <w:tbl>
      <w:tblPr>
        <w:tblStyle w:val="28"/>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070"/>
        <w:gridCol w:w="4705"/>
        <w:gridCol w:w="246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atLeast"/>
          <w:jc w:val="center"/>
        </w:trPr>
        <w:tc>
          <w:tcPr>
            <w:tcW w:w="1070" w:type="dxa"/>
            <w:tcBorders>
              <w:top w:val="single" w:color="auto" w:sz="8" w:space="0"/>
              <w:left w:val="single" w:color="auto" w:sz="8" w:space="0"/>
              <w:bottom w:val="single" w:color="auto" w:sz="8" w:space="0"/>
              <w:right w:val="single" w:color="auto" w:sz="8" w:space="0"/>
            </w:tcBorders>
          </w:tcPr>
          <w:p>
            <w:pPr>
              <w:pStyle w:val="14"/>
              <w:ind w:left="721" w:hanging="301" w:hangingChars="143"/>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档次</w:t>
            </w:r>
          </w:p>
        </w:tc>
        <w:tc>
          <w:tcPr>
            <w:tcW w:w="4705" w:type="dxa"/>
            <w:tcBorders>
              <w:top w:val="single" w:color="auto" w:sz="8" w:space="0"/>
              <w:left w:val="nil"/>
              <w:bottom w:val="single" w:color="auto" w:sz="8" w:space="0"/>
              <w:right w:val="single" w:color="auto" w:sz="8" w:space="0"/>
            </w:tcBorders>
          </w:tcPr>
          <w:p>
            <w:pPr>
              <w:pStyle w:val="14"/>
              <w:ind w:left="721" w:hanging="301" w:hangingChars="143"/>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计费额度(万元)</w:t>
            </w:r>
          </w:p>
        </w:tc>
        <w:tc>
          <w:tcPr>
            <w:tcW w:w="2469" w:type="dxa"/>
            <w:tcBorders>
              <w:top w:val="single" w:color="auto" w:sz="8" w:space="0"/>
              <w:left w:val="nil"/>
              <w:bottom w:val="single" w:color="auto" w:sz="8" w:space="0"/>
              <w:right w:val="single" w:color="auto" w:sz="8" w:space="0"/>
            </w:tcBorders>
          </w:tcPr>
          <w:p>
            <w:pPr>
              <w:pStyle w:val="14"/>
              <w:ind w:left="721" w:hanging="301" w:hangingChars="143"/>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差额计费率‰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atLeast"/>
          <w:jc w:val="center"/>
        </w:trPr>
        <w:tc>
          <w:tcPr>
            <w:tcW w:w="1070" w:type="dxa"/>
            <w:tcBorders>
              <w:top w:val="nil"/>
              <w:left w:val="single" w:color="auto" w:sz="8" w:space="0"/>
              <w:bottom w:val="single" w:color="auto" w:sz="8" w:space="0"/>
              <w:right w:val="single" w:color="auto" w:sz="8" w:space="0"/>
            </w:tcBorders>
            <w:vAlign w:val="center"/>
          </w:tcPr>
          <w:p>
            <w:pPr>
              <w:pStyle w:val="14"/>
              <w:ind w:left="721" w:hanging="301" w:hangingChars="143"/>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l</w:t>
            </w:r>
          </w:p>
        </w:tc>
        <w:tc>
          <w:tcPr>
            <w:tcW w:w="4705" w:type="dxa"/>
            <w:tcBorders>
              <w:top w:val="nil"/>
              <w:left w:val="nil"/>
              <w:bottom w:val="single" w:color="auto" w:sz="8" w:space="0"/>
              <w:right w:val="single" w:color="auto" w:sz="8" w:space="0"/>
            </w:tcBorders>
            <w:vAlign w:val="center"/>
          </w:tcPr>
          <w:p>
            <w:pPr>
              <w:pStyle w:val="14"/>
              <w:ind w:left="721" w:hanging="301" w:hangingChars="143"/>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100以下(含100)</w:t>
            </w:r>
          </w:p>
        </w:tc>
        <w:tc>
          <w:tcPr>
            <w:tcW w:w="2469" w:type="dxa"/>
            <w:tcBorders>
              <w:top w:val="nil"/>
              <w:left w:val="nil"/>
              <w:bottom w:val="single" w:color="auto" w:sz="8" w:space="0"/>
              <w:right w:val="single" w:color="auto" w:sz="8" w:space="0"/>
            </w:tcBorders>
            <w:vAlign w:val="center"/>
          </w:tcPr>
          <w:p>
            <w:pPr>
              <w:pStyle w:val="14"/>
              <w:ind w:left="721" w:hanging="301" w:hangingChars="143"/>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atLeast"/>
          <w:jc w:val="center"/>
        </w:trPr>
        <w:tc>
          <w:tcPr>
            <w:tcW w:w="1070" w:type="dxa"/>
            <w:tcBorders>
              <w:top w:val="nil"/>
              <w:left w:val="single" w:color="auto" w:sz="8" w:space="0"/>
              <w:bottom w:val="single" w:color="auto" w:sz="8" w:space="0"/>
              <w:right w:val="single" w:color="auto" w:sz="8" w:space="0"/>
            </w:tcBorders>
            <w:vAlign w:val="center"/>
          </w:tcPr>
          <w:p>
            <w:pPr>
              <w:pStyle w:val="14"/>
              <w:ind w:left="721" w:hanging="301" w:hangingChars="143"/>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w:t>
            </w:r>
          </w:p>
        </w:tc>
        <w:tc>
          <w:tcPr>
            <w:tcW w:w="4705" w:type="dxa"/>
            <w:tcBorders>
              <w:top w:val="nil"/>
              <w:left w:val="nil"/>
              <w:bottom w:val="single" w:color="auto" w:sz="8" w:space="0"/>
              <w:right w:val="single" w:color="auto" w:sz="8" w:space="0"/>
            </w:tcBorders>
            <w:vAlign w:val="center"/>
          </w:tcPr>
          <w:p>
            <w:pPr>
              <w:pStyle w:val="14"/>
              <w:ind w:left="721" w:hanging="301" w:hangingChars="143"/>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100以上——1000(含1000)</w:t>
            </w:r>
          </w:p>
        </w:tc>
        <w:tc>
          <w:tcPr>
            <w:tcW w:w="2469" w:type="dxa"/>
            <w:tcBorders>
              <w:top w:val="nil"/>
              <w:left w:val="nil"/>
              <w:bottom w:val="single" w:color="auto" w:sz="8" w:space="0"/>
              <w:right w:val="single" w:color="auto" w:sz="8" w:space="0"/>
            </w:tcBorders>
            <w:vAlign w:val="center"/>
          </w:tcPr>
          <w:p>
            <w:pPr>
              <w:pStyle w:val="14"/>
              <w:ind w:left="721" w:hanging="301" w:hangingChars="143"/>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atLeast"/>
          <w:jc w:val="center"/>
        </w:trPr>
        <w:tc>
          <w:tcPr>
            <w:tcW w:w="1070" w:type="dxa"/>
            <w:tcBorders>
              <w:top w:val="nil"/>
              <w:left w:val="single" w:color="auto" w:sz="8" w:space="0"/>
              <w:bottom w:val="single" w:color="auto" w:sz="8" w:space="0"/>
              <w:right w:val="single" w:color="auto" w:sz="8" w:space="0"/>
            </w:tcBorders>
            <w:vAlign w:val="center"/>
          </w:tcPr>
          <w:p>
            <w:pPr>
              <w:pStyle w:val="14"/>
              <w:ind w:left="721" w:hanging="301" w:hangingChars="143"/>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w:t>
            </w:r>
          </w:p>
        </w:tc>
        <w:tc>
          <w:tcPr>
            <w:tcW w:w="4705" w:type="dxa"/>
            <w:tcBorders>
              <w:top w:val="nil"/>
              <w:left w:val="nil"/>
              <w:bottom w:val="single" w:color="auto" w:sz="8" w:space="0"/>
              <w:right w:val="single" w:color="auto" w:sz="8" w:space="0"/>
            </w:tcBorders>
            <w:vAlign w:val="center"/>
          </w:tcPr>
          <w:p>
            <w:pPr>
              <w:pStyle w:val="14"/>
              <w:ind w:left="721" w:hanging="301" w:hangingChars="143"/>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1000以上——5000(含5000)</w:t>
            </w:r>
          </w:p>
        </w:tc>
        <w:tc>
          <w:tcPr>
            <w:tcW w:w="2469" w:type="dxa"/>
            <w:tcBorders>
              <w:top w:val="nil"/>
              <w:left w:val="nil"/>
              <w:bottom w:val="single" w:color="auto" w:sz="8" w:space="0"/>
              <w:right w:val="single" w:color="auto" w:sz="8" w:space="0"/>
            </w:tcBorders>
            <w:vAlign w:val="center"/>
          </w:tcPr>
          <w:p>
            <w:pPr>
              <w:pStyle w:val="14"/>
              <w:ind w:left="721" w:hanging="301" w:hangingChars="143"/>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atLeast"/>
          <w:jc w:val="center"/>
        </w:trPr>
        <w:tc>
          <w:tcPr>
            <w:tcW w:w="1070" w:type="dxa"/>
            <w:tcBorders>
              <w:top w:val="nil"/>
              <w:left w:val="single" w:color="auto" w:sz="8" w:space="0"/>
              <w:bottom w:val="single" w:color="auto" w:sz="8" w:space="0"/>
              <w:right w:val="single" w:color="auto" w:sz="8" w:space="0"/>
            </w:tcBorders>
            <w:vAlign w:val="center"/>
          </w:tcPr>
          <w:p>
            <w:pPr>
              <w:pStyle w:val="14"/>
              <w:ind w:left="721" w:hanging="301" w:hangingChars="143"/>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4</w:t>
            </w:r>
          </w:p>
        </w:tc>
        <w:tc>
          <w:tcPr>
            <w:tcW w:w="4705" w:type="dxa"/>
            <w:tcBorders>
              <w:top w:val="nil"/>
              <w:left w:val="nil"/>
              <w:bottom w:val="single" w:color="auto" w:sz="8" w:space="0"/>
              <w:right w:val="single" w:color="auto" w:sz="8" w:space="0"/>
            </w:tcBorders>
            <w:vAlign w:val="center"/>
          </w:tcPr>
          <w:p>
            <w:pPr>
              <w:pStyle w:val="14"/>
              <w:ind w:left="721" w:hanging="301" w:hangingChars="143"/>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5000以上——10000(含10000)</w:t>
            </w:r>
          </w:p>
        </w:tc>
        <w:tc>
          <w:tcPr>
            <w:tcW w:w="2469" w:type="dxa"/>
            <w:tcBorders>
              <w:top w:val="nil"/>
              <w:left w:val="nil"/>
              <w:bottom w:val="single" w:color="auto" w:sz="8" w:space="0"/>
              <w:right w:val="single" w:color="auto" w:sz="8" w:space="0"/>
            </w:tcBorders>
            <w:vAlign w:val="center"/>
          </w:tcPr>
          <w:p>
            <w:pPr>
              <w:pStyle w:val="14"/>
              <w:ind w:left="721" w:hanging="301" w:hangingChars="143"/>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0.75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atLeast"/>
          <w:jc w:val="center"/>
        </w:trPr>
        <w:tc>
          <w:tcPr>
            <w:tcW w:w="1070" w:type="dxa"/>
            <w:tcBorders>
              <w:top w:val="nil"/>
              <w:left w:val="single" w:color="auto" w:sz="8" w:space="0"/>
              <w:bottom w:val="single" w:color="auto" w:sz="8" w:space="0"/>
              <w:right w:val="single" w:color="auto" w:sz="8" w:space="0"/>
            </w:tcBorders>
            <w:vAlign w:val="center"/>
          </w:tcPr>
          <w:p>
            <w:pPr>
              <w:pStyle w:val="14"/>
              <w:ind w:left="721" w:hanging="301" w:hangingChars="143"/>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5</w:t>
            </w:r>
          </w:p>
        </w:tc>
        <w:tc>
          <w:tcPr>
            <w:tcW w:w="4705" w:type="dxa"/>
            <w:tcBorders>
              <w:top w:val="nil"/>
              <w:left w:val="nil"/>
              <w:bottom w:val="single" w:color="auto" w:sz="8" w:space="0"/>
              <w:right w:val="single" w:color="auto" w:sz="8" w:space="0"/>
            </w:tcBorders>
            <w:vAlign w:val="center"/>
          </w:tcPr>
          <w:p>
            <w:pPr>
              <w:pStyle w:val="14"/>
              <w:ind w:left="721" w:hanging="301" w:hangingChars="143"/>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10000以上——100000(含100000)</w:t>
            </w:r>
          </w:p>
        </w:tc>
        <w:tc>
          <w:tcPr>
            <w:tcW w:w="2469" w:type="dxa"/>
            <w:tcBorders>
              <w:top w:val="nil"/>
              <w:left w:val="nil"/>
              <w:bottom w:val="single" w:color="auto" w:sz="8" w:space="0"/>
              <w:right w:val="single" w:color="auto" w:sz="8" w:space="0"/>
            </w:tcBorders>
            <w:vAlign w:val="center"/>
          </w:tcPr>
          <w:p>
            <w:pPr>
              <w:pStyle w:val="14"/>
              <w:ind w:left="721" w:hanging="301" w:hangingChars="143"/>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0.15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atLeast"/>
          <w:jc w:val="center"/>
        </w:trPr>
        <w:tc>
          <w:tcPr>
            <w:tcW w:w="1070" w:type="dxa"/>
            <w:tcBorders>
              <w:top w:val="nil"/>
              <w:left w:val="single" w:color="auto" w:sz="8" w:space="0"/>
              <w:bottom w:val="single" w:color="auto" w:sz="8" w:space="0"/>
              <w:right w:val="single" w:color="auto" w:sz="8" w:space="0"/>
            </w:tcBorders>
            <w:vAlign w:val="center"/>
          </w:tcPr>
          <w:p>
            <w:pPr>
              <w:pStyle w:val="14"/>
              <w:ind w:left="721" w:hanging="301" w:hangingChars="143"/>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6</w:t>
            </w:r>
          </w:p>
        </w:tc>
        <w:tc>
          <w:tcPr>
            <w:tcW w:w="4705" w:type="dxa"/>
            <w:tcBorders>
              <w:top w:val="nil"/>
              <w:left w:val="nil"/>
              <w:bottom w:val="single" w:color="auto" w:sz="8" w:space="0"/>
              <w:right w:val="single" w:color="auto" w:sz="8" w:space="0"/>
            </w:tcBorders>
            <w:vAlign w:val="center"/>
          </w:tcPr>
          <w:p>
            <w:pPr>
              <w:pStyle w:val="14"/>
              <w:ind w:left="721" w:hanging="301" w:hangingChars="143"/>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100000以上</w:t>
            </w:r>
          </w:p>
        </w:tc>
        <w:tc>
          <w:tcPr>
            <w:tcW w:w="2469" w:type="dxa"/>
            <w:tcBorders>
              <w:top w:val="nil"/>
              <w:left w:val="nil"/>
              <w:bottom w:val="single" w:color="auto" w:sz="8" w:space="0"/>
              <w:right w:val="single" w:color="auto" w:sz="8" w:space="0"/>
            </w:tcBorders>
            <w:vAlign w:val="center"/>
          </w:tcPr>
          <w:p>
            <w:pPr>
              <w:pStyle w:val="14"/>
              <w:ind w:left="721" w:hanging="301" w:hangingChars="143"/>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0.1</w:t>
            </w:r>
          </w:p>
        </w:tc>
      </w:tr>
    </w:tbl>
    <w:p>
      <w:pPr>
        <w:pStyle w:val="14"/>
        <w:ind w:left="721" w:hanging="301" w:hangingChars="143"/>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说明：l、计件收费实行差额定率累进计费。计费基数为账面原值。</w:t>
      </w:r>
    </w:p>
    <w:p>
      <w:pPr>
        <w:pStyle w:val="14"/>
        <w:ind w:left="721" w:hanging="301" w:hangingChars="143"/>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   2、收费额不足1500元的按1500元计算。</w:t>
      </w:r>
    </w:p>
    <w:p>
      <w:pPr>
        <w:pStyle w:val="14"/>
        <w:spacing w:line="540" w:lineRule="exact"/>
        <w:ind w:left="765" w:hanging="345" w:hangingChars="143"/>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三、主要成果及服务期</w:t>
      </w:r>
    </w:p>
    <w:p>
      <w:pPr>
        <w:spacing w:line="5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成果：根据国家及省市现行相关法律法规及技术规范性文件要求，开展调查并提供历史围填海处置区域出让区块海域使用项目海域</w:t>
      </w:r>
      <w:r>
        <w:rPr>
          <w:rFonts w:hint="eastAsia" w:asciiTheme="minorEastAsia" w:hAnsiTheme="minorEastAsia" w:eastAsiaTheme="minorEastAsia" w:cstheme="minorEastAsia"/>
          <w:bCs/>
          <w:sz w:val="24"/>
        </w:rPr>
        <w:t>价格评估报告</w:t>
      </w:r>
      <w:r>
        <w:rPr>
          <w:rFonts w:hint="eastAsia" w:asciiTheme="minorEastAsia" w:hAnsiTheme="minorEastAsia" w:eastAsiaTheme="minorEastAsia" w:cstheme="minorEastAsia"/>
          <w:sz w:val="24"/>
        </w:rPr>
        <w:t>。供应商需向</w:t>
      </w:r>
      <w:r>
        <w:rPr>
          <w:rFonts w:hint="eastAsia" w:asciiTheme="minorEastAsia" w:hAnsiTheme="minorEastAsia" w:eastAsiaTheme="minorEastAsia" w:cstheme="minorEastAsia"/>
          <w:bCs/>
          <w:sz w:val="24"/>
        </w:rPr>
        <w:t>采购人</w:t>
      </w:r>
      <w:r>
        <w:rPr>
          <w:rFonts w:hint="eastAsia" w:asciiTheme="minorEastAsia" w:hAnsiTheme="minorEastAsia" w:eastAsiaTheme="minorEastAsia" w:cstheme="minorEastAsia"/>
          <w:sz w:val="24"/>
        </w:rPr>
        <w:t>提交最终技术成果报告纸质版3份。</w:t>
      </w:r>
    </w:p>
    <w:p>
      <w:pPr>
        <w:spacing w:line="540" w:lineRule="exact"/>
        <w:ind w:firstLine="360" w:firstLine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服务期：供应商接收采购人提供的评估前置相关资料后10天内提交海域价格评估报告（送审稿）10份，通过海域使用权招拍挂领导小组会议后7天内提供报批稿3份。</w:t>
      </w:r>
    </w:p>
    <w:p>
      <w:pPr>
        <w:pStyle w:val="14"/>
        <w:spacing w:line="540" w:lineRule="exact"/>
        <w:ind w:left="765" w:hanging="345" w:hangingChars="143"/>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四、成果验收方式</w:t>
      </w:r>
    </w:p>
    <w:p>
      <w:pPr>
        <w:widowControl/>
        <w:snapToGrid w:val="0"/>
        <w:spacing w:line="5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项目的最终成果是海域价格评估报告，报告的验收以相关的海洋行政主管部门审查通过为标准。在海域价格评估报告编制完成后，乙方应当及时按甲方意见进行报告的修改，并提交通过审查的最终报告。报告修改费用已经包含在合同价款中，甲方将不另行支付这部分费用。</w:t>
      </w:r>
    </w:p>
    <w:p>
      <w:pPr>
        <w:spacing w:line="540" w:lineRule="exact"/>
        <w:ind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sz w:val="24"/>
        </w:rPr>
        <w:t>五、</w:t>
      </w:r>
      <w:r>
        <w:rPr>
          <w:rFonts w:hint="eastAsia" w:asciiTheme="minorEastAsia" w:hAnsiTheme="minorEastAsia" w:eastAsiaTheme="minorEastAsia" w:cstheme="minorEastAsia"/>
          <w:b/>
          <w:bCs/>
          <w:sz w:val="24"/>
        </w:rPr>
        <w:t>质量要求</w:t>
      </w:r>
    </w:p>
    <w:p>
      <w:pPr>
        <w:spacing w:line="5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海域使用价格评估报告符合相关规范并通过海洋主管部门审查。因成果质量问题或编制时间延期而造成项目不通过或时间延误，将由中标人负全部责任。</w:t>
      </w:r>
    </w:p>
    <w:p>
      <w:pPr>
        <w:pStyle w:val="14"/>
        <w:numPr>
          <w:ilvl w:val="0"/>
          <w:numId w:val="7"/>
        </w:numPr>
        <w:spacing w:line="540" w:lineRule="exact"/>
        <w:ind w:left="765" w:hanging="345" w:hangingChars="143"/>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质量免费维护</w:t>
      </w:r>
    </w:p>
    <w:p>
      <w:pPr>
        <w:pStyle w:val="14"/>
        <w:spacing w:line="560" w:lineRule="exact"/>
        <w:ind w:left="30" w:leftChars="-142" w:hanging="328" w:hangingChars="136"/>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 xml:space="preserve">       </w:t>
      </w:r>
      <w:r>
        <w:rPr>
          <w:rFonts w:hint="eastAsia" w:asciiTheme="minorEastAsia" w:hAnsiTheme="minorEastAsia" w:eastAsiaTheme="minorEastAsia" w:cstheme="minorEastAsia"/>
          <w:sz w:val="24"/>
        </w:rPr>
        <w:t>海域使用价格评估报告在用海项目取得省政府批复之前，</w:t>
      </w:r>
      <w:r>
        <w:rPr>
          <w:rFonts w:hint="eastAsia" w:asciiTheme="minorEastAsia" w:hAnsiTheme="minorEastAsia" w:eastAsiaTheme="minorEastAsia" w:cstheme="minorEastAsia"/>
          <w:bCs/>
          <w:sz w:val="24"/>
        </w:rPr>
        <w:t>中标人对采购人提出的成果质量问题进行免费的调查、调整和完善。</w:t>
      </w:r>
    </w:p>
    <w:p>
      <w:pPr>
        <w:pStyle w:val="14"/>
        <w:spacing w:line="560" w:lineRule="exact"/>
        <w:ind w:left="765" w:hanging="345" w:hangingChars="143"/>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七、付款方式</w:t>
      </w:r>
    </w:p>
    <w:p>
      <w:pPr>
        <w:adjustRightInd w:val="0"/>
        <w:snapToGrid w:val="0"/>
        <w:spacing w:line="560" w:lineRule="exact"/>
        <w:ind w:firstLine="480" w:firstLineChars="200"/>
        <w:rPr>
          <w:rFonts w:asciiTheme="minorEastAsia" w:hAnsiTheme="minorEastAsia" w:eastAsiaTheme="minorEastAsia" w:cstheme="minorEastAsia"/>
          <w:spacing w:val="-6"/>
          <w:sz w:val="24"/>
        </w:rPr>
      </w:pPr>
      <w:r>
        <w:rPr>
          <w:rFonts w:hint="eastAsia" w:asciiTheme="minorEastAsia" w:hAnsiTheme="minorEastAsia" w:eastAsiaTheme="minorEastAsia" w:cstheme="minorEastAsia"/>
          <w:sz w:val="24"/>
        </w:rPr>
        <w:t>（1）单个用海项目提交报告支付单个项目</w:t>
      </w:r>
      <w:r>
        <w:rPr>
          <w:rFonts w:hint="eastAsia" w:asciiTheme="minorEastAsia" w:hAnsiTheme="minorEastAsia" w:eastAsiaTheme="minorEastAsia" w:cstheme="minorEastAsia"/>
          <w:spacing w:val="-6"/>
          <w:sz w:val="24"/>
        </w:rPr>
        <w:t>合同价的80%；</w:t>
      </w:r>
    </w:p>
    <w:p>
      <w:pPr>
        <w:adjustRightInd w:val="0"/>
        <w:snapToGrid w:val="0"/>
        <w:spacing w:line="56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（2）一年服务期结束，所有项目取得省政府批复之</w:t>
      </w:r>
      <w:r>
        <w:rPr>
          <w:rFonts w:hint="eastAsia" w:asciiTheme="minorEastAsia" w:hAnsiTheme="minorEastAsia" w:eastAsiaTheme="minorEastAsia" w:cstheme="minorEastAsia"/>
          <w:spacing w:val="-6"/>
          <w:sz w:val="24"/>
        </w:rPr>
        <w:t>后支付20%尾款。</w:t>
      </w:r>
    </w:p>
    <w:p>
      <w:pPr>
        <w:pStyle w:val="24"/>
        <w:spacing w:before="75" w:beforeAutospacing="0" w:after="75" w:afterAutospacing="0" w:line="360" w:lineRule="auto"/>
        <w:ind w:firstLine="482" w:firstLineChars="200"/>
        <w:rPr>
          <w:rFonts w:hint="default" w:asciiTheme="minorEastAsia" w:hAnsiTheme="minorEastAsia" w:eastAsiaTheme="minorEastAsia" w:cstheme="minorEastAsia"/>
          <w:b/>
          <w:bCs/>
          <w:snapToGrid w:val="0"/>
        </w:rPr>
      </w:pPr>
    </w:p>
    <w:p>
      <w:pPr>
        <w:pStyle w:val="36"/>
      </w:pPr>
    </w:p>
    <w:p>
      <w:pPr>
        <w:pStyle w:val="36"/>
      </w:pPr>
    </w:p>
    <w:p>
      <w:pPr>
        <w:pStyle w:val="36"/>
      </w:pPr>
    </w:p>
    <w:p>
      <w:pPr>
        <w:pStyle w:val="36"/>
      </w:pPr>
    </w:p>
    <w:p>
      <w:pPr>
        <w:pStyle w:val="36"/>
      </w:pPr>
    </w:p>
    <w:p>
      <w:pPr>
        <w:pStyle w:val="36"/>
      </w:pPr>
    </w:p>
    <w:p>
      <w:pPr>
        <w:pStyle w:val="36"/>
      </w:pPr>
    </w:p>
    <w:p>
      <w:pPr>
        <w:pStyle w:val="36"/>
      </w:pPr>
    </w:p>
    <w:p>
      <w:pPr>
        <w:pStyle w:val="36"/>
      </w:pPr>
    </w:p>
    <w:p>
      <w:pPr>
        <w:pStyle w:val="36"/>
      </w:pPr>
    </w:p>
    <w:p>
      <w:pPr>
        <w:numPr>
          <w:ilvl w:val="0"/>
          <w:numId w:val="6"/>
        </w:numPr>
        <w:spacing w:line="360" w:lineRule="auto"/>
        <w:jc w:val="center"/>
        <w:rPr>
          <w:rFonts w:ascii="宋体" w:hAnsi="宋体"/>
          <w:b/>
          <w:sz w:val="36"/>
          <w:szCs w:val="36"/>
        </w:rPr>
      </w:pPr>
      <w:r>
        <w:rPr>
          <w:rFonts w:hint="eastAsia" w:ascii="宋体" w:hAnsi="宋体"/>
          <w:b/>
          <w:sz w:val="36"/>
          <w:szCs w:val="36"/>
        </w:rPr>
        <w:t>评标</w:t>
      </w:r>
      <w:bookmarkEnd w:id="35"/>
    </w:p>
    <w:p>
      <w:pPr>
        <w:spacing w:line="360" w:lineRule="auto"/>
        <w:ind w:firstLine="482" w:firstLineChars="200"/>
        <w:rPr>
          <w:rFonts w:ascii="宋体" w:hAnsi="宋体" w:cs="宋体"/>
          <w:b/>
          <w:bCs/>
          <w:sz w:val="24"/>
        </w:rPr>
      </w:pPr>
      <w:r>
        <w:rPr>
          <w:rFonts w:hint="eastAsia" w:ascii="宋体" w:hAnsi="宋体" w:cs="宋体"/>
          <w:b/>
          <w:bCs/>
          <w:sz w:val="24"/>
        </w:rPr>
        <w:t>一、评标原则</w:t>
      </w:r>
    </w:p>
    <w:p>
      <w:pPr>
        <w:spacing w:line="360" w:lineRule="auto"/>
        <w:ind w:firstLine="480" w:firstLineChars="200"/>
        <w:rPr>
          <w:rFonts w:ascii="宋体" w:hAnsi="宋体" w:cs="宋体"/>
          <w:sz w:val="24"/>
        </w:rPr>
      </w:pPr>
      <w:r>
        <w:rPr>
          <w:rFonts w:hint="eastAsia" w:ascii="宋体" w:hAnsi="宋体" w:cs="宋体"/>
          <w:sz w:val="24"/>
        </w:rPr>
        <w:t>（一）评标活动遵循公平、公正、科学和择优的原则，以采购文件和投标文件为评标的基本依据，并按照采购文件规定的评标方法和评标标准进行评标。</w:t>
      </w:r>
    </w:p>
    <w:p>
      <w:pPr>
        <w:spacing w:line="360" w:lineRule="auto"/>
        <w:ind w:firstLine="480" w:firstLineChars="200"/>
        <w:rPr>
          <w:rFonts w:ascii="宋体" w:hAnsi="宋体" w:cs="宋体"/>
          <w:sz w:val="24"/>
        </w:rPr>
      </w:pPr>
      <w:r>
        <w:rPr>
          <w:rFonts w:hint="eastAsia" w:ascii="宋体" w:hAnsi="宋体" w:cs="宋体"/>
          <w:sz w:val="24"/>
        </w:rPr>
        <w:t>（二）任何单位和个人不得干扰、影响评标的正常进行；评标委员会及有关工作人员应不带任何倾向性和启发性，不得向外界透露任何与评标有关的内容，不得私下与投标人接触。</w:t>
      </w:r>
    </w:p>
    <w:p>
      <w:pPr>
        <w:spacing w:line="360" w:lineRule="auto"/>
        <w:ind w:firstLine="482" w:firstLineChars="200"/>
        <w:rPr>
          <w:rFonts w:ascii="宋体" w:hAnsi="宋体" w:cs="宋体"/>
          <w:b/>
          <w:bCs/>
          <w:sz w:val="24"/>
        </w:rPr>
      </w:pPr>
      <w:r>
        <w:rPr>
          <w:rFonts w:hint="eastAsia" w:ascii="宋体" w:hAnsi="宋体" w:cs="宋体"/>
          <w:b/>
          <w:bCs/>
          <w:sz w:val="24"/>
        </w:rPr>
        <w:t>二、评标方法</w:t>
      </w:r>
    </w:p>
    <w:p>
      <w:pPr>
        <w:spacing w:line="360" w:lineRule="auto"/>
        <w:ind w:firstLine="480" w:firstLineChars="200"/>
      </w:pPr>
      <w:r>
        <w:rPr>
          <w:rFonts w:hint="eastAsia" w:ascii="宋体" w:hAnsi="宋体" w:cs="宋体"/>
          <w:sz w:val="24"/>
        </w:rPr>
        <w:t>投标文件满足采购文件全部实质性要求，且评标委员会按照评审因素确定中标候选人。</w:t>
      </w:r>
    </w:p>
    <w:p>
      <w:pPr>
        <w:pStyle w:val="27"/>
        <w:spacing w:after="0" w:line="360" w:lineRule="auto"/>
        <w:ind w:left="0" w:leftChars="0" w:firstLine="482" w:firstLineChars="200"/>
        <w:rPr>
          <w:rFonts w:ascii="宋体" w:hAnsi="宋体"/>
          <w:b/>
          <w:sz w:val="24"/>
        </w:rPr>
      </w:pPr>
      <w:r>
        <w:rPr>
          <w:rFonts w:hint="eastAsia" w:ascii="宋体" w:hAnsi="宋体"/>
          <w:b/>
          <w:sz w:val="24"/>
        </w:rPr>
        <w:t>三、评标委员会</w:t>
      </w:r>
    </w:p>
    <w:p>
      <w:pPr>
        <w:pStyle w:val="6"/>
        <w:spacing w:line="360" w:lineRule="auto"/>
        <w:ind w:firstLine="480" w:firstLineChars="200"/>
        <w:rPr>
          <w:rFonts w:ascii="宋体" w:hAnsi="宋体" w:cs="宋体"/>
          <w:sz w:val="24"/>
          <w:szCs w:val="24"/>
        </w:rPr>
      </w:pPr>
      <w:r>
        <w:rPr>
          <w:rFonts w:hint="eastAsia" w:ascii="宋体" w:hAnsi="宋体" w:cs="宋体"/>
          <w:sz w:val="24"/>
          <w:szCs w:val="24"/>
        </w:rPr>
        <w:t>（一）本项目评标委员会由采购人代表和评审专家组成。</w:t>
      </w:r>
    </w:p>
    <w:p>
      <w:pPr>
        <w:pStyle w:val="6"/>
        <w:spacing w:line="360" w:lineRule="auto"/>
        <w:ind w:firstLine="480" w:firstLineChars="200"/>
        <w:rPr>
          <w:rFonts w:ascii="宋体" w:hAnsi="宋体" w:cs="宋体"/>
          <w:sz w:val="24"/>
          <w:szCs w:val="24"/>
        </w:rPr>
      </w:pPr>
      <w:r>
        <w:rPr>
          <w:rFonts w:hint="eastAsia" w:ascii="宋体" w:hAnsi="宋体" w:cs="宋体"/>
          <w:sz w:val="24"/>
          <w:szCs w:val="24"/>
        </w:rPr>
        <w:t>（二）评标委员会成员与参与投标的投标人有下列情形之一的，应当回避：</w:t>
      </w:r>
    </w:p>
    <w:p>
      <w:pPr>
        <w:pStyle w:val="6"/>
        <w:spacing w:line="360" w:lineRule="auto"/>
        <w:ind w:firstLine="480" w:firstLineChars="200"/>
        <w:rPr>
          <w:rFonts w:ascii="宋体" w:hAnsi="宋体"/>
          <w:sz w:val="24"/>
        </w:rPr>
      </w:pPr>
      <w:r>
        <w:rPr>
          <w:rFonts w:hint="eastAsia" w:ascii="宋体" w:hAnsi="宋体"/>
          <w:sz w:val="24"/>
        </w:rPr>
        <w:t>1.参加采购活动前3年内与投标人存在劳动关系；</w:t>
      </w:r>
    </w:p>
    <w:p>
      <w:pPr>
        <w:pStyle w:val="6"/>
        <w:spacing w:line="360" w:lineRule="auto"/>
        <w:ind w:firstLine="480" w:firstLineChars="200"/>
        <w:rPr>
          <w:rFonts w:ascii="宋体" w:hAnsi="宋体"/>
          <w:sz w:val="24"/>
        </w:rPr>
      </w:pPr>
      <w:r>
        <w:rPr>
          <w:rFonts w:hint="eastAsia" w:ascii="宋体" w:hAnsi="宋体"/>
          <w:sz w:val="24"/>
        </w:rPr>
        <w:t>2.参加采购活动前3年内担任投标人的董事、监事；</w:t>
      </w:r>
    </w:p>
    <w:p>
      <w:pPr>
        <w:pStyle w:val="6"/>
        <w:spacing w:line="360" w:lineRule="auto"/>
        <w:ind w:firstLine="480" w:firstLineChars="200"/>
        <w:rPr>
          <w:rFonts w:ascii="宋体" w:hAnsi="宋体"/>
          <w:sz w:val="24"/>
        </w:rPr>
      </w:pPr>
      <w:r>
        <w:rPr>
          <w:rFonts w:hint="eastAsia" w:ascii="宋体" w:hAnsi="宋体"/>
          <w:sz w:val="24"/>
        </w:rPr>
        <w:t>3.参加采购活动前3年内是投标人的控股股东或者实际控制人；</w:t>
      </w:r>
    </w:p>
    <w:p>
      <w:pPr>
        <w:pStyle w:val="6"/>
        <w:spacing w:line="360" w:lineRule="auto"/>
        <w:ind w:firstLine="480" w:firstLineChars="200"/>
        <w:rPr>
          <w:rFonts w:ascii="宋体" w:hAnsi="宋体"/>
          <w:sz w:val="24"/>
        </w:rPr>
      </w:pPr>
      <w:r>
        <w:rPr>
          <w:rFonts w:hint="eastAsia" w:ascii="宋体" w:hAnsi="宋体"/>
          <w:sz w:val="24"/>
        </w:rPr>
        <w:t>4.与投标人的法定代表人或者负责人有夫妻、直系血亲、三代以内旁系血亲或者近姻亲关系；</w:t>
      </w:r>
    </w:p>
    <w:p>
      <w:pPr>
        <w:pStyle w:val="6"/>
        <w:spacing w:line="360" w:lineRule="auto"/>
        <w:ind w:firstLine="480" w:firstLineChars="200"/>
        <w:rPr>
          <w:rFonts w:ascii="宋体" w:hAnsi="宋体"/>
          <w:sz w:val="24"/>
        </w:rPr>
      </w:pPr>
      <w:r>
        <w:rPr>
          <w:rFonts w:hint="eastAsia" w:ascii="宋体" w:hAnsi="宋体"/>
          <w:sz w:val="24"/>
        </w:rPr>
        <w:t>5.与投标人有其他可能影响采购活动公平、公正进行的关系；</w:t>
      </w:r>
    </w:p>
    <w:p>
      <w:pPr>
        <w:pStyle w:val="6"/>
        <w:spacing w:line="360" w:lineRule="auto"/>
        <w:ind w:firstLine="480" w:firstLineChars="200"/>
        <w:rPr>
          <w:rFonts w:ascii="宋体" w:hAnsi="宋体"/>
          <w:sz w:val="24"/>
        </w:rPr>
      </w:pPr>
      <w:r>
        <w:rPr>
          <w:rFonts w:hint="eastAsia" w:ascii="宋体" w:hAnsi="宋体"/>
          <w:sz w:val="24"/>
        </w:rPr>
        <w:t>6.法律法规规定的其他情形。</w:t>
      </w:r>
    </w:p>
    <w:p>
      <w:pPr>
        <w:pStyle w:val="6"/>
        <w:spacing w:line="360" w:lineRule="auto"/>
        <w:ind w:firstLine="480" w:firstLineChars="200"/>
        <w:rPr>
          <w:rFonts w:ascii="宋体" w:hAnsi="宋体"/>
          <w:sz w:val="24"/>
        </w:rPr>
      </w:pPr>
      <w:r>
        <w:rPr>
          <w:rFonts w:hint="eastAsia" w:ascii="宋体" w:hAnsi="宋体"/>
          <w:sz w:val="24"/>
        </w:rPr>
        <w:t>（三）评标委员会负责具体评标事务，并独立履行下列职责：</w:t>
      </w:r>
    </w:p>
    <w:p>
      <w:pPr>
        <w:pStyle w:val="6"/>
        <w:spacing w:line="360" w:lineRule="auto"/>
        <w:ind w:firstLine="480" w:firstLineChars="200"/>
        <w:rPr>
          <w:rFonts w:ascii="宋体" w:hAnsi="宋体"/>
          <w:sz w:val="24"/>
        </w:rPr>
      </w:pPr>
      <w:r>
        <w:rPr>
          <w:rFonts w:hint="eastAsia" w:ascii="宋体" w:hAnsi="宋体"/>
          <w:sz w:val="24"/>
        </w:rPr>
        <w:t>1.审查、评价投标文件是否符合采购文件的商务、技术等实质性要求；</w:t>
      </w:r>
    </w:p>
    <w:p>
      <w:pPr>
        <w:pStyle w:val="6"/>
        <w:spacing w:line="360" w:lineRule="auto"/>
        <w:ind w:firstLine="480" w:firstLineChars="200"/>
        <w:rPr>
          <w:rFonts w:ascii="宋体" w:hAnsi="宋体"/>
          <w:sz w:val="24"/>
        </w:rPr>
      </w:pPr>
      <w:r>
        <w:rPr>
          <w:rFonts w:hint="eastAsia" w:ascii="宋体" w:hAnsi="宋体"/>
          <w:sz w:val="24"/>
        </w:rPr>
        <w:t>2.要求投标人对投标文件有关事项作出澄清或者说明；</w:t>
      </w:r>
    </w:p>
    <w:p>
      <w:pPr>
        <w:pStyle w:val="6"/>
        <w:spacing w:line="360" w:lineRule="auto"/>
        <w:ind w:firstLine="480" w:firstLineChars="200"/>
        <w:rPr>
          <w:rFonts w:ascii="宋体" w:hAnsi="宋体"/>
          <w:sz w:val="24"/>
        </w:rPr>
      </w:pPr>
      <w:r>
        <w:rPr>
          <w:rFonts w:hint="eastAsia" w:ascii="宋体" w:hAnsi="宋体"/>
          <w:sz w:val="24"/>
        </w:rPr>
        <w:t>3.对投标文件进行比较和评价；</w:t>
      </w:r>
    </w:p>
    <w:p>
      <w:pPr>
        <w:pStyle w:val="6"/>
        <w:spacing w:line="360" w:lineRule="auto"/>
        <w:ind w:firstLine="480" w:firstLineChars="200"/>
        <w:rPr>
          <w:rFonts w:ascii="宋体" w:hAnsi="宋体"/>
          <w:sz w:val="24"/>
        </w:rPr>
      </w:pPr>
      <w:r>
        <w:rPr>
          <w:rFonts w:hint="eastAsia" w:ascii="宋体" w:hAnsi="宋体"/>
          <w:sz w:val="24"/>
        </w:rPr>
        <w:t>4.确定中标候选人名单，以及根据采购人委托直接确定中标人；</w:t>
      </w:r>
    </w:p>
    <w:p>
      <w:pPr>
        <w:pStyle w:val="6"/>
        <w:spacing w:line="360" w:lineRule="auto"/>
        <w:ind w:firstLine="480" w:firstLineChars="200"/>
        <w:rPr>
          <w:rFonts w:ascii="宋体" w:hAnsi="宋体"/>
          <w:sz w:val="24"/>
        </w:rPr>
      </w:pPr>
      <w:r>
        <w:rPr>
          <w:rFonts w:hint="eastAsia" w:ascii="宋体" w:hAnsi="宋体"/>
          <w:sz w:val="24"/>
        </w:rPr>
        <w:t>5.向采购人、采购组织机构或者有关部门报告评标中发现的违法行为；</w:t>
      </w:r>
    </w:p>
    <w:p>
      <w:pPr>
        <w:pStyle w:val="6"/>
        <w:spacing w:line="360" w:lineRule="auto"/>
        <w:ind w:firstLine="480" w:firstLineChars="200"/>
        <w:rPr>
          <w:rFonts w:ascii="宋体" w:hAnsi="宋体"/>
          <w:sz w:val="24"/>
        </w:rPr>
      </w:pPr>
      <w:r>
        <w:rPr>
          <w:rFonts w:hint="eastAsia" w:ascii="宋体" w:hAnsi="宋体"/>
          <w:sz w:val="24"/>
        </w:rPr>
        <w:t>6.法律法规规定的其他职责。</w:t>
      </w:r>
    </w:p>
    <w:p>
      <w:pPr>
        <w:pStyle w:val="24"/>
        <w:spacing w:before="0" w:beforeAutospacing="0" w:after="0" w:afterAutospacing="0" w:line="360" w:lineRule="auto"/>
        <w:ind w:firstLine="482" w:firstLineChars="200"/>
        <w:jc w:val="both"/>
        <w:rPr>
          <w:rFonts w:hint="default"/>
          <w:b/>
        </w:rPr>
      </w:pPr>
      <w:r>
        <w:rPr>
          <w:b/>
        </w:rPr>
        <w:t>四、无效标情形</w:t>
      </w:r>
    </w:p>
    <w:p>
      <w:pPr>
        <w:adjustRightInd w:val="0"/>
        <w:snapToGrid w:val="0"/>
        <w:spacing w:line="360" w:lineRule="auto"/>
        <w:ind w:firstLine="480" w:firstLineChars="200"/>
        <w:rPr>
          <w:rFonts w:ascii="宋体" w:hAnsi="宋体"/>
          <w:b/>
          <w:bCs/>
          <w:sz w:val="24"/>
        </w:rPr>
      </w:pPr>
      <w:r>
        <w:rPr>
          <w:rFonts w:hint="eastAsia" w:ascii="宋体" w:hAnsi="宋体"/>
          <w:kern w:val="0"/>
          <w:sz w:val="24"/>
        </w:rPr>
        <w:t>（一）在资信技术标中出现投标报价的，或者商务标中报价的服务跟资信技术标中的投标服务出现重大偏差的；</w:t>
      </w:r>
    </w:p>
    <w:p>
      <w:pPr>
        <w:pStyle w:val="24"/>
        <w:tabs>
          <w:tab w:val="left" w:pos="7380"/>
        </w:tabs>
        <w:adjustRightInd w:val="0"/>
        <w:snapToGrid w:val="0"/>
        <w:spacing w:before="0" w:beforeAutospacing="0" w:after="0" w:afterAutospacing="0" w:line="360" w:lineRule="auto"/>
        <w:ind w:firstLine="480" w:firstLineChars="200"/>
        <w:jc w:val="both"/>
        <w:rPr>
          <w:rFonts w:hint="default"/>
        </w:rPr>
      </w:pPr>
      <w:r>
        <w:t>（二）不具备采购文件中规定的资格要求的；</w:t>
      </w:r>
      <w:r>
        <w:rPr>
          <w:rFonts w:hint="default"/>
        </w:rPr>
        <w:tab/>
      </w:r>
    </w:p>
    <w:p>
      <w:pPr>
        <w:pStyle w:val="24"/>
        <w:adjustRightInd w:val="0"/>
        <w:snapToGrid w:val="0"/>
        <w:spacing w:before="0" w:beforeAutospacing="0" w:after="0" w:afterAutospacing="0" w:line="360" w:lineRule="auto"/>
        <w:ind w:firstLine="480" w:firstLineChars="200"/>
        <w:jc w:val="both"/>
        <w:rPr>
          <w:rFonts w:hint="default"/>
        </w:rPr>
      </w:pPr>
      <w:r>
        <w:t>（三）投标文件含有采购人不能接受的附加条件的；</w:t>
      </w:r>
    </w:p>
    <w:p>
      <w:pPr>
        <w:pStyle w:val="9"/>
        <w:spacing w:line="360" w:lineRule="auto"/>
        <w:ind w:firstLine="480" w:firstLineChars="200"/>
        <w:jc w:val="both"/>
        <w:rPr>
          <w:rFonts w:ascii="宋体" w:hAnsi="宋体"/>
          <w:bCs/>
          <w:kern w:val="0"/>
          <w:sz w:val="24"/>
        </w:rPr>
      </w:pPr>
      <w:r>
        <w:rPr>
          <w:rFonts w:hint="eastAsia" w:ascii="宋体" w:hAnsi="宋体"/>
          <w:kern w:val="0"/>
          <w:sz w:val="24"/>
        </w:rPr>
        <w:t>（四）评标委员会认为投标人的报价明显低于其他通过符合性审查投标人的报价，有可能影响服务质量或者不能诚信履约的，投标人在限定的时间内不能证明其报价合理性的，评标委员会应当将其作为无效投标处理；</w:t>
      </w:r>
    </w:p>
    <w:p>
      <w:pPr>
        <w:pStyle w:val="24"/>
        <w:adjustRightInd w:val="0"/>
        <w:snapToGrid w:val="0"/>
        <w:spacing w:before="0" w:beforeAutospacing="0" w:after="0" w:afterAutospacing="0" w:line="360" w:lineRule="auto"/>
        <w:ind w:firstLine="480" w:firstLineChars="200"/>
        <w:jc w:val="both"/>
        <w:rPr>
          <w:rFonts w:hint="default"/>
        </w:rPr>
      </w:pPr>
      <w:r>
        <w:t xml:space="preserve">（五）报价超过采购文件中规定的报价系数上限或未填写投标报价的； </w:t>
      </w:r>
    </w:p>
    <w:p>
      <w:pPr>
        <w:tabs>
          <w:tab w:val="left" w:pos="1898"/>
        </w:tabs>
        <w:autoSpaceDE w:val="0"/>
        <w:autoSpaceDN w:val="0"/>
        <w:adjustRightInd w:val="0"/>
        <w:snapToGrid w:val="0"/>
        <w:spacing w:line="360" w:lineRule="auto"/>
        <w:ind w:firstLine="480" w:firstLineChars="200"/>
        <w:rPr>
          <w:rFonts w:ascii="宋体" w:hAnsi="宋体"/>
          <w:kern w:val="0"/>
          <w:sz w:val="24"/>
        </w:rPr>
      </w:pPr>
      <w:r>
        <w:rPr>
          <w:rFonts w:hint="eastAsia" w:ascii="宋体" w:hAnsi="宋体"/>
          <w:kern w:val="0"/>
          <w:sz w:val="24"/>
        </w:rPr>
        <w:t>（六）投标参数未如实填写，完全复制粘贴招标参数的；</w:t>
      </w:r>
    </w:p>
    <w:p>
      <w:pPr>
        <w:tabs>
          <w:tab w:val="left" w:pos="1898"/>
        </w:tabs>
        <w:autoSpaceDE w:val="0"/>
        <w:autoSpaceDN w:val="0"/>
        <w:adjustRightInd w:val="0"/>
        <w:snapToGrid w:val="0"/>
        <w:spacing w:line="360" w:lineRule="auto"/>
        <w:ind w:firstLine="480" w:firstLineChars="200"/>
        <w:rPr>
          <w:rFonts w:ascii="宋体" w:hAnsi="宋体"/>
          <w:kern w:val="0"/>
          <w:sz w:val="24"/>
        </w:rPr>
      </w:pPr>
      <w:r>
        <w:rPr>
          <w:rFonts w:hint="eastAsia" w:ascii="宋体" w:hAnsi="宋体"/>
          <w:kern w:val="0"/>
          <w:sz w:val="24"/>
        </w:rPr>
        <w:t xml:space="preserve">（七）投标文件存在虚假材料的； </w:t>
      </w:r>
    </w:p>
    <w:p>
      <w:pPr>
        <w:tabs>
          <w:tab w:val="left" w:pos="1898"/>
        </w:tabs>
        <w:autoSpaceDE w:val="0"/>
        <w:autoSpaceDN w:val="0"/>
        <w:adjustRightInd w:val="0"/>
        <w:snapToGrid w:val="0"/>
        <w:spacing w:line="360" w:lineRule="auto"/>
        <w:ind w:firstLine="480" w:firstLineChars="200"/>
        <w:rPr>
          <w:rFonts w:ascii="宋体" w:hAnsi="宋体"/>
          <w:kern w:val="0"/>
          <w:sz w:val="24"/>
        </w:rPr>
      </w:pPr>
      <w:r>
        <w:rPr>
          <w:rFonts w:hint="eastAsia" w:ascii="宋体" w:hAnsi="宋体"/>
          <w:kern w:val="0"/>
          <w:sz w:val="24"/>
        </w:rPr>
        <w:t>（八）有下列</w:t>
      </w:r>
      <w:r>
        <w:rPr>
          <w:rFonts w:ascii="宋体" w:hAnsi="宋体"/>
          <w:kern w:val="0"/>
          <w:sz w:val="24"/>
        </w:rPr>
        <w:t>情形之一的，视为投标人串通投标，其投标无效</w:t>
      </w:r>
      <w:r>
        <w:rPr>
          <w:rFonts w:hint="eastAsia" w:ascii="宋体" w:hAnsi="宋体"/>
          <w:kern w:val="0"/>
          <w:sz w:val="24"/>
        </w:rPr>
        <w:t>，并移送采购监管部门</w:t>
      </w:r>
      <w:r>
        <w:rPr>
          <w:rFonts w:ascii="宋体" w:hAnsi="宋体"/>
          <w:kern w:val="0"/>
          <w:sz w:val="24"/>
        </w:rPr>
        <w:t>：</w:t>
      </w:r>
    </w:p>
    <w:p>
      <w:pPr>
        <w:tabs>
          <w:tab w:val="left" w:pos="1898"/>
        </w:tabs>
        <w:autoSpaceDE w:val="0"/>
        <w:autoSpaceDN w:val="0"/>
        <w:adjustRightInd w:val="0"/>
        <w:snapToGrid w:val="0"/>
        <w:spacing w:line="360" w:lineRule="auto"/>
        <w:ind w:firstLine="480" w:firstLineChars="200"/>
        <w:rPr>
          <w:rFonts w:ascii="宋体" w:hAnsi="宋体"/>
          <w:sz w:val="24"/>
        </w:rPr>
      </w:pPr>
      <w:r>
        <w:rPr>
          <w:rFonts w:hint="eastAsia" w:ascii="宋体" w:hAnsi="宋体"/>
          <w:sz w:val="24"/>
        </w:rPr>
        <w:t>1.</w:t>
      </w:r>
      <w:r>
        <w:rPr>
          <w:rFonts w:ascii="宋体" w:hAnsi="宋体"/>
          <w:sz w:val="24"/>
        </w:rPr>
        <w:t>不同投标人的投标文件由同一单位或者个人编制；</w:t>
      </w:r>
    </w:p>
    <w:p>
      <w:pPr>
        <w:pStyle w:val="24"/>
        <w:spacing w:before="0" w:beforeAutospacing="0" w:after="0" w:afterAutospacing="0" w:line="360" w:lineRule="auto"/>
        <w:ind w:firstLine="480" w:firstLineChars="200"/>
        <w:jc w:val="both"/>
        <w:rPr>
          <w:rFonts w:hint="default"/>
        </w:rPr>
      </w:pPr>
      <w:r>
        <w:t>2.不同投标人委托同一单位或者个人办理投标事宜；</w:t>
      </w:r>
    </w:p>
    <w:p>
      <w:pPr>
        <w:pStyle w:val="24"/>
        <w:spacing w:before="0" w:beforeAutospacing="0" w:after="0" w:afterAutospacing="0" w:line="360" w:lineRule="auto"/>
        <w:ind w:firstLine="480" w:firstLineChars="200"/>
        <w:jc w:val="both"/>
        <w:rPr>
          <w:rFonts w:hint="default"/>
        </w:rPr>
      </w:pPr>
      <w:r>
        <w:t>3.不同投标人的投标文件载明的项目管理成员或者联系人员为同一人；</w:t>
      </w:r>
    </w:p>
    <w:p>
      <w:pPr>
        <w:pStyle w:val="24"/>
        <w:spacing w:before="0" w:beforeAutospacing="0" w:after="0" w:afterAutospacing="0" w:line="360" w:lineRule="auto"/>
        <w:ind w:firstLine="480" w:firstLineChars="200"/>
        <w:jc w:val="both"/>
        <w:rPr>
          <w:rFonts w:hint="default"/>
        </w:rPr>
      </w:pPr>
      <w:r>
        <w:t>4.不同投标人的投标文件异常一致或者投标报价呈规律性差异；</w:t>
      </w:r>
    </w:p>
    <w:p>
      <w:pPr>
        <w:pStyle w:val="24"/>
        <w:spacing w:before="0" w:beforeAutospacing="0" w:after="0" w:afterAutospacing="0" w:line="360" w:lineRule="auto"/>
        <w:ind w:firstLine="480" w:firstLineChars="200"/>
        <w:jc w:val="both"/>
        <w:rPr>
          <w:rFonts w:hint="default"/>
        </w:rPr>
      </w:pPr>
      <w:r>
        <w:t>5.不同投标人的投标文件相互混装。</w:t>
      </w:r>
    </w:p>
    <w:p>
      <w:pPr>
        <w:pStyle w:val="24"/>
        <w:spacing w:before="0" w:beforeAutospacing="0" w:after="0" w:afterAutospacing="0" w:line="360" w:lineRule="auto"/>
        <w:ind w:firstLine="480" w:firstLineChars="200"/>
        <w:jc w:val="both"/>
        <w:rPr>
          <w:rFonts w:hint="default"/>
        </w:rPr>
      </w:pPr>
      <w:r>
        <w:t>（九）</w:t>
      </w:r>
      <w:r>
        <w:rPr>
          <w:rFonts w:cs="宋体"/>
        </w:rPr>
        <w:t>实质性要求（采购文件中打“▲”内容）不响应的；</w:t>
      </w:r>
    </w:p>
    <w:p>
      <w:pPr>
        <w:pStyle w:val="6"/>
        <w:spacing w:line="360" w:lineRule="auto"/>
        <w:ind w:firstLine="480" w:firstLineChars="200"/>
        <w:rPr>
          <w:rFonts w:ascii="宋体" w:hAnsi="宋体"/>
          <w:kern w:val="0"/>
          <w:sz w:val="24"/>
          <w:szCs w:val="24"/>
        </w:rPr>
      </w:pPr>
      <w:r>
        <w:rPr>
          <w:rFonts w:hint="eastAsia" w:ascii="宋体" w:hAnsi="宋体"/>
          <w:kern w:val="0"/>
          <w:sz w:val="24"/>
          <w:szCs w:val="24"/>
        </w:rPr>
        <w:t>（十）商务条款不响应的；</w:t>
      </w:r>
    </w:p>
    <w:p>
      <w:pPr>
        <w:pStyle w:val="6"/>
        <w:spacing w:line="360" w:lineRule="auto"/>
        <w:ind w:firstLine="480" w:firstLineChars="200"/>
        <w:rPr>
          <w:rFonts w:ascii="宋体" w:hAnsi="宋体"/>
          <w:kern w:val="0"/>
          <w:sz w:val="24"/>
          <w:szCs w:val="24"/>
        </w:rPr>
      </w:pPr>
      <w:r>
        <w:rPr>
          <w:rFonts w:hint="eastAsia" w:ascii="宋体" w:hAnsi="宋体"/>
          <w:kern w:val="0"/>
          <w:sz w:val="24"/>
          <w:szCs w:val="24"/>
        </w:rPr>
        <w:t>（十一）投标文件有效期不足的；</w:t>
      </w:r>
    </w:p>
    <w:p>
      <w:pPr>
        <w:pStyle w:val="6"/>
        <w:spacing w:line="360" w:lineRule="auto"/>
        <w:ind w:firstLine="480" w:firstLineChars="200"/>
        <w:rPr>
          <w:rFonts w:ascii="宋体" w:hAnsi="宋体"/>
          <w:kern w:val="0"/>
          <w:sz w:val="24"/>
          <w:szCs w:val="24"/>
        </w:rPr>
      </w:pPr>
      <w:r>
        <w:rPr>
          <w:rFonts w:hint="eastAsia" w:ascii="宋体" w:hAnsi="宋体"/>
          <w:kern w:val="0"/>
          <w:sz w:val="24"/>
          <w:szCs w:val="24"/>
        </w:rPr>
        <w:t>（十二）逾期或未按要求提交投标文件的；</w:t>
      </w:r>
    </w:p>
    <w:p>
      <w:pPr>
        <w:pStyle w:val="6"/>
        <w:spacing w:line="360" w:lineRule="auto"/>
        <w:ind w:firstLine="480" w:firstLineChars="200"/>
        <w:rPr>
          <w:rFonts w:ascii="宋体" w:hAnsi="宋体"/>
          <w:kern w:val="0"/>
          <w:sz w:val="24"/>
          <w:szCs w:val="24"/>
        </w:rPr>
      </w:pPr>
      <w:r>
        <w:rPr>
          <w:rFonts w:hint="eastAsia" w:ascii="宋体" w:hAnsi="宋体"/>
          <w:kern w:val="0"/>
          <w:sz w:val="24"/>
          <w:szCs w:val="24"/>
        </w:rPr>
        <w:t>（十三）两家或两家以上投标单位上传投标文件的ip地址（或工程清单锁地址）相同，视为串标行为，取消评标资格；</w:t>
      </w:r>
    </w:p>
    <w:p>
      <w:pPr>
        <w:pStyle w:val="6"/>
        <w:spacing w:line="360" w:lineRule="auto"/>
        <w:ind w:firstLine="480" w:firstLineChars="200"/>
        <w:rPr>
          <w:rFonts w:ascii="宋体" w:hAnsi="宋体"/>
          <w:kern w:val="0"/>
          <w:sz w:val="24"/>
          <w:szCs w:val="24"/>
        </w:rPr>
      </w:pPr>
      <w:r>
        <w:rPr>
          <w:rFonts w:hint="eastAsia" w:ascii="宋体" w:hAnsi="宋体"/>
          <w:kern w:val="0"/>
          <w:sz w:val="24"/>
          <w:szCs w:val="24"/>
        </w:rPr>
        <w:t>（十四）被拒绝的投标文件为无效；</w:t>
      </w:r>
    </w:p>
    <w:p>
      <w:pPr>
        <w:autoSpaceDE w:val="0"/>
        <w:autoSpaceDN w:val="0"/>
        <w:adjustRightInd w:val="0"/>
        <w:spacing w:line="360" w:lineRule="auto"/>
        <w:ind w:firstLine="480" w:firstLineChars="200"/>
        <w:rPr>
          <w:rFonts w:ascii="宋体" w:hAnsi="宋体"/>
          <w:kern w:val="0"/>
          <w:sz w:val="24"/>
        </w:rPr>
      </w:pPr>
      <w:r>
        <w:rPr>
          <w:rFonts w:hint="eastAsia" w:ascii="宋体" w:hAnsi="宋体"/>
          <w:kern w:val="0"/>
          <w:sz w:val="24"/>
        </w:rPr>
        <w:t>（十五）投标人未按规定提交投标保证金的；</w:t>
      </w:r>
    </w:p>
    <w:p>
      <w:pPr>
        <w:autoSpaceDE w:val="0"/>
        <w:autoSpaceDN w:val="0"/>
        <w:adjustRightInd w:val="0"/>
        <w:spacing w:line="360" w:lineRule="auto"/>
        <w:ind w:firstLine="480" w:firstLineChars="200"/>
        <w:rPr>
          <w:rFonts w:ascii="宋体" w:hAnsi="宋体"/>
          <w:kern w:val="0"/>
          <w:sz w:val="24"/>
        </w:rPr>
      </w:pPr>
      <w:r>
        <w:rPr>
          <w:rFonts w:hint="eastAsia" w:ascii="宋体" w:hAnsi="宋体"/>
          <w:kern w:val="0"/>
          <w:sz w:val="24"/>
        </w:rPr>
        <w:t>（十六）投标文件组成、格式不符合采购文件要求的；</w:t>
      </w:r>
    </w:p>
    <w:p>
      <w:pPr>
        <w:autoSpaceDE w:val="0"/>
        <w:autoSpaceDN w:val="0"/>
        <w:adjustRightInd w:val="0"/>
        <w:spacing w:line="360" w:lineRule="auto"/>
        <w:ind w:firstLine="480" w:firstLineChars="200"/>
        <w:rPr>
          <w:rFonts w:ascii="宋体" w:hAnsi="宋体"/>
          <w:kern w:val="0"/>
          <w:sz w:val="24"/>
        </w:rPr>
      </w:pPr>
      <w:r>
        <w:rPr>
          <w:rFonts w:hint="eastAsia" w:ascii="宋体" w:hAnsi="宋体"/>
          <w:kern w:val="0"/>
          <w:sz w:val="24"/>
        </w:rPr>
        <w:t>（十七）其他不符合法律法规相关规定的。</w:t>
      </w:r>
    </w:p>
    <w:p>
      <w:pPr>
        <w:autoSpaceDE w:val="0"/>
        <w:autoSpaceDN w:val="0"/>
        <w:adjustRightInd w:val="0"/>
        <w:spacing w:line="360" w:lineRule="auto"/>
        <w:ind w:firstLine="482" w:firstLineChars="200"/>
        <w:rPr>
          <w:rFonts w:ascii="宋体" w:hAnsi="宋体" w:cs="宋体"/>
          <w:kern w:val="0"/>
          <w:sz w:val="24"/>
        </w:rPr>
      </w:pPr>
      <w:r>
        <w:rPr>
          <w:rFonts w:hint="eastAsia" w:ascii="宋体" w:hAnsi="宋体" w:cs="宋体"/>
          <w:b/>
          <w:kern w:val="0"/>
          <w:sz w:val="24"/>
        </w:rPr>
        <w:t>五、废标情形</w:t>
      </w:r>
    </w:p>
    <w:p>
      <w:pPr>
        <w:pStyle w:val="24"/>
        <w:spacing w:before="0" w:beforeAutospacing="0" w:after="0" w:afterAutospacing="0" w:line="360" w:lineRule="auto"/>
        <w:ind w:firstLine="480" w:firstLineChars="200"/>
        <w:jc w:val="both"/>
        <w:rPr>
          <w:rFonts w:hint="default" w:cs="宋体"/>
        </w:rPr>
      </w:pPr>
      <w:r>
        <w:t>（一）</w:t>
      </w:r>
      <w:r>
        <w:rPr>
          <w:rFonts w:cs="宋体"/>
        </w:rPr>
        <w:t>出现影响采购公正的违法、违规行为的；</w:t>
      </w:r>
    </w:p>
    <w:p>
      <w:pPr>
        <w:pStyle w:val="24"/>
        <w:spacing w:before="0" w:beforeAutospacing="0" w:after="0" w:afterAutospacing="0" w:line="360" w:lineRule="auto"/>
        <w:ind w:firstLine="480" w:firstLineChars="200"/>
        <w:jc w:val="both"/>
        <w:rPr>
          <w:rFonts w:hint="default" w:cs="宋体"/>
          <w:b/>
          <w:bCs/>
        </w:rPr>
      </w:pPr>
      <w:r>
        <w:t>（二）</w:t>
      </w:r>
      <w:r>
        <w:rPr>
          <w:rFonts w:cs="宋体"/>
        </w:rPr>
        <w:t>评标委员会发现采购文件存在歧义、重大缺陷导致评标工作无法进行，或者采购文件内容违反国家有关强制性规定的；</w:t>
      </w:r>
    </w:p>
    <w:p>
      <w:pPr>
        <w:pStyle w:val="24"/>
        <w:spacing w:before="0" w:beforeAutospacing="0" w:after="0" w:afterAutospacing="0" w:line="360" w:lineRule="auto"/>
        <w:ind w:firstLine="480" w:firstLineChars="200"/>
        <w:jc w:val="both"/>
        <w:rPr>
          <w:rFonts w:hint="default" w:cs="宋体"/>
        </w:rPr>
      </w:pPr>
      <w:r>
        <w:t>（三）</w:t>
      </w:r>
      <w:r>
        <w:rPr>
          <w:rFonts w:cs="宋体"/>
        </w:rPr>
        <w:t>因重大变故，采购任务取消的；</w:t>
      </w:r>
    </w:p>
    <w:p>
      <w:pPr>
        <w:pStyle w:val="24"/>
        <w:spacing w:before="0" w:beforeAutospacing="0" w:after="0" w:afterAutospacing="0" w:line="360" w:lineRule="auto"/>
        <w:ind w:firstLine="480" w:firstLineChars="200"/>
        <w:jc w:val="both"/>
        <w:rPr>
          <w:rFonts w:hint="default" w:cs="宋体"/>
        </w:rPr>
      </w:pPr>
      <w:r>
        <w:t>（四）</w:t>
      </w:r>
      <w:r>
        <w:rPr>
          <w:rFonts w:cs="宋体"/>
        </w:rPr>
        <w:t>法律、法规和采购文件规定的其他导致评标结果无效的。</w:t>
      </w:r>
    </w:p>
    <w:p>
      <w:pPr>
        <w:autoSpaceDE w:val="0"/>
        <w:autoSpaceDN w:val="0"/>
        <w:adjustRightInd w:val="0"/>
        <w:spacing w:line="360" w:lineRule="auto"/>
        <w:ind w:firstLine="482" w:firstLineChars="200"/>
        <w:rPr>
          <w:rFonts w:ascii="宋体" w:hAnsi="宋体" w:cs="宋体"/>
          <w:b/>
          <w:kern w:val="0"/>
          <w:sz w:val="24"/>
        </w:rPr>
      </w:pPr>
      <w:r>
        <w:rPr>
          <w:rFonts w:hint="eastAsia" w:ascii="宋体" w:hAnsi="宋体" w:cs="宋体"/>
          <w:b/>
          <w:kern w:val="0"/>
          <w:sz w:val="24"/>
        </w:rPr>
        <w:t>六、投标人有下列情形之一的，投标保证金将不予退还：</w:t>
      </w:r>
    </w:p>
    <w:p>
      <w:pPr>
        <w:snapToGrid w:val="0"/>
        <w:spacing w:line="400" w:lineRule="exact"/>
        <w:ind w:firstLine="470" w:firstLineChars="196"/>
        <w:jc w:val="left"/>
        <w:rPr>
          <w:rFonts w:ascii="宋体" w:hAnsi="宋体"/>
          <w:sz w:val="24"/>
        </w:rPr>
      </w:pPr>
      <w:r>
        <w:rPr>
          <w:rFonts w:hint="eastAsia" w:ascii="宋体" w:hAnsi="宋体"/>
          <w:sz w:val="24"/>
        </w:rPr>
        <w:t>（一）投标人在投标有效期内撤回投标文件的；</w:t>
      </w:r>
    </w:p>
    <w:p>
      <w:pPr>
        <w:snapToGrid w:val="0"/>
        <w:spacing w:line="400" w:lineRule="exact"/>
        <w:ind w:firstLine="470" w:firstLineChars="196"/>
        <w:jc w:val="left"/>
        <w:rPr>
          <w:rFonts w:ascii="宋体" w:hAnsi="宋体"/>
          <w:sz w:val="24"/>
        </w:rPr>
      </w:pPr>
      <w:r>
        <w:rPr>
          <w:rFonts w:hint="eastAsia" w:ascii="宋体" w:hAnsi="宋体"/>
          <w:sz w:val="24"/>
        </w:rPr>
        <w:t>（二）未按规定提交履约保证金</w:t>
      </w:r>
      <w:r>
        <w:rPr>
          <w:rFonts w:ascii="宋体" w:hAnsi="宋体"/>
          <w:bCs/>
          <w:sz w:val="24"/>
        </w:rPr>
        <w:t>或</w:t>
      </w:r>
      <w:r>
        <w:rPr>
          <w:rFonts w:hint="eastAsia" w:ascii="宋体" w:hAnsi="宋体"/>
          <w:bCs/>
          <w:sz w:val="24"/>
        </w:rPr>
        <w:t>履约保函</w:t>
      </w:r>
      <w:r>
        <w:rPr>
          <w:rFonts w:hint="eastAsia" w:ascii="宋体" w:hAnsi="宋体"/>
          <w:sz w:val="24"/>
        </w:rPr>
        <w:t>的；</w:t>
      </w:r>
    </w:p>
    <w:p>
      <w:pPr>
        <w:snapToGrid w:val="0"/>
        <w:spacing w:line="400" w:lineRule="exact"/>
        <w:ind w:firstLine="470" w:firstLineChars="196"/>
        <w:jc w:val="left"/>
        <w:rPr>
          <w:rFonts w:ascii="宋体" w:hAnsi="宋体"/>
          <w:sz w:val="24"/>
        </w:rPr>
      </w:pPr>
      <w:r>
        <w:rPr>
          <w:rFonts w:hint="eastAsia" w:ascii="宋体" w:hAnsi="宋体"/>
          <w:sz w:val="24"/>
        </w:rPr>
        <w:t>（三）投标人在投标过程中弄虚作假，提供虚假材料的；</w:t>
      </w:r>
    </w:p>
    <w:p>
      <w:pPr>
        <w:snapToGrid w:val="0"/>
        <w:spacing w:line="400" w:lineRule="exact"/>
        <w:ind w:firstLine="470" w:firstLineChars="196"/>
        <w:rPr>
          <w:rFonts w:ascii="宋体" w:hAnsi="宋体"/>
          <w:sz w:val="24"/>
        </w:rPr>
      </w:pPr>
      <w:r>
        <w:rPr>
          <w:rFonts w:hint="eastAsia" w:ascii="宋体" w:hAnsi="宋体"/>
          <w:sz w:val="24"/>
        </w:rPr>
        <w:t>（四）中标人无正当理由不与采购单位签订合同的；</w:t>
      </w:r>
    </w:p>
    <w:p>
      <w:pPr>
        <w:snapToGrid w:val="0"/>
        <w:spacing w:line="400" w:lineRule="exact"/>
        <w:ind w:firstLine="470" w:firstLineChars="196"/>
        <w:rPr>
          <w:rFonts w:ascii="宋体" w:hAnsi="宋体"/>
          <w:sz w:val="24"/>
        </w:rPr>
      </w:pPr>
      <w:r>
        <w:rPr>
          <w:rFonts w:hint="eastAsia" w:ascii="宋体" w:hAnsi="宋体"/>
          <w:sz w:val="24"/>
        </w:rPr>
        <w:t>（五）</w:t>
      </w:r>
      <w:r>
        <w:rPr>
          <w:rFonts w:hint="eastAsia" w:ascii="宋体" w:hAnsi="宋体"/>
          <w:bCs/>
          <w:sz w:val="24"/>
        </w:rPr>
        <w:t>将中标项目转让给他人或者在投标文件中未说明且未经采购人同意，将中标项目分包给他人的；</w:t>
      </w:r>
    </w:p>
    <w:p>
      <w:pPr>
        <w:snapToGrid w:val="0"/>
        <w:spacing w:line="400" w:lineRule="exact"/>
        <w:ind w:firstLine="480" w:firstLineChars="200"/>
        <w:rPr>
          <w:rFonts w:ascii="宋体" w:hAnsi="宋体"/>
          <w:bCs/>
          <w:sz w:val="24"/>
        </w:rPr>
      </w:pPr>
      <w:r>
        <w:rPr>
          <w:rFonts w:hint="eastAsia" w:ascii="宋体" w:hAnsi="宋体"/>
          <w:sz w:val="24"/>
        </w:rPr>
        <w:t>（六）</w:t>
      </w:r>
      <w:r>
        <w:rPr>
          <w:rFonts w:hint="eastAsia" w:ascii="宋体" w:hAnsi="宋体"/>
          <w:bCs/>
          <w:sz w:val="24"/>
        </w:rPr>
        <w:t>有《关于印发&lt;台州市工程建设投标保函管理规定&gt;的通知》（台公管办〔2022〕2号）第十一条规定情形的；</w:t>
      </w:r>
    </w:p>
    <w:p>
      <w:pPr>
        <w:snapToGrid w:val="0"/>
        <w:spacing w:line="400" w:lineRule="exact"/>
        <w:ind w:firstLine="480" w:firstLineChars="200"/>
        <w:rPr>
          <w:rFonts w:ascii="宋体" w:hAnsi="宋体"/>
          <w:bCs/>
          <w:sz w:val="24"/>
        </w:rPr>
      </w:pPr>
      <w:r>
        <w:rPr>
          <w:rFonts w:hint="eastAsia" w:ascii="宋体" w:hAnsi="宋体"/>
          <w:bCs/>
          <w:sz w:val="24"/>
        </w:rPr>
        <w:t>（七）两家或两家以上投标单位上传投标文件的ip地址（或工程清单锁地址）相同，视为串标行为，取消评标资格，并没收投标保证金；</w:t>
      </w:r>
    </w:p>
    <w:p>
      <w:pPr>
        <w:snapToGrid w:val="0"/>
        <w:spacing w:line="400" w:lineRule="exact"/>
        <w:ind w:firstLine="480" w:firstLineChars="200"/>
        <w:rPr>
          <w:rFonts w:ascii="宋体" w:hAnsi="宋体"/>
          <w:sz w:val="24"/>
        </w:rPr>
      </w:pPr>
      <w:r>
        <w:rPr>
          <w:rFonts w:hint="eastAsia" w:ascii="宋体" w:hAnsi="宋体"/>
          <w:sz w:val="24"/>
        </w:rPr>
        <w:t>（八）其他严重扰乱招投标程序的。</w:t>
      </w:r>
    </w:p>
    <w:p>
      <w:pPr>
        <w:autoSpaceDE w:val="0"/>
        <w:autoSpaceDN w:val="0"/>
        <w:adjustRightInd w:val="0"/>
        <w:spacing w:line="360" w:lineRule="auto"/>
        <w:ind w:firstLine="482" w:firstLineChars="200"/>
        <w:rPr>
          <w:rFonts w:ascii="宋体" w:hAnsi="宋体" w:cs="宋体"/>
          <w:b/>
          <w:kern w:val="0"/>
          <w:sz w:val="24"/>
        </w:rPr>
      </w:pPr>
      <w:r>
        <w:rPr>
          <w:rFonts w:hint="eastAsia" w:ascii="宋体" w:hAnsi="宋体" w:cs="宋体"/>
          <w:b/>
          <w:kern w:val="0"/>
          <w:sz w:val="24"/>
        </w:rPr>
        <w:t>七、评标过程的监控</w:t>
      </w:r>
    </w:p>
    <w:p>
      <w:pPr>
        <w:pStyle w:val="24"/>
        <w:spacing w:before="0" w:beforeAutospacing="0" w:after="0" w:afterAutospacing="0" w:line="360" w:lineRule="auto"/>
        <w:ind w:firstLine="480" w:firstLineChars="200"/>
        <w:jc w:val="both"/>
        <w:rPr>
          <w:rFonts w:hint="default"/>
        </w:rPr>
      </w:pPr>
      <w:r>
        <w:t>本项目评标过程实行全程录音、录像监控，投标人在评标过程中所进行的试图影响评标结果的不公正活动，可能导致其投标被拒绝。</w:t>
      </w:r>
    </w:p>
    <w:p>
      <w:pPr>
        <w:pStyle w:val="16"/>
        <w:snapToGrid w:val="0"/>
        <w:spacing w:line="360" w:lineRule="auto"/>
        <w:ind w:firstLine="482" w:firstLineChars="200"/>
        <w:rPr>
          <w:rFonts w:hAnsi="宋体"/>
          <w:b/>
          <w:sz w:val="24"/>
        </w:rPr>
      </w:pPr>
      <w:r>
        <w:rPr>
          <w:rFonts w:hint="eastAsia" w:hAnsi="宋体"/>
          <w:b/>
          <w:bCs/>
          <w:sz w:val="24"/>
        </w:rPr>
        <w:t>八、</w:t>
      </w:r>
      <w:r>
        <w:rPr>
          <w:rFonts w:hAnsi="宋体"/>
          <w:b/>
          <w:bCs/>
          <w:sz w:val="24"/>
        </w:rPr>
        <w:t>评标程序</w:t>
      </w:r>
    </w:p>
    <w:p>
      <w:pPr>
        <w:snapToGrid w:val="0"/>
        <w:spacing w:line="360" w:lineRule="auto"/>
        <w:ind w:firstLine="482" w:firstLineChars="200"/>
        <w:rPr>
          <w:rFonts w:ascii="宋体" w:hAnsi="宋体"/>
          <w:b/>
          <w:bCs/>
          <w:sz w:val="24"/>
        </w:rPr>
      </w:pPr>
      <w:r>
        <w:rPr>
          <w:rFonts w:hint="eastAsia" w:ascii="宋体" w:hAnsi="宋体"/>
          <w:b/>
          <w:bCs/>
          <w:sz w:val="24"/>
        </w:rPr>
        <w:t>（一）资格审查</w:t>
      </w:r>
    </w:p>
    <w:p>
      <w:pPr>
        <w:pStyle w:val="9"/>
        <w:spacing w:line="360" w:lineRule="auto"/>
        <w:ind w:firstLine="480" w:firstLineChars="200"/>
        <w:jc w:val="both"/>
        <w:rPr>
          <w:rFonts w:ascii="宋体" w:hAnsi="宋体"/>
          <w:sz w:val="24"/>
        </w:rPr>
      </w:pPr>
      <w:r>
        <w:rPr>
          <w:rFonts w:hint="eastAsia" w:ascii="宋体" w:hAnsi="宋体" w:cs="宋体"/>
          <w:sz w:val="24"/>
        </w:rPr>
        <w:t>投标文件解密后</w:t>
      </w:r>
      <w:r>
        <w:rPr>
          <w:rFonts w:ascii="宋体" w:hAnsi="宋体"/>
          <w:sz w:val="24"/>
        </w:rPr>
        <w:t>，采购人或</w:t>
      </w:r>
      <w:r>
        <w:rPr>
          <w:rFonts w:hint="eastAsia" w:ascii="宋体" w:hAnsi="宋体"/>
          <w:sz w:val="24"/>
        </w:rPr>
        <w:t>评标委员会</w:t>
      </w:r>
      <w:r>
        <w:rPr>
          <w:rFonts w:ascii="宋体" w:hAnsi="宋体"/>
          <w:sz w:val="24"/>
        </w:rPr>
        <w:t>依法对投标人的资格进行审查，对审查发现无效的进行必要的</w:t>
      </w:r>
      <w:r>
        <w:rPr>
          <w:rFonts w:hint="eastAsia" w:ascii="宋体" w:hAnsi="宋体" w:cs="宋体"/>
          <w:sz w:val="24"/>
        </w:rPr>
        <w:t>询问</w:t>
      </w:r>
      <w:r>
        <w:rPr>
          <w:rFonts w:ascii="宋体" w:hAnsi="宋体"/>
          <w:sz w:val="24"/>
        </w:rPr>
        <w:t>，</w:t>
      </w:r>
      <w:r>
        <w:rPr>
          <w:rFonts w:hint="eastAsia"/>
          <w:sz w:val="24"/>
        </w:rPr>
        <w:t>在</w:t>
      </w:r>
      <w:r>
        <w:rPr>
          <w:rFonts w:hint="eastAsia" w:ascii="宋体" w:hAnsi="宋体" w:cs="宋体"/>
          <w:sz w:val="24"/>
        </w:rPr>
        <w:t>台州湾新区小额工程电子交易平台</w:t>
      </w:r>
      <w:r>
        <w:rPr>
          <w:rFonts w:hint="eastAsia"/>
          <w:sz w:val="24"/>
        </w:rPr>
        <w:t>公布</w:t>
      </w:r>
      <w:r>
        <w:rPr>
          <w:rFonts w:ascii="宋体" w:hAnsi="宋体"/>
          <w:sz w:val="24"/>
        </w:rPr>
        <w:t>无效投标的投标人名单、投标无效的原因。</w:t>
      </w:r>
    </w:p>
    <w:tbl>
      <w:tblPr>
        <w:tblStyle w:val="28"/>
        <w:tblpPr w:bottomFromText="170" w:vertAnchor="text" w:tblpXSpec="center" w:tblpY="1"/>
        <w:tblOverlap w:val="never"/>
        <w:tblW w:w="9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13"/>
        <w:gridCol w:w="7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pPr>
              <w:pStyle w:val="60"/>
              <w:spacing w:before="1" w:line="300" w:lineRule="auto"/>
              <w:ind w:right="3" w:hanging="10"/>
              <w:jc w:val="center"/>
              <w:rPr>
                <w:szCs w:val="21"/>
              </w:rPr>
            </w:pPr>
            <w:r>
              <w:rPr>
                <w:rFonts w:hint="eastAsia"/>
                <w:szCs w:val="21"/>
              </w:rPr>
              <w:t>投标人</w:t>
            </w:r>
          </w:p>
        </w:tc>
        <w:tc>
          <w:tcPr>
            <w:tcW w:w="7092" w:type="dxa"/>
            <w:tcMar>
              <w:top w:w="57" w:type="dxa"/>
              <w:left w:w="108" w:type="dxa"/>
              <w:bottom w:w="0" w:type="dxa"/>
              <w:right w:w="108" w:type="dxa"/>
            </w:tcMar>
            <w:vAlign w:val="center"/>
          </w:tcPr>
          <w:p>
            <w:pPr>
              <w:pStyle w:val="60"/>
              <w:spacing w:line="300" w:lineRule="auto"/>
              <w:ind w:left="15" w:leftChars="7" w:right="-17" w:rightChars="-8" w:firstLine="403" w:firstLineChars="192"/>
              <w:rPr>
                <w:szCs w:val="21"/>
              </w:rPr>
            </w:pPr>
            <w:r>
              <w:rPr>
                <w:rFonts w:hint="eastAsia"/>
                <w:szCs w:val="21"/>
              </w:rPr>
              <w:t>在中华人民共和国境内注册的投标人，投标时提交有效的营业执照扫描件（以联合体形式投标时，联合体各方均须满足该条款）。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pPr>
              <w:pStyle w:val="60"/>
              <w:spacing w:line="300" w:lineRule="auto"/>
              <w:ind w:right="3" w:hanging="10"/>
              <w:jc w:val="center"/>
              <w:rPr>
                <w:szCs w:val="21"/>
              </w:rPr>
            </w:pPr>
            <w:r>
              <w:rPr>
                <w:rFonts w:hint="eastAsia"/>
                <w:szCs w:val="21"/>
              </w:rPr>
              <w:t>必须符合法律、行政法规规定的其他条件</w:t>
            </w:r>
          </w:p>
        </w:tc>
        <w:tc>
          <w:tcPr>
            <w:tcW w:w="7092" w:type="dxa"/>
            <w:tcMar>
              <w:top w:w="57" w:type="dxa"/>
              <w:left w:w="108" w:type="dxa"/>
              <w:bottom w:w="0" w:type="dxa"/>
              <w:right w:w="108" w:type="dxa"/>
            </w:tcMar>
            <w:vAlign w:val="center"/>
          </w:tcPr>
          <w:p>
            <w:pPr>
              <w:pStyle w:val="60"/>
              <w:spacing w:before="48" w:line="300" w:lineRule="auto"/>
              <w:ind w:left="15" w:leftChars="7" w:right="-17" w:rightChars="-8" w:firstLine="403" w:firstLineChars="192"/>
              <w:rPr>
                <w:szCs w:val="21"/>
              </w:rPr>
            </w:pPr>
            <w:r>
              <w:rPr>
                <w:rFonts w:hint="eastAsia"/>
                <w:szCs w:val="21"/>
              </w:rPr>
              <w:t>1.单位负责人为同一人或者存在直接控股、管理关系的不同投标人，不得同时参加本项目投标。</w:t>
            </w:r>
          </w:p>
          <w:p>
            <w:pPr>
              <w:pStyle w:val="60"/>
              <w:spacing w:before="48" w:line="300" w:lineRule="auto"/>
              <w:ind w:left="15" w:leftChars="7" w:right="-17" w:rightChars="-8" w:firstLine="403" w:firstLineChars="192"/>
              <w:rPr>
                <w:szCs w:val="21"/>
              </w:rPr>
            </w:pPr>
            <w:r>
              <w:rPr>
                <w:rFonts w:hint="eastAsia"/>
                <w:szCs w:val="21"/>
              </w:rPr>
              <w:t>2.为本项目提供项目管理、监理等服务的投标人，不得再参与本项目投标。</w:t>
            </w:r>
          </w:p>
          <w:p>
            <w:pPr>
              <w:pStyle w:val="60"/>
              <w:spacing w:before="48" w:line="300" w:lineRule="auto"/>
              <w:ind w:left="15" w:leftChars="7" w:right="-17" w:rightChars="-8" w:firstLine="403" w:firstLineChars="192"/>
              <w:rPr>
                <w:szCs w:val="21"/>
              </w:rPr>
            </w:pPr>
            <w:r>
              <w:rPr>
                <w:rFonts w:hint="eastAsia"/>
                <w:szCs w:val="21"/>
              </w:rPr>
              <w:t>3.投标（报价）文件相关承诺要求内容（以联合体形式投标时，联合体各方均须满足该条款）。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tcMar>
              <w:top w:w="57" w:type="dxa"/>
              <w:left w:w="108" w:type="dxa"/>
              <w:bottom w:w="0" w:type="dxa"/>
              <w:right w:w="108" w:type="dxa"/>
            </w:tcMar>
            <w:vAlign w:val="center"/>
          </w:tcPr>
          <w:p>
            <w:pPr>
              <w:pStyle w:val="60"/>
              <w:spacing w:before="48" w:line="300" w:lineRule="auto"/>
              <w:ind w:right="3" w:hanging="10"/>
              <w:jc w:val="center"/>
              <w:rPr>
                <w:szCs w:val="21"/>
              </w:rPr>
            </w:pPr>
            <w:r>
              <w:rPr>
                <w:rFonts w:hint="eastAsia"/>
                <w:szCs w:val="21"/>
              </w:rPr>
              <w:t>联合体投标</w:t>
            </w:r>
          </w:p>
        </w:tc>
        <w:tc>
          <w:tcPr>
            <w:tcW w:w="7092" w:type="dxa"/>
            <w:shd w:val="clear" w:color="auto" w:fill="F6F6F6"/>
            <w:tcMar>
              <w:top w:w="57" w:type="dxa"/>
              <w:left w:w="108" w:type="dxa"/>
              <w:bottom w:w="0" w:type="dxa"/>
              <w:right w:w="108" w:type="dxa"/>
            </w:tcMar>
            <w:vAlign w:val="center"/>
          </w:tcPr>
          <w:p>
            <w:pPr>
              <w:pStyle w:val="60"/>
              <w:spacing w:before="48" w:line="300" w:lineRule="auto"/>
              <w:ind w:left="15" w:leftChars="7" w:right="-17" w:rightChars="-8" w:firstLine="403" w:firstLineChars="192"/>
              <w:rPr>
                <w:szCs w:val="21"/>
              </w:rPr>
            </w:pPr>
            <w:r>
              <w:rPr>
                <w:rFonts w:hint="eastAsia"/>
                <w:szCs w:val="21"/>
              </w:rPr>
              <w:t>本项目不接受联合体投标。</w:t>
            </w:r>
          </w:p>
        </w:tc>
      </w:tr>
    </w:tbl>
    <w:p>
      <w:pPr>
        <w:pStyle w:val="9"/>
        <w:spacing w:line="360" w:lineRule="auto"/>
        <w:ind w:firstLine="482" w:firstLineChars="200"/>
        <w:rPr>
          <w:rFonts w:ascii="宋体" w:hAnsi="宋体"/>
          <w:b/>
          <w:bCs/>
          <w:sz w:val="24"/>
        </w:rPr>
      </w:pPr>
      <w:r>
        <w:rPr>
          <w:rFonts w:hint="eastAsia" w:ascii="宋体" w:hAnsi="宋体"/>
          <w:b/>
          <w:bCs/>
          <w:sz w:val="24"/>
        </w:rPr>
        <w:t>（二）符合性</w:t>
      </w:r>
      <w:r>
        <w:rPr>
          <w:rFonts w:ascii="宋体" w:hAnsi="宋体"/>
          <w:b/>
          <w:bCs/>
          <w:sz w:val="24"/>
        </w:rPr>
        <w:t>审查</w:t>
      </w:r>
    </w:p>
    <w:p>
      <w:pPr>
        <w:pStyle w:val="9"/>
        <w:spacing w:line="360" w:lineRule="auto"/>
        <w:ind w:firstLine="480" w:firstLineChars="200"/>
        <w:rPr>
          <w:rFonts w:ascii="宋体" w:hAnsi="宋体"/>
          <w:sz w:val="24"/>
        </w:rPr>
      </w:pPr>
      <w:r>
        <w:rPr>
          <w:rFonts w:ascii="宋体" w:hAnsi="宋体"/>
          <w:sz w:val="24"/>
        </w:rPr>
        <w:t>评标委员会应当对符合资格的投标人的投标文件进行</w:t>
      </w:r>
      <w:r>
        <w:rPr>
          <w:rFonts w:hint="eastAsia" w:ascii="宋体" w:hAnsi="宋体"/>
          <w:b/>
          <w:bCs/>
          <w:sz w:val="24"/>
        </w:rPr>
        <w:t>符合性</w:t>
      </w:r>
      <w:r>
        <w:rPr>
          <w:rFonts w:ascii="宋体" w:hAnsi="宋体"/>
          <w:sz w:val="24"/>
        </w:rPr>
        <w:t>审查，以确定其是否满足</w:t>
      </w:r>
      <w:r>
        <w:rPr>
          <w:rFonts w:hint="eastAsia" w:ascii="宋体" w:hAnsi="宋体"/>
          <w:sz w:val="24"/>
        </w:rPr>
        <w:t>采购文件</w:t>
      </w:r>
      <w:r>
        <w:rPr>
          <w:rFonts w:ascii="宋体" w:hAnsi="宋体"/>
          <w:sz w:val="24"/>
        </w:rPr>
        <w:t>的实质性要求，对审查发现无效的进行必要的</w:t>
      </w:r>
      <w:r>
        <w:rPr>
          <w:rFonts w:hint="eastAsia" w:ascii="宋体" w:hAnsi="宋体"/>
          <w:sz w:val="24"/>
        </w:rPr>
        <w:t>询问</w:t>
      </w:r>
      <w:r>
        <w:rPr>
          <w:rFonts w:ascii="宋体" w:hAnsi="宋体"/>
          <w:sz w:val="24"/>
        </w:rPr>
        <w:t>，</w:t>
      </w:r>
      <w:r>
        <w:rPr>
          <w:rFonts w:hint="eastAsia" w:ascii="宋体" w:hAnsi="宋体" w:cs="宋体"/>
          <w:sz w:val="24"/>
        </w:rPr>
        <w:t>在台州湾新区小额工程电子交易平台公布无效投标的投标人名单、投标无效的原因</w:t>
      </w:r>
      <w:r>
        <w:rPr>
          <w:rFonts w:hint="eastAsia" w:ascii="宋体" w:hAnsi="宋体"/>
          <w:sz w:val="24"/>
        </w:rPr>
        <w:t>。</w:t>
      </w:r>
    </w:p>
    <w:tbl>
      <w:tblPr>
        <w:tblStyle w:val="28"/>
        <w:tblpPr w:leftFromText="181" w:rightFromText="181" w:bottomFromText="170" w:vertAnchor="text" w:tblpXSpec="center" w:tblpY="1"/>
        <w:tblOverlap w:val="never"/>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7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pPr>
              <w:pStyle w:val="60"/>
              <w:spacing w:line="300" w:lineRule="auto"/>
              <w:ind w:right="3" w:hanging="10"/>
              <w:jc w:val="center"/>
              <w:rPr>
                <w:szCs w:val="21"/>
              </w:rPr>
            </w:pPr>
            <w:r>
              <w:rPr>
                <w:rFonts w:hint="eastAsia"/>
                <w:szCs w:val="21"/>
              </w:rPr>
              <w:t>投标文件</w:t>
            </w:r>
          </w:p>
        </w:tc>
        <w:tc>
          <w:tcPr>
            <w:tcW w:w="7183" w:type="dxa"/>
            <w:tcMar>
              <w:top w:w="57" w:type="dxa"/>
              <w:left w:w="108" w:type="dxa"/>
              <w:bottom w:w="0" w:type="dxa"/>
              <w:right w:w="108" w:type="dxa"/>
            </w:tcMar>
            <w:vAlign w:val="center"/>
          </w:tcPr>
          <w:p>
            <w:pPr>
              <w:pStyle w:val="9"/>
              <w:spacing w:line="300" w:lineRule="auto"/>
              <w:ind w:left="15" w:leftChars="7" w:right="-17" w:rightChars="-8" w:firstLine="403" w:firstLineChars="192"/>
              <w:jc w:val="both"/>
            </w:pPr>
            <w:r>
              <w:rPr>
                <w:rFonts w:hint="eastAsia"/>
              </w:rPr>
              <w:t>投标文件完整且编排有序，投标内容基本完整，无重大错漏，并按要求签署、盖章。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shd w:val="clear" w:color="auto" w:fill="F6F6F6"/>
            <w:tcMar>
              <w:top w:w="57" w:type="dxa"/>
              <w:left w:w="108" w:type="dxa"/>
              <w:bottom w:w="0" w:type="dxa"/>
              <w:right w:w="108" w:type="dxa"/>
            </w:tcMar>
            <w:vAlign w:val="center"/>
          </w:tcPr>
          <w:p>
            <w:pPr>
              <w:pStyle w:val="60"/>
              <w:spacing w:line="300" w:lineRule="auto"/>
              <w:ind w:right="3" w:hanging="10"/>
              <w:jc w:val="center"/>
              <w:rPr>
                <w:szCs w:val="21"/>
              </w:rPr>
            </w:pPr>
            <w:r>
              <w:rPr>
                <w:rFonts w:hint="eastAsia"/>
                <w:szCs w:val="21"/>
              </w:rPr>
              <w:t>投标文件格式</w:t>
            </w:r>
          </w:p>
        </w:tc>
        <w:tc>
          <w:tcPr>
            <w:tcW w:w="7183" w:type="dxa"/>
            <w:shd w:val="clear" w:color="auto" w:fill="F6F6F6"/>
            <w:tcMar>
              <w:top w:w="57" w:type="dxa"/>
              <w:left w:w="108" w:type="dxa"/>
              <w:bottom w:w="0" w:type="dxa"/>
              <w:right w:w="108" w:type="dxa"/>
            </w:tcMar>
            <w:vAlign w:val="center"/>
          </w:tcPr>
          <w:p>
            <w:pPr>
              <w:pStyle w:val="9"/>
              <w:spacing w:line="300" w:lineRule="auto"/>
              <w:ind w:left="15" w:leftChars="7" w:right="-17" w:rightChars="-8" w:firstLine="403" w:firstLineChars="192"/>
              <w:jc w:val="both"/>
            </w:pPr>
            <w:r>
              <w:rPr>
                <w:rFonts w:hint="eastAsia"/>
              </w:rPr>
              <w:t>按对应格式文件签署、盖章。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pPr>
              <w:pStyle w:val="60"/>
              <w:spacing w:line="300" w:lineRule="auto"/>
              <w:ind w:right="3" w:hanging="10"/>
              <w:jc w:val="center"/>
              <w:rPr>
                <w:szCs w:val="21"/>
              </w:rPr>
            </w:pPr>
            <w:r>
              <w:rPr>
                <w:rFonts w:hint="eastAsia"/>
                <w:szCs w:val="21"/>
              </w:rPr>
              <w:t>其他实质性条款</w:t>
            </w:r>
          </w:p>
        </w:tc>
        <w:tc>
          <w:tcPr>
            <w:tcW w:w="7183" w:type="dxa"/>
            <w:tcMar>
              <w:top w:w="57" w:type="dxa"/>
              <w:left w:w="108" w:type="dxa"/>
              <w:bottom w:w="0" w:type="dxa"/>
              <w:right w:w="108" w:type="dxa"/>
            </w:tcMar>
            <w:vAlign w:val="center"/>
          </w:tcPr>
          <w:p>
            <w:pPr>
              <w:pStyle w:val="9"/>
              <w:spacing w:line="300" w:lineRule="auto"/>
              <w:ind w:left="15" w:leftChars="7" w:right="-17" w:rightChars="-8" w:firstLine="403" w:firstLineChars="192"/>
              <w:jc w:val="both"/>
            </w:pPr>
            <w:r>
              <w:rPr>
                <w:rFonts w:hint="eastAsia"/>
              </w:rPr>
              <w:t>实质性条款必须满足采购文件要求。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shd w:val="clear" w:color="auto" w:fill="F6F6F6"/>
            <w:tcMar>
              <w:top w:w="57" w:type="dxa"/>
              <w:left w:w="108" w:type="dxa"/>
              <w:bottom w:w="0" w:type="dxa"/>
              <w:right w:w="108" w:type="dxa"/>
            </w:tcMar>
            <w:vAlign w:val="center"/>
          </w:tcPr>
          <w:p>
            <w:pPr>
              <w:pStyle w:val="60"/>
              <w:spacing w:line="300" w:lineRule="auto"/>
              <w:ind w:right="3" w:hanging="10"/>
              <w:jc w:val="center"/>
              <w:rPr>
                <w:szCs w:val="21"/>
              </w:rPr>
            </w:pPr>
            <w:r>
              <w:rPr>
                <w:rFonts w:hint="eastAsia"/>
                <w:szCs w:val="21"/>
              </w:rPr>
              <w:t>串通投标</w:t>
            </w:r>
          </w:p>
        </w:tc>
        <w:tc>
          <w:tcPr>
            <w:tcW w:w="7183" w:type="dxa"/>
            <w:shd w:val="clear" w:color="auto" w:fill="F6F6F6"/>
            <w:tcMar>
              <w:top w:w="57" w:type="dxa"/>
              <w:left w:w="108" w:type="dxa"/>
              <w:bottom w:w="0" w:type="dxa"/>
              <w:right w:w="108" w:type="dxa"/>
            </w:tcMar>
            <w:vAlign w:val="center"/>
          </w:tcPr>
          <w:p>
            <w:pPr>
              <w:pStyle w:val="9"/>
              <w:spacing w:line="300" w:lineRule="auto"/>
              <w:ind w:left="15" w:leftChars="7" w:right="-17" w:rightChars="-8" w:firstLine="403" w:firstLineChars="192"/>
              <w:jc w:val="both"/>
            </w:pPr>
            <w:r>
              <w:rPr>
                <w:rFonts w:hint="eastAsia"/>
              </w:rPr>
              <w:t>未出现本章“四、无效标情形（八）”的串通投标情形。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pPr>
              <w:pStyle w:val="60"/>
              <w:spacing w:line="300" w:lineRule="auto"/>
              <w:ind w:right="3" w:hanging="10"/>
              <w:jc w:val="center"/>
              <w:rPr>
                <w:szCs w:val="21"/>
              </w:rPr>
            </w:pPr>
            <w:r>
              <w:rPr>
                <w:rFonts w:hint="eastAsia"/>
                <w:szCs w:val="21"/>
              </w:rPr>
              <w:t>附加条件</w:t>
            </w:r>
          </w:p>
        </w:tc>
        <w:tc>
          <w:tcPr>
            <w:tcW w:w="7183" w:type="dxa"/>
            <w:tcMar>
              <w:top w:w="57" w:type="dxa"/>
              <w:left w:w="108" w:type="dxa"/>
              <w:bottom w:w="0" w:type="dxa"/>
              <w:right w:w="108" w:type="dxa"/>
            </w:tcMar>
            <w:vAlign w:val="center"/>
          </w:tcPr>
          <w:p>
            <w:pPr>
              <w:pStyle w:val="9"/>
              <w:spacing w:line="300" w:lineRule="auto"/>
              <w:ind w:left="15" w:leftChars="7" w:right="-17" w:rightChars="-8" w:firstLine="403" w:firstLineChars="192"/>
              <w:jc w:val="both"/>
            </w:pPr>
            <w:r>
              <w:rPr>
                <w:rFonts w:hint="eastAsia"/>
              </w:rPr>
              <w:t>投标文件未含有采购人不可接受的附加条件。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pPr>
              <w:pStyle w:val="60"/>
              <w:spacing w:line="300" w:lineRule="auto"/>
              <w:ind w:right="3" w:hanging="10"/>
              <w:jc w:val="center"/>
              <w:rPr>
                <w:szCs w:val="21"/>
              </w:rPr>
            </w:pPr>
            <w:r>
              <w:rPr>
                <w:rFonts w:hint="eastAsia"/>
                <w:szCs w:val="21"/>
              </w:rPr>
              <w:t>投标文件组成</w:t>
            </w:r>
          </w:p>
        </w:tc>
        <w:tc>
          <w:tcPr>
            <w:tcW w:w="7183" w:type="dxa"/>
            <w:tcMar>
              <w:top w:w="57" w:type="dxa"/>
              <w:left w:w="108" w:type="dxa"/>
              <w:bottom w:w="0" w:type="dxa"/>
              <w:right w:w="108" w:type="dxa"/>
            </w:tcMar>
            <w:vAlign w:val="center"/>
          </w:tcPr>
          <w:p>
            <w:pPr>
              <w:pStyle w:val="9"/>
              <w:spacing w:line="300" w:lineRule="auto"/>
              <w:ind w:left="15" w:leftChars="7" w:right="-17" w:rightChars="-8" w:firstLine="403" w:firstLineChars="192"/>
              <w:jc w:val="both"/>
            </w:pPr>
            <w:r>
              <w:rPr>
                <w:rFonts w:hint="eastAsia"/>
              </w:rPr>
              <w:t>符合第二章投标人须知“四、投标文件”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pPr>
              <w:pStyle w:val="60"/>
              <w:spacing w:line="300" w:lineRule="auto"/>
              <w:ind w:right="3" w:hanging="10"/>
              <w:jc w:val="center"/>
              <w:rPr>
                <w:szCs w:val="21"/>
              </w:rPr>
            </w:pPr>
            <w:r>
              <w:rPr>
                <w:rFonts w:hint="eastAsia"/>
                <w:szCs w:val="21"/>
              </w:rPr>
              <w:t>投标保证金</w:t>
            </w:r>
          </w:p>
        </w:tc>
        <w:tc>
          <w:tcPr>
            <w:tcW w:w="7183" w:type="dxa"/>
            <w:tcMar>
              <w:top w:w="57" w:type="dxa"/>
              <w:left w:w="108" w:type="dxa"/>
              <w:bottom w:w="0" w:type="dxa"/>
              <w:right w:w="108" w:type="dxa"/>
            </w:tcMar>
            <w:vAlign w:val="center"/>
          </w:tcPr>
          <w:p>
            <w:pPr>
              <w:pStyle w:val="9"/>
              <w:spacing w:line="300" w:lineRule="auto"/>
              <w:ind w:left="15" w:leftChars="7" w:right="-17" w:rightChars="-8" w:firstLine="403" w:firstLineChars="192"/>
              <w:jc w:val="both"/>
            </w:pPr>
            <w:r>
              <w:rPr>
                <w:rFonts w:hint="eastAsia"/>
              </w:rPr>
              <w:t>符合第一章招标公告“七、投标保证金”</w:t>
            </w:r>
          </w:p>
        </w:tc>
      </w:tr>
    </w:tbl>
    <w:p>
      <w:pPr>
        <w:pStyle w:val="24"/>
        <w:spacing w:before="0" w:beforeAutospacing="0" w:after="0" w:afterAutospacing="0" w:line="360" w:lineRule="auto"/>
        <w:ind w:firstLine="482" w:firstLineChars="200"/>
        <w:jc w:val="both"/>
        <w:rPr>
          <w:rFonts w:hint="default" w:cs="宋体"/>
        </w:rPr>
      </w:pPr>
      <w:r>
        <w:rPr>
          <w:rFonts w:cs="宋体"/>
          <w:b/>
        </w:rPr>
        <w:t>（三）</w:t>
      </w:r>
      <w:r>
        <w:rPr>
          <w:rFonts w:ascii="Arial" w:hAnsi="Arial" w:cs="Arial"/>
          <w:b/>
          <w:bCs/>
        </w:rPr>
        <w:t>商务技术及价格评审</w:t>
      </w:r>
    </w:p>
    <w:p>
      <w:pPr>
        <w:pStyle w:val="24"/>
        <w:spacing w:before="0" w:beforeAutospacing="0" w:after="0" w:afterAutospacing="0" w:line="360" w:lineRule="auto"/>
        <w:ind w:firstLine="480" w:firstLineChars="200"/>
        <w:jc w:val="both"/>
        <w:rPr>
          <w:rFonts w:hint="default"/>
        </w:rPr>
      </w:pPr>
      <w:r>
        <w:t>本项目评标方法为综合评分法，总计100分，评标按以下标准及要求进行。</w:t>
      </w:r>
      <w:r>
        <w:rPr>
          <w:rFonts w:cs="宋体"/>
        </w:rPr>
        <w:t>评标委员会成员按资信技术标的评分标准，在分值范围内各自打分。资信技术标分按照评标委员会成员的评分结果取平均值，为投标人的资信技术标得分（评委评分结果每项保留1位小数；平均值小数点后保留2位，第3位四舍五入）。</w:t>
      </w:r>
      <w:r>
        <w:t>评分标准如下：</w:t>
      </w:r>
    </w:p>
    <w:tbl>
      <w:tblPr>
        <w:tblStyle w:val="28"/>
        <w:tblW w:w="9317"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056"/>
        <w:gridCol w:w="778"/>
        <w:gridCol w:w="6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650" w:type="dxa"/>
            <w:noWrap/>
            <w:vAlign w:val="center"/>
          </w:tcPr>
          <w:p>
            <w:pPr>
              <w:pStyle w:val="12"/>
              <w:tabs>
                <w:tab w:val="left" w:pos="482"/>
                <w:tab w:val="left" w:pos="2183"/>
                <w:tab w:val="left" w:pos="3884"/>
                <w:tab w:val="left" w:pos="5585"/>
              </w:tabs>
              <w:spacing w:line="240" w:lineRule="auto"/>
              <w:ind w:firstLine="0" w:firstLineChars="0"/>
              <w:jc w:val="center"/>
              <w:rPr>
                <w:sz w:val="21"/>
                <w:szCs w:val="21"/>
              </w:rPr>
            </w:pPr>
            <w:r>
              <w:rPr>
                <w:sz w:val="21"/>
                <w:szCs w:val="21"/>
              </w:rPr>
              <w:t>序号</w:t>
            </w:r>
          </w:p>
        </w:tc>
        <w:tc>
          <w:tcPr>
            <w:tcW w:w="1056" w:type="dxa"/>
            <w:noWrap/>
            <w:vAlign w:val="center"/>
          </w:tcPr>
          <w:p>
            <w:pPr>
              <w:pStyle w:val="12"/>
              <w:tabs>
                <w:tab w:val="left" w:pos="482"/>
                <w:tab w:val="left" w:pos="2183"/>
                <w:tab w:val="left" w:pos="3884"/>
                <w:tab w:val="left" w:pos="5585"/>
              </w:tabs>
              <w:spacing w:line="240" w:lineRule="auto"/>
              <w:ind w:firstLine="0" w:firstLineChars="0"/>
              <w:jc w:val="center"/>
              <w:rPr>
                <w:sz w:val="21"/>
                <w:szCs w:val="21"/>
              </w:rPr>
            </w:pPr>
            <w:r>
              <w:rPr>
                <w:sz w:val="21"/>
                <w:szCs w:val="21"/>
              </w:rPr>
              <w:t>项目</w:t>
            </w:r>
          </w:p>
        </w:tc>
        <w:tc>
          <w:tcPr>
            <w:tcW w:w="778" w:type="dxa"/>
            <w:noWrap/>
            <w:vAlign w:val="center"/>
          </w:tcPr>
          <w:p>
            <w:pPr>
              <w:pStyle w:val="12"/>
              <w:tabs>
                <w:tab w:val="left" w:pos="482"/>
                <w:tab w:val="left" w:pos="2183"/>
                <w:tab w:val="left" w:pos="3884"/>
                <w:tab w:val="left" w:pos="5585"/>
              </w:tabs>
              <w:spacing w:line="240" w:lineRule="auto"/>
              <w:ind w:firstLine="0" w:firstLineChars="0"/>
              <w:jc w:val="center"/>
              <w:rPr>
                <w:sz w:val="21"/>
                <w:szCs w:val="21"/>
              </w:rPr>
            </w:pPr>
            <w:r>
              <w:rPr>
                <w:sz w:val="21"/>
                <w:szCs w:val="21"/>
              </w:rPr>
              <w:t>分值</w:t>
            </w:r>
          </w:p>
        </w:tc>
        <w:tc>
          <w:tcPr>
            <w:tcW w:w="6833" w:type="dxa"/>
            <w:noWrap/>
            <w:vAlign w:val="center"/>
          </w:tcPr>
          <w:p>
            <w:pPr>
              <w:pStyle w:val="12"/>
              <w:tabs>
                <w:tab w:val="left" w:pos="482"/>
                <w:tab w:val="left" w:pos="2183"/>
                <w:tab w:val="left" w:pos="3884"/>
                <w:tab w:val="left" w:pos="5585"/>
              </w:tabs>
              <w:spacing w:line="240" w:lineRule="auto"/>
              <w:ind w:firstLine="0" w:firstLineChars="0"/>
              <w:jc w:val="center"/>
              <w:rPr>
                <w:sz w:val="21"/>
                <w:szCs w:val="21"/>
              </w:rPr>
            </w:pPr>
            <w:r>
              <w:rPr>
                <w:sz w:val="21"/>
                <w:szCs w:val="21"/>
              </w:rPr>
              <w:t>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650" w:type="dxa"/>
            <w:noWrap/>
            <w:vAlign w:val="center"/>
          </w:tcPr>
          <w:p>
            <w:pPr>
              <w:spacing w:before="156" w:beforeLines="50"/>
              <w:jc w:val="center"/>
              <w:rPr>
                <w:kern w:val="0"/>
                <w:szCs w:val="21"/>
              </w:rPr>
            </w:pPr>
            <w:r>
              <w:rPr>
                <w:rFonts w:hint="eastAsia"/>
                <w:kern w:val="0"/>
                <w:szCs w:val="21"/>
              </w:rPr>
              <w:t>1</w:t>
            </w:r>
          </w:p>
        </w:tc>
        <w:tc>
          <w:tcPr>
            <w:tcW w:w="1056" w:type="dxa"/>
            <w:noWrap/>
            <w:vAlign w:val="center"/>
          </w:tcPr>
          <w:p>
            <w:pPr>
              <w:spacing w:before="156" w:beforeLines="50"/>
              <w:rPr>
                <w:kern w:val="0"/>
                <w:szCs w:val="21"/>
              </w:rPr>
            </w:pPr>
            <w:r>
              <w:rPr>
                <w:kern w:val="0"/>
                <w:szCs w:val="21"/>
              </w:rPr>
              <w:t>供应商业绩</w:t>
            </w:r>
          </w:p>
        </w:tc>
        <w:tc>
          <w:tcPr>
            <w:tcW w:w="778" w:type="dxa"/>
            <w:noWrap/>
            <w:vAlign w:val="center"/>
          </w:tcPr>
          <w:p>
            <w:pPr>
              <w:spacing w:before="156" w:beforeLines="50"/>
              <w:rPr>
                <w:kern w:val="0"/>
                <w:szCs w:val="21"/>
              </w:rPr>
            </w:pPr>
            <w:r>
              <w:rPr>
                <w:rFonts w:hint="eastAsia"/>
                <w:kern w:val="0"/>
                <w:szCs w:val="21"/>
              </w:rPr>
              <w:t>2</w:t>
            </w:r>
            <w:r>
              <w:rPr>
                <w:kern w:val="0"/>
                <w:szCs w:val="21"/>
              </w:rPr>
              <w:t>分</w:t>
            </w:r>
          </w:p>
        </w:tc>
        <w:tc>
          <w:tcPr>
            <w:tcW w:w="6833" w:type="dxa"/>
            <w:noWrap/>
            <w:vAlign w:val="center"/>
          </w:tcPr>
          <w:p>
            <w:pPr>
              <w:spacing w:before="156" w:beforeLines="50"/>
              <w:rPr>
                <w:kern w:val="0"/>
                <w:szCs w:val="21"/>
              </w:rPr>
            </w:pPr>
            <w:r>
              <w:rPr>
                <w:kern w:val="0"/>
                <w:szCs w:val="21"/>
              </w:rPr>
              <w:t>20</w:t>
            </w:r>
            <w:r>
              <w:rPr>
                <w:rFonts w:hint="eastAsia"/>
                <w:kern w:val="0"/>
                <w:szCs w:val="21"/>
              </w:rPr>
              <w:t>20</w:t>
            </w:r>
            <w:r>
              <w:rPr>
                <w:kern w:val="0"/>
                <w:szCs w:val="21"/>
              </w:rPr>
              <w:t>年1月1日以来投标人</w:t>
            </w:r>
            <w:r>
              <w:rPr>
                <w:rFonts w:hint="eastAsia"/>
                <w:kern w:val="0"/>
                <w:szCs w:val="21"/>
              </w:rPr>
              <w:t>同类项目合同（单个合同服务内容中需体现海域价格评估）</w:t>
            </w:r>
            <w:r>
              <w:rPr>
                <w:kern w:val="0"/>
                <w:szCs w:val="21"/>
              </w:rPr>
              <w:t>，每</w:t>
            </w:r>
            <w:r>
              <w:rPr>
                <w:rFonts w:hint="eastAsia"/>
                <w:kern w:val="0"/>
                <w:szCs w:val="21"/>
              </w:rPr>
              <w:t>提供</w:t>
            </w:r>
            <w:r>
              <w:rPr>
                <w:kern w:val="0"/>
                <w:szCs w:val="21"/>
              </w:rPr>
              <w:t>一个</w:t>
            </w:r>
            <w:r>
              <w:rPr>
                <w:rFonts w:hint="eastAsia"/>
                <w:kern w:val="0"/>
                <w:szCs w:val="21"/>
              </w:rPr>
              <w:t>符合要求的同类项目合同</w:t>
            </w:r>
            <w:r>
              <w:rPr>
                <w:kern w:val="0"/>
                <w:szCs w:val="21"/>
              </w:rPr>
              <w:t>得</w:t>
            </w:r>
            <w:r>
              <w:rPr>
                <w:rFonts w:hint="eastAsia"/>
                <w:kern w:val="0"/>
                <w:szCs w:val="21"/>
              </w:rPr>
              <w:t>1</w:t>
            </w:r>
            <w:r>
              <w:rPr>
                <w:kern w:val="0"/>
                <w:szCs w:val="21"/>
              </w:rPr>
              <w:t>分，最高</w:t>
            </w:r>
            <w:r>
              <w:rPr>
                <w:rFonts w:hint="eastAsia"/>
                <w:kern w:val="0"/>
                <w:szCs w:val="21"/>
              </w:rPr>
              <w:t>2</w:t>
            </w:r>
            <w:r>
              <w:rPr>
                <w:kern w:val="0"/>
                <w:szCs w:val="21"/>
              </w:rPr>
              <w:t>分。</w:t>
            </w:r>
          </w:p>
          <w:p>
            <w:pPr>
              <w:spacing w:before="156" w:beforeLines="50"/>
              <w:rPr>
                <w:kern w:val="0"/>
                <w:szCs w:val="21"/>
                <w:lang w:val="zh-CN"/>
              </w:rPr>
            </w:pPr>
            <w:r>
              <w:rPr>
                <w:kern w:val="0"/>
                <w:szCs w:val="21"/>
              </w:rPr>
              <w:t>（注：业绩时间以合同签订时间为准，提供合同</w:t>
            </w:r>
            <w:r>
              <w:rPr>
                <w:rFonts w:hint="eastAsia"/>
                <w:kern w:val="0"/>
                <w:szCs w:val="21"/>
              </w:rPr>
              <w:t>、报告封面清晰扫描件</w:t>
            </w:r>
            <w:r>
              <w:rPr>
                <w:kern w:val="0"/>
                <w:szCs w:val="21"/>
              </w:rPr>
              <w:t>，不能提供的本项不得分）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5" w:hRule="atLeast"/>
        </w:trPr>
        <w:tc>
          <w:tcPr>
            <w:tcW w:w="650" w:type="dxa"/>
            <w:vMerge w:val="restart"/>
            <w:noWrap/>
            <w:vAlign w:val="center"/>
          </w:tcPr>
          <w:p>
            <w:pPr>
              <w:spacing w:before="156" w:beforeLines="50"/>
              <w:jc w:val="center"/>
              <w:rPr>
                <w:kern w:val="0"/>
                <w:szCs w:val="21"/>
              </w:rPr>
            </w:pPr>
            <w:r>
              <w:rPr>
                <w:rFonts w:hint="eastAsia"/>
                <w:kern w:val="0"/>
                <w:szCs w:val="21"/>
              </w:rPr>
              <w:t>2</w:t>
            </w:r>
          </w:p>
        </w:tc>
        <w:tc>
          <w:tcPr>
            <w:tcW w:w="1056" w:type="dxa"/>
            <w:vMerge w:val="restart"/>
            <w:noWrap/>
            <w:vAlign w:val="center"/>
          </w:tcPr>
          <w:p>
            <w:pPr>
              <w:spacing w:before="156" w:beforeLines="50"/>
              <w:rPr>
                <w:kern w:val="0"/>
                <w:szCs w:val="21"/>
              </w:rPr>
            </w:pPr>
            <w:r>
              <w:rPr>
                <w:kern w:val="0"/>
                <w:szCs w:val="21"/>
              </w:rPr>
              <w:t>供应商拟投入本项目的人员及设备情况</w:t>
            </w:r>
          </w:p>
        </w:tc>
        <w:tc>
          <w:tcPr>
            <w:tcW w:w="778" w:type="dxa"/>
            <w:noWrap/>
            <w:vAlign w:val="center"/>
          </w:tcPr>
          <w:p>
            <w:pPr>
              <w:spacing w:before="156" w:beforeLines="50"/>
              <w:rPr>
                <w:kern w:val="0"/>
                <w:szCs w:val="21"/>
              </w:rPr>
            </w:pPr>
            <w:r>
              <w:rPr>
                <w:rFonts w:hint="eastAsia"/>
                <w:kern w:val="0"/>
                <w:szCs w:val="21"/>
              </w:rPr>
              <w:t>6</w:t>
            </w:r>
            <w:r>
              <w:rPr>
                <w:kern w:val="0"/>
                <w:szCs w:val="21"/>
              </w:rPr>
              <w:t>分</w:t>
            </w:r>
          </w:p>
        </w:tc>
        <w:tc>
          <w:tcPr>
            <w:tcW w:w="6833" w:type="dxa"/>
            <w:noWrap/>
            <w:vAlign w:val="center"/>
          </w:tcPr>
          <w:p>
            <w:pPr>
              <w:spacing w:before="156" w:beforeLines="50"/>
              <w:rPr>
                <w:kern w:val="0"/>
                <w:szCs w:val="21"/>
              </w:rPr>
            </w:pPr>
            <w:r>
              <w:rPr>
                <w:kern w:val="0"/>
                <w:szCs w:val="21"/>
              </w:rPr>
              <w:t>1、项目负责人具有海洋</w:t>
            </w:r>
            <w:r>
              <w:rPr>
                <w:rFonts w:hint="eastAsia"/>
                <w:kern w:val="0"/>
                <w:szCs w:val="21"/>
              </w:rPr>
              <w:t>相关</w:t>
            </w:r>
            <w:r>
              <w:rPr>
                <w:kern w:val="0"/>
                <w:szCs w:val="21"/>
              </w:rPr>
              <w:t>专业高级及以上职称的得3分，具有中级职称的得</w:t>
            </w:r>
            <w:r>
              <w:rPr>
                <w:rFonts w:hint="eastAsia"/>
                <w:kern w:val="0"/>
                <w:szCs w:val="21"/>
              </w:rPr>
              <w:t>2</w:t>
            </w:r>
            <w:r>
              <w:rPr>
                <w:kern w:val="0"/>
                <w:szCs w:val="21"/>
              </w:rPr>
              <w:t>分，没有不得分。</w:t>
            </w:r>
          </w:p>
          <w:p>
            <w:pPr>
              <w:spacing w:before="156" w:beforeLines="50"/>
              <w:rPr>
                <w:kern w:val="0"/>
                <w:szCs w:val="21"/>
              </w:rPr>
            </w:pPr>
            <w:r>
              <w:rPr>
                <w:rFonts w:hint="eastAsia"/>
                <w:kern w:val="0"/>
                <w:szCs w:val="21"/>
              </w:rPr>
              <w:t>2、</w:t>
            </w:r>
            <w:r>
              <w:rPr>
                <w:kern w:val="0"/>
                <w:szCs w:val="21"/>
              </w:rPr>
              <w:t>项目技术负责人（项目负责人和技术负责人不得为同一人）具有海洋相关专业高级及以上职称得3分；具有海洋相关专业中级职称得</w:t>
            </w:r>
            <w:r>
              <w:rPr>
                <w:rFonts w:hint="eastAsia"/>
                <w:kern w:val="0"/>
                <w:szCs w:val="21"/>
              </w:rPr>
              <w:t>2</w:t>
            </w:r>
            <w:r>
              <w:rPr>
                <w:kern w:val="0"/>
                <w:szCs w:val="21"/>
              </w:rPr>
              <w:t>分。没有不得分。</w:t>
            </w:r>
          </w:p>
          <w:p>
            <w:pPr>
              <w:spacing w:before="156" w:beforeLines="50"/>
              <w:rPr>
                <w:kern w:val="0"/>
                <w:szCs w:val="21"/>
              </w:rPr>
            </w:pPr>
            <w:r>
              <w:rPr>
                <w:kern w:val="0"/>
                <w:szCs w:val="21"/>
              </w:rPr>
              <w:t>注：须提供上述人员在本单位近三个月</w:t>
            </w:r>
            <w:r>
              <w:rPr>
                <w:rFonts w:hint="eastAsia"/>
                <w:kern w:val="0"/>
                <w:szCs w:val="21"/>
              </w:rPr>
              <w:t>其中一个月</w:t>
            </w:r>
            <w:r>
              <w:rPr>
                <w:kern w:val="0"/>
                <w:szCs w:val="21"/>
              </w:rPr>
              <w:t>的社保证明或其他证明材料</w:t>
            </w:r>
            <w:r>
              <w:rPr>
                <w:rFonts w:hint="eastAsia"/>
                <w:kern w:val="0"/>
                <w:szCs w:val="21"/>
              </w:rPr>
              <w:t>清晰扫描件</w:t>
            </w:r>
            <w:r>
              <w:rPr>
                <w:kern w:val="0"/>
                <w:szCs w:val="21"/>
              </w:rPr>
              <w:t>以及相关证书或批文</w:t>
            </w:r>
            <w:r>
              <w:rPr>
                <w:rFonts w:hint="eastAsia"/>
                <w:kern w:val="0"/>
                <w:szCs w:val="21"/>
              </w:rPr>
              <w:t>原件清晰扫描件</w:t>
            </w:r>
            <w:r>
              <w:rPr>
                <w:kern w:val="0"/>
                <w:szCs w:val="21"/>
              </w:rPr>
              <w:t>，未提供不得分。</w:t>
            </w:r>
          </w:p>
          <w:p>
            <w:pPr>
              <w:spacing w:before="156" w:beforeLines="50"/>
              <w:rPr>
                <w:kern w:val="0"/>
                <w:szCs w:val="21"/>
              </w:rPr>
            </w:pPr>
            <w:r>
              <w:rPr>
                <w:kern w:val="0"/>
                <w:szCs w:val="21"/>
              </w:rPr>
              <w:t>注：1）须提供上述人员在本单位近三个月</w:t>
            </w:r>
            <w:r>
              <w:rPr>
                <w:rFonts w:hint="eastAsia"/>
                <w:kern w:val="0"/>
                <w:szCs w:val="21"/>
              </w:rPr>
              <w:t>其中一个月</w:t>
            </w:r>
            <w:r>
              <w:rPr>
                <w:kern w:val="0"/>
                <w:szCs w:val="21"/>
              </w:rPr>
              <w:t>的社保证明或其他证明材料</w:t>
            </w:r>
            <w:r>
              <w:rPr>
                <w:rFonts w:hint="eastAsia"/>
                <w:kern w:val="0"/>
                <w:szCs w:val="21"/>
              </w:rPr>
              <w:t>扫描件</w:t>
            </w:r>
            <w:r>
              <w:rPr>
                <w:kern w:val="0"/>
                <w:szCs w:val="21"/>
              </w:rPr>
              <w:t>以及相关证书或批文</w:t>
            </w:r>
            <w:r>
              <w:rPr>
                <w:rFonts w:hint="eastAsia"/>
                <w:kern w:val="0"/>
                <w:szCs w:val="21"/>
              </w:rPr>
              <w:t>原件扫描件</w:t>
            </w:r>
            <w:r>
              <w:rPr>
                <w:kern w:val="0"/>
                <w:szCs w:val="21"/>
              </w:rPr>
              <w:t>，未提供不得分；2）国家海洋咨询专家库信息系统中的专家需提供网页截图或其他证明材料</w:t>
            </w:r>
            <w:r>
              <w:rPr>
                <w:rFonts w:hint="eastAsia"/>
                <w:kern w:val="0"/>
                <w:szCs w:val="21"/>
              </w:rPr>
              <w:t>清晰</w:t>
            </w:r>
            <w:r>
              <w:rPr>
                <w:kern w:val="0"/>
                <w:szCs w:val="21"/>
              </w:rPr>
              <w:t>扫描件，未提供的不得分。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650" w:type="dxa"/>
            <w:vMerge w:val="continue"/>
            <w:noWrap/>
            <w:vAlign w:val="center"/>
          </w:tcPr>
          <w:p>
            <w:pPr>
              <w:spacing w:before="156" w:beforeLines="50"/>
              <w:ind w:firstLine="420"/>
              <w:jc w:val="center"/>
              <w:rPr>
                <w:kern w:val="0"/>
                <w:szCs w:val="21"/>
              </w:rPr>
            </w:pPr>
          </w:p>
        </w:tc>
        <w:tc>
          <w:tcPr>
            <w:tcW w:w="1056" w:type="dxa"/>
            <w:vMerge w:val="continue"/>
            <w:noWrap/>
            <w:vAlign w:val="center"/>
          </w:tcPr>
          <w:p>
            <w:pPr>
              <w:spacing w:before="156" w:beforeLines="50"/>
              <w:ind w:firstLine="420"/>
              <w:jc w:val="center"/>
              <w:rPr>
                <w:kern w:val="0"/>
                <w:szCs w:val="21"/>
              </w:rPr>
            </w:pPr>
          </w:p>
        </w:tc>
        <w:tc>
          <w:tcPr>
            <w:tcW w:w="778" w:type="dxa"/>
            <w:noWrap/>
            <w:vAlign w:val="center"/>
          </w:tcPr>
          <w:p>
            <w:pPr>
              <w:spacing w:before="156" w:beforeLines="50"/>
              <w:rPr>
                <w:kern w:val="0"/>
                <w:szCs w:val="21"/>
              </w:rPr>
            </w:pPr>
            <w:r>
              <w:rPr>
                <w:rFonts w:hint="eastAsia"/>
                <w:kern w:val="0"/>
                <w:szCs w:val="21"/>
              </w:rPr>
              <w:t>6</w:t>
            </w:r>
            <w:r>
              <w:rPr>
                <w:kern w:val="0"/>
                <w:szCs w:val="21"/>
              </w:rPr>
              <w:t>分</w:t>
            </w:r>
          </w:p>
        </w:tc>
        <w:tc>
          <w:tcPr>
            <w:tcW w:w="6833" w:type="dxa"/>
            <w:noWrap/>
            <w:vAlign w:val="center"/>
          </w:tcPr>
          <w:p>
            <w:pPr>
              <w:spacing w:before="156" w:beforeLines="50"/>
              <w:rPr>
                <w:kern w:val="0"/>
                <w:szCs w:val="21"/>
              </w:rPr>
            </w:pPr>
            <w:r>
              <w:rPr>
                <w:kern w:val="0"/>
                <w:szCs w:val="21"/>
              </w:rPr>
              <w:t>根据投标供应商项目组其他成员（不包括项目负责人及项目技术负责人）具有海洋或环境类相关专业高级</w:t>
            </w:r>
            <w:r>
              <w:rPr>
                <w:rFonts w:hint="eastAsia"/>
                <w:kern w:val="0"/>
                <w:szCs w:val="21"/>
              </w:rPr>
              <w:t>及以上</w:t>
            </w:r>
            <w:r>
              <w:rPr>
                <w:kern w:val="0"/>
                <w:szCs w:val="21"/>
              </w:rPr>
              <w:t>职称每一个得2分，</w:t>
            </w:r>
            <w:r>
              <w:rPr>
                <w:rFonts w:hint="eastAsia"/>
                <w:kern w:val="0"/>
                <w:szCs w:val="21"/>
              </w:rPr>
              <w:t>具有海洋类或环境类</w:t>
            </w:r>
            <w:r>
              <w:rPr>
                <w:kern w:val="0"/>
                <w:szCs w:val="21"/>
              </w:rPr>
              <w:t>中级职称每一个得1分，最高得6分。</w:t>
            </w:r>
          </w:p>
          <w:p>
            <w:pPr>
              <w:spacing w:before="156" w:beforeLines="50"/>
              <w:rPr>
                <w:kern w:val="0"/>
                <w:szCs w:val="21"/>
              </w:rPr>
            </w:pPr>
            <w:r>
              <w:rPr>
                <w:kern w:val="0"/>
                <w:szCs w:val="21"/>
              </w:rPr>
              <w:t>注：须提供上述人员在本单位近三个月</w:t>
            </w:r>
            <w:r>
              <w:rPr>
                <w:rFonts w:hint="eastAsia"/>
                <w:kern w:val="0"/>
                <w:szCs w:val="21"/>
              </w:rPr>
              <w:t>其中一个月</w:t>
            </w:r>
            <w:r>
              <w:rPr>
                <w:kern w:val="0"/>
                <w:szCs w:val="21"/>
              </w:rPr>
              <w:t>的社保证明或其他证明材料</w:t>
            </w:r>
            <w:r>
              <w:rPr>
                <w:rFonts w:hint="eastAsia"/>
                <w:kern w:val="0"/>
                <w:szCs w:val="21"/>
              </w:rPr>
              <w:t>扫描件</w:t>
            </w:r>
            <w:r>
              <w:rPr>
                <w:kern w:val="0"/>
                <w:szCs w:val="21"/>
              </w:rPr>
              <w:t>以及相关证书</w:t>
            </w:r>
            <w:r>
              <w:rPr>
                <w:rFonts w:hint="eastAsia"/>
                <w:kern w:val="0"/>
                <w:szCs w:val="21"/>
              </w:rPr>
              <w:t>扫描件</w:t>
            </w:r>
            <w:r>
              <w:rPr>
                <w:kern w:val="0"/>
                <w:szCs w:val="21"/>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1" w:hRule="atLeast"/>
        </w:trPr>
        <w:tc>
          <w:tcPr>
            <w:tcW w:w="650" w:type="dxa"/>
            <w:vMerge w:val="restart"/>
            <w:noWrap/>
            <w:vAlign w:val="center"/>
          </w:tcPr>
          <w:p>
            <w:pPr>
              <w:spacing w:before="156" w:beforeLines="50"/>
              <w:jc w:val="center"/>
              <w:rPr>
                <w:kern w:val="0"/>
                <w:szCs w:val="21"/>
              </w:rPr>
            </w:pPr>
            <w:r>
              <w:rPr>
                <w:rFonts w:hint="eastAsia"/>
                <w:kern w:val="0"/>
                <w:szCs w:val="21"/>
              </w:rPr>
              <w:t>3</w:t>
            </w:r>
          </w:p>
        </w:tc>
        <w:tc>
          <w:tcPr>
            <w:tcW w:w="1056" w:type="dxa"/>
            <w:vMerge w:val="restart"/>
            <w:noWrap/>
            <w:vAlign w:val="center"/>
          </w:tcPr>
          <w:p>
            <w:pPr>
              <w:spacing w:before="156" w:beforeLines="50"/>
              <w:rPr>
                <w:kern w:val="0"/>
                <w:szCs w:val="21"/>
              </w:rPr>
            </w:pPr>
            <w:r>
              <w:rPr>
                <w:kern w:val="0"/>
                <w:szCs w:val="21"/>
              </w:rPr>
              <w:t>技术方案</w:t>
            </w:r>
          </w:p>
        </w:tc>
        <w:tc>
          <w:tcPr>
            <w:tcW w:w="778" w:type="dxa"/>
            <w:noWrap/>
            <w:vAlign w:val="center"/>
          </w:tcPr>
          <w:p>
            <w:pPr>
              <w:spacing w:before="156" w:beforeLines="50"/>
              <w:rPr>
                <w:kern w:val="0"/>
                <w:szCs w:val="21"/>
              </w:rPr>
            </w:pPr>
            <w:r>
              <w:rPr>
                <w:rFonts w:hint="eastAsia"/>
                <w:kern w:val="0"/>
                <w:szCs w:val="21"/>
              </w:rPr>
              <w:t>8</w:t>
            </w:r>
            <w:r>
              <w:rPr>
                <w:kern w:val="0"/>
                <w:szCs w:val="21"/>
              </w:rPr>
              <w:t>分</w:t>
            </w:r>
          </w:p>
        </w:tc>
        <w:tc>
          <w:tcPr>
            <w:tcW w:w="6833" w:type="dxa"/>
            <w:noWrap/>
            <w:vAlign w:val="center"/>
          </w:tcPr>
          <w:p>
            <w:pPr>
              <w:spacing w:before="156" w:beforeLines="50"/>
              <w:rPr>
                <w:kern w:val="0"/>
                <w:szCs w:val="21"/>
              </w:rPr>
            </w:pPr>
            <w:r>
              <w:rPr>
                <w:kern w:val="0"/>
                <w:szCs w:val="21"/>
              </w:rPr>
              <w:t>根据投标人对项目基本情况的了解程度进行打分。</w:t>
            </w:r>
          </w:p>
          <w:p>
            <w:pPr>
              <w:spacing w:before="156" w:beforeLines="50"/>
              <w:rPr>
                <w:kern w:val="0"/>
                <w:szCs w:val="21"/>
              </w:rPr>
            </w:pPr>
            <w:r>
              <w:rPr>
                <w:kern w:val="0"/>
                <w:szCs w:val="21"/>
              </w:rPr>
              <w:t>非常了解得</w:t>
            </w:r>
            <w:r>
              <w:rPr>
                <w:rFonts w:hint="eastAsia"/>
                <w:kern w:val="0"/>
                <w:szCs w:val="21"/>
              </w:rPr>
              <w:t>8</w:t>
            </w:r>
            <w:r>
              <w:rPr>
                <w:kern w:val="0"/>
                <w:szCs w:val="21"/>
              </w:rPr>
              <w:t>分</w:t>
            </w:r>
            <w:r>
              <w:rPr>
                <w:rFonts w:hint="eastAsia"/>
                <w:kern w:val="0"/>
                <w:szCs w:val="21"/>
              </w:rPr>
              <w:t>；</w:t>
            </w:r>
          </w:p>
          <w:p>
            <w:pPr>
              <w:spacing w:before="156" w:beforeLines="50"/>
              <w:rPr>
                <w:kern w:val="0"/>
                <w:szCs w:val="21"/>
              </w:rPr>
            </w:pPr>
            <w:r>
              <w:rPr>
                <w:kern w:val="0"/>
                <w:szCs w:val="21"/>
              </w:rPr>
              <w:t>较了解得</w:t>
            </w:r>
            <w:r>
              <w:rPr>
                <w:rFonts w:hint="eastAsia"/>
                <w:kern w:val="0"/>
                <w:szCs w:val="21"/>
              </w:rPr>
              <w:t>6</w:t>
            </w:r>
            <w:r>
              <w:rPr>
                <w:kern w:val="0"/>
                <w:szCs w:val="21"/>
              </w:rPr>
              <w:t>分</w:t>
            </w:r>
            <w:r>
              <w:rPr>
                <w:rFonts w:hint="eastAsia"/>
                <w:kern w:val="0"/>
                <w:szCs w:val="21"/>
              </w:rPr>
              <w:t>；</w:t>
            </w:r>
          </w:p>
          <w:p>
            <w:pPr>
              <w:spacing w:before="156" w:beforeLines="50"/>
              <w:rPr>
                <w:kern w:val="0"/>
                <w:szCs w:val="21"/>
              </w:rPr>
            </w:pPr>
            <w:r>
              <w:rPr>
                <w:rFonts w:hint="eastAsia"/>
                <w:kern w:val="0"/>
                <w:szCs w:val="21"/>
              </w:rPr>
              <w:t>欠</w:t>
            </w:r>
            <w:r>
              <w:rPr>
                <w:kern w:val="0"/>
                <w:szCs w:val="21"/>
              </w:rPr>
              <w:t>了解得</w:t>
            </w:r>
            <w:r>
              <w:rPr>
                <w:rFonts w:hint="eastAsia"/>
                <w:kern w:val="0"/>
                <w:szCs w:val="21"/>
              </w:rPr>
              <w:t>4</w:t>
            </w:r>
            <w:r>
              <w:rPr>
                <w:kern w:val="0"/>
                <w:szCs w:val="21"/>
              </w:rPr>
              <w:t>分</w:t>
            </w:r>
            <w:r>
              <w:rPr>
                <w:rFonts w:hint="eastAsia"/>
                <w:kern w:val="0"/>
                <w:szCs w:val="21"/>
              </w:rPr>
              <w:t>；</w:t>
            </w:r>
          </w:p>
          <w:p>
            <w:pPr>
              <w:spacing w:before="156" w:beforeLines="50"/>
              <w:rPr>
                <w:kern w:val="0"/>
                <w:szCs w:val="21"/>
              </w:rPr>
            </w:pPr>
            <w:r>
              <w:rPr>
                <w:rFonts w:hint="eastAsia"/>
                <w:kern w:val="0"/>
                <w:szCs w:val="21"/>
              </w:rPr>
              <w:t>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4" w:hRule="atLeast"/>
        </w:trPr>
        <w:tc>
          <w:tcPr>
            <w:tcW w:w="650" w:type="dxa"/>
            <w:vMerge w:val="continue"/>
            <w:noWrap/>
            <w:vAlign w:val="center"/>
          </w:tcPr>
          <w:p>
            <w:pPr>
              <w:spacing w:before="156" w:beforeLines="50"/>
              <w:ind w:firstLine="420"/>
              <w:jc w:val="center"/>
              <w:rPr>
                <w:kern w:val="0"/>
                <w:szCs w:val="21"/>
              </w:rPr>
            </w:pPr>
          </w:p>
        </w:tc>
        <w:tc>
          <w:tcPr>
            <w:tcW w:w="1056" w:type="dxa"/>
            <w:vMerge w:val="continue"/>
            <w:noWrap/>
            <w:vAlign w:val="center"/>
          </w:tcPr>
          <w:p>
            <w:pPr>
              <w:spacing w:before="156" w:beforeLines="50"/>
              <w:ind w:firstLine="420"/>
              <w:jc w:val="center"/>
              <w:rPr>
                <w:kern w:val="0"/>
                <w:szCs w:val="21"/>
              </w:rPr>
            </w:pPr>
          </w:p>
        </w:tc>
        <w:tc>
          <w:tcPr>
            <w:tcW w:w="778" w:type="dxa"/>
            <w:noWrap/>
            <w:vAlign w:val="center"/>
          </w:tcPr>
          <w:p>
            <w:pPr>
              <w:spacing w:before="156" w:beforeLines="50"/>
              <w:rPr>
                <w:kern w:val="0"/>
                <w:szCs w:val="21"/>
              </w:rPr>
            </w:pPr>
            <w:r>
              <w:rPr>
                <w:rFonts w:hint="eastAsia"/>
                <w:kern w:val="0"/>
                <w:szCs w:val="21"/>
              </w:rPr>
              <w:t>9</w:t>
            </w:r>
            <w:r>
              <w:rPr>
                <w:kern w:val="0"/>
                <w:szCs w:val="21"/>
              </w:rPr>
              <w:t>分</w:t>
            </w:r>
          </w:p>
        </w:tc>
        <w:tc>
          <w:tcPr>
            <w:tcW w:w="6833" w:type="dxa"/>
            <w:noWrap/>
            <w:vAlign w:val="center"/>
          </w:tcPr>
          <w:p>
            <w:pPr>
              <w:spacing w:before="156" w:beforeLines="50"/>
              <w:rPr>
                <w:kern w:val="0"/>
                <w:szCs w:val="21"/>
              </w:rPr>
            </w:pPr>
            <w:r>
              <w:rPr>
                <w:kern w:val="0"/>
                <w:szCs w:val="21"/>
              </w:rPr>
              <w:t>根据投标人阐述针对本项目实施的工作思路和工作方法、工作流程、质量控制等进行打分。</w:t>
            </w:r>
          </w:p>
          <w:p>
            <w:pPr>
              <w:spacing w:before="156" w:beforeLines="50"/>
              <w:rPr>
                <w:kern w:val="0"/>
                <w:szCs w:val="21"/>
              </w:rPr>
            </w:pPr>
            <w:r>
              <w:rPr>
                <w:kern w:val="0"/>
                <w:szCs w:val="21"/>
              </w:rPr>
              <w:t>非常科学、非常合理的得</w:t>
            </w:r>
            <w:r>
              <w:rPr>
                <w:rFonts w:hint="eastAsia"/>
                <w:kern w:val="0"/>
                <w:szCs w:val="21"/>
              </w:rPr>
              <w:t>9</w:t>
            </w:r>
            <w:r>
              <w:rPr>
                <w:kern w:val="0"/>
                <w:szCs w:val="21"/>
              </w:rPr>
              <w:t>分</w:t>
            </w:r>
            <w:r>
              <w:rPr>
                <w:rFonts w:hint="eastAsia"/>
                <w:kern w:val="0"/>
                <w:szCs w:val="21"/>
              </w:rPr>
              <w:t>；</w:t>
            </w:r>
          </w:p>
          <w:p>
            <w:pPr>
              <w:spacing w:before="156" w:beforeLines="50"/>
              <w:rPr>
                <w:kern w:val="0"/>
                <w:szCs w:val="21"/>
              </w:rPr>
            </w:pPr>
            <w:r>
              <w:rPr>
                <w:kern w:val="0"/>
                <w:szCs w:val="21"/>
              </w:rPr>
              <w:t>较科学、较合理的得</w:t>
            </w:r>
            <w:r>
              <w:rPr>
                <w:rFonts w:hint="eastAsia"/>
                <w:kern w:val="0"/>
                <w:szCs w:val="21"/>
              </w:rPr>
              <w:t>7</w:t>
            </w:r>
            <w:r>
              <w:rPr>
                <w:kern w:val="0"/>
                <w:szCs w:val="21"/>
              </w:rPr>
              <w:t>分</w:t>
            </w:r>
            <w:r>
              <w:rPr>
                <w:rFonts w:hint="eastAsia"/>
                <w:kern w:val="0"/>
                <w:szCs w:val="21"/>
              </w:rPr>
              <w:t>；</w:t>
            </w:r>
          </w:p>
          <w:p>
            <w:pPr>
              <w:spacing w:before="156" w:beforeLines="50"/>
              <w:rPr>
                <w:kern w:val="0"/>
                <w:szCs w:val="21"/>
              </w:rPr>
            </w:pPr>
            <w:r>
              <w:rPr>
                <w:rFonts w:hint="eastAsia"/>
                <w:kern w:val="0"/>
                <w:szCs w:val="21"/>
              </w:rPr>
              <w:t>欠</w:t>
            </w:r>
            <w:r>
              <w:rPr>
                <w:kern w:val="0"/>
                <w:szCs w:val="21"/>
              </w:rPr>
              <w:t>科学、</w:t>
            </w:r>
            <w:r>
              <w:rPr>
                <w:rFonts w:hint="eastAsia"/>
                <w:kern w:val="0"/>
                <w:szCs w:val="21"/>
              </w:rPr>
              <w:t>欠</w:t>
            </w:r>
            <w:r>
              <w:rPr>
                <w:kern w:val="0"/>
                <w:szCs w:val="21"/>
              </w:rPr>
              <w:t>合理的得</w:t>
            </w:r>
            <w:r>
              <w:rPr>
                <w:rFonts w:hint="eastAsia"/>
                <w:kern w:val="0"/>
                <w:szCs w:val="21"/>
              </w:rPr>
              <w:t>5</w:t>
            </w:r>
            <w:r>
              <w:rPr>
                <w:kern w:val="0"/>
                <w:szCs w:val="21"/>
              </w:rPr>
              <w:t>分</w:t>
            </w:r>
            <w:r>
              <w:rPr>
                <w:rFonts w:hint="eastAsia"/>
                <w:kern w:val="0"/>
                <w:szCs w:val="21"/>
              </w:rPr>
              <w:t>；</w:t>
            </w:r>
          </w:p>
          <w:p>
            <w:pPr>
              <w:spacing w:before="156" w:beforeLines="50"/>
              <w:rPr>
                <w:kern w:val="0"/>
                <w:szCs w:val="21"/>
              </w:rPr>
            </w:pPr>
            <w:r>
              <w:rPr>
                <w:rFonts w:hint="eastAsia"/>
                <w:kern w:val="0"/>
                <w:szCs w:val="21"/>
              </w:rPr>
              <w:t>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650" w:type="dxa"/>
            <w:vMerge w:val="continue"/>
            <w:noWrap/>
            <w:vAlign w:val="center"/>
          </w:tcPr>
          <w:p>
            <w:pPr>
              <w:spacing w:before="156" w:beforeLines="50"/>
              <w:ind w:firstLine="420"/>
              <w:jc w:val="center"/>
              <w:rPr>
                <w:kern w:val="0"/>
                <w:szCs w:val="21"/>
              </w:rPr>
            </w:pPr>
          </w:p>
        </w:tc>
        <w:tc>
          <w:tcPr>
            <w:tcW w:w="1056" w:type="dxa"/>
            <w:vMerge w:val="continue"/>
            <w:noWrap/>
            <w:vAlign w:val="center"/>
          </w:tcPr>
          <w:p>
            <w:pPr>
              <w:spacing w:before="156" w:beforeLines="50"/>
              <w:ind w:firstLine="420"/>
              <w:jc w:val="center"/>
              <w:rPr>
                <w:kern w:val="0"/>
                <w:szCs w:val="21"/>
              </w:rPr>
            </w:pPr>
          </w:p>
        </w:tc>
        <w:tc>
          <w:tcPr>
            <w:tcW w:w="778" w:type="dxa"/>
            <w:noWrap/>
            <w:vAlign w:val="center"/>
          </w:tcPr>
          <w:p>
            <w:pPr>
              <w:spacing w:before="156" w:beforeLines="50"/>
              <w:rPr>
                <w:kern w:val="0"/>
                <w:szCs w:val="21"/>
              </w:rPr>
            </w:pPr>
            <w:r>
              <w:rPr>
                <w:rFonts w:hint="eastAsia"/>
                <w:kern w:val="0"/>
                <w:szCs w:val="21"/>
              </w:rPr>
              <w:t>9</w:t>
            </w:r>
            <w:r>
              <w:rPr>
                <w:kern w:val="0"/>
                <w:szCs w:val="21"/>
              </w:rPr>
              <w:t>分</w:t>
            </w:r>
          </w:p>
        </w:tc>
        <w:tc>
          <w:tcPr>
            <w:tcW w:w="6833" w:type="dxa"/>
            <w:noWrap/>
            <w:vAlign w:val="center"/>
          </w:tcPr>
          <w:p>
            <w:pPr>
              <w:spacing w:before="156" w:beforeLines="50"/>
              <w:rPr>
                <w:kern w:val="0"/>
                <w:szCs w:val="21"/>
              </w:rPr>
            </w:pPr>
            <w:r>
              <w:rPr>
                <w:kern w:val="0"/>
                <w:szCs w:val="21"/>
              </w:rPr>
              <w:t>从技术方案内容、制定的技术路线、响应招标文件规定的技术要求、最终成果与项目预期目标等方面进行评审。</w:t>
            </w:r>
          </w:p>
          <w:p>
            <w:pPr>
              <w:spacing w:before="156" w:beforeLines="50"/>
              <w:rPr>
                <w:kern w:val="0"/>
                <w:szCs w:val="21"/>
              </w:rPr>
            </w:pPr>
            <w:r>
              <w:rPr>
                <w:kern w:val="0"/>
                <w:szCs w:val="21"/>
              </w:rPr>
              <w:t>非常科学、非常合理的得</w:t>
            </w:r>
            <w:r>
              <w:rPr>
                <w:rFonts w:hint="eastAsia"/>
                <w:kern w:val="0"/>
                <w:szCs w:val="21"/>
              </w:rPr>
              <w:t>9</w:t>
            </w:r>
            <w:r>
              <w:rPr>
                <w:kern w:val="0"/>
                <w:szCs w:val="21"/>
              </w:rPr>
              <w:t>分</w:t>
            </w:r>
            <w:r>
              <w:rPr>
                <w:rFonts w:hint="eastAsia"/>
                <w:kern w:val="0"/>
                <w:szCs w:val="21"/>
              </w:rPr>
              <w:t>；</w:t>
            </w:r>
          </w:p>
          <w:p>
            <w:pPr>
              <w:spacing w:before="156" w:beforeLines="50"/>
              <w:rPr>
                <w:kern w:val="0"/>
                <w:szCs w:val="21"/>
              </w:rPr>
            </w:pPr>
            <w:r>
              <w:rPr>
                <w:kern w:val="0"/>
                <w:szCs w:val="21"/>
              </w:rPr>
              <w:t>较科学、较合理的得</w:t>
            </w:r>
            <w:r>
              <w:rPr>
                <w:rFonts w:hint="eastAsia"/>
                <w:kern w:val="0"/>
                <w:szCs w:val="21"/>
              </w:rPr>
              <w:t>7</w:t>
            </w:r>
            <w:r>
              <w:rPr>
                <w:kern w:val="0"/>
                <w:szCs w:val="21"/>
              </w:rPr>
              <w:t>分</w:t>
            </w:r>
            <w:r>
              <w:rPr>
                <w:rFonts w:hint="eastAsia"/>
                <w:kern w:val="0"/>
                <w:szCs w:val="21"/>
              </w:rPr>
              <w:t>；</w:t>
            </w:r>
          </w:p>
          <w:p>
            <w:pPr>
              <w:spacing w:before="156" w:beforeLines="50"/>
              <w:rPr>
                <w:kern w:val="0"/>
                <w:szCs w:val="21"/>
              </w:rPr>
            </w:pPr>
            <w:r>
              <w:rPr>
                <w:rFonts w:hint="eastAsia"/>
                <w:kern w:val="0"/>
                <w:szCs w:val="21"/>
              </w:rPr>
              <w:t>欠</w:t>
            </w:r>
            <w:r>
              <w:rPr>
                <w:kern w:val="0"/>
                <w:szCs w:val="21"/>
              </w:rPr>
              <w:t>科学、</w:t>
            </w:r>
            <w:r>
              <w:rPr>
                <w:rFonts w:hint="eastAsia"/>
                <w:kern w:val="0"/>
                <w:szCs w:val="21"/>
              </w:rPr>
              <w:t>欠</w:t>
            </w:r>
            <w:r>
              <w:rPr>
                <w:kern w:val="0"/>
                <w:szCs w:val="21"/>
              </w:rPr>
              <w:t>合理的得</w:t>
            </w:r>
            <w:r>
              <w:rPr>
                <w:rFonts w:hint="eastAsia"/>
                <w:kern w:val="0"/>
                <w:szCs w:val="21"/>
              </w:rPr>
              <w:t>5</w:t>
            </w:r>
            <w:r>
              <w:rPr>
                <w:kern w:val="0"/>
                <w:szCs w:val="21"/>
              </w:rPr>
              <w:t>分</w:t>
            </w:r>
            <w:r>
              <w:rPr>
                <w:rFonts w:hint="eastAsia"/>
                <w:kern w:val="0"/>
                <w:szCs w:val="21"/>
              </w:rPr>
              <w:t>；</w:t>
            </w:r>
          </w:p>
          <w:p>
            <w:pPr>
              <w:spacing w:before="156" w:beforeLines="50"/>
              <w:rPr>
                <w:kern w:val="0"/>
                <w:szCs w:val="21"/>
              </w:rPr>
            </w:pPr>
            <w:r>
              <w:rPr>
                <w:rFonts w:hint="eastAsia"/>
                <w:kern w:val="0"/>
                <w:szCs w:val="21"/>
              </w:rPr>
              <w:t>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650" w:type="dxa"/>
            <w:noWrap/>
            <w:vAlign w:val="center"/>
          </w:tcPr>
          <w:p>
            <w:pPr>
              <w:spacing w:before="156" w:beforeLines="50"/>
              <w:jc w:val="center"/>
              <w:rPr>
                <w:kern w:val="0"/>
                <w:szCs w:val="21"/>
              </w:rPr>
            </w:pPr>
            <w:r>
              <w:rPr>
                <w:rFonts w:hint="eastAsia"/>
                <w:kern w:val="0"/>
                <w:szCs w:val="21"/>
              </w:rPr>
              <w:t>4</w:t>
            </w:r>
          </w:p>
        </w:tc>
        <w:tc>
          <w:tcPr>
            <w:tcW w:w="1056" w:type="dxa"/>
            <w:noWrap/>
            <w:vAlign w:val="center"/>
          </w:tcPr>
          <w:p>
            <w:pPr>
              <w:spacing w:before="156" w:beforeLines="50"/>
              <w:rPr>
                <w:kern w:val="0"/>
                <w:szCs w:val="21"/>
              </w:rPr>
            </w:pPr>
            <w:r>
              <w:rPr>
                <w:kern w:val="0"/>
                <w:szCs w:val="21"/>
              </w:rPr>
              <w:t>项目重点、难点分析</w:t>
            </w:r>
          </w:p>
        </w:tc>
        <w:tc>
          <w:tcPr>
            <w:tcW w:w="778" w:type="dxa"/>
            <w:noWrap/>
            <w:vAlign w:val="center"/>
          </w:tcPr>
          <w:p>
            <w:pPr>
              <w:spacing w:before="156" w:beforeLines="50"/>
              <w:rPr>
                <w:kern w:val="0"/>
                <w:szCs w:val="21"/>
              </w:rPr>
            </w:pPr>
            <w:r>
              <w:rPr>
                <w:rFonts w:hint="eastAsia"/>
                <w:kern w:val="0"/>
                <w:szCs w:val="21"/>
              </w:rPr>
              <w:t>8</w:t>
            </w:r>
            <w:r>
              <w:rPr>
                <w:kern w:val="0"/>
                <w:szCs w:val="21"/>
              </w:rPr>
              <w:t>分</w:t>
            </w:r>
          </w:p>
        </w:tc>
        <w:tc>
          <w:tcPr>
            <w:tcW w:w="6833" w:type="dxa"/>
            <w:noWrap/>
            <w:vAlign w:val="center"/>
          </w:tcPr>
          <w:p>
            <w:pPr>
              <w:spacing w:before="156" w:beforeLines="50"/>
              <w:rPr>
                <w:kern w:val="0"/>
                <w:szCs w:val="21"/>
              </w:rPr>
            </w:pPr>
            <w:r>
              <w:rPr>
                <w:kern w:val="0"/>
                <w:szCs w:val="21"/>
              </w:rPr>
              <w:t>根据投标供应商提供的项目重点、难点分析进行评审</w:t>
            </w:r>
            <w:r>
              <w:rPr>
                <w:rFonts w:hint="eastAsia"/>
                <w:kern w:val="0"/>
                <w:szCs w:val="21"/>
              </w:rPr>
              <w:t>。</w:t>
            </w:r>
          </w:p>
          <w:p>
            <w:pPr>
              <w:spacing w:before="156" w:beforeLines="50"/>
              <w:rPr>
                <w:kern w:val="0"/>
                <w:szCs w:val="21"/>
              </w:rPr>
            </w:pPr>
            <w:r>
              <w:rPr>
                <w:kern w:val="0"/>
                <w:szCs w:val="21"/>
              </w:rPr>
              <w:t>非常科学、非常合理的得</w:t>
            </w:r>
            <w:r>
              <w:rPr>
                <w:rFonts w:hint="eastAsia"/>
                <w:kern w:val="0"/>
                <w:szCs w:val="21"/>
              </w:rPr>
              <w:t>8</w:t>
            </w:r>
            <w:r>
              <w:rPr>
                <w:kern w:val="0"/>
                <w:szCs w:val="21"/>
              </w:rPr>
              <w:t>分</w:t>
            </w:r>
            <w:r>
              <w:rPr>
                <w:rFonts w:hint="eastAsia"/>
                <w:kern w:val="0"/>
                <w:szCs w:val="21"/>
              </w:rPr>
              <w:t>；</w:t>
            </w:r>
          </w:p>
          <w:p>
            <w:pPr>
              <w:spacing w:before="156" w:beforeLines="50"/>
              <w:rPr>
                <w:kern w:val="0"/>
                <w:szCs w:val="21"/>
              </w:rPr>
            </w:pPr>
            <w:r>
              <w:rPr>
                <w:kern w:val="0"/>
                <w:szCs w:val="21"/>
              </w:rPr>
              <w:t>较科学、较合理的得</w:t>
            </w:r>
            <w:r>
              <w:rPr>
                <w:rFonts w:hint="eastAsia"/>
                <w:kern w:val="0"/>
                <w:szCs w:val="21"/>
              </w:rPr>
              <w:t>6</w:t>
            </w:r>
            <w:r>
              <w:rPr>
                <w:kern w:val="0"/>
                <w:szCs w:val="21"/>
              </w:rPr>
              <w:t>分</w:t>
            </w:r>
            <w:r>
              <w:rPr>
                <w:rFonts w:hint="eastAsia"/>
                <w:kern w:val="0"/>
                <w:szCs w:val="21"/>
              </w:rPr>
              <w:t>；</w:t>
            </w:r>
          </w:p>
          <w:p>
            <w:pPr>
              <w:spacing w:before="156" w:beforeLines="50"/>
              <w:rPr>
                <w:kern w:val="0"/>
                <w:szCs w:val="21"/>
              </w:rPr>
            </w:pPr>
            <w:r>
              <w:rPr>
                <w:rFonts w:hint="eastAsia"/>
                <w:kern w:val="0"/>
                <w:szCs w:val="21"/>
              </w:rPr>
              <w:t>欠</w:t>
            </w:r>
            <w:r>
              <w:rPr>
                <w:kern w:val="0"/>
                <w:szCs w:val="21"/>
              </w:rPr>
              <w:t>科学、</w:t>
            </w:r>
            <w:r>
              <w:rPr>
                <w:rFonts w:hint="eastAsia"/>
                <w:kern w:val="0"/>
                <w:szCs w:val="21"/>
              </w:rPr>
              <w:t>欠</w:t>
            </w:r>
            <w:r>
              <w:rPr>
                <w:kern w:val="0"/>
                <w:szCs w:val="21"/>
              </w:rPr>
              <w:t>合理的得</w:t>
            </w:r>
            <w:r>
              <w:rPr>
                <w:rFonts w:hint="eastAsia"/>
                <w:kern w:val="0"/>
                <w:szCs w:val="21"/>
              </w:rPr>
              <w:t>4</w:t>
            </w:r>
            <w:r>
              <w:rPr>
                <w:kern w:val="0"/>
                <w:szCs w:val="21"/>
              </w:rPr>
              <w:t>分</w:t>
            </w:r>
            <w:r>
              <w:rPr>
                <w:rFonts w:hint="eastAsia"/>
                <w:kern w:val="0"/>
                <w:szCs w:val="21"/>
              </w:rPr>
              <w:t>；</w:t>
            </w:r>
          </w:p>
          <w:p>
            <w:pPr>
              <w:spacing w:before="156" w:beforeLines="50"/>
              <w:rPr>
                <w:kern w:val="0"/>
                <w:szCs w:val="21"/>
              </w:rPr>
            </w:pPr>
            <w:r>
              <w:rPr>
                <w:rFonts w:hint="eastAsia"/>
                <w:kern w:val="0"/>
                <w:szCs w:val="21"/>
              </w:rPr>
              <w:t>未提供的不得分</w:t>
            </w:r>
            <w:r>
              <w:rPr>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650" w:type="dxa"/>
            <w:noWrap/>
            <w:vAlign w:val="center"/>
          </w:tcPr>
          <w:p>
            <w:pPr>
              <w:spacing w:before="156" w:beforeLines="50"/>
              <w:jc w:val="center"/>
              <w:rPr>
                <w:kern w:val="0"/>
                <w:szCs w:val="21"/>
              </w:rPr>
            </w:pPr>
            <w:r>
              <w:rPr>
                <w:rFonts w:hint="eastAsia"/>
                <w:kern w:val="0"/>
                <w:szCs w:val="21"/>
              </w:rPr>
              <w:t>5</w:t>
            </w:r>
          </w:p>
        </w:tc>
        <w:tc>
          <w:tcPr>
            <w:tcW w:w="1056" w:type="dxa"/>
            <w:noWrap/>
            <w:vAlign w:val="center"/>
          </w:tcPr>
          <w:p>
            <w:pPr>
              <w:spacing w:before="156" w:beforeLines="50"/>
              <w:rPr>
                <w:kern w:val="0"/>
                <w:szCs w:val="21"/>
              </w:rPr>
            </w:pPr>
            <w:r>
              <w:rPr>
                <w:kern w:val="0"/>
                <w:szCs w:val="21"/>
              </w:rPr>
              <w:t>项目重点、难点应对措施</w:t>
            </w:r>
          </w:p>
        </w:tc>
        <w:tc>
          <w:tcPr>
            <w:tcW w:w="778" w:type="dxa"/>
            <w:noWrap/>
            <w:vAlign w:val="center"/>
          </w:tcPr>
          <w:p>
            <w:pPr>
              <w:spacing w:before="156" w:beforeLines="50"/>
              <w:rPr>
                <w:kern w:val="0"/>
                <w:szCs w:val="21"/>
              </w:rPr>
            </w:pPr>
            <w:r>
              <w:rPr>
                <w:rFonts w:hint="eastAsia"/>
                <w:kern w:val="0"/>
                <w:szCs w:val="21"/>
              </w:rPr>
              <w:t>8</w:t>
            </w:r>
            <w:r>
              <w:rPr>
                <w:kern w:val="0"/>
                <w:szCs w:val="21"/>
              </w:rPr>
              <w:t>分</w:t>
            </w:r>
          </w:p>
        </w:tc>
        <w:tc>
          <w:tcPr>
            <w:tcW w:w="6833" w:type="dxa"/>
            <w:noWrap/>
            <w:vAlign w:val="center"/>
          </w:tcPr>
          <w:p>
            <w:pPr>
              <w:spacing w:before="156" w:beforeLines="50"/>
              <w:rPr>
                <w:kern w:val="0"/>
                <w:szCs w:val="21"/>
              </w:rPr>
            </w:pPr>
            <w:r>
              <w:rPr>
                <w:kern w:val="0"/>
                <w:szCs w:val="21"/>
              </w:rPr>
              <w:t>根据投标供应商提供的项目重点、难点应对措施进行评审</w:t>
            </w:r>
            <w:r>
              <w:rPr>
                <w:rFonts w:hint="eastAsia"/>
                <w:kern w:val="0"/>
                <w:szCs w:val="21"/>
              </w:rPr>
              <w:t>。</w:t>
            </w:r>
          </w:p>
          <w:p>
            <w:pPr>
              <w:spacing w:before="156" w:beforeLines="50"/>
              <w:rPr>
                <w:kern w:val="0"/>
                <w:szCs w:val="21"/>
              </w:rPr>
            </w:pPr>
            <w:r>
              <w:rPr>
                <w:kern w:val="0"/>
                <w:szCs w:val="21"/>
              </w:rPr>
              <w:t>非常科学、非常合理的得</w:t>
            </w:r>
            <w:r>
              <w:rPr>
                <w:rFonts w:hint="eastAsia"/>
                <w:kern w:val="0"/>
                <w:szCs w:val="21"/>
              </w:rPr>
              <w:t>8</w:t>
            </w:r>
            <w:r>
              <w:rPr>
                <w:kern w:val="0"/>
                <w:szCs w:val="21"/>
              </w:rPr>
              <w:t>分</w:t>
            </w:r>
            <w:r>
              <w:rPr>
                <w:rFonts w:hint="eastAsia"/>
                <w:kern w:val="0"/>
                <w:szCs w:val="21"/>
              </w:rPr>
              <w:t>；</w:t>
            </w:r>
          </w:p>
          <w:p>
            <w:pPr>
              <w:spacing w:before="156" w:beforeLines="50"/>
              <w:rPr>
                <w:kern w:val="0"/>
                <w:szCs w:val="21"/>
              </w:rPr>
            </w:pPr>
            <w:r>
              <w:rPr>
                <w:kern w:val="0"/>
                <w:szCs w:val="21"/>
              </w:rPr>
              <w:t>较科学、较合理的得</w:t>
            </w:r>
            <w:r>
              <w:rPr>
                <w:rFonts w:hint="eastAsia"/>
                <w:kern w:val="0"/>
                <w:szCs w:val="21"/>
              </w:rPr>
              <w:t>6</w:t>
            </w:r>
            <w:r>
              <w:rPr>
                <w:kern w:val="0"/>
                <w:szCs w:val="21"/>
              </w:rPr>
              <w:t>分</w:t>
            </w:r>
            <w:r>
              <w:rPr>
                <w:rFonts w:hint="eastAsia"/>
                <w:kern w:val="0"/>
                <w:szCs w:val="21"/>
              </w:rPr>
              <w:t>；</w:t>
            </w:r>
          </w:p>
          <w:p>
            <w:pPr>
              <w:spacing w:before="156" w:beforeLines="50"/>
              <w:rPr>
                <w:kern w:val="0"/>
                <w:szCs w:val="21"/>
              </w:rPr>
            </w:pPr>
            <w:r>
              <w:rPr>
                <w:rFonts w:hint="eastAsia"/>
                <w:kern w:val="0"/>
                <w:szCs w:val="21"/>
              </w:rPr>
              <w:t>欠</w:t>
            </w:r>
            <w:r>
              <w:rPr>
                <w:kern w:val="0"/>
                <w:szCs w:val="21"/>
              </w:rPr>
              <w:t>科学、</w:t>
            </w:r>
            <w:r>
              <w:rPr>
                <w:rFonts w:hint="eastAsia"/>
                <w:kern w:val="0"/>
                <w:szCs w:val="21"/>
              </w:rPr>
              <w:t>欠</w:t>
            </w:r>
            <w:r>
              <w:rPr>
                <w:kern w:val="0"/>
                <w:szCs w:val="21"/>
              </w:rPr>
              <w:t>合理的得</w:t>
            </w:r>
            <w:r>
              <w:rPr>
                <w:rFonts w:hint="eastAsia"/>
                <w:kern w:val="0"/>
                <w:szCs w:val="21"/>
              </w:rPr>
              <w:t>4</w:t>
            </w:r>
            <w:r>
              <w:rPr>
                <w:kern w:val="0"/>
                <w:szCs w:val="21"/>
              </w:rPr>
              <w:t>分</w:t>
            </w:r>
            <w:r>
              <w:rPr>
                <w:rFonts w:hint="eastAsia"/>
                <w:kern w:val="0"/>
                <w:szCs w:val="21"/>
              </w:rPr>
              <w:t>；</w:t>
            </w:r>
          </w:p>
          <w:p>
            <w:pPr>
              <w:spacing w:before="156" w:beforeLines="50"/>
              <w:rPr>
                <w:kern w:val="0"/>
                <w:szCs w:val="21"/>
              </w:rPr>
            </w:pPr>
            <w:r>
              <w:rPr>
                <w:rFonts w:hint="eastAsia"/>
                <w:kern w:val="0"/>
                <w:szCs w:val="21"/>
              </w:rPr>
              <w:t>未提供的不得分</w:t>
            </w:r>
            <w:r>
              <w:rPr>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650" w:type="dxa"/>
            <w:noWrap/>
            <w:vAlign w:val="center"/>
          </w:tcPr>
          <w:p>
            <w:pPr>
              <w:jc w:val="center"/>
              <w:rPr>
                <w:kern w:val="0"/>
                <w:szCs w:val="21"/>
              </w:rPr>
            </w:pPr>
            <w:r>
              <w:rPr>
                <w:rFonts w:hint="eastAsia"/>
                <w:kern w:val="0"/>
                <w:szCs w:val="21"/>
              </w:rPr>
              <w:t>6</w:t>
            </w:r>
          </w:p>
        </w:tc>
        <w:tc>
          <w:tcPr>
            <w:tcW w:w="1056" w:type="dxa"/>
            <w:noWrap/>
            <w:vAlign w:val="center"/>
          </w:tcPr>
          <w:p>
            <w:pPr>
              <w:rPr>
                <w:kern w:val="0"/>
                <w:szCs w:val="21"/>
              </w:rPr>
            </w:pPr>
            <w:r>
              <w:rPr>
                <w:kern w:val="0"/>
                <w:szCs w:val="21"/>
              </w:rPr>
              <w:t>进度计划安排</w:t>
            </w:r>
          </w:p>
        </w:tc>
        <w:tc>
          <w:tcPr>
            <w:tcW w:w="778" w:type="dxa"/>
            <w:noWrap/>
            <w:vAlign w:val="center"/>
          </w:tcPr>
          <w:p>
            <w:pPr>
              <w:rPr>
                <w:kern w:val="0"/>
                <w:szCs w:val="21"/>
              </w:rPr>
            </w:pPr>
            <w:r>
              <w:rPr>
                <w:rFonts w:hint="eastAsia"/>
                <w:kern w:val="0"/>
                <w:szCs w:val="21"/>
              </w:rPr>
              <w:t>8</w:t>
            </w:r>
            <w:r>
              <w:rPr>
                <w:kern w:val="0"/>
                <w:szCs w:val="21"/>
              </w:rPr>
              <w:t>分</w:t>
            </w:r>
          </w:p>
        </w:tc>
        <w:tc>
          <w:tcPr>
            <w:tcW w:w="6833" w:type="dxa"/>
            <w:noWrap/>
            <w:vAlign w:val="center"/>
          </w:tcPr>
          <w:p>
            <w:pPr>
              <w:spacing w:before="156" w:beforeLines="50"/>
              <w:rPr>
                <w:kern w:val="0"/>
                <w:szCs w:val="21"/>
              </w:rPr>
            </w:pPr>
            <w:r>
              <w:rPr>
                <w:kern w:val="0"/>
                <w:szCs w:val="21"/>
              </w:rPr>
              <w:t>根据项目进度安排及各阶段详细工作进行评审</w:t>
            </w:r>
            <w:r>
              <w:rPr>
                <w:rFonts w:hint="eastAsia"/>
                <w:kern w:val="0"/>
                <w:szCs w:val="21"/>
              </w:rPr>
              <w:t>。</w:t>
            </w:r>
          </w:p>
          <w:p>
            <w:pPr>
              <w:spacing w:before="156" w:beforeLines="50"/>
              <w:rPr>
                <w:kern w:val="0"/>
                <w:szCs w:val="21"/>
              </w:rPr>
            </w:pPr>
            <w:r>
              <w:rPr>
                <w:kern w:val="0"/>
                <w:szCs w:val="21"/>
              </w:rPr>
              <w:t>安排非常完整、非常合理、非常可行的得</w:t>
            </w:r>
            <w:r>
              <w:rPr>
                <w:rFonts w:hint="eastAsia"/>
                <w:kern w:val="0"/>
                <w:szCs w:val="21"/>
              </w:rPr>
              <w:t>8</w:t>
            </w:r>
            <w:r>
              <w:rPr>
                <w:kern w:val="0"/>
                <w:szCs w:val="21"/>
              </w:rPr>
              <w:t>分</w:t>
            </w:r>
            <w:r>
              <w:rPr>
                <w:rFonts w:hint="eastAsia"/>
                <w:kern w:val="0"/>
                <w:szCs w:val="21"/>
              </w:rPr>
              <w:t>；</w:t>
            </w:r>
          </w:p>
          <w:p>
            <w:pPr>
              <w:spacing w:before="156" w:beforeLines="50"/>
              <w:rPr>
                <w:kern w:val="0"/>
                <w:szCs w:val="21"/>
              </w:rPr>
            </w:pPr>
            <w:r>
              <w:rPr>
                <w:kern w:val="0"/>
                <w:szCs w:val="21"/>
              </w:rPr>
              <w:t>较完整、较合理、较可行的得</w:t>
            </w:r>
            <w:r>
              <w:rPr>
                <w:rFonts w:hint="eastAsia"/>
                <w:kern w:val="0"/>
                <w:szCs w:val="21"/>
              </w:rPr>
              <w:t>6</w:t>
            </w:r>
            <w:r>
              <w:rPr>
                <w:kern w:val="0"/>
                <w:szCs w:val="21"/>
              </w:rPr>
              <w:t>分</w:t>
            </w:r>
            <w:r>
              <w:rPr>
                <w:rFonts w:hint="eastAsia"/>
                <w:kern w:val="0"/>
                <w:szCs w:val="21"/>
              </w:rPr>
              <w:t>；</w:t>
            </w:r>
          </w:p>
          <w:p>
            <w:pPr>
              <w:spacing w:before="156" w:beforeLines="50"/>
              <w:rPr>
                <w:kern w:val="0"/>
                <w:szCs w:val="21"/>
              </w:rPr>
            </w:pPr>
            <w:r>
              <w:rPr>
                <w:rFonts w:hint="eastAsia"/>
                <w:kern w:val="0"/>
                <w:szCs w:val="21"/>
              </w:rPr>
              <w:t>欠</w:t>
            </w:r>
            <w:r>
              <w:rPr>
                <w:kern w:val="0"/>
                <w:szCs w:val="21"/>
              </w:rPr>
              <w:t>完整、</w:t>
            </w:r>
            <w:r>
              <w:rPr>
                <w:rFonts w:hint="eastAsia"/>
                <w:kern w:val="0"/>
                <w:szCs w:val="21"/>
              </w:rPr>
              <w:t>欠</w:t>
            </w:r>
            <w:r>
              <w:rPr>
                <w:kern w:val="0"/>
                <w:szCs w:val="21"/>
              </w:rPr>
              <w:t>合理、</w:t>
            </w:r>
            <w:r>
              <w:rPr>
                <w:rFonts w:hint="eastAsia"/>
                <w:kern w:val="0"/>
                <w:szCs w:val="21"/>
              </w:rPr>
              <w:t>欠</w:t>
            </w:r>
            <w:r>
              <w:rPr>
                <w:kern w:val="0"/>
                <w:szCs w:val="21"/>
              </w:rPr>
              <w:t>可行的得</w:t>
            </w:r>
            <w:r>
              <w:rPr>
                <w:rFonts w:hint="eastAsia"/>
                <w:kern w:val="0"/>
                <w:szCs w:val="21"/>
              </w:rPr>
              <w:t>4</w:t>
            </w:r>
            <w:r>
              <w:rPr>
                <w:kern w:val="0"/>
                <w:szCs w:val="21"/>
              </w:rPr>
              <w:t>分</w:t>
            </w:r>
            <w:r>
              <w:rPr>
                <w:rFonts w:hint="eastAsia"/>
                <w:kern w:val="0"/>
                <w:szCs w:val="21"/>
              </w:rPr>
              <w:t>；</w:t>
            </w:r>
          </w:p>
          <w:p>
            <w:pPr>
              <w:spacing w:before="156" w:beforeLines="50"/>
              <w:rPr>
                <w:kern w:val="0"/>
                <w:szCs w:val="21"/>
              </w:rPr>
            </w:pPr>
            <w:r>
              <w:rPr>
                <w:rFonts w:hint="eastAsia"/>
                <w:kern w:val="0"/>
                <w:szCs w:val="21"/>
              </w:rPr>
              <w:t>未提供的不得分</w:t>
            </w:r>
            <w:r>
              <w:rPr>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650" w:type="dxa"/>
            <w:noWrap/>
            <w:vAlign w:val="center"/>
          </w:tcPr>
          <w:p>
            <w:pPr>
              <w:jc w:val="center"/>
              <w:rPr>
                <w:kern w:val="0"/>
                <w:szCs w:val="21"/>
              </w:rPr>
            </w:pPr>
            <w:r>
              <w:rPr>
                <w:rFonts w:hint="eastAsia"/>
                <w:kern w:val="0"/>
                <w:szCs w:val="21"/>
              </w:rPr>
              <w:t>7</w:t>
            </w:r>
          </w:p>
        </w:tc>
        <w:tc>
          <w:tcPr>
            <w:tcW w:w="1056" w:type="dxa"/>
            <w:noWrap/>
            <w:vAlign w:val="center"/>
          </w:tcPr>
          <w:p>
            <w:pPr>
              <w:rPr>
                <w:kern w:val="0"/>
                <w:szCs w:val="21"/>
              </w:rPr>
            </w:pPr>
            <w:r>
              <w:rPr>
                <w:kern w:val="0"/>
                <w:szCs w:val="21"/>
              </w:rPr>
              <w:t>质量管理措施</w:t>
            </w:r>
          </w:p>
        </w:tc>
        <w:tc>
          <w:tcPr>
            <w:tcW w:w="778" w:type="dxa"/>
            <w:noWrap/>
            <w:vAlign w:val="center"/>
          </w:tcPr>
          <w:p>
            <w:pPr>
              <w:rPr>
                <w:kern w:val="0"/>
                <w:szCs w:val="21"/>
              </w:rPr>
            </w:pPr>
            <w:r>
              <w:rPr>
                <w:rFonts w:hint="eastAsia"/>
                <w:kern w:val="0"/>
                <w:szCs w:val="21"/>
              </w:rPr>
              <w:t>8</w:t>
            </w:r>
            <w:r>
              <w:rPr>
                <w:kern w:val="0"/>
                <w:szCs w:val="21"/>
              </w:rPr>
              <w:t>分</w:t>
            </w:r>
          </w:p>
        </w:tc>
        <w:tc>
          <w:tcPr>
            <w:tcW w:w="6833" w:type="dxa"/>
            <w:noWrap/>
            <w:vAlign w:val="center"/>
          </w:tcPr>
          <w:p>
            <w:pPr>
              <w:spacing w:before="156" w:beforeLines="50"/>
              <w:rPr>
                <w:kern w:val="0"/>
                <w:szCs w:val="21"/>
              </w:rPr>
            </w:pPr>
            <w:r>
              <w:rPr>
                <w:kern w:val="0"/>
                <w:szCs w:val="21"/>
              </w:rPr>
              <w:t>根据投标供应商针对本项目所提供的质量保证措施</w:t>
            </w:r>
            <w:r>
              <w:rPr>
                <w:rFonts w:hint="eastAsia"/>
                <w:kern w:val="0"/>
                <w:szCs w:val="21"/>
              </w:rPr>
              <w:t>。</w:t>
            </w:r>
          </w:p>
          <w:p>
            <w:pPr>
              <w:spacing w:before="156" w:beforeLines="50"/>
              <w:rPr>
                <w:kern w:val="0"/>
                <w:szCs w:val="21"/>
              </w:rPr>
            </w:pPr>
            <w:r>
              <w:rPr>
                <w:kern w:val="0"/>
                <w:szCs w:val="21"/>
              </w:rPr>
              <w:t>非常科学、非常合理的得</w:t>
            </w:r>
            <w:r>
              <w:rPr>
                <w:rFonts w:hint="eastAsia"/>
                <w:kern w:val="0"/>
                <w:szCs w:val="21"/>
              </w:rPr>
              <w:t>8</w:t>
            </w:r>
            <w:r>
              <w:rPr>
                <w:kern w:val="0"/>
                <w:szCs w:val="21"/>
              </w:rPr>
              <w:t>分</w:t>
            </w:r>
            <w:r>
              <w:rPr>
                <w:rFonts w:hint="eastAsia"/>
                <w:kern w:val="0"/>
                <w:szCs w:val="21"/>
              </w:rPr>
              <w:t>；</w:t>
            </w:r>
          </w:p>
          <w:p>
            <w:pPr>
              <w:spacing w:before="156" w:beforeLines="50"/>
              <w:rPr>
                <w:kern w:val="0"/>
                <w:szCs w:val="21"/>
              </w:rPr>
            </w:pPr>
            <w:r>
              <w:rPr>
                <w:kern w:val="0"/>
                <w:szCs w:val="21"/>
              </w:rPr>
              <w:t>较科学、较合理的得</w:t>
            </w:r>
            <w:r>
              <w:rPr>
                <w:rFonts w:hint="eastAsia"/>
                <w:kern w:val="0"/>
                <w:szCs w:val="21"/>
              </w:rPr>
              <w:t>6</w:t>
            </w:r>
            <w:r>
              <w:rPr>
                <w:kern w:val="0"/>
                <w:szCs w:val="21"/>
              </w:rPr>
              <w:t>分</w:t>
            </w:r>
            <w:r>
              <w:rPr>
                <w:rFonts w:hint="eastAsia"/>
                <w:kern w:val="0"/>
                <w:szCs w:val="21"/>
              </w:rPr>
              <w:t>；</w:t>
            </w:r>
          </w:p>
          <w:p>
            <w:pPr>
              <w:spacing w:before="156" w:beforeLines="50"/>
              <w:rPr>
                <w:kern w:val="0"/>
                <w:szCs w:val="21"/>
              </w:rPr>
            </w:pPr>
            <w:r>
              <w:rPr>
                <w:rFonts w:hint="eastAsia"/>
                <w:kern w:val="0"/>
                <w:szCs w:val="21"/>
              </w:rPr>
              <w:t>欠</w:t>
            </w:r>
            <w:r>
              <w:rPr>
                <w:kern w:val="0"/>
                <w:szCs w:val="21"/>
              </w:rPr>
              <w:t>科学、</w:t>
            </w:r>
            <w:r>
              <w:rPr>
                <w:rFonts w:hint="eastAsia"/>
                <w:kern w:val="0"/>
                <w:szCs w:val="21"/>
              </w:rPr>
              <w:t>欠</w:t>
            </w:r>
            <w:r>
              <w:rPr>
                <w:kern w:val="0"/>
                <w:szCs w:val="21"/>
              </w:rPr>
              <w:t>合理的得</w:t>
            </w:r>
            <w:r>
              <w:rPr>
                <w:rFonts w:hint="eastAsia"/>
                <w:kern w:val="0"/>
                <w:szCs w:val="21"/>
              </w:rPr>
              <w:t>4</w:t>
            </w:r>
            <w:r>
              <w:rPr>
                <w:kern w:val="0"/>
                <w:szCs w:val="21"/>
              </w:rPr>
              <w:t>分</w:t>
            </w:r>
            <w:r>
              <w:rPr>
                <w:rFonts w:hint="eastAsia"/>
                <w:kern w:val="0"/>
                <w:szCs w:val="21"/>
              </w:rPr>
              <w:t>；</w:t>
            </w:r>
          </w:p>
          <w:p>
            <w:pPr>
              <w:spacing w:before="156" w:beforeLines="50"/>
              <w:rPr>
                <w:kern w:val="0"/>
                <w:szCs w:val="21"/>
              </w:rPr>
            </w:pPr>
            <w:r>
              <w:rPr>
                <w:rFonts w:hint="eastAsia"/>
                <w:kern w:val="0"/>
                <w:szCs w:val="21"/>
              </w:rPr>
              <w:t>未提供的不得分</w:t>
            </w:r>
            <w:r>
              <w:rPr>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650" w:type="dxa"/>
            <w:noWrap/>
            <w:vAlign w:val="center"/>
          </w:tcPr>
          <w:p>
            <w:pPr>
              <w:jc w:val="center"/>
              <w:rPr>
                <w:kern w:val="0"/>
                <w:szCs w:val="21"/>
              </w:rPr>
            </w:pPr>
            <w:r>
              <w:rPr>
                <w:rFonts w:hint="eastAsia"/>
                <w:kern w:val="0"/>
                <w:szCs w:val="21"/>
              </w:rPr>
              <w:t>8</w:t>
            </w:r>
          </w:p>
        </w:tc>
        <w:tc>
          <w:tcPr>
            <w:tcW w:w="1056" w:type="dxa"/>
            <w:noWrap/>
            <w:vAlign w:val="center"/>
          </w:tcPr>
          <w:p>
            <w:pPr>
              <w:rPr>
                <w:kern w:val="0"/>
                <w:szCs w:val="21"/>
              </w:rPr>
            </w:pPr>
            <w:r>
              <w:rPr>
                <w:kern w:val="0"/>
                <w:szCs w:val="21"/>
              </w:rPr>
              <w:t>服务承诺及技术保障</w:t>
            </w:r>
          </w:p>
        </w:tc>
        <w:tc>
          <w:tcPr>
            <w:tcW w:w="778" w:type="dxa"/>
            <w:noWrap/>
            <w:vAlign w:val="center"/>
          </w:tcPr>
          <w:p>
            <w:pPr>
              <w:rPr>
                <w:kern w:val="0"/>
                <w:szCs w:val="21"/>
              </w:rPr>
            </w:pPr>
            <w:r>
              <w:rPr>
                <w:rFonts w:hint="eastAsia"/>
                <w:kern w:val="0"/>
                <w:szCs w:val="21"/>
              </w:rPr>
              <w:t>8</w:t>
            </w:r>
            <w:r>
              <w:rPr>
                <w:kern w:val="0"/>
                <w:szCs w:val="21"/>
              </w:rPr>
              <w:t>分</w:t>
            </w:r>
          </w:p>
        </w:tc>
        <w:tc>
          <w:tcPr>
            <w:tcW w:w="6833" w:type="dxa"/>
            <w:noWrap/>
            <w:vAlign w:val="center"/>
          </w:tcPr>
          <w:p>
            <w:pPr>
              <w:spacing w:before="156" w:beforeLines="50"/>
              <w:rPr>
                <w:kern w:val="0"/>
                <w:szCs w:val="21"/>
              </w:rPr>
            </w:pPr>
            <w:r>
              <w:rPr>
                <w:kern w:val="0"/>
                <w:szCs w:val="21"/>
              </w:rPr>
              <w:t>根据投标人提供的服务承诺和技术保障措施进行评审</w:t>
            </w:r>
            <w:r>
              <w:rPr>
                <w:rFonts w:hint="eastAsia"/>
                <w:kern w:val="0"/>
                <w:szCs w:val="21"/>
              </w:rPr>
              <w:t>。</w:t>
            </w:r>
          </w:p>
          <w:p>
            <w:pPr>
              <w:spacing w:before="156" w:beforeLines="50"/>
              <w:rPr>
                <w:kern w:val="0"/>
                <w:szCs w:val="21"/>
              </w:rPr>
            </w:pPr>
            <w:r>
              <w:rPr>
                <w:kern w:val="0"/>
                <w:szCs w:val="21"/>
              </w:rPr>
              <w:t>承诺非常完整、非常合理、保障高的得</w:t>
            </w:r>
            <w:r>
              <w:rPr>
                <w:rFonts w:hint="eastAsia"/>
                <w:kern w:val="0"/>
                <w:szCs w:val="21"/>
              </w:rPr>
              <w:t>8</w:t>
            </w:r>
            <w:r>
              <w:rPr>
                <w:kern w:val="0"/>
                <w:szCs w:val="21"/>
              </w:rPr>
              <w:t>分</w:t>
            </w:r>
            <w:r>
              <w:rPr>
                <w:rFonts w:hint="eastAsia"/>
                <w:kern w:val="0"/>
                <w:szCs w:val="21"/>
              </w:rPr>
              <w:t>；</w:t>
            </w:r>
          </w:p>
          <w:p>
            <w:pPr>
              <w:spacing w:before="156" w:beforeLines="50"/>
              <w:rPr>
                <w:kern w:val="0"/>
                <w:szCs w:val="21"/>
              </w:rPr>
            </w:pPr>
            <w:r>
              <w:rPr>
                <w:kern w:val="0"/>
                <w:szCs w:val="21"/>
              </w:rPr>
              <w:t>承诺较完整、较合理、保障较高的得</w:t>
            </w:r>
            <w:r>
              <w:rPr>
                <w:rFonts w:hint="eastAsia"/>
                <w:kern w:val="0"/>
                <w:szCs w:val="21"/>
              </w:rPr>
              <w:t>6</w:t>
            </w:r>
            <w:r>
              <w:rPr>
                <w:kern w:val="0"/>
                <w:szCs w:val="21"/>
              </w:rPr>
              <w:t>分</w:t>
            </w:r>
            <w:r>
              <w:rPr>
                <w:rFonts w:hint="eastAsia"/>
                <w:kern w:val="0"/>
                <w:szCs w:val="21"/>
              </w:rPr>
              <w:t>；</w:t>
            </w:r>
          </w:p>
          <w:p>
            <w:pPr>
              <w:spacing w:before="156" w:beforeLines="50"/>
              <w:rPr>
                <w:kern w:val="0"/>
                <w:szCs w:val="21"/>
              </w:rPr>
            </w:pPr>
            <w:r>
              <w:rPr>
                <w:kern w:val="0"/>
                <w:szCs w:val="21"/>
              </w:rPr>
              <w:t>承诺</w:t>
            </w:r>
            <w:r>
              <w:rPr>
                <w:rFonts w:hint="eastAsia"/>
                <w:kern w:val="0"/>
                <w:szCs w:val="21"/>
              </w:rPr>
              <w:t>欠</w:t>
            </w:r>
            <w:r>
              <w:rPr>
                <w:kern w:val="0"/>
                <w:szCs w:val="21"/>
              </w:rPr>
              <w:t>完整、</w:t>
            </w:r>
            <w:r>
              <w:rPr>
                <w:rFonts w:hint="eastAsia"/>
                <w:kern w:val="0"/>
                <w:szCs w:val="21"/>
              </w:rPr>
              <w:t>欠</w:t>
            </w:r>
            <w:r>
              <w:rPr>
                <w:kern w:val="0"/>
                <w:szCs w:val="21"/>
              </w:rPr>
              <w:t>合理、保障</w:t>
            </w:r>
            <w:r>
              <w:rPr>
                <w:rFonts w:hint="eastAsia"/>
                <w:kern w:val="0"/>
                <w:szCs w:val="21"/>
              </w:rPr>
              <w:t>欠</w:t>
            </w:r>
            <w:r>
              <w:rPr>
                <w:kern w:val="0"/>
                <w:szCs w:val="21"/>
              </w:rPr>
              <w:t>高的得</w:t>
            </w:r>
            <w:r>
              <w:rPr>
                <w:rFonts w:hint="eastAsia"/>
                <w:kern w:val="0"/>
                <w:szCs w:val="21"/>
              </w:rPr>
              <w:t>4</w:t>
            </w:r>
            <w:r>
              <w:rPr>
                <w:kern w:val="0"/>
                <w:szCs w:val="21"/>
              </w:rPr>
              <w:t>分</w:t>
            </w:r>
            <w:r>
              <w:rPr>
                <w:rFonts w:hint="eastAsia"/>
                <w:kern w:val="0"/>
                <w:szCs w:val="21"/>
              </w:rPr>
              <w:t>；</w:t>
            </w:r>
          </w:p>
          <w:p>
            <w:pPr>
              <w:spacing w:before="156" w:beforeLines="50"/>
              <w:rPr>
                <w:kern w:val="0"/>
                <w:szCs w:val="21"/>
              </w:rPr>
            </w:pPr>
            <w:r>
              <w:rPr>
                <w:rFonts w:hint="eastAsia"/>
                <w:kern w:val="0"/>
                <w:szCs w:val="21"/>
              </w:rPr>
              <w:t>未提供的不得分</w:t>
            </w:r>
            <w:r>
              <w:rPr>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650" w:type="dxa"/>
            <w:noWrap/>
            <w:vAlign w:val="center"/>
          </w:tcPr>
          <w:p>
            <w:pPr>
              <w:jc w:val="center"/>
              <w:rPr>
                <w:kern w:val="0"/>
                <w:szCs w:val="21"/>
              </w:rPr>
            </w:pPr>
            <w:r>
              <w:rPr>
                <w:rFonts w:hint="eastAsia"/>
                <w:kern w:val="0"/>
                <w:szCs w:val="21"/>
              </w:rPr>
              <w:t>9</w:t>
            </w:r>
          </w:p>
        </w:tc>
        <w:tc>
          <w:tcPr>
            <w:tcW w:w="1056" w:type="dxa"/>
            <w:noWrap/>
            <w:vAlign w:val="center"/>
          </w:tcPr>
          <w:p>
            <w:pPr>
              <w:rPr>
                <w:kern w:val="0"/>
                <w:szCs w:val="21"/>
              </w:rPr>
            </w:pPr>
            <w:r>
              <w:rPr>
                <w:rFonts w:hint="eastAsia"/>
                <w:kern w:val="0"/>
                <w:szCs w:val="21"/>
              </w:rPr>
              <w:t>商务标</w:t>
            </w:r>
          </w:p>
        </w:tc>
        <w:tc>
          <w:tcPr>
            <w:tcW w:w="778" w:type="dxa"/>
            <w:noWrap/>
            <w:vAlign w:val="center"/>
          </w:tcPr>
          <w:p>
            <w:pPr>
              <w:jc w:val="center"/>
              <w:rPr>
                <w:kern w:val="0"/>
                <w:szCs w:val="21"/>
              </w:rPr>
            </w:pPr>
            <w:r>
              <w:rPr>
                <w:rFonts w:hint="eastAsia"/>
                <w:kern w:val="0"/>
                <w:szCs w:val="21"/>
              </w:rPr>
              <w:t>20分</w:t>
            </w:r>
          </w:p>
        </w:tc>
        <w:tc>
          <w:tcPr>
            <w:tcW w:w="6833" w:type="dxa"/>
            <w:noWrap/>
            <w:vAlign w:val="center"/>
          </w:tcPr>
          <w:p>
            <w:pPr>
              <w:spacing w:before="156" w:beforeLines="50"/>
              <w:rPr>
                <w:kern w:val="0"/>
                <w:szCs w:val="21"/>
              </w:rPr>
            </w:pPr>
            <w:r>
              <w:rPr>
                <w:rFonts w:hint="eastAsia"/>
                <w:kern w:val="0"/>
                <w:szCs w:val="21"/>
              </w:rPr>
              <w:t>以合格投标人有效投标报价系数中的最低报价系数为基准报价系数，基准报价系数为20分。投标报价系数得分＝（基准报价系数/投标报价系数）×20%×100（小数点后保留2位小数）。</w:t>
            </w:r>
          </w:p>
        </w:tc>
      </w:tr>
    </w:tbl>
    <w:p>
      <w:pPr>
        <w:spacing w:line="360" w:lineRule="auto"/>
      </w:pPr>
      <w:r>
        <w:rPr>
          <w:rFonts w:hint="eastAsia"/>
          <w:b/>
          <w:bCs/>
        </w:rPr>
        <w:t>注</w:t>
      </w:r>
      <w:r>
        <w:rPr>
          <w:rFonts w:hint="eastAsia"/>
        </w:rPr>
        <w:t>：①请扫描上传合同、证书、报告及其他相关证明材料的原件至投标文件。</w:t>
      </w:r>
    </w:p>
    <w:p>
      <w:pPr>
        <w:pStyle w:val="16"/>
        <w:snapToGrid w:val="0"/>
        <w:spacing w:line="360" w:lineRule="auto"/>
        <w:ind w:firstLine="482" w:firstLineChars="200"/>
        <w:rPr>
          <w:rFonts w:hAnsi="宋体"/>
          <w:b/>
          <w:sz w:val="24"/>
        </w:rPr>
      </w:pPr>
      <w:r>
        <w:rPr>
          <w:rFonts w:hint="eastAsia" w:hAnsi="宋体"/>
          <w:b/>
          <w:sz w:val="24"/>
        </w:rPr>
        <w:t>2.评审要求</w:t>
      </w:r>
    </w:p>
    <w:p>
      <w:pPr>
        <w:pStyle w:val="34"/>
        <w:ind w:firstLine="480"/>
        <w:rPr>
          <w:rFonts w:hAnsi="宋体" w:cs="宋体"/>
          <w:lang w:val="zh-CN"/>
        </w:rPr>
      </w:pPr>
      <w:r>
        <w:rPr>
          <w:rFonts w:hint="eastAsia" w:hAnsi="宋体" w:cs="宋体"/>
        </w:rPr>
        <w:t>（1）评标委员会应当按照采购文件中规定的评标方法和标准，对符合性审查合格的投标文件的商务部分和技术部分进行综合比较与评价，其中</w:t>
      </w:r>
      <w:r>
        <w:rPr>
          <w:rFonts w:hint="eastAsia"/>
          <w:bCs/>
          <w:lang w:val="zh-CN"/>
        </w:rPr>
        <w:t>客观</w:t>
      </w:r>
      <w:r>
        <w:rPr>
          <w:rFonts w:hint="eastAsia"/>
          <w:bCs/>
        </w:rPr>
        <w:t>评分项的分值</w:t>
      </w:r>
      <w:r>
        <w:rPr>
          <w:rFonts w:hint="eastAsia"/>
          <w:bCs/>
          <w:lang w:val="zh-CN"/>
        </w:rPr>
        <w:t>应当一致</w:t>
      </w:r>
      <w:r>
        <w:rPr>
          <w:rFonts w:hint="eastAsia" w:hAnsi="宋体" w:cs="宋体"/>
          <w:lang w:val="zh-CN"/>
        </w:rPr>
        <w:t>。</w:t>
      </w:r>
    </w:p>
    <w:p>
      <w:pPr>
        <w:pStyle w:val="34"/>
        <w:spacing w:line="360" w:lineRule="auto"/>
        <w:ind w:firstLine="480"/>
        <w:rPr>
          <w:rFonts w:hAnsi="宋体" w:cs="宋体"/>
        </w:rPr>
      </w:pPr>
      <w:r>
        <w:rPr>
          <w:rFonts w:hint="eastAsia" w:hAnsi="宋体" w:cs="宋体"/>
          <w:szCs w:val="24"/>
        </w:rPr>
        <w:t>（2）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pPr>
        <w:spacing w:line="360" w:lineRule="auto"/>
        <w:ind w:firstLine="480" w:firstLineChars="200"/>
        <w:rPr>
          <w:rFonts w:ascii="宋体" w:hAnsi="宋体" w:cs="宋体"/>
          <w:sz w:val="24"/>
        </w:rPr>
      </w:pPr>
      <w:r>
        <w:rPr>
          <w:rFonts w:hint="eastAsia" w:ascii="宋体" w:hAnsi="宋体" w:cs="宋体"/>
          <w:sz w:val="24"/>
        </w:rPr>
        <w:t>（3）对于投标文件报价出现前后不一致的，除采购文件另有规定外，按照下列规定修正：</w:t>
      </w:r>
    </w:p>
    <w:p>
      <w:pPr>
        <w:spacing w:line="360" w:lineRule="auto"/>
        <w:ind w:firstLine="480" w:firstLineChars="200"/>
        <w:rPr>
          <w:rFonts w:ascii="宋体" w:hAnsi="宋体" w:cs="宋体"/>
          <w:sz w:val="24"/>
        </w:rPr>
      </w:pPr>
      <w:r>
        <w:rPr>
          <w:rFonts w:hint="eastAsia" w:ascii="宋体" w:hAnsi="宋体" w:cs="宋体"/>
          <w:sz w:val="24"/>
        </w:rPr>
        <w:t>①“台州湾工程项目小额平台”上开启的投标报价与电子投标文件中开标一览表（报价表）内容不一致的，以电子投标文件中开标一览表（报价表）为准；</w:t>
      </w:r>
    </w:p>
    <w:p>
      <w:pPr>
        <w:spacing w:line="360" w:lineRule="auto"/>
        <w:ind w:firstLine="480" w:firstLineChars="200"/>
        <w:rPr>
          <w:rFonts w:ascii="宋体" w:hAnsi="宋体" w:cs="宋体"/>
          <w:sz w:val="24"/>
        </w:rPr>
      </w:pPr>
      <w:r>
        <w:rPr>
          <w:rFonts w:hint="eastAsia" w:ascii="宋体" w:hAnsi="宋体" w:cs="宋体"/>
          <w:sz w:val="24"/>
        </w:rPr>
        <w:t>②投标文件中开标一览表（报价表）内容与投标文件中相应内容不一致的，以开标一览表（报价表）为准；</w:t>
      </w:r>
    </w:p>
    <w:p>
      <w:pPr>
        <w:spacing w:line="360" w:lineRule="auto"/>
        <w:ind w:firstLine="480" w:firstLineChars="200"/>
        <w:rPr>
          <w:rFonts w:ascii="宋体" w:hAnsi="宋体" w:cs="宋体"/>
          <w:sz w:val="24"/>
        </w:rPr>
      </w:pPr>
      <w:r>
        <w:rPr>
          <w:rFonts w:hint="eastAsia" w:ascii="宋体" w:hAnsi="宋体" w:cs="宋体"/>
          <w:sz w:val="24"/>
        </w:rPr>
        <w:t>③大写金额和小写金额不一致的，以大写金额为准；</w:t>
      </w:r>
    </w:p>
    <w:p>
      <w:pPr>
        <w:spacing w:line="360" w:lineRule="auto"/>
        <w:ind w:firstLine="480" w:firstLineChars="200"/>
        <w:rPr>
          <w:rFonts w:ascii="宋体" w:hAnsi="宋体" w:cs="宋体"/>
          <w:sz w:val="24"/>
        </w:rPr>
      </w:pPr>
      <w:r>
        <w:rPr>
          <w:rFonts w:hint="eastAsia" w:ascii="宋体" w:hAnsi="宋体" w:cs="宋体"/>
          <w:sz w:val="24"/>
        </w:rPr>
        <w:t>④单价金额小数点或者百分比有明显错位的，以开标一览表的总价为准，并修改单价；</w:t>
      </w:r>
    </w:p>
    <w:p>
      <w:pPr>
        <w:spacing w:line="360" w:lineRule="auto"/>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5 \* GB3 \* MERGEFORMAT </w:instrText>
      </w:r>
      <w:r>
        <w:rPr>
          <w:rFonts w:hint="eastAsia" w:ascii="宋体" w:hAnsi="宋体" w:cs="宋体"/>
          <w:sz w:val="24"/>
        </w:rPr>
        <w:fldChar w:fldCharType="separate"/>
      </w:r>
      <w:r>
        <w:t>⑤</w:t>
      </w:r>
      <w:r>
        <w:rPr>
          <w:rFonts w:hint="eastAsia" w:ascii="宋体" w:hAnsi="宋体" w:cs="宋体"/>
          <w:sz w:val="24"/>
        </w:rPr>
        <w:fldChar w:fldCharType="end"/>
      </w:r>
      <w:r>
        <w:rPr>
          <w:rFonts w:hint="eastAsia" w:ascii="宋体" w:hAnsi="宋体" w:cs="宋体"/>
          <w:sz w:val="24"/>
        </w:rPr>
        <w:t>总价金额与按单价汇总金额不一致的，以单价金额计算结果为准。</w:t>
      </w:r>
    </w:p>
    <w:p>
      <w:pPr>
        <w:spacing w:line="360" w:lineRule="auto"/>
        <w:ind w:firstLine="480" w:firstLineChars="200"/>
        <w:rPr>
          <w:rFonts w:ascii="宋体" w:hAnsi="宋体" w:cs="宋体"/>
          <w:sz w:val="24"/>
        </w:rPr>
      </w:pPr>
      <w:r>
        <w:rPr>
          <w:rFonts w:hint="eastAsia" w:ascii="宋体" w:hAnsi="宋体" w:cs="宋体"/>
          <w:sz w:val="24"/>
        </w:rPr>
        <w:t>同时出现两种以上不一致的，按照前款规定的顺序修正。修正应当采用询标的形式，并加盖公章。</w:t>
      </w:r>
    </w:p>
    <w:p>
      <w:pPr>
        <w:spacing w:line="360" w:lineRule="auto"/>
        <w:ind w:firstLine="480" w:firstLineChars="200"/>
        <w:rPr>
          <w:rFonts w:ascii="宋体" w:hAnsi="宋体" w:cs="宋体"/>
          <w:sz w:val="24"/>
        </w:rPr>
      </w:pPr>
      <w:r>
        <w:rPr>
          <w:rFonts w:hint="eastAsia" w:ascii="宋体" w:hAnsi="宋体" w:cs="宋体"/>
          <w:sz w:val="24"/>
        </w:rPr>
        <w:t>（3）对于投标文件中含义不明确、同类问题表述不一致或者有明显文字和计算错误的内容，评标委员会应当要求供应商作出必要的澄清、说明或者补正。</w:t>
      </w:r>
    </w:p>
    <w:p>
      <w:pPr>
        <w:spacing w:line="360" w:lineRule="auto"/>
        <w:ind w:firstLine="480" w:firstLineChars="200"/>
        <w:rPr>
          <w:rFonts w:ascii="宋体" w:hAnsi="宋体" w:cs="宋体"/>
          <w:sz w:val="24"/>
        </w:rPr>
      </w:pPr>
      <w:r>
        <w:rPr>
          <w:rFonts w:hint="eastAsia" w:ascii="宋体" w:hAnsi="宋体" w:cs="宋体"/>
          <w:sz w:val="24"/>
        </w:rPr>
        <w:t>（4）供应商的澄清、说明或者补正采用书面形式，并加盖公章或者由法定代表人或授权代表签字，且不得超出投标文件的范围或者改变投标文件的实质性内容。</w:t>
      </w:r>
    </w:p>
    <w:p>
      <w:pPr>
        <w:spacing w:line="360" w:lineRule="auto"/>
        <w:ind w:firstLine="482" w:firstLineChars="200"/>
        <w:rPr>
          <w:rFonts w:ascii="宋体"/>
          <w:sz w:val="24"/>
        </w:rPr>
      </w:pPr>
      <w:r>
        <w:rPr>
          <w:rFonts w:hint="eastAsia" w:ascii="宋体" w:hAnsi="宋体" w:cs="宋体"/>
          <w:b/>
          <w:bCs/>
          <w:sz w:val="24"/>
        </w:rPr>
        <w:t>（四）结果汇总及排序</w:t>
      </w:r>
    </w:p>
    <w:p>
      <w:pPr>
        <w:spacing w:line="360" w:lineRule="auto"/>
        <w:ind w:left="420"/>
        <w:rPr>
          <w:rFonts w:ascii="宋体" w:hAnsi="宋体" w:cs="宋体"/>
          <w:bCs/>
          <w:sz w:val="24"/>
        </w:rPr>
      </w:pPr>
      <w:r>
        <w:rPr>
          <w:rFonts w:hint="eastAsia" w:ascii="宋体" w:hAnsi="宋体" w:cs="宋体"/>
          <w:b/>
          <w:sz w:val="24"/>
        </w:rPr>
        <w:t>评标总得分的确定：</w:t>
      </w:r>
    </w:p>
    <w:p>
      <w:pPr>
        <w:spacing w:line="360" w:lineRule="auto"/>
        <w:ind w:left="420"/>
        <w:rPr>
          <w:rFonts w:ascii="宋体" w:hAnsi="宋体" w:cs="宋体"/>
          <w:bCs/>
          <w:sz w:val="24"/>
        </w:rPr>
      </w:pPr>
      <w:r>
        <w:rPr>
          <w:rFonts w:hint="eastAsia" w:ascii="宋体" w:hAnsi="宋体" w:cs="宋体"/>
          <w:bCs/>
          <w:sz w:val="24"/>
        </w:rPr>
        <w:t>供应商的总得分＝资信技术标得分+商务标得分。</w:t>
      </w:r>
    </w:p>
    <w:p>
      <w:pPr>
        <w:spacing w:line="360" w:lineRule="auto"/>
        <w:ind w:left="420"/>
        <w:rPr>
          <w:rFonts w:ascii="宋体" w:hAnsi="宋体" w:cs="宋体"/>
          <w:b/>
          <w:sz w:val="24"/>
        </w:rPr>
      </w:pPr>
      <w:r>
        <w:rPr>
          <w:rFonts w:hint="eastAsia" w:ascii="宋体" w:hAnsi="宋体" w:cs="宋体"/>
          <w:b/>
          <w:sz w:val="24"/>
        </w:rPr>
        <w:t>中标候选人的确定：</w:t>
      </w:r>
    </w:p>
    <w:p>
      <w:pPr>
        <w:spacing w:line="360" w:lineRule="auto"/>
        <w:ind w:firstLine="480" w:firstLineChars="200"/>
        <w:jc w:val="left"/>
        <w:rPr>
          <w:rFonts w:ascii="宋体" w:hAnsi="宋体" w:cs="宋体"/>
          <w:bCs/>
          <w:sz w:val="24"/>
        </w:rPr>
      </w:pPr>
      <w:r>
        <w:rPr>
          <w:rFonts w:hint="eastAsia" w:ascii="宋体" w:hAnsi="宋体" w:cs="宋体"/>
          <w:bCs/>
          <w:sz w:val="24"/>
        </w:rPr>
        <w:t>中标候选人的排名次序按供应商总得分从高到低顺序排列，即总得分最高者为第一中标候选人。若出现总得分相同时，按资信技术标得分由高到低顺序排列；若以上均相同的，则抽签确定。</w:t>
      </w:r>
    </w:p>
    <w:p>
      <w:pPr>
        <w:spacing w:line="360" w:lineRule="auto"/>
        <w:ind w:firstLine="482" w:firstLineChars="200"/>
        <w:rPr>
          <w:rFonts w:ascii="宋体" w:hAnsi="宋体" w:cs="宋体"/>
          <w:b/>
          <w:bCs/>
          <w:sz w:val="24"/>
        </w:rPr>
      </w:pPr>
      <w:r>
        <w:rPr>
          <w:rFonts w:hint="eastAsia" w:ascii="宋体" w:hAnsi="宋体" w:cs="宋体"/>
          <w:b/>
          <w:bCs/>
          <w:sz w:val="24"/>
        </w:rPr>
        <w:t>（五）评标报告撰写</w:t>
      </w:r>
    </w:p>
    <w:p>
      <w:pPr>
        <w:spacing w:line="360" w:lineRule="auto"/>
        <w:ind w:firstLine="480"/>
        <w:rPr>
          <w:rFonts w:ascii="宋体" w:hAnsi="宋体"/>
          <w:b/>
          <w:sz w:val="36"/>
          <w:szCs w:val="36"/>
        </w:rPr>
      </w:pPr>
      <w:r>
        <w:rPr>
          <w:rFonts w:hint="eastAsia" w:ascii="宋体" w:hAnsi="宋体" w:cs="宋体"/>
          <w:sz w:val="24"/>
        </w:rPr>
        <w:t>评标委员会根据全体评标成员签字的原始评标记录和评标结果编写评标报告。</w:t>
      </w:r>
      <w:bookmarkStart w:id="36" w:name="_Toc27944_WPSOffice_Level1"/>
    </w:p>
    <w:bookmarkEnd w:id="36"/>
    <w:p>
      <w:pPr>
        <w:pStyle w:val="11"/>
        <w:rPr>
          <w:rFonts w:ascii="仿宋" w:hAnsi="仿宋" w:eastAsia="仿宋" w:cs="仿宋"/>
          <w:b/>
          <w:sz w:val="36"/>
          <w:szCs w:val="36"/>
        </w:rPr>
      </w:pPr>
    </w:p>
    <w:p>
      <w:pPr>
        <w:rPr>
          <w:rFonts w:ascii="宋体" w:hAnsi="宋体"/>
          <w:b/>
          <w:sz w:val="36"/>
          <w:szCs w:val="36"/>
        </w:rPr>
      </w:pPr>
      <w:r>
        <w:rPr>
          <w:rFonts w:hint="eastAsia" w:ascii="宋体" w:hAnsi="宋体"/>
          <w:b/>
          <w:sz w:val="36"/>
          <w:szCs w:val="36"/>
        </w:rPr>
        <w:br w:type="page"/>
      </w:r>
    </w:p>
    <w:p>
      <w:pPr>
        <w:pStyle w:val="3"/>
        <w:numPr>
          <w:ilvl w:val="0"/>
          <w:numId w:val="0"/>
        </w:numPr>
        <w:spacing w:line="360" w:lineRule="auto"/>
        <w:rPr>
          <w:rFonts w:ascii="宋体" w:hAnsi="宋体"/>
          <w:b w:val="0"/>
          <w:sz w:val="36"/>
          <w:szCs w:val="36"/>
        </w:rPr>
      </w:pPr>
      <w:bookmarkStart w:id="37" w:name="_Toc5481_WPSOffice_Level1"/>
      <w:r>
        <w:rPr>
          <w:rFonts w:hint="eastAsia" w:ascii="宋体" w:hAnsi="宋体"/>
          <w:sz w:val="36"/>
          <w:szCs w:val="36"/>
        </w:rPr>
        <w:t>第五章 拟签订的合同文本</w:t>
      </w:r>
    </w:p>
    <w:p>
      <w:pPr>
        <w:spacing w:line="360" w:lineRule="auto"/>
        <w:ind w:firstLine="417" w:firstLineChars="198"/>
        <w:rPr>
          <w:b/>
          <w:bCs/>
          <w:szCs w:val="21"/>
        </w:rPr>
      </w:pPr>
      <w:r>
        <w:rPr>
          <w:b/>
          <w:bCs/>
          <w:szCs w:val="21"/>
        </w:rPr>
        <w:t>特别提示：以下为合同范本，仅供参考，不宜照搬。合同条款的具体内容应严格按照招标文件、投标文件、评标结果及中标人的承诺来拟订。</w:t>
      </w:r>
    </w:p>
    <w:p>
      <w:pPr>
        <w:spacing w:line="360" w:lineRule="auto"/>
        <w:rPr>
          <w:b/>
          <w:szCs w:val="21"/>
        </w:rPr>
      </w:pPr>
    </w:p>
    <w:p>
      <w:pPr>
        <w:adjustRightInd w:val="0"/>
        <w:snapToGrid w:val="0"/>
        <w:spacing w:line="324" w:lineRule="auto"/>
        <w:jc w:val="center"/>
        <w:outlineLvl w:val="0"/>
        <w:rPr>
          <w:rFonts w:ascii="黑体" w:eastAsia="黑体"/>
          <w:b/>
          <w:sz w:val="32"/>
          <w:szCs w:val="30"/>
        </w:rPr>
      </w:pPr>
    </w:p>
    <w:p>
      <w:pPr>
        <w:adjustRightInd w:val="0"/>
        <w:snapToGrid w:val="0"/>
        <w:spacing w:line="324" w:lineRule="auto"/>
        <w:jc w:val="center"/>
        <w:outlineLvl w:val="0"/>
        <w:rPr>
          <w:rFonts w:ascii="黑体" w:eastAsia="黑体"/>
          <w:b/>
          <w:sz w:val="32"/>
          <w:szCs w:val="30"/>
        </w:rPr>
      </w:pPr>
    </w:p>
    <w:p>
      <w:pPr>
        <w:adjustRightInd w:val="0"/>
        <w:snapToGrid w:val="0"/>
        <w:spacing w:line="324" w:lineRule="auto"/>
        <w:jc w:val="center"/>
        <w:outlineLvl w:val="0"/>
        <w:rPr>
          <w:rFonts w:ascii="黑体" w:eastAsia="黑体"/>
          <w:b/>
          <w:sz w:val="32"/>
          <w:szCs w:val="30"/>
        </w:rPr>
      </w:pPr>
    </w:p>
    <w:p>
      <w:pPr>
        <w:adjustRightInd w:val="0"/>
        <w:snapToGrid w:val="0"/>
        <w:spacing w:line="324" w:lineRule="auto"/>
        <w:jc w:val="center"/>
        <w:outlineLvl w:val="0"/>
        <w:rPr>
          <w:rFonts w:ascii="黑体" w:eastAsia="黑体"/>
          <w:b/>
          <w:sz w:val="32"/>
          <w:szCs w:val="30"/>
        </w:rPr>
      </w:pPr>
      <w:r>
        <w:rPr>
          <w:rFonts w:hint="eastAsia" w:ascii="黑体" w:eastAsia="黑体"/>
          <w:b/>
          <w:sz w:val="32"/>
          <w:szCs w:val="30"/>
        </w:rPr>
        <w:t>技术</w:t>
      </w:r>
      <w:r>
        <w:rPr>
          <w:rFonts w:hint="eastAsia" w:eastAsia="黑体"/>
          <w:b/>
          <w:sz w:val="32"/>
          <w:szCs w:val="30"/>
        </w:rPr>
        <w:t>咨询</w:t>
      </w:r>
      <w:r>
        <w:rPr>
          <w:rFonts w:hint="eastAsia" w:ascii="黑体" w:eastAsia="黑体"/>
          <w:b/>
          <w:sz w:val="32"/>
          <w:szCs w:val="30"/>
        </w:rPr>
        <w:t>合同</w:t>
      </w:r>
    </w:p>
    <w:p>
      <w:pPr>
        <w:adjustRightInd w:val="0"/>
        <w:snapToGrid w:val="0"/>
        <w:spacing w:line="324" w:lineRule="auto"/>
        <w:ind w:firstLine="600" w:firstLineChars="200"/>
        <w:rPr>
          <w:rFonts w:ascii="仿宋_GB2312" w:eastAsia="仿宋_GB2312"/>
          <w:sz w:val="30"/>
          <w:szCs w:val="30"/>
        </w:rPr>
      </w:pPr>
    </w:p>
    <w:p>
      <w:pPr>
        <w:adjustRightInd w:val="0"/>
        <w:snapToGrid w:val="0"/>
        <w:spacing w:line="324" w:lineRule="auto"/>
        <w:ind w:firstLine="600" w:firstLineChars="200"/>
        <w:rPr>
          <w:rFonts w:ascii="仿宋_GB2312" w:eastAsia="仿宋_GB2312"/>
          <w:sz w:val="30"/>
          <w:szCs w:val="30"/>
        </w:rPr>
      </w:pPr>
    </w:p>
    <w:p>
      <w:pPr>
        <w:adjustRightInd w:val="0"/>
        <w:snapToGrid w:val="0"/>
        <w:spacing w:line="324" w:lineRule="auto"/>
        <w:ind w:firstLine="600" w:firstLineChars="200"/>
        <w:rPr>
          <w:rFonts w:ascii="仿宋_GB2312" w:eastAsia="仿宋_GB2312"/>
          <w:sz w:val="30"/>
          <w:szCs w:val="30"/>
        </w:rPr>
      </w:pPr>
    </w:p>
    <w:p>
      <w:pPr>
        <w:adjustRightInd w:val="0"/>
        <w:snapToGrid w:val="0"/>
        <w:spacing w:before="62" w:line="324" w:lineRule="auto"/>
        <w:outlineLvl w:val="0"/>
        <w:rPr>
          <w:rFonts w:hint="eastAsia" w:ascii="仿宋_GB2312" w:eastAsia="仿宋_GB2312"/>
          <w:b/>
          <w:sz w:val="30"/>
          <w:szCs w:val="30"/>
          <w:u w:val="single"/>
          <w:lang w:eastAsia="zh-CN"/>
        </w:rPr>
      </w:pPr>
      <w:r>
        <w:rPr>
          <w:rFonts w:hint="eastAsia" w:ascii="仿宋_GB2312" w:eastAsia="仿宋_GB2312"/>
          <w:b/>
          <w:sz w:val="30"/>
          <w:szCs w:val="30"/>
        </w:rPr>
        <w:t>项  目  名 称：</w:t>
      </w:r>
      <w:r>
        <w:rPr>
          <w:rFonts w:hint="eastAsia" w:ascii="仿宋_GB2312" w:eastAsia="仿宋_GB2312"/>
          <w:b/>
          <w:sz w:val="30"/>
          <w:szCs w:val="30"/>
          <w:u w:val="single"/>
          <w:lang w:eastAsia="zh-CN"/>
        </w:rPr>
        <w:t>台州湾新区2024年度历史围填海处置区域出让区块海域使用价格评估报告书编制项目(重新招标）</w:t>
      </w:r>
    </w:p>
    <w:p>
      <w:pPr>
        <w:adjustRightInd w:val="0"/>
        <w:snapToGrid w:val="0"/>
        <w:spacing w:before="62" w:line="324" w:lineRule="auto"/>
        <w:ind w:firstLine="602" w:firstLineChars="200"/>
        <w:rPr>
          <w:rFonts w:ascii="仿宋_GB2312" w:eastAsia="仿宋_GB2312"/>
          <w:b/>
          <w:sz w:val="30"/>
          <w:szCs w:val="30"/>
          <w:u w:val="single"/>
        </w:rPr>
      </w:pPr>
    </w:p>
    <w:p>
      <w:pPr>
        <w:adjustRightInd w:val="0"/>
        <w:snapToGrid w:val="0"/>
        <w:spacing w:before="20" w:line="324" w:lineRule="auto"/>
        <w:outlineLvl w:val="0"/>
        <w:rPr>
          <w:rFonts w:ascii="仿宋_GB2312" w:eastAsia="仿宋_GB2312"/>
          <w:b/>
          <w:sz w:val="30"/>
          <w:szCs w:val="30"/>
          <w:u w:val="single"/>
        </w:rPr>
      </w:pPr>
      <w:r>
        <w:rPr>
          <w:rFonts w:hint="eastAsia" w:ascii="仿宋_GB2312" w:eastAsia="仿宋_GB2312"/>
          <w:b/>
          <w:sz w:val="30"/>
          <w:szCs w:val="30"/>
        </w:rPr>
        <w:t>委托方（甲方）：</w:t>
      </w:r>
      <w:r>
        <w:rPr>
          <w:rFonts w:hint="eastAsia" w:ascii="仿宋_GB2312" w:eastAsia="仿宋_GB2312"/>
          <w:b/>
          <w:sz w:val="30"/>
          <w:szCs w:val="30"/>
          <w:u w:val="single"/>
        </w:rPr>
        <w:t>台州市自然资源和规划局台州湾新区（高新区）分局</w:t>
      </w:r>
    </w:p>
    <w:p>
      <w:pPr>
        <w:adjustRightInd w:val="0"/>
        <w:snapToGrid w:val="0"/>
        <w:spacing w:before="20" w:line="324" w:lineRule="auto"/>
        <w:ind w:firstLine="602" w:firstLineChars="200"/>
        <w:rPr>
          <w:rFonts w:ascii="仿宋_GB2312" w:eastAsia="仿宋_GB2312"/>
          <w:b/>
          <w:sz w:val="30"/>
          <w:szCs w:val="30"/>
        </w:rPr>
      </w:pPr>
      <w:r>
        <w:rPr>
          <w:rFonts w:hint="eastAsia" w:ascii="仿宋_GB2312" w:eastAsia="仿宋_GB2312"/>
          <w:b/>
          <w:sz w:val="30"/>
          <w:szCs w:val="30"/>
        </w:rPr>
        <w:t xml:space="preserve">            </w:t>
      </w:r>
    </w:p>
    <w:p>
      <w:pPr>
        <w:adjustRightInd w:val="0"/>
        <w:snapToGrid w:val="0"/>
        <w:spacing w:before="20" w:line="324" w:lineRule="auto"/>
        <w:outlineLvl w:val="0"/>
        <w:rPr>
          <w:rFonts w:ascii="仿宋_GB2312" w:eastAsia="仿宋_GB2312"/>
          <w:b/>
          <w:sz w:val="30"/>
          <w:szCs w:val="30"/>
          <w:u w:val="single"/>
        </w:rPr>
      </w:pPr>
      <w:r>
        <w:rPr>
          <w:rFonts w:hint="eastAsia" w:ascii="仿宋_GB2312" w:eastAsia="仿宋_GB2312"/>
          <w:b/>
          <w:sz w:val="30"/>
          <w:szCs w:val="30"/>
        </w:rPr>
        <w:t>受托方（乙方）：</w:t>
      </w:r>
      <w:r>
        <w:rPr>
          <w:rFonts w:hint="eastAsia" w:ascii="仿宋_GB2312" w:eastAsia="仿宋_GB2312"/>
          <w:b/>
          <w:sz w:val="30"/>
          <w:szCs w:val="30"/>
          <w:u w:val="single"/>
        </w:rPr>
        <w:t xml:space="preserve">                             </w:t>
      </w:r>
    </w:p>
    <w:p>
      <w:pPr>
        <w:adjustRightInd w:val="0"/>
        <w:snapToGrid w:val="0"/>
        <w:spacing w:before="20" w:line="324" w:lineRule="auto"/>
        <w:ind w:firstLine="602" w:firstLineChars="200"/>
        <w:rPr>
          <w:rFonts w:ascii="仿宋_GB2312" w:eastAsia="仿宋_GB2312"/>
          <w:b/>
          <w:sz w:val="30"/>
          <w:szCs w:val="30"/>
        </w:rPr>
      </w:pPr>
    </w:p>
    <w:p>
      <w:pPr>
        <w:adjustRightInd w:val="0"/>
        <w:snapToGrid w:val="0"/>
        <w:spacing w:before="20" w:line="324" w:lineRule="auto"/>
        <w:ind w:firstLine="602" w:firstLineChars="200"/>
        <w:rPr>
          <w:rFonts w:ascii="仿宋_GB2312" w:eastAsia="仿宋_GB2312"/>
          <w:b/>
          <w:sz w:val="30"/>
          <w:szCs w:val="30"/>
          <w:u w:val="single"/>
        </w:rPr>
      </w:pPr>
    </w:p>
    <w:p>
      <w:pPr>
        <w:adjustRightInd w:val="0"/>
        <w:snapToGrid w:val="0"/>
        <w:spacing w:before="20" w:line="324" w:lineRule="auto"/>
        <w:ind w:left="1" w:firstLine="2108" w:firstLineChars="700"/>
        <w:outlineLvl w:val="0"/>
        <w:rPr>
          <w:rFonts w:ascii="仿宋_GB2312" w:eastAsia="仿宋_GB2312"/>
          <w:b/>
          <w:sz w:val="30"/>
          <w:szCs w:val="30"/>
        </w:rPr>
      </w:pPr>
      <w:r>
        <w:rPr>
          <w:rFonts w:hint="eastAsia" w:ascii="仿宋_GB2312" w:eastAsia="仿宋_GB2312"/>
          <w:b/>
          <w:sz w:val="30"/>
          <w:szCs w:val="30"/>
        </w:rPr>
        <w:t>签订时间：</w:t>
      </w:r>
      <w:r>
        <w:rPr>
          <w:rFonts w:ascii="仿宋_GB2312" w:eastAsia="仿宋_GB2312"/>
          <w:b/>
          <w:sz w:val="30"/>
          <w:szCs w:val="30"/>
          <w:u w:val="single"/>
        </w:rPr>
        <w:t xml:space="preserve"> 202</w:t>
      </w:r>
      <w:r>
        <w:rPr>
          <w:rFonts w:hint="eastAsia" w:ascii="仿宋_GB2312" w:eastAsia="仿宋_GB2312"/>
          <w:b/>
          <w:sz w:val="30"/>
          <w:szCs w:val="30"/>
          <w:u w:val="single"/>
        </w:rPr>
        <w:t>4 年</w:t>
      </w:r>
      <w:r>
        <w:rPr>
          <w:rFonts w:ascii="仿宋_GB2312" w:eastAsia="仿宋_GB2312"/>
          <w:b/>
          <w:sz w:val="30"/>
          <w:szCs w:val="30"/>
          <w:u w:val="single"/>
        </w:rPr>
        <w:t xml:space="preserve"> </w:t>
      </w:r>
      <w:r>
        <w:rPr>
          <w:rFonts w:hint="eastAsia" w:ascii="仿宋_GB2312" w:eastAsia="仿宋_GB2312"/>
          <w:b/>
          <w:sz w:val="30"/>
          <w:szCs w:val="30"/>
          <w:u w:val="single"/>
        </w:rPr>
        <w:t xml:space="preserve">  月   日</w:t>
      </w:r>
    </w:p>
    <w:p>
      <w:pPr>
        <w:adjustRightInd w:val="0"/>
        <w:snapToGrid w:val="0"/>
        <w:spacing w:before="20" w:line="324" w:lineRule="auto"/>
        <w:ind w:firstLine="2108" w:firstLineChars="700"/>
        <w:outlineLvl w:val="0"/>
        <w:rPr>
          <w:rFonts w:ascii="仿宋_GB2312" w:eastAsia="仿宋_GB2312"/>
          <w:b/>
          <w:sz w:val="30"/>
          <w:szCs w:val="30"/>
          <w:u w:val="single"/>
        </w:rPr>
      </w:pPr>
      <w:r>
        <w:rPr>
          <w:rFonts w:hint="eastAsia" w:ascii="仿宋_GB2312" w:eastAsia="仿宋_GB2312"/>
          <w:b/>
          <w:sz w:val="30"/>
          <w:szCs w:val="30"/>
        </w:rPr>
        <w:t>签订地点：</w:t>
      </w:r>
      <w:r>
        <w:rPr>
          <w:rFonts w:hint="eastAsia" w:ascii="仿宋_GB2312" w:eastAsia="仿宋_GB2312"/>
          <w:b/>
          <w:sz w:val="30"/>
          <w:szCs w:val="30"/>
          <w:u w:val="single"/>
        </w:rPr>
        <w:t xml:space="preserve">      台州市   </w:t>
      </w:r>
      <w:r>
        <w:rPr>
          <w:rFonts w:ascii="仿宋_GB2312" w:eastAsia="仿宋_GB2312"/>
          <w:b/>
          <w:sz w:val="30"/>
          <w:szCs w:val="30"/>
          <w:u w:val="single"/>
        </w:rPr>
        <w:t xml:space="preserve">   </w:t>
      </w:r>
    </w:p>
    <w:p>
      <w:pPr>
        <w:adjustRightInd w:val="0"/>
        <w:snapToGrid w:val="0"/>
        <w:spacing w:line="324" w:lineRule="auto"/>
        <w:ind w:firstLine="723" w:firstLineChars="200"/>
        <w:rPr>
          <w:b/>
          <w:sz w:val="36"/>
        </w:rPr>
      </w:pPr>
    </w:p>
    <w:p>
      <w:pPr>
        <w:adjustRightInd w:val="0"/>
        <w:snapToGrid w:val="0"/>
        <w:spacing w:line="324" w:lineRule="auto"/>
        <w:ind w:firstLine="723" w:firstLineChars="200"/>
        <w:rPr>
          <w:b/>
          <w:sz w:val="36"/>
        </w:rPr>
      </w:pPr>
    </w:p>
    <w:p>
      <w:pPr>
        <w:adjustRightInd w:val="0"/>
        <w:snapToGrid w:val="0"/>
        <w:spacing w:line="324" w:lineRule="auto"/>
        <w:ind w:firstLine="602" w:firstLineChars="200"/>
        <w:rPr>
          <w:rFonts w:ascii="黑体" w:eastAsia="黑体"/>
          <w:b/>
          <w:sz w:val="30"/>
          <w:szCs w:val="30"/>
        </w:rPr>
      </w:pPr>
    </w:p>
    <w:p>
      <w:pPr>
        <w:adjustRightInd w:val="0"/>
        <w:snapToGrid w:val="0"/>
        <w:spacing w:line="300" w:lineRule="auto"/>
        <w:jc w:val="center"/>
        <w:outlineLvl w:val="0"/>
        <w:rPr>
          <w:rFonts w:ascii="黑体"/>
          <w:b/>
          <w:sz w:val="30"/>
          <w:szCs w:val="30"/>
        </w:rPr>
      </w:pPr>
      <w:bookmarkStart w:id="38" w:name="_Toc408410891"/>
      <w:r>
        <w:rPr>
          <w:rFonts w:hint="eastAsia" w:ascii="黑体"/>
          <w:b/>
          <w:sz w:val="30"/>
          <w:szCs w:val="30"/>
        </w:rPr>
        <w:t>合同条款</w:t>
      </w:r>
      <w:bookmarkEnd w:id="38"/>
    </w:p>
    <w:p>
      <w:pPr>
        <w:spacing w:line="300" w:lineRule="auto"/>
        <w:ind w:firstLine="495"/>
      </w:pPr>
      <w:r>
        <w:rPr>
          <w:rFonts w:hint="eastAsia"/>
        </w:rPr>
        <w:t>甲方：</w:t>
      </w:r>
      <w:r>
        <w:rPr>
          <w:rFonts w:hint="eastAsia"/>
          <w:u w:val="single"/>
        </w:rPr>
        <w:t xml:space="preserve"> </w:t>
      </w:r>
      <w:r>
        <w:rPr>
          <w:rFonts w:hint="eastAsia"/>
          <w:b/>
          <w:u w:val="single"/>
        </w:rPr>
        <w:t xml:space="preserve">台州市自然资源和规划局台州湾新区（高新区）分局 </w:t>
      </w:r>
    </w:p>
    <w:p>
      <w:pPr>
        <w:spacing w:line="300" w:lineRule="auto"/>
        <w:ind w:firstLine="495"/>
        <w:rPr>
          <w:u w:val="single"/>
        </w:rPr>
      </w:pPr>
      <w:r>
        <w:rPr>
          <w:rFonts w:hint="eastAsia"/>
        </w:rPr>
        <w:t>乙方：</w:t>
      </w:r>
      <w:r>
        <w:rPr>
          <w:rFonts w:hint="eastAsia"/>
          <w:u w:val="single"/>
        </w:rPr>
        <w:t xml:space="preserve"> </w:t>
      </w:r>
      <w:r>
        <w:rPr>
          <w:rFonts w:hint="eastAsia"/>
          <w:b/>
          <w:u w:val="single"/>
        </w:rPr>
        <w:t xml:space="preserve">                                              </w:t>
      </w:r>
      <w:r>
        <w:rPr>
          <w:rFonts w:hint="eastAsia"/>
          <w:u w:val="single"/>
        </w:rPr>
        <w:t xml:space="preserve"> </w:t>
      </w:r>
    </w:p>
    <w:p>
      <w:pPr>
        <w:spacing w:line="300" w:lineRule="auto"/>
        <w:ind w:firstLine="495"/>
      </w:pPr>
    </w:p>
    <w:p>
      <w:pPr>
        <w:spacing w:line="300" w:lineRule="auto"/>
        <w:ind w:firstLine="495"/>
      </w:pPr>
    </w:p>
    <w:p>
      <w:pPr>
        <w:spacing w:line="300" w:lineRule="auto"/>
        <w:ind w:firstLine="495"/>
      </w:pPr>
      <w:r>
        <w:rPr>
          <w:rFonts w:hint="eastAsia"/>
        </w:rPr>
        <w:t>依据《中华人民共和国民法典》</w:t>
      </w:r>
      <w:r>
        <w:rPr>
          <w:rFonts w:hint="eastAsia" w:asciiTheme="minorEastAsia" w:hAnsiTheme="minorEastAsia" w:eastAsiaTheme="minorEastAsia" w:cstheme="minorEastAsia"/>
          <w:szCs w:val="21"/>
        </w:rPr>
        <w:t>及国家有关法规规定</w:t>
      </w:r>
      <w:r>
        <w:rPr>
          <w:rFonts w:hint="eastAsia"/>
        </w:rPr>
        <w:t>，甲方和乙方就</w:t>
      </w:r>
      <w:r>
        <w:rPr>
          <w:rFonts w:hint="eastAsia" w:ascii="仿宋_GB2312" w:eastAsia="仿宋_GB2312"/>
          <w:b/>
          <w:szCs w:val="21"/>
          <w:u w:val="single"/>
        </w:rPr>
        <w:t xml:space="preserve">              </w:t>
      </w:r>
      <w:r>
        <w:rPr>
          <w:rFonts w:hint="eastAsia"/>
        </w:rPr>
        <w:t>同意按下述条款和条件签署本合同（以下简称“合同”</w:t>
      </w:r>
      <w:r>
        <w:t>)</w:t>
      </w:r>
      <w:r>
        <w:rPr>
          <w:rFonts w:hint="eastAsia"/>
        </w:rPr>
        <w:t>：</w:t>
      </w:r>
    </w:p>
    <w:p>
      <w:pPr>
        <w:spacing w:line="300" w:lineRule="auto"/>
        <w:ind w:firstLine="420" w:firstLineChars="200"/>
      </w:pPr>
      <w:r>
        <w:rPr>
          <w:rFonts w:hint="eastAsia"/>
        </w:rPr>
        <w:t>1、质量标准</w:t>
      </w:r>
      <w:r>
        <w:t xml:space="preserve"> </w:t>
      </w:r>
      <w:r>
        <w:rPr>
          <w:rFonts w:hint="eastAsia"/>
        </w:rPr>
        <w:t>：报告质量应符合中华人民共和国国家标准及行业颁布的现行规程、标准、规范和甲方关于本项目相关文件的有关规定，报告质量要求通过海洋行政主管部门审查，协助甲方办理用海出让手续。</w:t>
      </w:r>
    </w:p>
    <w:p>
      <w:pPr>
        <w:spacing w:line="300" w:lineRule="auto"/>
        <w:ind w:firstLine="495"/>
      </w:pPr>
      <w:r>
        <w:rPr>
          <w:rFonts w:hint="eastAsia"/>
        </w:rPr>
        <w:t>2、履行期限和方式：</w:t>
      </w:r>
    </w:p>
    <w:p>
      <w:pPr>
        <w:spacing w:line="300" w:lineRule="auto"/>
        <w:ind w:firstLine="495"/>
        <w:rPr>
          <w:u w:val="single"/>
        </w:rPr>
      </w:pPr>
      <w:r>
        <w:rPr>
          <w:rFonts w:hint="eastAsia"/>
          <w:u w:val="single"/>
        </w:rPr>
        <w:t>乙方接收甲方提供的评估前置相关资料后1</w:t>
      </w:r>
      <w:r>
        <w:rPr>
          <w:u w:val="single"/>
        </w:rPr>
        <w:t>0</w:t>
      </w:r>
      <w:r>
        <w:rPr>
          <w:rFonts w:hint="eastAsia"/>
          <w:u w:val="single"/>
        </w:rPr>
        <w:t>天内提交海域价格评估报告（送审稿）1</w:t>
      </w:r>
      <w:r>
        <w:rPr>
          <w:u w:val="single"/>
        </w:rPr>
        <w:t>0</w:t>
      </w:r>
      <w:r>
        <w:rPr>
          <w:rFonts w:hint="eastAsia"/>
          <w:u w:val="single"/>
        </w:rPr>
        <w:t>份，通过海域使用权招拍挂领导小组会议后7天内提供报批稿3份。</w:t>
      </w:r>
    </w:p>
    <w:p>
      <w:pPr>
        <w:spacing w:line="300" w:lineRule="auto"/>
        <w:ind w:firstLine="495"/>
      </w:pPr>
      <w:r>
        <w:rPr>
          <w:rFonts w:hint="eastAsia"/>
        </w:rPr>
        <w:t>3、验收评价方法：</w:t>
      </w:r>
    </w:p>
    <w:p>
      <w:pPr>
        <w:spacing w:line="300" w:lineRule="auto"/>
        <w:ind w:firstLine="495"/>
      </w:pPr>
      <w:r>
        <w:rPr>
          <w:rFonts w:hint="eastAsia"/>
        </w:rPr>
        <w:t>本项目的最终成果是海域价格评估报告，报告的验收以相关的海洋行政主管部门审查通过为标准。在海域价格评估报告编制完成后，乙方应当及时按甲方意见进行报告的修改，并提交通过审查的最终报告。报告修改费用已经包含在合同价款中，甲方将不另行支付这部分费用。</w:t>
      </w:r>
    </w:p>
    <w:p>
      <w:pPr>
        <w:spacing w:line="300" w:lineRule="auto"/>
        <w:ind w:firstLine="495"/>
      </w:pPr>
      <w:r>
        <w:rPr>
          <w:rFonts w:hint="eastAsia"/>
        </w:rPr>
        <w:t>4、合同金额及支付方式：</w:t>
      </w:r>
    </w:p>
    <w:p>
      <w:pPr>
        <w:spacing w:line="300" w:lineRule="auto"/>
        <w:ind w:firstLine="495"/>
      </w:pPr>
      <w:r>
        <w:rPr>
          <w:rFonts w:hint="eastAsia"/>
        </w:rPr>
        <w:t>合同金额按《浙江省物价局关于制定资产评估收费标准的通知》（浙价服[2011]90号）和《浙江省资产评估协会关于印发&lt;浙江省资产评估机构计时收费标准（试行）&gt;的通知》(浙评协[2011]9号)核定的标准乘以</w:t>
      </w:r>
      <w:r>
        <w:rPr>
          <w:rFonts w:hint="eastAsia"/>
          <w:b/>
          <w:bCs/>
          <w:u w:val="single"/>
        </w:rPr>
        <w:t xml:space="preserve">         </w:t>
      </w:r>
      <w:r>
        <w:rPr>
          <w:rFonts w:hint="eastAsia"/>
        </w:rPr>
        <w:t>执行，不足1500元按1500元计费。</w:t>
      </w:r>
    </w:p>
    <w:p>
      <w:pPr>
        <w:spacing w:line="300" w:lineRule="auto"/>
        <w:ind w:firstLine="495"/>
        <w:jc w:val="center"/>
      </w:pPr>
      <w:r>
        <w:rPr>
          <w:b/>
          <w:bCs/>
        </w:rPr>
        <w:t>浙江省资产评估基准收费标准</w:t>
      </w:r>
    </w:p>
    <w:tbl>
      <w:tblPr>
        <w:tblStyle w:val="2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7"/>
        <w:gridCol w:w="5172"/>
        <w:gridCol w:w="2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vAlign w:val="center"/>
          </w:tcPr>
          <w:p>
            <w:pPr>
              <w:widowControl/>
              <w:spacing w:before="100" w:beforeAutospacing="1" w:after="100" w:afterAutospacing="1" w:line="300" w:lineRule="auto"/>
              <w:jc w:val="center"/>
              <w:rPr>
                <w:rFonts w:ascii="华文宋体" w:hAnsi="华文宋体" w:eastAsia="华文宋体" w:cs="华文宋体"/>
                <w:szCs w:val="21"/>
              </w:rPr>
            </w:pPr>
            <w:r>
              <w:rPr>
                <w:rFonts w:hint="eastAsia" w:ascii="华文宋体" w:hAnsi="华文宋体" w:eastAsia="华文宋体" w:cs="华文宋体"/>
                <w:kern w:val="0"/>
                <w:szCs w:val="21"/>
                <w:lang w:bidi="ar"/>
              </w:rPr>
              <w:t>档次</w:t>
            </w:r>
          </w:p>
        </w:tc>
        <w:tc>
          <w:tcPr>
            <w:tcW w:w="3034" w:type="pct"/>
            <w:vAlign w:val="center"/>
          </w:tcPr>
          <w:p>
            <w:pPr>
              <w:widowControl/>
              <w:spacing w:before="100" w:beforeAutospacing="1" w:after="100" w:afterAutospacing="1" w:line="300" w:lineRule="auto"/>
              <w:jc w:val="center"/>
              <w:rPr>
                <w:rFonts w:ascii="华文宋体" w:hAnsi="华文宋体" w:eastAsia="华文宋体" w:cs="华文宋体"/>
                <w:szCs w:val="21"/>
              </w:rPr>
            </w:pPr>
            <w:r>
              <w:rPr>
                <w:rFonts w:hint="eastAsia" w:ascii="华文宋体" w:hAnsi="华文宋体" w:eastAsia="华文宋体" w:cs="华文宋体"/>
                <w:kern w:val="0"/>
                <w:szCs w:val="21"/>
                <w:lang w:bidi="ar"/>
              </w:rPr>
              <w:t>计费额度（万元）</w:t>
            </w:r>
          </w:p>
        </w:tc>
        <w:tc>
          <w:tcPr>
            <w:tcW w:w="1373" w:type="pct"/>
            <w:vAlign w:val="center"/>
          </w:tcPr>
          <w:p>
            <w:pPr>
              <w:widowControl/>
              <w:spacing w:before="100" w:beforeAutospacing="1" w:after="100" w:afterAutospacing="1" w:line="300" w:lineRule="auto"/>
              <w:jc w:val="center"/>
              <w:rPr>
                <w:rFonts w:ascii="华文宋体" w:hAnsi="华文宋体" w:eastAsia="华文宋体" w:cs="华文宋体"/>
                <w:szCs w:val="21"/>
              </w:rPr>
            </w:pPr>
            <w:r>
              <w:rPr>
                <w:rFonts w:hint="eastAsia" w:ascii="华文宋体" w:hAnsi="华文宋体" w:eastAsia="华文宋体" w:cs="华文宋体"/>
                <w:kern w:val="0"/>
                <w:szCs w:val="21"/>
                <w:lang w:bidi="ar"/>
              </w:rPr>
              <w:t>差额计费率‰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vAlign w:val="center"/>
          </w:tcPr>
          <w:p>
            <w:pPr>
              <w:widowControl/>
              <w:spacing w:before="100" w:beforeAutospacing="1" w:after="100" w:afterAutospacing="1" w:line="300" w:lineRule="auto"/>
              <w:jc w:val="center"/>
              <w:rPr>
                <w:rFonts w:ascii="华文宋体" w:hAnsi="华文宋体" w:eastAsia="华文宋体" w:cs="华文宋体"/>
                <w:szCs w:val="21"/>
              </w:rPr>
            </w:pPr>
            <w:r>
              <w:rPr>
                <w:rFonts w:hint="eastAsia" w:ascii="华文宋体" w:hAnsi="华文宋体" w:eastAsia="华文宋体" w:cs="华文宋体"/>
                <w:kern w:val="0"/>
                <w:szCs w:val="21"/>
                <w:lang w:bidi="ar"/>
              </w:rPr>
              <w:t>1</w:t>
            </w:r>
          </w:p>
        </w:tc>
        <w:tc>
          <w:tcPr>
            <w:tcW w:w="3034" w:type="pct"/>
            <w:vAlign w:val="center"/>
          </w:tcPr>
          <w:p>
            <w:pPr>
              <w:widowControl/>
              <w:spacing w:before="100" w:beforeAutospacing="1" w:after="100" w:afterAutospacing="1" w:line="300" w:lineRule="auto"/>
              <w:jc w:val="center"/>
              <w:rPr>
                <w:rFonts w:ascii="华文宋体" w:hAnsi="华文宋体" w:eastAsia="华文宋体" w:cs="华文宋体"/>
                <w:szCs w:val="21"/>
              </w:rPr>
            </w:pPr>
            <w:r>
              <w:rPr>
                <w:rFonts w:hint="eastAsia" w:ascii="华文宋体" w:hAnsi="华文宋体" w:eastAsia="华文宋体" w:cs="华文宋体"/>
                <w:kern w:val="0"/>
                <w:szCs w:val="21"/>
                <w:lang w:bidi="ar"/>
              </w:rPr>
              <w:t>100以下（含100）</w:t>
            </w:r>
          </w:p>
        </w:tc>
        <w:tc>
          <w:tcPr>
            <w:tcW w:w="1373" w:type="pct"/>
            <w:vAlign w:val="center"/>
          </w:tcPr>
          <w:p>
            <w:pPr>
              <w:widowControl/>
              <w:spacing w:before="100" w:beforeAutospacing="1" w:after="100" w:afterAutospacing="1" w:line="300" w:lineRule="auto"/>
              <w:jc w:val="center"/>
              <w:rPr>
                <w:rFonts w:ascii="华文宋体" w:hAnsi="华文宋体" w:eastAsia="华文宋体" w:cs="华文宋体"/>
                <w:szCs w:val="21"/>
              </w:rPr>
            </w:pPr>
            <w:r>
              <w:rPr>
                <w:rFonts w:hint="eastAsia" w:ascii="华文宋体" w:hAnsi="华文宋体" w:eastAsia="华文宋体" w:cs="华文宋体"/>
                <w:kern w:val="0"/>
                <w:szCs w:val="21"/>
                <w:lang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vAlign w:val="center"/>
          </w:tcPr>
          <w:p>
            <w:pPr>
              <w:widowControl/>
              <w:spacing w:before="100" w:beforeAutospacing="1" w:after="100" w:afterAutospacing="1" w:line="300" w:lineRule="auto"/>
              <w:jc w:val="center"/>
              <w:rPr>
                <w:rFonts w:ascii="华文宋体" w:hAnsi="华文宋体" w:eastAsia="华文宋体" w:cs="华文宋体"/>
                <w:szCs w:val="21"/>
              </w:rPr>
            </w:pPr>
            <w:r>
              <w:rPr>
                <w:rFonts w:hint="eastAsia" w:ascii="华文宋体" w:hAnsi="华文宋体" w:eastAsia="华文宋体" w:cs="华文宋体"/>
                <w:kern w:val="0"/>
                <w:szCs w:val="21"/>
                <w:lang w:bidi="ar"/>
              </w:rPr>
              <w:t>2</w:t>
            </w:r>
          </w:p>
        </w:tc>
        <w:tc>
          <w:tcPr>
            <w:tcW w:w="3034" w:type="pct"/>
            <w:vAlign w:val="center"/>
          </w:tcPr>
          <w:p>
            <w:pPr>
              <w:widowControl/>
              <w:spacing w:before="100" w:beforeAutospacing="1" w:after="100" w:afterAutospacing="1" w:line="300" w:lineRule="auto"/>
              <w:jc w:val="center"/>
              <w:rPr>
                <w:rFonts w:ascii="华文宋体" w:hAnsi="华文宋体" w:eastAsia="华文宋体" w:cs="华文宋体"/>
                <w:szCs w:val="21"/>
              </w:rPr>
            </w:pPr>
            <w:r>
              <w:rPr>
                <w:rFonts w:hint="eastAsia" w:ascii="华文宋体" w:hAnsi="华文宋体" w:eastAsia="华文宋体" w:cs="华文宋体"/>
                <w:kern w:val="0"/>
                <w:szCs w:val="21"/>
                <w:lang w:bidi="ar"/>
              </w:rPr>
              <w:t>100以上-1000（含1000）</w:t>
            </w:r>
          </w:p>
        </w:tc>
        <w:tc>
          <w:tcPr>
            <w:tcW w:w="1373" w:type="pct"/>
            <w:vAlign w:val="center"/>
          </w:tcPr>
          <w:p>
            <w:pPr>
              <w:widowControl/>
              <w:spacing w:before="100" w:beforeAutospacing="1" w:after="100" w:afterAutospacing="1" w:line="300" w:lineRule="auto"/>
              <w:jc w:val="center"/>
              <w:rPr>
                <w:rFonts w:ascii="华文宋体" w:hAnsi="华文宋体" w:eastAsia="华文宋体" w:cs="华文宋体"/>
                <w:szCs w:val="21"/>
              </w:rPr>
            </w:pPr>
            <w:r>
              <w:rPr>
                <w:rFonts w:hint="eastAsia" w:ascii="华文宋体" w:hAnsi="华文宋体" w:eastAsia="华文宋体" w:cs="华文宋体"/>
                <w:kern w:val="0"/>
                <w:szCs w:val="21"/>
                <w:lang w:bidi="ar"/>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vAlign w:val="center"/>
          </w:tcPr>
          <w:p>
            <w:pPr>
              <w:widowControl/>
              <w:spacing w:before="100" w:beforeAutospacing="1" w:after="100" w:afterAutospacing="1" w:line="300" w:lineRule="auto"/>
              <w:jc w:val="center"/>
              <w:rPr>
                <w:rFonts w:ascii="华文宋体" w:hAnsi="华文宋体" w:eastAsia="华文宋体" w:cs="华文宋体"/>
                <w:szCs w:val="21"/>
              </w:rPr>
            </w:pPr>
            <w:r>
              <w:rPr>
                <w:rFonts w:hint="eastAsia" w:ascii="华文宋体" w:hAnsi="华文宋体" w:eastAsia="华文宋体" w:cs="华文宋体"/>
                <w:kern w:val="0"/>
                <w:szCs w:val="21"/>
                <w:lang w:bidi="ar"/>
              </w:rPr>
              <w:t>3</w:t>
            </w:r>
          </w:p>
        </w:tc>
        <w:tc>
          <w:tcPr>
            <w:tcW w:w="3034" w:type="pct"/>
            <w:vAlign w:val="center"/>
          </w:tcPr>
          <w:p>
            <w:pPr>
              <w:widowControl/>
              <w:spacing w:before="100" w:beforeAutospacing="1" w:after="100" w:afterAutospacing="1" w:line="300" w:lineRule="auto"/>
              <w:jc w:val="center"/>
              <w:rPr>
                <w:rFonts w:ascii="华文宋体" w:hAnsi="华文宋体" w:eastAsia="华文宋体" w:cs="华文宋体"/>
                <w:szCs w:val="21"/>
              </w:rPr>
            </w:pPr>
            <w:r>
              <w:rPr>
                <w:rFonts w:hint="eastAsia" w:ascii="华文宋体" w:hAnsi="华文宋体" w:eastAsia="华文宋体" w:cs="华文宋体"/>
                <w:kern w:val="0"/>
                <w:szCs w:val="21"/>
                <w:lang w:bidi="ar"/>
              </w:rPr>
              <w:t>1000以上-5000（含5000）</w:t>
            </w:r>
          </w:p>
        </w:tc>
        <w:tc>
          <w:tcPr>
            <w:tcW w:w="1373" w:type="pct"/>
            <w:vAlign w:val="center"/>
          </w:tcPr>
          <w:p>
            <w:pPr>
              <w:widowControl/>
              <w:spacing w:before="100" w:beforeAutospacing="1" w:after="100" w:afterAutospacing="1" w:line="300" w:lineRule="auto"/>
              <w:jc w:val="center"/>
              <w:rPr>
                <w:rFonts w:ascii="华文宋体" w:hAnsi="华文宋体" w:eastAsia="华文宋体" w:cs="华文宋体"/>
                <w:szCs w:val="21"/>
              </w:rPr>
            </w:pPr>
            <w:r>
              <w:rPr>
                <w:rFonts w:hint="eastAsia" w:ascii="华文宋体" w:hAnsi="华文宋体" w:eastAsia="华文宋体" w:cs="华文宋体"/>
                <w:kern w:val="0"/>
                <w:szCs w:val="21"/>
                <w:lang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vAlign w:val="center"/>
          </w:tcPr>
          <w:p>
            <w:pPr>
              <w:widowControl/>
              <w:spacing w:before="100" w:beforeAutospacing="1" w:after="100" w:afterAutospacing="1" w:line="300" w:lineRule="auto"/>
              <w:jc w:val="center"/>
              <w:rPr>
                <w:rFonts w:ascii="华文宋体" w:hAnsi="华文宋体" w:eastAsia="华文宋体" w:cs="华文宋体"/>
                <w:szCs w:val="21"/>
              </w:rPr>
            </w:pPr>
            <w:r>
              <w:rPr>
                <w:rFonts w:hint="eastAsia" w:ascii="华文宋体" w:hAnsi="华文宋体" w:eastAsia="华文宋体" w:cs="华文宋体"/>
                <w:kern w:val="0"/>
                <w:szCs w:val="21"/>
                <w:lang w:bidi="ar"/>
              </w:rPr>
              <w:t>4</w:t>
            </w:r>
          </w:p>
        </w:tc>
        <w:tc>
          <w:tcPr>
            <w:tcW w:w="3034" w:type="pct"/>
            <w:vAlign w:val="center"/>
          </w:tcPr>
          <w:p>
            <w:pPr>
              <w:widowControl/>
              <w:spacing w:before="100" w:beforeAutospacing="1" w:after="100" w:afterAutospacing="1" w:line="300" w:lineRule="auto"/>
              <w:jc w:val="center"/>
              <w:rPr>
                <w:rFonts w:ascii="华文宋体" w:hAnsi="华文宋体" w:eastAsia="华文宋体" w:cs="华文宋体"/>
                <w:szCs w:val="21"/>
              </w:rPr>
            </w:pPr>
            <w:r>
              <w:rPr>
                <w:rFonts w:hint="eastAsia" w:ascii="华文宋体" w:hAnsi="华文宋体" w:eastAsia="华文宋体" w:cs="华文宋体"/>
                <w:kern w:val="0"/>
                <w:szCs w:val="21"/>
                <w:lang w:bidi="ar"/>
              </w:rPr>
              <w:t>5000以上-10000（含10000）</w:t>
            </w:r>
          </w:p>
        </w:tc>
        <w:tc>
          <w:tcPr>
            <w:tcW w:w="1373" w:type="pct"/>
            <w:vAlign w:val="center"/>
          </w:tcPr>
          <w:p>
            <w:pPr>
              <w:widowControl/>
              <w:spacing w:before="100" w:beforeAutospacing="1" w:after="100" w:afterAutospacing="1" w:line="300" w:lineRule="auto"/>
              <w:jc w:val="center"/>
              <w:rPr>
                <w:rFonts w:ascii="华文宋体" w:hAnsi="华文宋体" w:eastAsia="华文宋体" w:cs="华文宋体"/>
                <w:szCs w:val="21"/>
              </w:rPr>
            </w:pPr>
            <w:r>
              <w:rPr>
                <w:rFonts w:hint="eastAsia" w:ascii="华文宋体" w:hAnsi="华文宋体" w:eastAsia="华文宋体" w:cs="华文宋体"/>
                <w:kern w:val="0"/>
                <w:szCs w:val="21"/>
                <w:lang w:bidi="ar"/>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vAlign w:val="center"/>
          </w:tcPr>
          <w:p>
            <w:pPr>
              <w:widowControl/>
              <w:spacing w:before="100" w:beforeAutospacing="1" w:after="100" w:afterAutospacing="1" w:line="300" w:lineRule="auto"/>
              <w:jc w:val="center"/>
              <w:rPr>
                <w:rFonts w:ascii="华文宋体" w:hAnsi="华文宋体" w:eastAsia="华文宋体" w:cs="华文宋体"/>
                <w:szCs w:val="21"/>
              </w:rPr>
            </w:pPr>
            <w:r>
              <w:rPr>
                <w:rFonts w:hint="eastAsia" w:ascii="华文宋体" w:hAnsi="华文宋体" w:eastAsia="华文宋体" w:cs="华文宋体"/>
                <w:kern w:val="0"/>
                <w:szCs w:val="21"/>
                <w:lang w:bidi="ar"/>
              </w:rPr>
              <w:t>5</w:t>
            </w:r>
          </w:p>
        </w:tc>
        <w:tc>
          <w:tcPr>
            <w:tcW w:w="3034" w:type="pct"/>
            <w:vAlign w:val="center"/>
          </w:tcPr>
          <w:p>
            <w:pPr>
              <w:widowControl/>
              <w:spacing w:before="100" w:beforeAutospacing="1" w:after="100" w:afterAutospacing="1" w:line="300" w:lineRule="auto"/>
              <w:jc w:val="center"/>
              <w:rPr>
                <w:rFonts w:ascii="华文宋体" w:hAnsi="华文宋体" w:eastAsia="华文宋体" w:cs="华文宋体"/>
                <w:szCs w:val="21"/>
              </w:rPr>
            </w:pPr>
            <w:r>
              <w:rPr>
                <w:rFonts w:hint="eastAsia" w:ascii="华文宋体" w:hAnsi="华文宋体" w:eastAsia="华文宋体" w:cs="华文宋体"/>
                <w:kern w:val="0"/>
                <w:szCs w:val="21"/>
                <w:lang w:bidi="ar"/>
              </w:rPr>
              <w:t>10000以上-100000（含100000）</w:t>
            </w:r>
          </w:p>
        </w:tc>
        <w:tc>
          <w:tcPr>
            <w:tcW w:w="1373" w:type="pct"/>
            <w:vAlign w:val="center"/>
          </w:tcPr>
          <w:p>
            <w:pPr>
              <w:widowControl/>
              <w:spacing w:before="100" w:beforeAutospacing="1" w:after="100" w:afterAutospacing="1" w:line="300" w:lineRule="auto"/>
              <w:jc w:val="center"/>
              <w:rPr>
                <w:rFonts w:ascii="华文宋体" w:hAnsi="华文宋体" w:eastAsia="华文宋体" w:cs="华文宋体"/>
                <w:szCs w:val="21"/>
              </w:rPr>
            </w:pPr>
            <w:r>
              <w:rPr>
                <w:rFonts w:hint="eastAsia" w:ascii="华文宋体" w:hAnsi="华文宋体" w:eastAsia="华文宋体" w:cs="华文宋体"/>
                <w:kern w:val="0"/>
                <w:szCs w:val="21"/>
                <w:lang w:bidi="ar"/>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vAlign w:val="center"/>
          </w:tcPr>
          <w:p>
            <w:pPr>
              <w:widowControl/>
              <w:spacing w:before="100" w:beforeAutospacing="1" w:after="100" w:afterAutospacing="1" w:line="300" w:lineRule="auto"/>
              <w:jc w:val="center"/>
              <w:rPr>
                <w:rFonts w:ascii="华文宋体" w:hAnsi="华文宋体" w:eastAsia="华文宋体" w:cs="华文宋体"/>
                <w:szCs w:val="21"/>
              </w:rPr>
            </w:pPr>
            <w:r>
              <w:rPr>
                <w:rFonts w:hint="eastAsia" w:ascii="华文宋体" w:hAnsi="华文宋体" w:eastAsia="华文宋体" w:cs="华文宋体"/>
                <w:kern w:val="0"/>
                <w:szCs w:val="21"/>
                <w:lang w:bidi="ar"/>
              </w:rPr>
              <w:t>6</w:t>
            </w:r>
          </w:p>
        </w:tc>
        <w:tc>
          <w:tcPr>
            <w:tcW w:w="3034" w:type="pct"/>
            <w:vAlign w:val="center"/>
          </w:tcPr>
          <w:p>
            <w:pPr>
              <w:widowControl/>
              <w:spacing w:before="100" w:beforeAutospacing="1" w:after="100" w:afterAutospacing="1" w:line="300" w:lineRule="auto"/>
              <w:jc w:val="center"/>
              <w:rPr>
                <w:rFonts w:ascii="华文宋体" w:hAnsi="华文宋体" w:eastAsia="华文宋体" w:cs="华文宋体"/>
                <w:szCs w:val="21"/>
              </w:rPr>
            </w:pPr>
            <w:r>
              <w:rPr>
                <w:rFonts w:hint="eastAsia" w:ascii="华文宋体" w:hAnsi="华文宋体" w:eastAsia="华文宋体" w:cs="华文宋体"/>
                <w:kern w:val="0"/>
                <w:szCs w:val="21"/>
                <w:lang w:bidi="ar"/>
              </w:rPr>
              <w:t>100000以上</w:t>
            </w:r>
          </w:p>
        </w:tc>
        <w:tc>
          <w:tcPr>
            <w:tcW w:w="1373" w:type="pct"/>
            <w:vAlign w:val="center"/>
          </w:tcPr>
          <w:p>
            <w:pPr>
              <w:widowControl/>
              <w:spacing w:before="100" w:beforeAutospacing="1" w:after="100" w:afterAutospacing="1" w:line="300" w:lineRule="auto"/>
              <w:jc w:val="center"/>
              <w:rPr>
                <w:rFonts w:ascii="华文宋体" w:hAnsi="华文宋体" w:eastAsia="华文宋体" w:cs="华文宋体"/>
                <w:szCs w:val="21"/>
              </w:rPr>
            </w:pPr>
            <w:r>
              <w:rPr>
                <w:rFonts w:hint="eastAsia" w:ascii="华文宋体" w:hAnsi="华文宋体" w:eastAsia="华文宋体" w:cs="华文宋体"/>
                <w:kern w:val="0"/>
                <w:szCs w:val="21"/>
                <w:lang w:bidi="ar"/>
              </w:rPr>
              <w:t>0.1</w:t>
            </w:r>
          </w:p>
        </w:tc>
      </w:tr>
    </w:tbl>
    <w:p>
      <w:pPr>
        <w:spacing w:line="300" w:lineRule="auto"/>
      </w:pPr>
      <w:r>
        <w:rPr>
          <w:rFonts w:hint="eastAsia"/>
        </w:rPr>
        <w:t xml:space="preserve">        </w:t>
      </w:r>
      <w:r>
        <w:rPr>
          <w:rFonts w:hint="eastAsia"/>
          <w:b/>
          <w:bCs/>
        </w:rPr>
        <w:t>说明：计件收费实行差额定率累进计费。计费基数为账面原值。</w:t>
      </w:r>
    </w:p>
    <w:p>
      <w:pPr>
        <w:spacing w:line="300" w:lineRule="auto"/>
        <w:ind w:firstLine="495"/>
      </w:pPr>
    </w:p>
    <w:p>
      <w:pPr>
        <w:spacing w:line="300" w:lineRule="auto"/>
        <w:ind w:firstLine="495"/>
      </w:pPr>
      <w:r>
        <w:rPr>
          <w:rFonts w:hint="eastAsia"/>
        </w:rPr>
        <w:t>本合同采用分期支付的方式，具体方式如下：</w:t>
      </w:r>
    </w:p>
    <w:p>
      <w:pPr>
        <w:pStyle w:val="14"/>
        <w:spacing w:before="156" w:beforeLines="50" w:after="0" w:line="300" w:lineRule="auto"/>
        <w:jc w:val="left"/>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（1）单个用海项目提交报告支付单个项目合同价的80%；</w:t>
      </w:r>
    </w:p>
    <w:p>
      <w:pPr>
        <w:pStyle w:val="14"/>
        <w:spacing w:before="156" w:beforeLines="50" w:after="0" w:line="300" w:lineRule="auto"/>
        <w:jc w:val="left"/>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（2）一年服务期结束，所有项目取得省政府批复之后支付20%尾款。</w:t>
      </w:r>
    </w:p>
    <w:p>
      <w:pPr>
        <w:spacing w:line="300" w:lineRule="auto"/>
        <w:ind w:left="420" w:leftChars="200" w:firstLine="73" w:firstLineChars="35"/>
      </w:pPr>
      <w:r>
        <w:rPr>
          <w:rFonts w:hint="eastAsia"/>
        </w:rPr>
        <w:t>乙方收取每期合同款时应开具正式发票，甲方收到发票后3</w:t>
      </w:r>
      <w:r>
        <w:t>0</w:t>
      </w:r>
      <w:r>
        <w:rPr>
          <w:rFonts w:hint="eastAsia"/>
        </w:rPr>
        <w:t>个工作日内支付合同款。</w:t>
      </w:r>
    </w:p>
    <w:p>
      <w:pPr>
        <w:spacing w:line="300" w:lineRule="auto"/>
        <w:ind w:firstLine="420" w:firstLineChars="200"/>
      </w:pPr>
      <w:r>
        <w:rPr>
          <w:rFonts w:hint="eastAsia"/>
        </w:rPr>
        <w:t>本合同预算金额为25万元整，合同支付总金额不得超过合同预算金额。</w:t>
      </w:r>
    </w:p>
    <w:p>
      <w:pPr>
        <w:spacing w:line="300" w:lineRule="auto"/>
        <w:ind w:firstLine="495"/>
      </w:pPr>
      <w:r>
        <w:rPr>
          <w:rFonts w:hint="eastAsia"/>
        </w:rPr>
        <w:t>5、双方责任和义务：</w:t>
      </w:r>
    </w:p>
    <w:p>
      <w:pPr>
        <w:spacing w:line="300" w:lineRule="auto"/>
        <w:ind w:firstLine="495"/>
      </w:pPr>
      <w:r>
        <w:t>(</w:t>
      </w:r>
      <w:r>
        <w:rPr>
          <w:rFonts w:hint="eastAsia"/>
        </w:rPr>
        <w:t>1</w:t>
      </w:r>
      <w:r>
        <w:t xml:space="preserve">) </w:t>
      </w:r>
      <w:r>
        <w:rPr>
          <w:rFonts w:hint="eastAsia"/>
        </w:rPr>
        <w:t>甲方的责任和义务</w:t>
      </w:r>
    </w:p>
    <w:p>
      <w:pPr>
        <w:spacing w:line="300" w:lineRule="auto"/>
        <w:ind w:firstLine="495"/>
      </w:pPr>
      <w:r>
        <w:rPr>
          <w:rFonts w:hint="eastAsia"/>
        </w:rPr>
        <w:t>a、向乙方提供本项目海域价格评估报告编制所需的资料，并对这些资料的解释和可靠性负责。</w:t>
      </w:r>
    </w:p>
    <w:p>
      <w:pPr>
        <w:spacing w:line="300" w:lineRule="auto"/>
        <w:ind w:firstLine="495"/>
      </w:pPr>
      <w:r>
        <w:rPr>
          <w:rFonts w:hint="eastAsia"/>
        </w:rPr>
        <w:t>b、对乙方的工作方案及人员组成进行审查，对项目技术质量进行监督。</w:t>
      </w:r>
    </w:p>
    <w:p>
      <w:pPr>
        <w:spacing w:line="300" w:lineRule="auto"/>
        <w:ind w:firstLine="495"/>
      </w:pPr>
      <w:r>
        <w:rPr>
          <w:rFonts w:hint="eastAsia"/>
        </w:rPr>
        <w:t>c、为乙方顺利完成报告编制任务提供必要的协助。</w:t>
      </w:r>
    </w:p>
    <w:p>
      <w:pPr>
        <w:spacing w:line="300" w:lineRule="auto"/>
        <w:ind w:firstLine="495"/>
      </w:pPr>
      <w:r>
        <w:rPr>
          <w:rFonts w:hint="eastAsia"/>
        </w:rPr>
        <w:t>d、及时支付乙方合同费用。</w:t>
      </w:r>
    </w:p>
    <w:p>
      <w:pPr>
        <w:spacing w:line="300" w:lineRule="auto"/>
        <w:ind w:firstLine="495"/>
      </w:pPr>
      <w:r>
        <w:t>(</w:t>
      </w:r>
      <w:r>
        <w:rPr>
          <w:rFonts w:hint="eastAsia"/>
        </w:rPr>
        <w:t>2</w:t>
      </w:r>
      <w:r>
        <w:t xml:space="preserve">) </w:t>
      </w:r>
      <w:r>
        <w:rPr>
          <w:rFonts w:hint="eastAsia"/>
        </w:rPr>
        <w:t>乙方的责任和义务</w:t>
      </w:r>
    </w:p>
    <w:p>
      <w:pPr>
        <w:spacing w:line="300" w:lineRule="auto"/>
        <w:ind w:firstLine="495"/>
      </w:pPr>
      <w:r>
        <w:rPr>
          <w:rFonts w:hint="eastAsia"/>
        </w:rPr>
        <w:t>a、负责按照甲方要求对海域价格评估报告进行修改完善。</w:t>
      </w:r>
    </w:p>
    <w:p>
      <w:pPr>
        <w:spacing w:line="300" w:lineRule="auto"/>
        <w:ind w:firstLine="495"/>
      </w:pPr>
      <w:r>
        <w:rPr>
          <w:rFonts w:hint="eastAsia"/>
        </w:rPr>
        <w:t>b、若因报告质量问题需重新编制的，则相应费用由乙方承担。</w:t>
      </w:r>
    </w:p>
    <w:p>
      <w:pPr>
        <w:spacing w:line="300" w:lineRule="auto"/>
        <w:ind w:firstLine="495"/>
      </w:pPr>
      <w:r>
        <w:rPr>
          <w:rFonts w:hint="eastAsia"/>
        </w:rPr>
        <w:t>c、根据合同第2、3条要求，按时完成相关工作。</w:t>
      </w:r>
    </w:p>
    <w:p>
      <w:pPr>
        <w:spacing w:line="300" w:lineRule="auto"/>
        <w:ind w:firstLine="495"/>
      </w:pPr>
      <w:r>
        <w:rPr>
          <w:rFonts w:hint="eastAsia"/>
        </w:rPr>
        <w:t>d、严格遵守对成果资料和甲方提供的资料的保密责任。</w:t>
      </w:r>
    </w:p>
    <w:p>
      <w:pPr>
        <w:spacing w:line="300" w:lineRule="auto"/>
        <w:ind w:firstLine="495"/>
      </w:pPr>
      <w:r>
        <w:rPr>
          <w:rFonts w:hint="eastAsia"/>
        </w:rPr>
        <w:t>e、乙方应保证提供服务过程中不会侵犯任何第三方的知识产权和其他权利，若侵犯相关权利，乙方赔偿甲方因此遭受的损失。</w:t>
      </w:r>
    </w:p>
    <w:p>
      <w:pPr>
        <w:spacing w:line="300" w:lineRule="auto"/>
        <w:ind w:firstLine="495"/>
      </w:pPr>
      <w:r>
        <w:rPr>
          <w:rFonts w:hint="eastAsia"/>
        </w:rPr>
        <w:t>6、双方违约责任：</w:t>
      </w:r>
    </w:p>
    <w:p>
      <w:pPr>
        <w:spacing w:line="300" w:lineRule="auto"/>
        <w:ind w:firstLine="495"/>
      </w:pPr>
      <w:r>
        <w:t>(</w:t>
      </w:r>
      <w:r>
        <w:rPr>
          <w:rFonts w:hint="eastAsia"/>
        </w:rPr>
        <w:t>1</w:t>
      </w:r>
      <w:r>
        <w:t xml:space="preserve">) </w:t>
      </w:r>
      <w:r>
        <w:rPr>
          <w:rFonts w:hint="eastAsia"/>
        </w:rPr>
        <w:t>甲方的违约责任</w:t>
      </w:r>
    </w:p>
    <w:p>
      <w:pPr>
        <w:spacing w:line="300" w:lineRule="auto"/>
        <w:ind w:firstLine="495"/>
      </w:pPr>
      <w:r>
        <w:rPr>
          <w:rFonts w:hint="eastAsia"/>
        </w:rPr>
        <w:t>① 由于甲方自身原因终止合同</w:t>
      </w:r>
      <w:r>
        <w:t>,</w:t>
      </w:r>
      <w:r>
        <w:rPr>
          <w:rFonts w:hint="eastAsia"/>
        </w:rPr>
        <w:t xml:space="preserve"> 除应书面通知乙方外，甲方按乙方已完成的工作量比例向乙方支付相应比例的费用</w:t>
      </w:r>
      <w:r>
        <w:t>,</w:t>
      </w:r>
      <w:r>
        <w:rPr>
          <w:rFonts w:hint="eastAsia"/>
        </w:rPr>
        <w:t xml:space="preserve"> 同时终止合同关系。</w:t>
      </w:r>
    </w:p>
    <w:p>
      <w:pPr>
        <w:spacing w:line="300" w:lineRule="auto"/>
        <w:ind w:firstLine="495"/>
      </w:pPr>
      <w:r>
        <w:t>(</w:t>
      </w:r>
      <w:r>
        <w:rPr>
          <w:rFonts w:hint="eastAsia"/>
        </w:rPr>
        <w:t>2</w:t>
      </w:r>
      <w:r>
        <w:t xml:space="preserve">) </w:t>
      </w:r>
      <w:r>
        <w:rPr>
          <w:rFonts w:hint="eastAsia"/>
        </w:rPr>
        <w:t>乙方的违约责任</w:t>
      </w:r>
    </w:p>
    <w:p>
      <w:pPr>
        <w:spacing w:line="300" w:lineRule="auto"/>
        <w:ind w:firstLine="495"/>
      </w:pPr>
      <w:r>
        <w:rPr>
          <w:rFonts w:hint="eastAsia"/>
        </w:rPr>
        <w:t>① 由于乙方原因终止合同</w:t>
      </w:r>
      <w:r>
        <w:t>,</w:t>
      </w:r>
      <w:r>
        <w:rPr>
          <w:rFonts w:hint="eastAsia"/>
        </w:rPr>
        <w:t xml:space="preserve"> 乙方应全额返还甲方已支付的款项，并承担由此对甲方带来的其他损失</w:t>
      </w:r>
      <w:r>
        <w:t>。</w:t>
      </w:r>
    </w:p>
    <w:p>
      <w:pPr>
        <w:spacing w:line="300" w:lineRule="auto"/>
        <w:ind w:firstLine="495"/>
      </w:pPr>
      <w:r>
        <w:rPr>
          <w:rFonts w:hint="eastAsia"/>
        </w:rPr>
        <w:t>② 乙方应按合同工期完成工作任务。对第2条中规定的阶段性目标，若乙方不能及时完成，则违约金按1000元/天扣除。但因不可抗拒的自然灾害造成乙方延误工期，经甲方同意，工期顺延。</w:t>
      </w:r>
    </w:p>
    <w:p>
      <w:pPr>
        <w:spacing w:line="300" w:lineRule="auto"/>
        <w:ind w:firstLine="495"/>
      </w:pPr>
      <w:r>
        <w:rPr>
          <w:rFonts w:hint="eastAsia"/>
        </w:rPr>
        <w:t>③ 若乙方提交的技术服务成果，经甲方三次及以上退回乙方进行修改，仍未能通过验收的，则甲方有权解除合同。</w:t>
      </w:r>
    </w:p>
    <w:p>
      <w:pPr>
        <w:spacing w:line="300" w:lineRule="auto"/>
        <w:ind w:firstLine="495"/>
      </w:pPr>
      <w:r>
        <w:rPr>
          <w:rFonts w:hint="eastAsia"/>
        </w:rPr>
        <w:t>7、分包</w:t>
      </w:r>
    </w:p>
    <w:p>
      <w:pPr>
        <w:spacing w:line="300" w:lineRule="auto"/>
        <w:ind w:firstLine="495"/>
      </w:pPr>
      <w:r>
        <w:rPr>
          <w:rFonts w:hint="eastAsia"/>
        </w:rPr>
        <w:t>不允许分包。</w:t>
      </w:r>
    </w:p>
    <w:p>
      <w:pPr>
        <w:spacing w:line="300" w:lineRule="auto"/>
        <w:ind w:firstLine="495"/>
      </w:pPr>
      <w:r>
        <w:rPr>
          <w:rFonts w:hint="eastAsia"/>
        </w:rPr>
        <w:t>8、技术情报和资料的保密：</w:t>
      </w:r>
    </w:p>
    <w:p>
      <w:pPr>
        <w:spacing w:line="300" w:lineRule="auto"/>
        <w:ind w:firstLine="495"/>
      </w:pPr>
      <w:r>
        <w:rPr>
          <w:rFonts w:hint="eastAsia"/>
        </w:rPr>
        <w:t>全部技术成果归双方共有，但乙方对成果资料和甲方提供的所有资料负有保密的责任，未经甲方许可，乙方不得向第三方提供本合同范围内的研究成果。否则，甲方有权提起诉讼，由此引起的所有费用及损失由乙方承担。对本工程的宣传报道必须经甲方同意，否则造成的损失和影响，甲方有权通过法律途径取得追偿。本合同变更、解除及终止，本条款均有效。</w:t>
      </w:r>
    </w:p>
    <w:p>
      <w:pPr>
        <w:spacing w:line="300" w:lineRule="auto"/>
        <w:ind w:firstLine="495"/>
      </w:pPr>
      <w:r>
        <w:rPr>
          <w:rFonts w:hint="eastAsia"/>
        </w:rPr>
        <w:t>9、本合同未尽事宜，双方应及时协商解决，签订的补充协议与本合同具有同等法律效力。本合同在履行过程中发生的争端，由双方当事人协商解决；</w:t>
      </w:r>
      <w:r>
        <w:t>若经过协商或调解仍不能达成一致时，任何一方均可向</w:t>
      </w:r>
      <w:r>
        <w:rPr>
          <w:rFonts w:hint="eastAsia"/>
          <w:b/>
          <w:bCs/>
          <w:u w:val="single"/>
        </w:rPr>
        <w:t>甲方所在地的人民法院</w:t>
      </w:r>
      <w:r>
        <w:t>提出</w:t>
      </w:r>
      <w:r>
        <w:rPr>
          <w:rFonts w:hint="eastAsia"/>
        </w:rPr>
        <w:t>起诉</w:t>
      </w:r>
      <w:r>
        <w:t>。</w:t>
      </w:r>
      <w:r>
        <w:rPr>
          <w:rFonts w:hint="eastAsia"/>
        </w:rPr>
        <w:t>本协议自生效之日起，若发生纠纷，由违约方赔偿守约方因纠纷所支付的费用（包括但不限于律师费、差旅费、诉讼费、保全费、鉴定费、评估费等）</w:t>
      </w:r>
    </w:p>
    <w:p>
      <w:pPr>
        <w:spacing w:line="300" w:lineRule="auto"/>
        <w:ind w:left="105" w:leftChars="50" w:firstLine="367" w:firstLineChars="175"/>
      </w:pPr>
      <w:r>
        <w:rPr>
          <w:rFonts w:hint="eastAsia"/>
        </w:rPr>
        <w:t>1</w:t>
      </w:r>
      <w:r>
        <w:t>0</w:t>
      </w:r>
      <w:r>
        <w:rPr>
          <w:rFonts w:hint="eastAsia"/>
        </w:rPr>
        <w:t xml:space="preserve">、在本合同有效期内，甲方指定 </w:t>
      </w:r>
      <w:r>
        <w:rPr>
          <w:rFonts w:hint="eastAsia"/>
          <w:u w:val="single"/>
        </w:rPr>
        <w:t xml:space="preserve">        </w:t>
      </w:r>
      <w:r>
        <w:rPr>
          <w:rFonts w:hint="eastAsia"/>
        </w:rPr>
        <w:t xml:space="preserve"> 为甲方项目联系人，乙方指定 </w:t>
      </w:r>
      <w:r>
        <w:rPr>
          <w:rFonts w:hint="eastAsia"/>
          <w:u w:val="single"/>
        </w:rPr>
        <w:t xml:space="preserve">       </w:t>
      </w:r>
      <w:r>
        <w:rPr>
          <w:rFonts w:hint="eastAsia"/>
        </w:rPr>
        <w:t xml:space="preserve"> 为乙方项目联系人，负责具体服务事宜联系及安排、项目有关人员的沟通协调、落实检查合同履约情况等工作。</w:t>
      </w:r>
    </w:p>
    <w:p>
      <w:pPr>
        <w:spacing w:line="300" w:lineRule="auto"/>
        <w:ind w:left="105" w:leftChars="50" w:firstLine="367" w:firstLineChars="175"/>
      </w:pPr>
      <w:r>
        <w:rPr>
          <w:rFonts w:hint="eastAsia"/>
        </w:rPr>
        <w:t>1</w:t>
      </w:r>
      <w:r>
        <w:t>1</w:t>
      </w:r>
      <w:r>
        <w:rPr>
          <w:rFonts w:hint="eastAsia"/>
        </w:rPr>
        <w:t>、本协议书正本一式</w:t>
      </w:r>
      <w:r>
        <w:rPr>
          <w:rFonts w:hint="eastAsia"/>
          <w:u w:val="single"/>
        </w:rPr>
        <w:t xml:space="preserve"> 陆 </w:t>
      </w:r>
      <w:r>
        <w:rPr>
          <w:rFonts w:hint="eastAsia"/>
        </w:rPr>
        <w:t>份，甲方执</w:t>
      </w:r>
      <w:r>
        <w:rPr>
          <w:rFonts w:hint="eastAsia"/>
          <w:u w:val="single"/>
        </w:rPr>
        <w:t xml:space="preserve"> 贰 </w:t>
      </w:r>
      <w:r>
        <w:rPr>
          <w:rFonts w:hint="eastAsia"/>
        </w:rPr>
        <w:t>份，乙方执</w:t>
      </w:r>
      <w:r>
        <w:rPr>
          <w:rFonts w:hint="eastAsia"/>
          <w:u w:val="single"/>
        </w:rPr>
        <w:t xml:space="preserve"> 肆 </w:t>
      </w:r>
      <w:r>
        <w:rPr>
          <w:rFonts w:hint="eastAsia"/>
        </w:rPr>
        <w:t>份，具有同等法律效力。</w:t>
      </w:r>
    </w:p>
    <w:p>
      <w:pPr>
        <w:spacing w:line="300" w:lineRule="auto"/>
        <w:ind w:firstLine="495"/>
      </w:pPr>
      <w:r>
        <w:rPr>
          <w:rFonts w:hint="eastAsia"/>
        </w:rPr>
        <w:t>1</w:t>
      </w:r>
      <w:r>
        <w:t>2</w:t>
      </w:r>
      <w:r>
        <w:rPr>
          <w:rFonts w:hint="eastAsia"/>
        </w:rPr>
        <w:t>、合同生效</w:t>
      </w:r>
    </w:p>
    <w:p>
      <w:pPr>
        <w:spacing w:line="300" w:lineRule="auto"/>
        <w:ind w:firstLine="495"/>
      </w:pPr>
      <w:r>
        <w:rPr>
          <w:rFonts w:hint="eastAsia"/>
        </w:rPr>
        <w:t>合同订立时间：</w:t>
      </w:r>
      <w:r>
        <w:rPr>
          <w:u w:val="single"/>
        </w:rPr>
        <w:t xml:space="preserve"> 202</w:t>
      </w:r>
      <w:r>
        <w:rPr>
          <w:rFonts w:hint="eastAsia"/>
          <w:u w:val="single"/>
        </w:rPr>
        <w:t>4</w:t>
      </w:r>
      <w:r>
        <w:rPr>
          <w:u w:val="single"/>
        </w:rPr>
        <w:t xml:space="preserve"> </w:t>
      </w:r>
      <w:r>
        <w:rPr>
          <w:rFonts w:hint="eastAsia"/>
        </w:rPr>
        <w:t>年</w:t>
      </w:r>
      <w:r>
        <w:rPr>
          <w:rFonts w:hint="eastAsia"/>
          <w:u w:val="single"/>
        </w:rPr>
        <w:t xml:space="preserve">   </w:t>
      </w:r>
      <w:r>
        <w:rPr>
          <w:u w:val="single"/>
        </w:rPr>
        <w:t xml:space="preserve"> </w:t>
      </w:r>
      <w:r>
        <w:rPr>
          <w:rFonts w:hint="eastAsia"/>
        </w:rPr>
        <w:t>月</w:t>
      </w:r>
      <w:r>
        <w:rPr>
          <w:rFonts w:hint="eastAsia"/>
          <w:u w:val="single"/>
        </w:rPr>
        <w:t xml:space="preserve">   </w:t>
      </w:r>
      <w:r>
        <w:rPr>
          <w:u w:val="single"/>
        </w:rPr>
        <w:t xml:space="preserve"> </w:t>
      </w:r>
      <w:r>
        <w:rPr>
          <w:rFonts w:hint="eastAsia"/>
        </w:rPr>
        <w:t>日</w:t>
      </w:r>
    </w:p>
    <w:p>
      <w:pPr>
        <w:spacing w:line="300" w:lineRule="auto"/>
        <w:ind w:firstLine="495"/>
      </w:pPr>
      <w:r>
        <w:rPr>
          <w:rFonts w:hint="eastAsia"/>
        </w:rPr>
        <w:t>合同订立地点：</w:t>
      </w:r>
      <w:r>
        <w:rPr>
          <w:rFonts w:hint="eastAsia"/>
          <w:u w:val="single"/>
        </w:rPr>
        <w:t>浙江台州</w:t>
      </w:r>
    </w:p>
    <w:p>
      <w:pPr>
        <w:spacing w:line="300" w:lineRule="auto"/>
        <w:ind w:firstLine="495"/>
      </w:pPr>
      <w:r>
        <w:rPr>
          <w:rFonts w:hint="eastAsia"/>
        </w:rPr>
        <w:t>本合同双方约定　签字（或印鉴）、盖</w:t>
      </w:r>
      <w:r>
        <w:t>公</w:t>
      </w:r>
      <w:r>
        <w:rPr>
          <w:rFonts w:hint="eastAsia"/>
        </w:rPr>
        <w:t>章后生效。</w:t>
      </w:r>
    </w:p>
    <w:p>
      <w:pPr>
        <w:spacing w:line="300" w:lineRule="auto"/>
        <w:ind w:left="-284" w:leftChars="-203" w:right="-141" w:rightChars="-67" w:hanging="142" w:hangingChars="68"/>
      </w:pPr>
      <w:r>
        <w:rPr>
          <w:rFonts w:hint="eastAsia"/>
        </w:rPr>
        <w:t xml:space="preserve">甲方(公章)：                                     </w:t>
      </w:r>
      <w:r>
        <w:t xml:space="preserve"> </w:t>
      </w:r>
      <w:r>
        <w:rPr>
          <w:rFonts w:hint="eastAsia"/>
        </w:rPr>
        <w:t xml:space="preserve">乙方(公章)： </w:t>
      </w:r>
    </w:p>
    <w:p>
      <w:pPr>
        <w:spacing w:line="300" w:lineRule="auto"/>
        <w:ind w:left="-850" w:leftChars="-405" w:firstLine="424"/>
      </w:pPr>
      <w:r>
        <w:rPr>
          <w:rFonts w:hint="eastAsia"/>
        </w:rPr>
        <w:t xml:space="preserve">住  所：                             </w:t>
      </w:r>
      <w:r>
        <w:t xml:space="preserve">            </w:t>
      </w:r>
      <w:r>
        <w:rPr>
          <w:rFonts w:hint="eastAsia"/>
        </w:rPr>
        <w:t xml:space="preserve">住  所： </w:t>
      </w:r>
    </w:p>
    <w:p>
      <w:pPr>
        <w:spacing w:line="300" w:lineRule="auto"/>
        <w:ind w:hanging="426"/>
      </w:pPr>
      <w:r>
        <w:rPr>
          <w:rFonts w:hint="eastAsia"/>
        </w:rPr>
        <w:t xml:space="preserve">法定代表人（签字或印鉴）：              </w:t>
      </w:r>
      <w:r>
        <w:t xml:space="preserve">     </w:t>
      </w:r>
      <w:r>
        <w:rPr>
          <w:rFonts w:hint="eastAsia"/>
        </w:rPr>
        <w:t xml:space="preserve">    法定代表人（签字或印鉴）：</w:t>
      </w:r>
    </w:p>
    <w:p>
      <w:pPr>
        <w:spacing w:line="300" w:lineRule="auto"/>
        <w:ind w:hanging="426"/>
      </w:pPr>
      <w:r>
        <w:rPr>
          <w:rFonts w:hint="eastAsia"/>
        </w:rPr>
        <w:t xml:space="preserve">委托代理人（签字或印鉴）：             </w:t>
      </w:r>
      <w:r>
        <w:t xml:space="preserve">          </w:t>
      </w:r>
      <w:r>
        <w:rPr>
          <w:rFonts w:hint="eastAsia"/>
        </w:rPr>
        <w:t>委托代理人（签字或印鉴）：</w:t>
      </w:r>
    </w:p>
    <w:p>
      <w:pPr>
        <w:spacing w:line="300" w:lineRule="auto"/>
        <w:ind w:hanging="426"/>
      </w:pPr>
      <w:r>
        <w:rPr>
          <w:rFonts w:hint="eastAsia"/>
        </w:rPr>
        <w:t xml:space="preserve">电  话：                 </w:t>
      </w:r>
      <w:r>
        <w:t xml:space="preserve">       </w:t>
      </w:r>
      <w:r>
        <w:rPr>
          <w:rFonts w:hint="eastAsia"/>
        </w:rPr>
        <w:t xml:space="preserve">                 电  话：</w:t>
      </w:r>
    </w:p>
    <w:p>
      <w:pPr>
        <w:spacing w:line="300" w:lineRule="auto"/>
        <w:ind w:hanging="426"/>
      </w:pPr>
      <w:r>
        <w:rPr>
          <w:rFonts w:hint="eastAsia"/>
        </w:rPr>
        <w:t xml:space="preserve">传  真：                      </w:t>
      </w:r>
      <w:r>
        <w:t xml:space="preserve">                   </w:t>
      </w:r>
      <w:r>
        <w:rPr>
          <w:rFonts w:hint="eastAsia"/>
        </w:rPr>
        <w:t>传  真：</w:t>
      </w:r>
    </w:p>
    <w:p>
      <w:pPr>
        <w:spacing w:line="300" w:lineRule="auto"/>
        <w:ind w:hanging="426"/>
      </w:pPr>
      <w:r>
        <w:rPr>
          <w:rFonts w:hint="eastAsia"/>
        </w:rPr>
        <w:t xml:space="preserve">开户银行：                           </w:t>
      </w:r>
      <w:r>
        <w:t xml:space="preserve">             </w:t>
      </w:r>
      <w:r>
        <w:rPr>
          <w:rFonts w:hint="eastAsia"/>
        </w:rPr>
        <w:t>开户银行：</w:t>
      </w:r>
    </w:p>
    <w:p>
      <w:pPr>
        <w:spacing w:line="300" w:lineRule="auto"/>
        <w:ind w:hanging="426"/>
      </w:pPr>
      <w:r>
        <w:rPr>
          <w:rFonts w:hint="eastAsia"/>
        </w:rPr>
        <w:t xml:space="preserve">帐  号：                     </w:t>
      </w:r>
      <w:r>
        <w:t xml:space="preserve">              </w:t>
      </w:r>
      <w:r>
        <w:rPr>
          <w:rFonts w:hint="eastAsia"/>
        </w:rPr>
        <w:t xml:space="preserve">        帐  号：</w:t>
      </w:r>
    </w:p>
    <w:p>
      <w:pPr>
        <w:spacing w:line="300" w:lineRule="auto"/>
        <w:ind w:hanging="426"/>
        <w:rPr>
          <w:sz w:val="28"/>
          <w:szCs w:val="28"/>
        </w:rPr>
      </w:pPr>
      <w:r>
        <w:rPr>
          <w:rFonts w:hint="eastAsia"/>
        </w:rPr>
        <w:t xml:space="preserve">邮政编码：                  </w:t>
      </w:r>
      <w:r>
        <w:t xml:space="preserve">                       </w:t>
      </w:r>
      <w:r>
        <w:rPr>
          <w:rFonts w:hint="eastAsia"/>
        </w:rPr>
        <w:t>邮政编码：</w:t>
      </w:r>
    </w:p>
    <w:p>
      <w:pPr>
        <w:spacing w:before="156" w:beforeLines="50" w:line="300" w:lineRule="auto"/>
        <w:ind w:firstLine="420" w:firstLineChars="200"/>
        <w:rPr>
          <w:rFonts w:asciiTheme="minorEastAsia" w:hAnsiTheme="minorEastAsia" w:eastAsiaTheme="minorEastAsia" w:cstheme="minorEastAsia"/>
          <w:szCs w:val="21"/>
        </w:rPr>
      </w:pPr>
    </w:p>
    <w:p>
      <w:pPr>
        <w:spacing w:before="156" w:beforeLines="50" w:line="300" w:lineRule="auto"/>
        <w:ind w:firstLine="211"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注：本合同作为示范文本，具体以成交供应商与采购人所签定正式合同为准。</w:t>
      </w:r>
    </w:p>
    <w:p>
      <w:pPr>
        <w:spacing w:line="460" w:lineRule="exact"/>
        <w:ind w:firstLine="495"/>
      </w:pPr>
    </w:p>
    <w:p>
      <w:pPr>
        <w:pStyle w:val="12"/>
        <w:ind w:firstLine="480"/>
      </w:pPr>
    </w:p>
    <w:p>
      <w:pPr>
        <w:pStyle w:val="13"/>
      </w:pPr>
    </w:p>
    <w:p/>
    <w:p>
      <w:pPr>
        <w:pStyle w:val="2"/>
      </w:pPr>
    </w:p>
    <w:p>
      <w:pPr>
        <w:pStyle w:val="2"/>
      </w:pPr>
    </w:p>
    <w:p>
      <w:pPr>
        <w:pStyle w:val="2"/>
      </w:pPr>
    </w:p>
    <w:p>
      <w:pPr>
        <w:pStyle w:val="2"/>
      </w:pPr>
    </w:p>
    <w:p>
      <w:pPr>
        <w:pStyle w:val="2"/>
      </w:pPr>
    </w:p>
    <w:p>
      <w:pPr>
        <w:spacing w:line="360" w:lineRule="auto"/>
        <w:jc w:val="center"/>
        <w:rPr>
          <w:rFonts w:ascii="宋体" w:hAnsi="宋体"/>
          <w:b/>
          <w:sz w:val="36"/>
          <w:szCs w:val="36"/>
        </w:rPr>
      </w:pPr>
      <w:r>
        <w:rPr>
          <w:rFonts w:hint="eastAsia" w:ascii="宋体" w:hAnsi="宋体"/>
          <w:b/>
          <w:sz w:val="36"/>
          <w:szCs w:val="36"/>
        </w:rPr>
        <w:t>第六章 投标文件格式</w:t>
      </w:r>
      <w:bookmarkEnd w:id="37"/>
    </w:p>
    <w:p>
      <w:pPr>
        <w:spacing w:line="360" w:lineRule="auto"/>
        <w:jc w:val="center"/>
        <w:rPr>
          <w:b/>
          <w:bCs/>
          <w:sz w:val="36"/>
          <w:szCs w:val="36"/>
        </w:rPr>
      </w:pPr>
    </w:p>
    <w:p>
      <w:pPr>
        <w:spacing w:line="360" w:lineRule="auto"/>
        <w:jc w:val="center"/>
        <w:rPr>
          <w:b/>
          <w:bCs/>
          <w:sz w:val="36"/>
          <w:szCs w:val="36"/>
        </w:rPr>
      </w:pPr>
      <w:r>
        <w:rPr>
          <w:rFonts w:hint="eastAsia"/>
          <w:b/>
          <w:bCs/>
          <w:sz w:val="36"/>
          <w:szCs w:val="36"/>
        </w:rPr>
        <w:t>资信技术标目录</w:t>
      </w:r>
    </w:p>
    <w:p>
      <w:pPr>
        <w:spacing w:line="360" w:lineRule="auto"/>
        <w:ind w:firstLine="560" w:firstLineChars="200"/>
        <w:rPr>
          <w:sz w:val="28"/>
          <w:szCs w:val="36"/>
        </w:rPr>
      </w:pPr>
    </w:p>
    <w:p>
      <w:pPr>
        <w:numPr>
          <w:ilvl w:val="0"/>
          <w:numId w:val="8"/>
        </w:numPr>
        <w:autoSpaceDE w:val="0"/>
        <w:autoSpaceDN w:val="0"/>
        <w:adjustRightInd w:val="0"/>
        <w:spacing w:line="360" w:lineRule="auto"/>
        <w:ind w:firstLine="480" w:firstLineChars="200"/>
        <w:rPr>
          <w:rFonts w:ascii="宋体" w:hAnsi="宋体"/>
          <w:kern w:val="0"/>
          <w:sz w:val="24"/>
        </w:rPr>
      </w:pPr>
      <w:r>
        <w:rPr>
          <w:rFonts w:hint="eastAsia" w:ascii="宋体" w:hAnsi="宋体"/>
          <w:kern w:val="0"/>
          <w:sz w:val="24"/>
        </w:rPr>
        <w:t>投标声明书（格式见附件）；</w:t>
      </w:r>
    </w:p>
    <w:p>
      <w:pPr>
        <w:numPr>
          <w:ilvl w:val="0"/>
          <w:numId w:val="8"/>
        </w:numPr>
        <w:autoSpaceDE w:val="0"/>
        <w:autoSpaceDN w:val="0"/>
        <w:adjustRightInd w:val="0"/>
        <w:spacing w:line="360" w:lineRule="auto"/>
        <w:ind w:firstLine="480" w:firstLineChars="200"/>
        <w:rPr>
          <w:rFonts w:ascii="宋体" w:hAnsi="宋体"/>
          <w:kern w:val="0"/>
          <w:sz w:val="24"/>
        </w:rPr>
      </w:pPr>
      <w:r>
        <w:rPr>
          <w:rFonts w:hint="eastAsia" w:ascii="宋体" w:hAnsi="宋体"/>
          <w:kern w:val="0"/>
          <w:sz w:val="24"/>
        </w:rPr>
        <w:t>法定代表人身份证明或法定代表人授权书（格式见附件）；</w:t>
      </w:r>
    </w:p>
    <w:p>
      <w:pPr>
        <w:numPr>
          <w:ilvl w:val="0"/>
          <w:numId w:val="8"/>
        </w:numPr>
        <w:autoSpaceDE w:val="0"/>
        <w:autoSpaceDN w:val="0"/>
        <w:adjustRightInd w:val="0"/>
        <w:spacing w:line="360" w:lineRule="auto"/>
        <w:ind w:firstLine="480" w:firstLineChars="200"/>
        <w:rPr>
          <w:rFonts w:ascii="宋体" w:hAnsi="宋体"/>
          <w:kern w:val="0"/>
          <w:sz w:val="24"/>
        </w:rPr>
      </w:pPr>
      <w:r>
        <w:rPr>
          <w:rFonts w:hint="eastAsia" w:ascii="宋体" w:hAnsi="宋体"/>
          <w:kern w:val="0"/>
          <w:sz w:val="24"/>
        </w:rPr>
        <w:t>法人或者其他组织的营业执照等证明文件或自然人的身份证明（格式见附件）；</w:t>
      </w:r>
    </w:p>
    <w:p>
      <w:pPr>
        <w:numPr>
          <w:ilvl w:val="0"/>
          <w:numId w:val="8"/>
        </w:numPr>
        <w:autoSpaceDE w:val="0"/>
        <w:autoSpaceDN w:val="0"/>
        <w:adjustRightInd w:val="0"/>
        <w:spacing w:line="360" w:lineRule="auto"/>
        <w:ind w:firstLine="480" w:firstLineChars="200"/>
        <w:rPr>
          <w:rFonts w:ascii="宋体" w:hAnsi="宋体"/>
          <w:kern w:val="0"/>
          <w:sz w:val="24"/>
        </w:rPr>
      </w:pPr>
      <w:r>
        <w:rPr>
          <w:rFonts w:hint="eastAsia" w:ascii="宋体" w:hAnsi="宋体"/>
          <w:kern w:val="0"/>
          <w:sz w:val="24"/>
          <w:lang w:val="zh-CN"/>
        </w:rPr>
        <w:t>具有依法缴纳税收和社会保障资金证明的承诺函</w:t>
      </w:r>
      <w:r>
        <w:rPr>
          <w:rFonts w:hint="eastAsia" w:ascii="宋体" w:hAnsi="宋体"/>
          <w:kern w:val="0"/>
          <w:sz w:val="24"/>
        </w:rPr>
        <w:t>（格式见附件）；</w:t>
      </w:r>
    </w:p>
    <w:p>
      <w:pPr>
        <w:numPr>
          <w:ilvl w:val="0"/>
          <w:numId w:val="8"/>
        </w:numPr>
        <w:autoSpaceDE w:val="0"/>
        <w:autoSpaceDN w:val="0"/>
        <w:adjustRightInd w:val="0"/>
        <w:spacing w:line="360" w:lineRule="auto"/>
        <w:ind w:firstLine="480" w:firstLineChars="200"/>
        <w:rPr>
          <w:rFonts w:ascii="宋体" w:hAnsi="宋体"/>
          <w:kern w:val="0"/>
          <w:sz w:val="24"/>
        </w:rPr>
      </w:pPr>
      <w:r>
        <w:rPr>
          <w:rFonts w:hint="eastAsia" w:ascii="宋体" w:hAnsi="宋体"/>
          <w:kern w:val="0"/>
          <w:sz w:val="24"/>
        </w:rPr>
        <w:t>具有良好的商业信誉和健全的财务会计制度的承诺函（格式见附件）；</w:t>
      </w:r>
    </w:p>
    <w:p>
      <w:pPr>
        <w:numPr>
          <w:ilvl w:val="0"/>
          <w:numId w:val="8"/>
        </w:numPr>
        <w:autoSpaceDE w:val="0"/>
        <w:autoSpaceDN w:val="0"/>
        <w:adjustRightInd w:val="0"/>
        <w:spacing w:line="360" w:lineRule="auto"/>
        <w:ind w:firstLine="480" w:firstLineChars="200"/>
        <w:rPr>
          <w:rFonts w:ascii="宋体" w:hAnsi="宋体"/>
          <w:kern w:val="0"/>
          <w:sz w:val="24"/>
        </w:rPr>
      </w:pPr>
      <w:r>
        <w:rPr>
          <w:rFonts w:hint="eastAsia" w:ascii="宋体" w:hAnsi="宋体"/>
          <w:kern w:val="0"/>
          <w:sz w:val="24"/>
        </w:rPr>
        <w:t>投标人基本情况表（格式见附件）；</w:t>
      </w:r>
    </w:p>
    <w:p>
      <w:pPr>
        <w:numPr>
          <w:ilvl w:val="0"/>
          <w:numId w:val="8"/>
        </w:numPr>
        <w:autoSpaceDE w:val="0"/>
        <w:autoSpaceDN w:val="0"/>
        <w:adjustRightInd w:val="0"/>
        <w:spacing w:line="360" w:lineRule="auto"/>
        <w:ind w:firstLine="480" w:firstLineChars="200"/>
        <w:rPr>
          <w:rFonts w:ascii="宋体" w:hAnsi="宋体"/>
          <w:kern w:val="0"/>
          <w:sz w:val="24"/>
        </w:rPr>
      </w:pPr>
      <w:r>
        <w:rPr>
          <w:rFonts w:hint="eastAsia" w:ascii="宋体" w:hAnsi="宋体"/>
          <w:kern w:val="0"/>
          <w:sz w:val="24"/>
        </w:rPr>
        <w:t>证书一览表（格式见附件）；</w:t>
      </w:r>
    </w:p>
    <w:p>
      <w:pPr>
        <w:numPr>
          <w:ilvl w:val="0"/>
          <w:numId w:val="8"/>
        </w:numPr>
        <w:autoSpaceDE w:val="0"/>
        <w:autoSpaceDN w:val="0"/>
        <w:adjustRightInd w:val="0"/>
        <w:spacing w:line="360" w:lineRule="auto"/>
        <w:ind w:firstLine="480" w:firstLineChars="200"/>
        <w:rPr>
          <w:rFonts w:ascii="宋体" w:hAnsi="宋体"/>
          <w:kern w:val="0"/>
          <w:sz w:val="24"/>
        </w:rPr>
      </w:pPr>
      <w:r>
        <w:rPr>
          <w:rFonts w:hint="eastAsia" w:ascii="宋体" w:hAnsi="宋体"/>
          <w:kern w:val="0"/>
          <w:sz w:val="24"/>
        </w:rPr>
        <w:t>项目实施人员一览表（格式见附件）</w:t>
      </w:r>
    </w:p>
    <w:p>
      <w:pPr>
        <w:numPr>
          <w:ilvl w:val="0"/>
          <w:numId w:val="8"/>
        </w:numPr>
        <w:autoSpaceDE w:val="0"/>
        <w:autoSpaceDN w:val="0"/>
        <w:adjustRightInd w:val="0"/>
        <w:spacing w:line="360" w:lineRule="auto"/>
        <w:ind w:firstLine="480" w:firstLineChars="200"/>
        <w:rPr>
          <w:rFonts w:ascii="宋体" w:hAnsi="宋体"/>
          <w:kern w:val="0"/>
          <w:sz w:val="24"/>
        </w:rPr>
      </w:pPr>
      <w:r>
        <w:rPr>
          <w:rFonts w:hint="eastAsia" w:ascii="宋体" w:hAnsi="宋体"/>
          <w:kern w:val="0"/>
          <w:sz w:val="24"/>
        </w:rPr>
        <w:t>类似项目实施情况一览表（格式见附件）；</w:t>
      </w:r>
    </w:p>
    <w:p>
      <w:pPr>
        <w:numPr>
          <w:ilvl w:val="0"/>
          <w:numId w:val="8"/>
        </w:numPr>
        <w:autoSpaceDE w:val="0"/>
        <w:autoSpaceDN w:val="0"/>
        <w:adjustRightInd w:val="0"/>
        <w:spacing w:line="360" w:lineRule="auto"/>
        <w:ind w:firstLine="480" w:firstLineChars="200"/>
        <w:rPr>
          <w:rFonts w:ascii="宋体" w:hAnsi="宋体"/>
          <w:kern w:val="0"/>
          <w:sz w:val="24"/>
        </w:rPr>
      </w:pPr>
      <w:r>
        <w:rPr>
          <w:rFonts w:hint="eastAsia" w:ascii="宋体" w:hAnsi="宋体"/>
          <w:kern w:val="0"/>
          <w:sz w:val="24"/>
        </w:rPr>
        <w:t>其他内容根据</w:t>
      </w:r>
      <w:r>
        <w:rPr>
          <w:rFonts w:hint="eastAsia" w:ascii="宋体" w:hAnsi="宋体"/>
          <w:kern w:val="0"/>
          <w:sz w:val="24"/>
          <w:lang w:val="zh-CN"/>
        </w:rPr>
        <w:t>评标办法自拟；</w:t>
      </w:r>
    </w:p>
    <w:p>
      <w:pPr>
        <w:numPr>
          <w:ilvl w:val="0"/>
          <w:numId w:val="8"/>
        </w:numPr>
        <w:autoSpaceDE w:val="0"/>
        <w:autoSpaceDN w:val="0"/>
        <w:adjustRightInd w:val="0"/>
        <w:spacing w:line="360" w:lineRule="auto"/>
        <w:ind w:firstLine="480" w:firstLineChars="200"/>
        <w:rPr>
          <w:rFonts w:ascii="宋体" w:hAnsi="宋体"/>
          <w:kern w:val="0"/>
          <w:sz w:val="24"/>
        </w:rPr>
      </w:pPr>
      <w:r>
        <w:rPr>
          <w:rFonts w:hint="eastAsia" w:ascii="宋体" w:hAnsi="宋体"/>
          <w:kern w:val="0"/>
          <w:sz w:val="24"/>
        </w:rPr>
        <w:t>供应商认为需要提供的其他文件和资料（如有）。</w:t>
      </w:r>
    </w:p>
    <w:p>
      <w:pPr>
        <w:autoSpaceDE w:val="0"/>
        <w:autoSpaceDN w:val="0"/>
        <w:adjustRightInd w:val="0"/>
        <w:spacing w:line="360" w:lineRule="auto"/>
        <w:rPr>
          <w:rFonts w:ascii="宋体" w:hAnsi="宋体"/>
          <w:kern w:val="0"/>
          <w:sz w:val="24"/>
        </w:rPr>
      </w:pPr>
    </w:p>
    <w:p>
      <w:pPr>
        <w:spacing w:line="360" w:lineRule="auto"/>
        <w:ind w:left="420"/>
        <w:rPr>
          <w:rFonts w:ascii="宋体" w:hAnsi="宋体"/>
          <w:b/>
          <w:sz w:val="28"/>
        </w:rPr>
      </w:pPr>
    </w:p>
    <w:p>
      <w:pPr>
        <w:pStyle w:val="36"/>
        <w:rPr>
          <w:rFonts w:ascii="宋体" w:hAnsi="宋体"/>
          <w:b/>
          <w:sz w:val="28"/>
        </w:rPr>
      </w:pPr>
    </w:p>
    <w:p>
      <w:pPr>
        <w:pStyle w:val="36"/>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pStyle w:val="12"/>
        <w:ind w:firstLine="562"/>
        <w:rPr>
          <w:rFonts w:ascii="宋体" w:hAnsi="宋体"/>
          <w:b/>
          <w:sz w:val="28"/>
        </w:rPr>
      </w:pPr>
    </w:p>
    <w:p>
      <w:pPr>
        <w:pStyle w:val="13"/>
        <w:rPr>
          <w:rFonts w:ascii="宋体" w:hAnsi="宋体"/>
          <w:b/>
          <w:sz w:val="28"/>
        </w:rPr>
      </w:pPr>
    </w:p>
    <w:p/>
    <w:p>
      <w:pPr>
        <w:spacing w:line="312" w:lineRule="auto"/>
        <w:rPr>
          <w:rFonts w:ascii="宋体" w:hAnsi="宋体" w:cs="宋体"/>
          <w:b/>
          <w:sz w:val="28"/>
          <w:szCs w:val="28"/>
        </w:rPr>
      </w:pPr>
      <w:r>
        <w:rPr>
          <w:rFonts w:hint="eastAsia" w:ascii="宋体" w:hAnsi="宋体" w:cs="宋体"/>
          <w:b/>
          <w:sz w:val="28"/>
          <w:szCs w:val="28"/>
        </w:rPr>
        <w:t>附件1</w:t>
      </w:r>
    </w:p>
    <w:p>
      <w:pPr>
        <w:adjustRightInd w:val="0"/>
        <w:snapToGrid w:val="0"/>
        <w:spacing w:line="312" w:lineRule="auto"/>
        <w:ind w:right="480"/>
        <w:jc w:val="center"/>
        <w:rPr>
          <w:rFonts w:ascii="宋体" w:hAnsi="宋体" w:cs="宋体"/>
          <w:b/>
          <w:kern w:val="0"/>
          <w:sz w:val="32"/>
          <w:szCs w:val="32"/>
        </w:rPr>
      </w:pPr>
      <w:r>
        <w:rPr>
          <w:rFonts w:hint="eastAsia" w:ascii="黑体" w:hAnsi="宋体" w:eastAsia="黑体" w:cs="黑体"/>
          <w:bCs/>
          <w:kern w:val="0"/>
          <w:sz w:val="44"/>
          <w:szCs w:val="44"/>
        </w:rPr>
        <w:t>投标声明书</w:t>
      </w:r>
    </w:p>
    <w:p>
      <w:pPr>
        <w:snapToGrid w:val="0"/>
        <w:spacing w:before="156" w:beforeLines="50" w:after="50" w:line="312" w:lineRule="auto"/>
        <w:rPr>
          <w:rFonts w:ascii="宋体" w:hAnsi="宋体" w:cs="宋体"/>
          <w:kern w:val="0"/>
          <w:sz w:val="24"/>
        </w:rPr>
      </w:pPr>
      <w:r>
        <w:rPr>
          <w:rFonts w:hint="eastAsia" w:ascii="宋体" w:hAnsi="宋体" w:cs="宋体"/>
          <w:kern w:val="0"/>
          <w:sz w:val="24"/>
          <w:u w:val="single"/>
        </w:rPr>
        <w:t xml:space="preserve"> 台州市自然资源和规划局台州湾新区（高新区）分局</w:t>
      </w:r>
      <w:r>
        <w:rPr>
          <w:rFonts w:hint="eastAsia" w:ascii="宋体" w:hAnsi="宋体" w:cs="宋体"/>
          <w:kern w:val="0"/>
          <w:sz w:val="24"/>
        </w:rPr>
        <w:t>：</w:t>
      </w:r>
    </w:p>
    <w:p>
      <w:pPr>
        <w:snapToGrid w:val="0"/>
        <w:spacing w:line="360" w:lineRule="auto"/>
        <w:ind w:firstLine="480" w:firstLineChars="200"/>
        <w:rPr>
          <w:rFonts w:ascii="宋体" w:hAnsi="宋体" w:cs="宋体"/>
          <w:kern w:val="0"/>
          <w:sz w:val="24"/>
        </w:rPr>
      </w:pPr>
      <w:r>
        <w:rPr>
          <w:rFonts w:hint="eastAsia" w:ascii="宋体" w:hAnsi="宋体" w:cs="宋体"/>
          <w:kern w:val="0"/>
          <w:sz w:val="24"/>
          <w:u w:val="single"/>
        </w:rPr>
        <w:t>（投标人名称）</w:t>
      </w:r>
      <w:r>
        <w:rPr>
          <w:rFonts w:hint="eastAsia" w:ascii="宋体" w:hAnsi="宋体" w:cs="宋体"/>
          <w:kern w:val="0"/>
          <w:sz w:val="24"/>
        </w:rPr>
        <w:t>系中华人民共和国合法企业，经营地址</w:t>
      </w:r>
      <w:r>
        <w:rPr>
          <w:rFonts w:hint="eastAsia" w:ascii="宋体" w:hAnsi="宋体" w:cs="宋体"/>
          <w:kern w:val="0"/>
          <w:sz w:val="24"/>
          <w:u w:val="single"/>
        </w:rPr>
        <w:t xml:space="preserve">                </w:t>
      </w:r>
      <w:r>
        <w:rPr>
          <w:rFonts w:hint="eastAsia" w:ascii="宋体" w:hAnsi="宋体" w:cs="宋体"/>
          <w:kern w:val="0"/>
          <w:sz w:val="24"/>
        </w:rPr>
        <w:t>。</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（姓名）</w:t>
      </w:r>
      <w:r>
        <w:rPr>
          <w:rFonts w:hint="eastAsia" w:ascii="宋体" w:hAnsi="宋体" w:cs="宋体"/>
          <w:kern w:val="0"/>
          <w:sz w:val="24"/>
        </w:rPr>
        <w:t>系</w:t>
      </w:r>
      <w:r>
        <w:rPr>
          <w:rFonts w:hint="eastAsia" w:ascii="宋体" w:hAnsi="宋体" w:cs="宋体"/>
          <w:kern w:val="0"/>
          <w:sz w:val="24"/>
          <w:u w:val="single"/>
        </w:rPr>
        <w:t>（投标人名称）</w:t>
      </w:r>
      <w:r>
        <w:rPr>
          <w:rFonts w:hint="eastAsia" w:ascii="宋体" w:hAnsi="宋体" w:cs="宋体"/>
          <w:kern w:val="0"/>
          <w:sz w:val="24"/>
        </w:rPr>
        <w:t>的法定代表人，我公司自愿参加贵方组织的</w:t>
      </w:r>
      <w:r>
        <w:rPr>
          <w:rFonts w:hint="eastAsia" w:ascii="宋体" w:hAnsi="宋体" w:cs="宋体"/>
          <w:kern w:val="0"/>
          <w:sz w:val="24"/>
          <w:u w:val="single"/>
          <w:lang w:eastAsia="zh-CN"/>
        </w:rPr>
        <w:t>台州湾新区2024年度历史围填海处置区域出让区块海域使用价格评估报告书编制项目(重新招标）</w:t>
      </w:r>
      <w:r>
        <w:rPr>
          <w:rFonts w:hint="eastAsia" w:ascii="宋体" w:hAnsi="宋体" w:cs="宋体"/>
          <w:kern w:val="0"/>
          <w:sz w:val="24"/>
        </w:rPr>
        <w:t>的投标，为此，我公司就本次投标有关事项郑重声明如下：</w:t>
      </w:r>
    </w:p>
    <w:p>
      <w:pPr>
        <w:numPr>
          <w:ilvl w:val="0"/>
          <w:numId w:val="9"/>
        </w:numPr>
        <w:snapToGrid w:val="0"/>
        <w:spacing w:line="360" w:lineRule="auto"/>
        <w:ind w:left="5" w:firstLine="415"/>
        <w:rPr>
          <w:rFonts w:ascii="宋体" w:hAnsi="宋体" w:cs="宋体"/>
          <w:kern w:val="0"/>
          <w:sz w:val="24"/>
        </w:rPr>
      </w:pPr>
      <w:r>
        <w:rPr>
          <w:rFonts w:hint="eastAsia" w:ascii="宋体" w:hAnsi="宋体" w:cs="宋体"/>
          <w:kern w:val="0"/>
          <w:sz w:val="24"/>
        </w:rPr>
        <w:t>我公司在参与投标前已详细审查了采购文件和所有相关资料，我方完全知悉并认为此采购文件没有倾向性，也没有存在排斥潜在投标人的内容，我方对采购文件的所有内容没有任何异议，不申请澄清和质疑。</w:t>
      </w:r>
    </w:p>
    <w:p>
      <w:pPr>
        <w:numPr>
          <w:ilvl w:val="0"/>
          <w:numId w:val="9"/>
        </w:numPr>
        <w:snapToGrid w:val="0"/>
        <w:spacing w:line="360" w:lineRule="auto"/>
        <w:ind w:left="5" w:firstLine="415"/>
        <w:rPr>
          <w:rFonts w:ascii="宋体" w:hAnsi="宋体" w:cs="宋体"/>
          <w:sz w:val="24"/>
        </w:rPr>
      </w:pPr>
      <w:r>
        <w:rPr>
          <w:rFonts w:hint="eastAsia" w:ascii="宋体" w:hAnsi="宋体" w:cs="宋体"/>
          <w:kern w:val="0"/>
          <w:sz w:val="24"/>
        </w:rPr>
        <w:t>我公司不是采购人的附属机构；</w:t>
      </w:r>
      <w:r>
        <w:rPr>
          <w:rFonts w:hint="eastAsia" w:ascii="宋体" w:hAnsi="宋体" w:cs="宋体"/>
          <w:sz w:val="24"/>
        </w:rPr>
        <w:t>在获知本项目采购信息后，与采购人聘请的为此项目提供咨询服务的公司及其附属机构没有任何联系。</w:t>
      </w:r>
    </w:p>
    <w:p>
      <w:pPr>
        <w:numPr>
          <w:ilvl w:val="0"/>
          <w:numId w:val="9"/>
        </w:numPr>
        <w:snapToGrid w:val="0"/>
        <w:spacing w:line="360" w:lineRule="auto"/>
        <w:ind w:left="5" w:firstLine="415"/>
        <w:rPr>
          <w:rFonts w:ascii="宋体" w:hAnsi="宋体" w:cs="宋体"/>
          <w:kern w:val="0"/>
          <w:sz w:val="24"/>
        </w:rPr>
      </w:pPr>
      <w:r>
        <w:rPr>
          <w:rFonts w:hint="eastAsia" w:ascii="宋体" w:hAnsi="宋体" w:cs="宋体"/>
          <w:kern w:val="0"/>
          <w:sz w:val="24"/>
        </w:rPr>
        <w:t>我公司保证，采购人在中华人民共和国境内使用我公司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pPr>
        <w:numPr>
          <w:ilvl w:val="0"/>
          <w:numId w:val="9"/>
        </w:numPr>
        <w:snapToGrid w:val="0"/>
        <w:spacing w:line="360" w:lineRule="auto"/>
        <w:ind w:left="5" w:firstLine="415"/>
        <w:rPr>
          <w:rFonts w:ascii="宋体" w:hAnsi="宋体" w:cs="宋体"/>
          <w:kern w:val="0"/>
          <w:sz w:val="24"/>
        </w:rPr>
      </w:pPr>
      <w:r>
        <w:rPr>
          <w:rFonts w:hint="eastAsia" w:ascii="宋体" w:hAnsi="宋体" w:cs="宋体"/>
          <w:kern w:val="0"/>
          <w:sz w:val="24"/>
        </w:rPr>
        <w:t>我公司严格履行采购合同，不降低合同约定的产品质量和服务，不擅自变更、中止、终止合同，或拒绝履行合同义务。</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以上事项如有虚假或隐瞒，我公司愿意承担一切后果，并不再寻求任何旨在减轻或免除法律责任的辩解。</w:t>
      </w:r>
    </w:p>
    <w:p>
      <w:pPr>
        <w:pStyle w:val="27"/>
        <w:jc w:val="right"/>
      </w:pPr>
    </w:p>
    <w:p>
      <w:pPr>
        <w:pStyle w:val="27"/>
        <w:jc w:val="right"/>
      </w:pPr>
    </w:p>
    <w:p>
      <w:pPr>
        <w:snapToGrid w:val="0"/>
        <w:spacing w:line="360" w:lineRule="auto"/>
        <w:ind w:firstLine="480" w:firstLineChars="200"/>
        <w:rPr>
          <w:rFonts w:ascii="宋体" w:hAnsi="宋体" w:cs="宋体"/>
          <w:kern w:val="0"/>
          <w:sz w:val="24"/>
        </w:rPr>
      </w:pPr>
    </w:p>
    <w:p>
      <w:pPr>
        <w:snapToGrid w:val="0"/>
        <w:spacing w:line="360" w:lineRule="auto"/>
        <w:ind w:firstLine="480" w:firstLineChars="200"/>
        <w:jc w:val="right"/>
        <w:rPr>
          <w:rFonts w:ascii="宋体" w:hAnsi="宋体" w:cs="宋体"/>
          <w:kern w:val="0"/>
          <w:sz w:val="24"/>
        </w:rPr>
      </w:pPr>
      <w:r>
        <w:rPr>
          <w:rFonts w:hint="eastAsia" w:ascii="宋体" w:hAnsi="宋体" w:cs="宋体"/>
          <w:kern w:val="0"/>
          <w:sz w:val="24"/>
        </w:rPr>
        <w:t>法定代表人（签字或电子盖章）：</w:t>
      </w:r>
    </w:p>
    <w:p>
      <w:pPr>
        <w:snapToGrid w:val="0"/>
        <w:spacing w:line="360" w:lineRule="auto"/>
        <w:ind w:firstLine="480" w:firstLineChars="200"/>
        <w:jc w:val="right"/>
        <w:rPr>
          <w:rFonts w:ascii="宋体" w:hAnsi="宋体" w:cs="宋体"/>
          <w:kern w:val="0"/>
          <w:sz w:val="24"/>
        </w:rPr>
      </w:pPr>
      <w:r>
        <w:rPr>
          <w:rFonts w:hint="eastAsia" w:ascii="宋体" w:hAnsi="宋体" w:cs="宋体"/>
          <w:kern w:val="0"/>
          <w:sz w:val="24"/>
        </w:rPr>
        <w:t>投标人（盖单位电子公章）：</w:t>
      </w:r>
    </w:p>
    <w:p>
      <w:pPr>
        <w:snapToGrid w:val="0"/>
        <w:spacing w:line="360" w:lineRule="auto"/>
        <w:ind w:firstLine="480" w:firstLineChars="200"/>
        <w:jc w:val="right"/>
        <w:rPr>
          <w:rFonts w:ascii="宋体" w:hAnsi="宋体" w:cs="宋体"/>
          <w:kern w:val="0"/>
          <w:sz w:val="24"/>
        </w:rPr>
        <w:sectPr>
          <w:headerReference r:id="rId9" w:type="default"/>
          <w:footerReference r:id="rId10" w:type="default"/>
          <w:pgSz w:w="11906" w:h="16838"/>
          <w:pgMar w:top="1440" w:right="1800" w:bottom="1440" w:left="1800" w:header="851" w:footer="992" w:gutter="0"/>
          <w:cols w:space="425" w:num="1"/>
          <w:docGrid w:type="lines" w:linePitch="312" w:charSpace="0"/>
        </w:sectPr>
      </w:pPr>
      <w:r>
        <w:rPr>
          <w:rFonts w:hint="eastAsia" w:ascii="宋体" w:hAnsi="宋体" w:cs="宋体"/>
          <w:kern w:val="0"/>
          <w:sz w:val="24"/>
        </w:rPr>
        <w:t>日期：    年   月   日</w:t>
      </w:r>
    </w:p>
    <w:p>
      <w:pPr>
        <w:spacing w:line="312" w:lineRule="auto"/>
        <w:rPr>
          <w:rFonts w:ascii="宋体" w:hAnsi="宋体"/>
          <w:b/>
          <w:sz w:val="28"/>
        </w:rPr>
      </w:pPr>
      <w:r>
        <w:rPr>
          <w:rFonts w:hint="eastAsia" w:ascii="宋体" w:hAnsi="宋体"/>
          <w:b/>
          <w:sz w:val="28"/>
        </w:rPr>
        <w:t>附件2</w:t>
      </w:r>
    </w:p>
    <w:p>
      <w:pPr>
        <w:adjustRightInd w:val="0"/>
        <w:snapToGrid w:val="0"/>
        <w:spacing w:before="156" w:beforeLines="50" w:line="360" w:lineRule="auto"/>
        <w:jc w:val="center"/>
        <w:rPr>
          <w:rFonts w:eastAsia="黑体"/>
          <w:sz w:val="44"/>
          <w:szCs w:val="20"/>
        </w:rPr>
      </w:pPr>
      <w:r>
        <w:rPr>
          <w:rFonts w:hint="eastAsia" w:eastAsia="黑体"/>
          <w:sz w:val="44"/>
          <w:szCs w:val="20"/>
        </w:rPr>
        <w:t>法定代表人授权委托书</w:t>
      </w:r>
    </w:p>
    <w:p>
      <w:pPr>
        <w:adjustRightInd w:val="0"/>
        <w:snapToGrid w:val="0"/>
        <w:spacing w:before="156" w:beforeLines="50" w:line="360" w:lineRule="auto"/>
        <w:ind w:left="1644" w:hanging="1643" w:hangingChars="587"/>
        <w:jc w:val="center"/>
        <w:rPr>
          <w:sz w:val="28"/>
          <w:szCs w:val="28"/>
        </w:rPr>
      </w:pPr>
      <w:r>
        <w:rPr>
          <w:rFonts w:hint="eastAsia"/>
          <w:sz w:val="28"/>
          <w:szCs w:val="28"/>
        </w:rPr>
        <w:t>（参考格式）</w:t>
      </w:r>
    </w:p>
    <w:p>
      <w:pPr>
        <w:adjustRightInd w:val="0"/>
        <w:snapToGrid w:val="0"/>
        <w:spacing w:before="156" w:beforeLines="50" w:line="360" w:lineRule="auto"/>
        <w:ind w:firstLine="600"/>
        <w:rPr>
          <w:sz w:val="28"/>
          <w:szCs w:val="28"/>
          <w:u w:val="single"/>
        </w:rPr>
      </w:pPr>
      <w:r>
        <w:rPr>
          <w:rFonts w:hint="eastAsia"/>
          <w:sz w:val="28"/>
          <w:szCs w:val="28"/>
        </w:rPr>
        <w:t>本授权委托书声明：我</w:t>
      </w:r>
      <w:r>
        <w:rPr>
          <w:rFonts w:hint="eastAsia"/>
          <w:sz w:val="28"/>
          <w:szCs w:val="28"/>
          <w:u w:val="single"/>
        </w:rPr>
        <w:t xml:space="preserve">         </w:t>
      </w:r>
      <w:r>
        <w:rPr>
          <w:rFonts w:hint="eastAsia"/>
          <w:sz w:val="28"/>
          <w:szCs w:val="28"/>
        </w:rPr>
        <w:t>（姓名）系</w:t>
      </w:r>
      <w:r>
        <w:rPr>
          <w:rFonts w:hint="eastAsia"/>
          <w:sz w:val="28"/>
          <w:szCs w:val="28"/>
          <w:u w:val="single"/>
        </w:rPr>
        <w:t xml:space="preserve">                        </w:t>
      </w:r>
    </w:p>
    <w:p>
      <w:pPr>
        <w:adjustRightInd w:val="0"/>
        <w:snapToGrid w:val="0"/>
        <w:spacing w:before="156" w:beforeLines="50" w:line="360" w:lineRule="auto"/>
        <w:rPr>
          <w:sz w:val="28"/>
          <w:szCs w:val="28"/>
        </w:rPr>
      </w:pPr>
      <w:r>
        <w:rPr>
          <w:rFonts w:hint="eastAsia"/>
          <w:sz w:val="28"/>
          <w:szCs w:val="28"/>
        </w:rPr>
        <w:t>（投标人）的法定代表人，现授权委托我单位</w:t>
      </w:r>
      <w:r>
        <w:rPr>
          <w:rFonts w:hint="eastAsia"/>
          <w:sz w:val="28"/>
          <w:szCs w:val="28"/>
          <w:u w:val="single"/>
        </w:rPr>
        <w:t xml:space="preserve">         </w:t>
      </w:r>
      <w:r>
        <w:rPr>
          <w:rFonts w:hint="eastAsia"/>
          <w:sz w:val="28"/>
          <w:szCs w:val="28"/>
        </w:rPr>
        <w:t>（姓名）</w:t>
      </w:r>
      <w:r>
        <w:rPr>
          <w:rFonts w:hint="eastAsia" w:ascii="宋体" w:hAnsi="宋体" w:cs="宋体"/>
          <w:kern w:val="0"/>
          <w:sz w:val="28"/>
          <w:szCs w:val="28"/>
        </w:rPr>
        <w:t>（以下称“授权代表” ）</w:t>
      </w:r>
      <w:r>
        <w:rPr>
          <w:rFonts w:hint="eastAsia"/>
          <w:sz w:val="28"/>
          <w:szCs w:val="28"/>
        </w:rPr>
        <w:t>，以本单位的名义参加</w:t>
      </w:r>
      <w:r>
        <w:rPr>
          <w:rFonts w:hint="eastAsia"/>
          <w:sz w:val="28"/>
          <w:szCs w:val="28"/>
          <w:u w:val="single"/>
        </w:rPr>
        <w:t xml:space="preserve"> 台州市自然资源和规划局台州湾新区（高新区）分局 </w:t>
      </w:r>
      <w:r>
        <w:rPr>
          <w:rFonts w:hint="eastAsia"/>
          <w:sz w:val="28"/>
          <w:szCs w:val="28"/>
        </w:rPr>
        <w:t>（采购人）的</w:t>
      </w:r>
      <w:r>
        <w:rPr>
          <w:rFonts w:hint="eastAsia"/>
          <w:sz w:val="28"/>
          <w:szCs w:val="28"/>
          <w:u w:val="single"/>
          <w:lang w:eastAsia="zh-CN"/>
        </w:rPr>
        <w:t>台州湾新区2024年度历史围填海处置区域出让区块海域使用价格评估报告书编制项目(重新招标）</w:t>
      </w:r>
      <w:r>
        <w:rPr>
          <w:rFonts w:hint="eastAsia"/>
          <w:sz w:val="28"/>
          <w:szCs w:val="28"/>
          <w:u w:val="single"/>
        </w:rPr>
        <w:t xml:space="preserve">     </w:t>
      </w:r>
      <w:r>
        <w:rPr>
          <w:rFonts w:hint="eastAsia"/>
          <w:sz w:val="28"/>
          <w:szCs w:val="28"/>
        </w:rPr>
        <w:t>（项目名称）的投标。</w:t>
      </w:r>
      <w:r>
        <w:rPr>
          <w:rFonts w:hint="eastAsia" w:ascii="宋体" w:hAnsi="宋体" w:cs="宋体"/>
          <w:kern w:val="0"/>
          <w:sz w:val="28"/>
          <w:szCs w:val="28"/>
        </w:rPr>
        <w:t>授权代表</w:t>
      </w:r>
      <w:r>
        <w:rPr>
          <w:rFonts w:hint="eastAsia"/>
          <w:sz w:val="28"/>
          <w:szCs w:val="28"/>
        </w:rPr>
        <w:t>在该项目招投标活动中的一切事务，我均予以承认。</w:t>
      </w:r>
    </w:p>
    <w:p>
      <w:pPr>
        <w:adjustRightInd w:val="0"/>
        <w:snapToGrid w:val="0"/>
        <w:spacing w:line="360" w:lineRule="auto"/>
        <w:ind w:firstLine="560" w:firstLineChars="200"/>
        <w:rPr>
          <w:sz w:val="28"/>
          <w:szCs w:val="28"/>
        </w:rPr>
      </w:pPr>
      <w:r>
        <w:rPr>
          <w:rFonts w:hint="eastAsia"/>
          <w:sz w:val="28"/>
          <w:szCs w:val="28"/>
        </w:rPr>
        <w:t>代理人无转委权，特此委托。</w:t>
      </w:r>
    </w:p>
    <w:p>
      <w:pPr>
        <w:widowControl/>
        <w:adjustRightInd w:val="0"/>
        <w:snapToGrid w:val="0"/>
        <w:spacing w:before="156" w:beforeLines="50" w:line="360" w:lineRule="auto"/>
        <w:ind w:firstLine="600"/>
        <w:rPr>
          <w:sz w:val="28"/>
          <w:szCs w:val="28"/>
        </w:rPr>
      </w:pPr>
      <w:r>
        <w:rPr>
          <w:rFonts w:hint="eastAsia"/>
          <w:sz w:val="28"/>
          <w:szCs w:val="28"/>
        </w:rPr>
        <w:t>授权代表身份证号：</w:t>
      </w:r>
      <w:r>
        <w:rPr>
          <w:rFonts w:hint="eastAsia"/>
          <w:sz w:val="28"/>
          <w:szCs w:val="28"/>
          <w:u w:val="single"/>
        </w:rPr>
        <w:t xml:space="preserve">                   </w:t>
      </w:r>
    </w:p>
    <w:p>
      <w:pPr>
        <w:widowControl/>
        <w:adjustRightInd w:val="0"/>
        <w:snapToGrid w:val="0"/>
        <w:spacing w:before="156" w:beforeLines="50" w:line="360" w:lineRule="auto"/>
        <w:ind w:firstLine="600"/>
        <w:rPr>
          <w:sz w:val="28"/>
          <w:szCs w:val="28"/>
        </w:rPr>
      </w:pPr>
      <w:r>
        <w:rPr>
          <w:rFonts w:hint="eastAsia"/>
          <w:sz w:val="28"/>
          <w:szCs w:val="28"/>
        </w:rPr>
        <w:t>授权代表联系电话：</w:t>
      </w:r>
      <w:r>
        <w:rPr>
          <w:rFonts w:hint="eastAsia"/>
          <w:sz w:val="28"/>
          <w:szCs w:val="28"/>
          <w:u w:val="single"/>
        </w:rPr>
        <w:t xml:space="preserve">                   </w:t>
      </w:r>
    </w:p>
    <w:p>
      <w:pPr>
        <w:rPr>
          <w:rFonts w:eastAsia="仿宋_GB2312"/>
          <w:sz w:val="28"/>
          <w:szCs w:val="28"/>
        </w:rPr>
      </w:pPr>
    </w:p>
    <w:p>
      <w:pPr>
        <w:widowControl/>
        <w:snapToGrid w:val="0"/>
        <w:spacing w:line="360" w:lineRule="auto"/>
        <w:rPr>
          <w:rFonts w:eastAsia="仿宋_GB2312"/>
          <w:sz w:val="28"/>
          <w:szCs w:val="28"/>
        </w:rPr>
      </w:pPr>
    </w:p>
    <w:p>
      <w:pPr>
        <w:widowControl/>
        <w:snapToGrid w:val="0"/>
        <w:spacing w:line="360" w:lineRule="auto"/>
        <w:rPr>
          <w:rFonts w:eastAsia="仿宋_GB2312"/>
          <w:sz w:val="28"/>
          <w:szCs w:val="28"/>
        </w:rPr>
      </w:pPr>
    </w:p>
    <w:p>
      <w:pPr>
        <w:widowControl/>
        <w:snapToGrid w:val="0"/>
        <w:spacing w:line="360" w:lineRule="auto"/>
        <w:rPr>
          <w:rFonts w:eastAsia="仿宋_GB2312"/>
          <w:sz w:val="28"/>
          <w:szCs w:val="28"/>
        </w:rPr>
      </w:pPr>
    </w:p>
    <w:p>
      <w:pPr>
        <w:widowControl/>
        <w:snapToGrid w:val="0"/>
        <w:spacing w:line="360" w:lineRule="auto"/>
        <w:rPr>
          <w:rFonts w:ascii="宋体" w:hAnsi="宋体" w:cs="宋体"/>
          <w:sz w:val="28"/>
          <w:szCs w:val="28"/>
        </w:rPr>
      </w:pPr>
      <w:r>
        <w:rPr>
          <w:rFonts w:hint="eastAsia" w:ascii="宋体" w:hAnsi="宋体" w:cs="宋体"/>
          <w:sz w:val="28"/>
          <w:szCs w:val="28"/>
        </w:rPr>
        <w:t>法定代表人（签字或电子盖章）：     授权代表 (签字或电子盖章) :</w:t>
      </w:r>
    </w:p>
    <w:p>
      <w:pPr>
        <w:widowControl/>
        <w:snapToGrid w:val="0"/>
        <w:spacing w:line="360" w:lineRule="auto"/>
        <w:ind w:left="280" w:hanging="280" w:hangingChars="100"/>
        <w:rPr>
          <w:rFonts w:ascii="宋体" w:hAnsi="宋体" w:cs="宋体"/>
          <w:sz w:val="28"/>
          <w:szCs w:val="28"/>
        </w:rPr>
      </w:pPr>
      <w:r>
        <w:rPr>
          <w:rFonts w:hint="eastAsia" w:ascii="宋体" w:hAnsi="宋体" w:cs="宋体"/>
          <w:sz w:val="28"/>
          <w:szCs w:val="28"/>
        </w:rPr>
        <w:t>投标人（盖单位电子公章）：</w:t>
      </w:r>
    </w:p>
    <w:p>
      <w:pPr>
        <w:widowControl/>
        <w:snapToGrid w:val="0"/>
        <w:spacing w:line="360" w:lineRule="auto"/>
        <w:ind w:left="280" w:hanging="280" w:hangingChars="100"/>
        <w:rPr>
          <w:rFonts w:ascii="宋体" w:hAnsi="宋体" w:cs="宋体"/>
          <w:sz w:val="28"/>
          <w:szCs w:val="28"/>
        </w:rPr>
      </w:pPr>
    </w:p>
    <w:p>
      <w:pPr>
        <w:adjustRightInd w:val="0"/>
        <w:snapToGrid w:val="0"/>
        <w:spacing w:before="156" w:beforeLines="50" w:line="360" w:lineRule="auto"/>
        <w:jc w:val="right"/>
        <w:rPr>
          <w:sz w:val="28"/>
          <w:szCs w:val="28"/>
        </w:rPr>
      </w:pPr>
      <w:r>
        <w:rPr>
          <w:rFonts w:hint="eastAsia" w:ascii="宋体" w:hAnsi="宋体" w:cs="宋体"/>
          <w:sz w:val="28"/>
          <w:szCs w:val="28"/>
        </w:rPr>
        <w:t xml:space="preserve">                                 日期:     年   月  日</w:t>
      </w:r>
    </w:p>
    <w:p>
      <w:pPr>
        <w:rPr>
          <w:rFonts w:ascii="宋体" w:hAnsi="宋体"/>
          <w:b/>
          <w:sz w:val="28"/>
        </w:rPr>
      </w:pPr>
      <w:r>
        <w:rPr>
          <w:rFonts w:hint="eastAsia" w:ascii="宋体" w:hAnsi="宋体"/>
          <w:b/>
          <w:sz w:val="28"/>
        </w:rPr>
        <w:br w:type="page"/>
      </w:r>
    </w:p>
    <w:p>
      <w:pPr>
        <w:rPr>
          <w:rFonts w:ascii="宋体" w:hAnsi="宋体"/>
          <w:b/>
          <w:sz w:val="28"/>
        </w:rPr>
      </w:pPr>
      <w:r>
        <w:rPr>
          <w:rFonts w:hint="eastAsia" w:ascii="宋体" w:hAnsi="宋体"/>
          <w:b/>
          <w:sz w:val="28"/>
        </w:rPr>
        <w:t>附件3</w:t>
      </w:r>
    </w:p>
    <w:p>
      <w:pPr>
        <w:adjustRightInd w:val="0"/>
        <w:snapToGrid w:val="0"/>
        <w:spacing w:before="156" w:beforeLines="50" w:line="360" w:lineRule="auto"/>
        <w:jc w:val="center"/>
        <w:rPr>
          <w:rFonts w:ascii="宋体" w:hAnsi="宋体" w:cs="宋体"/>
          <w:sz w:val="44"/>
        </w:rPr>
      </w:pPr>
      <w:r>
        <w:rPr>
          <w:rFonts w:hint="eastAsia" w:ascii="黑体" w:hAnsi="黑体" w:eastAsia="黑体" w:cs="黑体"/>
          <w:sz w:val="44"/>
        </w:rPr>
        <w:t>法定代表人身份证明</w:t>
      </w:r>
    </w:p>
    <w:p>
      <w:pPr>
        <w:autoSpaceDE w:val="0"/>
        <w:autoSpaceDN w:val="0"/>
        <w:adjustRightInd w:val="0"/>
        <w:snapToGrid w:val="0"/>
        <w:spacing w:line="360" w:lineRule="auto"/>
        <w:ind w:firstLine="560" w:firstLineChars="200"/>
        <w:textAlignment w:val="baseline"/>
        <w:rPr>
          <w:rFonts w:ascii="宋体" w:hAnsi="宋体" w:cs="宋体"/>
          <w:snapToGrid w:val="0"/>
          <w:kern w:val="0"/>
          <w:sz w:val="28"/>
          <w:szCs w:val="28"/>
        </w:rPr>
      </w:pPr>
    </w:p>
    <w:p>
      <w:pPr>
        <w:pStyle w:val="47"/>
        <w:spacing w:line="440" w:lineRule="exact"/>
        <w:rPr>
          <w:rFonts w:ascii="宋体" w:hAnsi="宋体" w:cs="宋体"/>
          <w:sz w:val="24"/>
        </w:rPr>
      </w:pPr>
      <w:r>
        <w:rPr>
          <w:rFonts w:hint="eastAsia" w:ascii="宋体" w:hAnsi="宋体" w:cs="宋体"/>
          <w:sz w:val="24"/>
        </w:rPr>
        <w:t>投标人名称：</w:t>
      </w:r>
      <w:r>
        <w:rPr>
          <w:rFonts w:hint="eastAsia" w:ascii="宋体" w:hAnsi="宋体" w:cs="宋体"/>
          <w:sz w:val="24"/>
          <w:u w:val="single"/>
        </w:rPr>
        <w:t xml:space="preserve">                            </w:t>
      </w:r>
      <w:r>
        <w:rPr>
          <w:rFonts w:hint="eastAsia" w:ascii="宋体" w:hAnsi="宋体" w:cs="宋体"/>
          <w:sz w:val="24"/>
        </w:rPr>
        <w:t xml:space="preserve"> </w:t>
      </w:r>
    </w:p>
    <w:p>
      <w:pPr>
        <w:pStyle w:val="47"/>
        <w:spacing w:line="440" w:lineRule="exact"/>
        <w:rPr>
          <w:rFonts w:ascii="宋体" w:hAnsi="宋体" w:cs="宋体"/>
          <w:sz w:val="24"/>
        </w:rPr>
      </w:pPr>
      <w:r>
        <w:rPr>
          <w:rFonts w:hint="eastAsia" w:ascii="宋体" w:hAnsi="宋体" w:cs="宋体"/>
          <w:sz w:val="24"/>
        </w:rPr>
        <w:t>单位性质：</w:t>
      </w:r>
      <w:r>
        <w:rPr>
          <w:rFonts w:hint="eastAsia" w:ascii="宋体" w:hAnsi="宋体" w:cs="宋体"/>
          <w:sz w:val="24"/>
          <w:u w:val="single"/>
        </w:rPr>
        <w:t xml:space="preserve">                               </w:t>
      </w:r>
      <w:r>
        <w:rPr>
          <w:rFonts w:hint="eastAsia" w:ascii="宋体" w:hAnsi="宋体" w:cs="宋体"/>
          <w:sz w:val="24"/>
        </w:rPr>
        <w:t xml:space="preserve"> </w:t>
      </w:r>
    </w:p>
    <w:p>
      <w:pPr>
        <w:pStyle w:val="47"/>
        <w:spacing w:line="440" w:lineRule="exact"/>
        <w:rPr>
          <w:rFonts w:ascii="宋体" w:hAnsi="宋体" w:cs="宋体"/>
          <w:sz w:val="24"/>
        </w:rPr>
      </w:pPr>
      <w:r>
        <w:rPr>
          <w:rFonts w:hint="eastAsia" w:ascii="宋体" w:hAnsi="宋体" w:cs="宋体"/>
          <w:sz w:val="24"/>
        </w:rPr>
        <w:t>地址：</w:t>
      </w:r>
      <w:r>
        <w:rPr>
          <w:rFonts w:hint="eastAsia" w:ascii="宋体" w:hAnsi="宋体" w:cs="宋体"/>
          <w:sz w:val="24"/>
          <w:u w:val="single"/>
        </w:rPr>
        <w:t xml:space="preserve">                                   </w:t>
      </w:r>
    </w:p>
    <w:p>
      <w:pPr>
        <w:pStyle w:val="47"/>
        <w:spacing w:line="440" w:lineRule="exact"/>
        <w:rPr>
          <w:rFonts w:ascii="宋体" w:hAnsi="宋体" w:cs="宋体"/>
          <w:sz w:val="24"/>
        </w:rPr>
      </w:pPr>
      <w:r>
        <w:rPr>
          <w:rFonts w:hint="eastAsia" w:ascii="宋体" w:hAnsi="宋体" w:cs="宋体"/>
          <w:sz w:val="24"/>
        </w:rPr>
        <w:t>成立时间：</w:t>
      </w:r>
      <w:r>
        <w:rPr>
          <w:rFonts w:hint="eastAsia" w:ascii="宋体" w:hAnsi="宋体" w:cs="宋体"/>
          <w:sz w:val="24"/>
          <w:u w:val="single"/>
        </w:rPr>
        <w:t xml:space="preserve">         </w:t>
      </w:r>
      <w:r>
        <w:rPr>
          <w:rFonts w:hint="eastAsia" w:ascii="宋体" w:hAnsi="宋体" w:cs="宋体"/>
          <w:sz w:val="24"/>
        </w:rPr>
        <w:t xml:space="preserve"> 年</w:t>
      </w:r>
      <w:r>
        <w:rPr>
          <w:rFonts w:hint="eastAsia" w:ascii="宋体" w:hAnsi="宋体" w:cs="宋体"/>
          <w:sz w:val="24"/>
          <w:u w:val="single"/>
        </w:rPr>
        <w:t xml:space="preserve">       </w:t>
      </w:r>
      <w:r>
        <w:rPr>
          <w:rFonts w:hint="eastAsia" w:ascii="宋体" w:hAnsi="宋体" w:cs="宋体"/>
          <w:sz w:val="24"/>
        </w:rPr>
        <w:t xml:space="preserve"> 月</w:t>
      </w:r>
      <w:r>
        <w:rPr>
          <w:rFonts w:hint="eastAsia" w:ascii="宋体" w:hAnsi="宋体" w:cs="宋体"/>
          <w:sz w:val="24"/>
          <w:u w:val="single"/>
        </w:rPr>
        <w:t xml:space="preserve">       </w:t>
      </w:r>
      <w:r>
        <w:rPr>
          <w:rFonts w:hint="eastAsia" w:ascii="宋体" w:hAnsi="宋体" w:cs="宋体"/>
          <w:sz w:val="24"/>
        </w:rPr>
        <w:t xml:space="preserve"> 日</w:t>
      </w:r>
    </w:p>
    <w:p>
      <w:pPr>
        <w:pStyle w:val="47"/>
        <w:spacing w:line="440" w:lineRule="exact"/>
        <w:rPr>
          <w:rFonts w:ascii="宋体" w:hAnsi="宋体" w:cs="宋体"/>
          <w:sz w:val="24"/>
        </w:rPr>
      </w:pPr>
      <w:r>
        <w:rPr>
          <w:rFonts w:hint="eastAsia" w:ascii="宋体" w:hAnsi="宋体" w:cs="宋体"/>
          <w:sz w:val="24"/>
        </w:rPr>
        <w:t>经营期限：</w:t>
      </w:r>
      <w:r>
        <w:rPr>
          <w:rFonts w:hint="eastAsia" w:ascii="宋体" w:hAnsi="宋体" w:cs="宋体"/>
          <w:sz w:val="24"/>
          <w:u w:val="single"/>
        </w:rPr>
        <w:t xml:space="preserve">                               </w:t>
      </w:r>
    </w:p>
    <w:p>
      <w:pPr>
        <w:pStyle w:val="47"/>
        <w:spacing w:line="440" w:lineRule="exact"/>
        <w:rPr>
          <w:rFonts w:ascii="宋体" w:hAnsi="宋体" w:cs="宋体"/>
          <w:sz w:val="24"/>
        </w:rPr>
      </w:pPr>
      <w:r>
        <w:rPr>
          <w:rFonts w:hint="eastAsia" w:ascii="宋体" w:hAnsi="宋体" w:cs="宋体"/>
          <w:sz w:val="24"/>
        </w:rPr>
        <w:t>姓名：</w:t>
      </w:r>
      <w:r>
        <w:rPr>
          <w:rFonts w:hint="eastAsia" w:ascii="宋体" w:hAnsi="宋体" w:cs="宋体"/>
          <w:sz w:val="24"/>
          <w:u w:val="single"/>
        </w:rPr>
        <w:t xml:space="preserve">        </w:t>
      </w:r>
      <w:r>
        <w:rPr>
          <w:rFonts w:hint="eastAsia" w:ascii="宋体" w:hAnsi="宋体" w:cs="宋体"/>
          <w:sz w:val="24"/>
        </w:rPr>
        <w:t xml:space="preserve"> 性别：</w:t>
      </w:r>
      <w:r>
        <w:rPr>
          <w:rFonts w:hint="eastAsia" w:ascii="宋体" w:hAnsi="宋体" w:cs="宋体"/>
          <w:sz w:val="24"/>
          <w:u w:val="single"/>
        </w:rPr>
        <w:t xml:space="preserve">     </w:t>
      </w:r>
      <w:r>
        <w:rPr>
          <w:rFonts w:hint="eastAsia" w:ascii="宋体" w:hAnsi="宋体" w:cs="宋体"/>
          <w:sz w:val="24"/>
        </w:rPr>
        <w:t xml:space="preserve"> 年龄：</w:t>
      </w:r>
      <w:r>
        <w:rPr>
          <w:rFonts w:hint="eastAsia" w:ascii="宋体" w:hAnsi="宋体" w:cs="宋体"/>
          <w:sz w:val="24"/>
          <w:u w:val="single"/>
        </w:rPr>
        <w:t xml:space="preserve">      </w:t>
      </w:r>
      <w:r>
        <w:rPr>
          <w:rFonts w:hint="eastAsia" w:ascii="宋体" w:hAnsi="宋体" w:cs="宋体"/>
          <w:sz w:val="24"/>
        </w:rPr>
        <w:t xml:space="preserve"> 身份证号码：</w:t>
      </w:r>
      <w:r>
        <w:rPr>
          <w:rFonts w:hint="eastAsia" w:ascii="宋体" w:hAnsi="宋体" w:cs="宋体"/>
          <w:sz w:val="24"/>
          <w:u w:val="single"/>
        </w:rPr>
        <w:t xml:space="preserve">                    </w:t>
      </w:r>
      <w:r>
        <w:rPr>
          <w:rFonts w:hint="eastAsia" w:ascii="宋体" w:hAnsi="宋体" w:cs="宋体"/>
          <w:sz w:val="24"/>
        </w:rPr>
        <w:t xml:space="preserve"> </w:t>
      </w:r>
    </w:p>
    <w:p>
      <w:pPr>
        <w:pStyle w:val="47"/>
        <w:spacing w:line="440" w:lineRule="exact"/>
        <w:rPr>
          <w:rFonts w:ascii="宋体" w:hAnsi="宋体" w:cs="宋体"/>
          <w:sz w:val="24"/>
          <w:u w:val="single"/>
        </w:rPr>
      </w:pPr>
      <w:r>
        <w:rPr>
          <w:rFonts w:hint="eastAsia" w:ascii="宋体" w:hAnsi="宋体" w:cs="宋体"/>
          <w:sz w:val="24"/>
        </w:rPr>
        <w:t>联系电话：</w:t>
      </w:r>
      <w:r>
        <w:rPr>
          <w:rFonts w:hint="eastAsia" w:ascii="宋体" w:hAnsi="宋体" w:cs="宋体"/>
          <w:sz w:val="24"/>
          <w:u w:val="single"/>
        </w:rPr>
        <w:t xml:space="preserve">                 </w:t>
      </w:r>
      <w:r>
        <w:rPr>
          <w:rFonts w:hint="eastAsia" w:ascii="宋体" w:hAnsi="宋体" w:cs="宋体"/>
          <w:sz w:val="24"/>
        </w:rPr>
        <w:t>电子邮箱：</w:t>
      </w:r>
      <w:r>
        <w:rPr>
          <w:rFonts w:hint="eastAsia" w:ascii="宋体" w:hAnsi="宋体" w:cs="宋体"/>
          <w:sz w:val="24"/>
          <w:u w:val="single"/>
        </w:rPr>
        <w:t xml:space="preserve">            </w:t>
      </w:r>
    </w:p>
    <w:p>
      <w:pPr>
        <w:pStyle w:val="47"/>
        <w:spacing w:line="440" w:lineRule="exact"/>
        <w:rPr>
          <w:rFonts w:ascii="宋体" w:hAnsi="宋体" w:cs="宋体"/>
          <w:sz w:val="24"/>
          <w:u w:val="single"/>
        </w:rPr>
      </w:pPr>
      <w:r>
        <w:rPr>
          <w:rFonts w:hint="eastAsia" w:ascii="宋体" w:hAnsi="宋体" w:cs="宋体"/>
          <w:sz w:val="24"/>
        </w:rPr>
        <w:t>职务：</w:t>
      </w:r>
      <w:r>
        <w:rPr>
          <w:rFonts w:hint="eastAsia" w:ascii="宋体" w:hAnsi="宋体" w:cs="宋体"/>
          <w:sz w:val="24"/>
          <w:u w:val="single"/>
        </w:rPr>
        <w:t xml:space="preserve">                       </w:t>
      </w:r>
    </w:p>
    <w:p>
      <w:pPr>
        <w:pStyle w:val="47"/>
        <w:spacing w:line="440" w:lineRule="exact"/>
        <w:rPr>
          <w:rFonts w:ascii="宋体" w:hAnsi="宋体" w:cs="宋体"/>
          <w:sz w:val="24"/>
        </w:rPr>
      </w:pPr>
      <w:r>
        <w:rPr>
          <w:rFonts w:hint="eastAsia" w:ascii="宋体" w:hAnsi="宋体" w:cs="宋体"/>
          <w:sz w:val="24"/>
        </w:rPr>
        <w:t>系</w:t>
      </w:r>
      <w:r>
        <w:rPr>
          <w:rFonts w:hint="eastAsia" w:ascii="宋体" w:hAnsi="宋体" w:cs="宋体"/>
          <w:sz w:val="24"/>
          <w:u w:val="single"/>
        </w:rPr>
        <w:t xml:space="preserve">                       </w:t>
      </w:r>
      <w:r>
        <w:rPr>
          <w:rFonts w:hint="eastAsia" w:ascii="宋体" w:hAnsi="宋体" w:cs="宋体"/>
          <w:sz w:val="24"/>
        </w:rPr>
        <w:t xml:space="preserve"> （投标人名称）的法定代表人。</w:t>
      </w:r>
    </w:p>
    <w:p>
      <w:pPr>
        <w:pStyle w:val="47"/>
        <w:spacing w:line="440" w:lineRule="exact"/>
        <w:ind w:firstLine="480" w:firstLineChars="200"/>
        <w:rPr>
          <w:rFonts w:ascii="宋体" w:hAnsi="宋体" w:cs="宋体"/>
          <w:sz w:val="24"/>
        </w:rPr>
      </w:pPr>
      <w:r>
        <w:rPr>
          <w:rFonts w:hint="eastAsia" w:ascii="宋体" w:hAnsi="宋体" w:cs="宋体"/>
          <w:sz w:val="24"/>
        </w:rPr>
        <w:t>特此证明。</w:t>
      </w:r>
    </w:p>
    <w:p>
      <w:pPr>
        <w:autoSpaceDE w:val="0"/>
        <w:autoSpaceDN w:val="0"/>
        <w:adjustRightInd w:val="0"/>
        <w:snapToGrid w:val="0"/>
        <w:spacing w:line="360" w:lineRule="auto"/>
        <w:ind w:firstLine="560" w:firstLineChars="200"/>
        <w:textAlignment w:val="baseline"/>
        <w:rPr>
          <w:rFonts w:ascii="宋体" w:hAnsi="宋体" w:cs="宋体"/>
          <w:snapToGrid w:val="0"/>
          <w:kern w:val="0"/>
          <w:sz w:val="28"/>
          <w:szCs w:val="28"/>
        </w:rPr>
      </w:pPr>
    </w:p>
    <w:p>
      <w:pPr>
        <w:spacing w:before="240" w:after="60"/>
        <w:jc w:val="center"/>
        <w:outlineLvl w:val="0"/>
        <w:rPr>
          <w:rFonts w:ascii="Cambria" w:hAnsi="Cambria" w:eastAsia="Cambria"/>
          <w:b/>
          <w:sz w:val="24"/>
        </w:rPr>
      </w:pPr>
    </w:p>
    <w:p>
      <w:pPr>
        <w:autoSpaceDE w:val="0"/>
        <w:autoSpaceDN w:val="0"/>
        <w:adjustRightInd w:val="0"/>
        <w:snapToGrid w:val="0"/>
        <w:spacing w:line="360" w:lineRule="auto"/>
        <w:jc w:val="right"/>
        <w:textAlignment w:val="baseline"/>
        <w:rPr>
          <w:rFonts w:ascii="宋体" w:hAnsi="宋体" w:cs="宋体"/>
          <w:snapToGrid w:val="0"/>
          <w:kern w:val="0"/>
          <w:sz w:val="24"/>
        </w:rPr>
      </w:pPr>
      <w:r>
        <w:rPr>
          <w:rFonts w:hint="eastAsia" w:ascii="宋体" w:hAnsi="宋体" w:cs="宋体"/>
          <w:position w:val="-3"/>
          <w:sz w:val="24"/>
        </w:rPr>
        <w:t>投标人（盖单位电子公章）：</w:t>
      </w:r>
      <w:r>
        <w:rPr>
          <w:rFonts w:hint="eastAsia" w:ascii="宋体" w:hAnsi="宋体" w:cs="宋体"/>
          <w:snapToGrid w:val="0"/>
          <w:kern w:val="0"/>
          <w:sz w:val="24"/>
        </w:rPr>
        <w:t xml:space="preserve">  </w:t>
      </w:r>
    </w:p>
    <w:p>
      <w:pPr>
        <w:autoSpaceDE w:val="0"/>
        <w:autoSpaceDN w:val="0"/>
        <w:adjustRightInd w:val="0"/>
        <w:snapToGrid w:val="0"/>
        <w:spacing w:line="360" w:lineRule="auto"/>
        <w:ind w:firstLine="5160" w:firstLineChars="2150"/>
        <w:textAlignment w:val="baseline"/>
        <w:rPr>
          <w:rFonts w:ascii="宋体" w:hAnsi="宋体" w:cs="宋体"/>
          <w:snapToGrid w:val="0"/>
          <w:kern w:val="0"/>
          <w:sz w:val="24"/>
          <w:u w:val="single"/>
        </w:rPr>
      </w:pPr>
    </w:p>
    <w:p>
      <w:pPr>
        <w:pStyle w:val="37"/>
        <w:jc w:val="right"/>
        <w:rPr>
          <w:color w:val="auto"/>
        </w:rPr>
      </w:pPr>
      <w:r>
        <w:rPr>
          <w:rFonts w:hint="eastAsia" w:hAnsi="宋体"/>
          <w:color w:val="auto"/>
        </w:rPr>
        <w:t xml:space="preserve"> 日期:     年   月  日</w:t>
      </w:r>
    </w:p>
    <w:p>
      <w:pPr>
        <w:adjustRightInd w:val="0"/>
        <w:snapToGrid w:val="0"/>
        <w:spacing w:line="360" w:lineRule="auto"/>
        <w:ind w:right="480"/>
        <w:rPr>
          <w:rFonts w:ascii="宋体" w:hAnsi="宋体"/>
          <w:b/>
          <w:sz w:val="28"/>
        </w:rPr>
        <w:sectPr>
          <w:pgSz w:w="11906" w:h="16838"/>
          <w:pgMar w:top="1440" w:right="1800" w:bottom="1440" w:left="1800" w:header="851" w:footer="992" w:gutter="0"/>
          <w:cols w:space="425" w:num="1"/>
          <w:docGrid w:type="lines" w:linePitch="312" w:charSpace="0"/>
        </w:sectPr>
      </w:pPr>
    </w:p>
    <w:p>
      <w:pPr>
        <w:rPr>
          <w:rFonts w:ascii="宋体" w:hAnsi="宋体" w:cs="宋体"/>
          <w:b/>
          <w:sz w:val="28"/>
          <w:szCs w:val="28"/>
        </w:rPr>
      </w:pPr>
      <w:r>
        <w:rPr>
          <w:rFonts w:hint="eastAsia" w:ascii="宋体" w:hAnsi="宋体" w:cs="宋体"/>
          <w:b/>
          <w:sz w:val="28"/>
          <w:szCs w:val="28"/>
        </w:rPr>
        <w:t>附件4</w:t>
      </w:r>
    </w:p>
    <w:p>
      <w:pPr>
        <w:widowControl/>
        <w:adjustRightInd w:val="0"/>
        <w:snapToGrid w:val="0"/>
        <w:jc w:val="center"/>
        <w:rPr>
          <w:rFonts w:ascii="黑体" w:hAnsi="宋体" w:eastAsia="黑体" w:cs="黑体"/>
          <w:bCs/>
          <w:kern w:val="0"/>
          <w:sz w:val="44"/>
          <w:szCs w:val="44"/>
        </w:rPr>
      </w:pPr>
    </w:p>
    <w:p>
      <w:pPr>
        <w:widowControl/>
        <w:adjustRightInd w:val="0"/>
        <w:snapToGrid w:val="0"/>
        <w:jc w:val="center"/>
        <w:rPr>
          <w:rFonts w:ascii="宋体" w:hAnsi="宋体" w:cs="宋体"/>
          <w:b/>
          <w:kern w:val="0"/>
          <w:sz w:val="32"/>
          <w:szCs w:val="32"/>
        </w:rPr>
      </w:pPr>
      <w:r>
        <w:rPr>
          <w:rFonts w:hint="eastAsia" w:ascii="黑体" w:hAnsi="宋体" w:eastAsia="黑体" w:cs="黑体"/>
          <w:bCs/>
          <w:kern w:val="0"/>
          <w:sz w:val="44"/>
          <w:szCs w:val="44"/>
        </w:rPr>
        <w:t>具有依法缴纳税收和社会保障资金的承诺函</w:t>
      </w:r>
    </w:p>
    <w:p>
      <w:pPr>
        <w:widowControl/>
        <w:adjustRightInd w:val="0"/>
        <w:snapToGrid w:val="0"/>
        <w:jc w:val="center"/>
        <w:rPr>
          <w:rFonts w:ascii="宋体" w:hAnsi="宋体" w:cs="宋体"/>
          <w:b/>
          <w:kern w:val="0"/>
          <w:sz w:val="32"/>
          <w:szCs w:val="32"/>
        </w:rPr>
      </w:pPr>
      <w:r>
        <w:rPr>
          <w:rFonts w:hint="eastAsia" w:ascii="宋体" w:hAnsi="宋体" w:cs="宋体"/>
          <w:b/>
          <w:kern w:val="0"/>
          <w:sz w:val="32"/>
          <w:szCs w:val="32"/>
        </w:rPr>
        <w:t xml:space="preserve"> </w:t>
      </w:r>
    </w:p>
    <w:p>
      <w:pPr>
        <w:widowControl/>
        <w:spacing w:before="100" w:beforeAutospacing="1" w:after="100" w:afterAutospacing="1" w:line="480" w:lineRule="auto"/>
        <w:jc w:val="left"/>
        <w:rPr>
          <w:rFonts w:ascii="宋体" w:hAnsi="宋体" w:cs="宋体"/>
          <w:kern w:val="0"/>
          <w:sz w:val="24"/>
          <w:shd w:val="clear" w:color="auto" w:fill="FFFFFF"/>
        </w:rPr>
      </w:pPr>
      <w:r>
        <w:rPr>
          <w:rFonts w:hint="eastAsia" w:ascii="宋体" w:hAnsi="宋体" w:cs="宋体"/>
          <w:kern w:val="0"/>
          <w:sz w:val="24"/>
          <w:u w:val="single"/>
          <w:shd w:val="clear" w:color="auto" w:fill="FFFFFF"/>
        </w:rPr>
        <w:t xml:space="preserve"> 台州市自然资源和规划局台州湾新区（高新区）分局</w:t>
      </w:r>
      <w:r>
        <w:rPr>
          <w:rFonts w:hint="eastAsia" w:ascii="宋体" w:hAnsi="宋体" w:cs="宋体"/>
          <w:kern w:val="0"/>
          <w:sz w:val="24"/>
          <w:shd w:val="clear" w:color="auto" w:fill="FFFFFF"/>
        </w:rPr>
        <w:t>：</w:t>
      </w:r>
    </w:p>
    <w:p>
      <w:pPr>
        <w:widowControl/>
        <w:spacing w:before="100" w:beforeAutospacing="1" w:after="100" w:afterAutospacing="1" w:line="480" w:lineRule="auto"/>
        <w:ind w:firstLine="480" w:firstLineChars="200"/>
        <w:jc w:val="left"/>
        <w:rPr>
          <w:rFonts w:ascii="宋体" w:hAnsi="宋体" w:cs="宋体"/>
          <w:kern w:val="0"/>
          <w:sz w:val="24"/>
          <w:shd w:val="clear" w:color="auto" w:fill="FFFFFF"/>
        </w:rPr>
      </w:pPr>
      <w:r>
        <w:rPr>
          <w:rFonts w:hint="eastAsia" w:ascii="宋体" w:hAnsi="宋体" w:cs="宋体"/>
          <w:kern w:val="0"/>
          <w:sz w:val="24"/>
          <w:shd w:val="clear" w:color="auto" w:fill="FFFFFF"/>
        </w:rPr>
        <w:t>我单位具有依法缴纳税收和社会保障资金。如本声明失实，我单位自愿承担被取消成交资格等责任。</w:t>
      </w:r>
    </w:p>
    <w:p>
      <w:pPr>
        <w:snapToGrid w:val="0"/>
        <w:spacing w:line="360" w:lineRule="auto"/>
        <w:ind w:firstLine="480" w:firstLineChars="200"/>
        <w:jc w:val="left"/>
        <w:rPr>
          <w:rFonts w:ascii="宋体" w:hAnsi="宋体" w:cs="宋体"/>
          <w:kern w:val="0"/>
          <w:sz w:val="24"/>
          <w:shd w:val="clear" w:color="auto" w:fill="FFFFFF"/>
        </w:rPr>
      </w:pPr>
      <w:r>
        <w:rPr>
          <w:rFonts w:hint="eastAsia" w:ascii="宋体" w:hAnsi="宋体" w:cs="宋体"/>
          <w:kern w:val="0"/>
          <w:sz w:val="24"/>
          <w:shd w:val="clear" w:color="auto" w:fill="FFFFFF"/>
        </w:rPr>
        <w:t>特此声明。</w:t>
      </w:r>
    </w:p>
    <w:p>
      <w:pPr>
        <w:snapToGrid w:val="0"/>
        <w:spacing w:line="360" w:lineRule="auto"/>
        <w:ind w:firstLine="480" w:firstLineChars="200"/>
        <w:jc w:val="right"/>
        <w:rPr>
          <w:rFonts w:ascii="宋体" w:hAnsi="宋体" w:cs="宋体"/>
          <w:kern w:val="0"/>
          <w:sz w:val="24"/>
          <w:shd w:val="clear" w:color="auto" w:fill="FFFFFF"/>
        </w:rPr>
      </w:pPr>
    </w:p>
    <w:p>
      <w:pPr>
        <w:snapToGrid w:val="0"/>
        <w:spacing w:line="360" w:lineRule="auto"/>
        <w:ind w:firstLine="480" w:firstLineChars="200"/>
        <w:jc w:val="right"/>
        <w:rPr>
          <w:rFonts w:ascii="宋体" w:hAnsi="宋体" w:cs="宋体"/>
          <w:kern w:val="0"/>
          <w:sz w:val="24"/>
          <w:shd w:val="clear" w:color="auto" w:fill="FFFFFF"/>
        </w:rPr>
      </w:pPr>
    </w:p>
    <w:p>
      <w:pPr>
        <w:snapToGrid w:val="0"/>
        <w:spacing w:line="360" w:lineRule="auto"/>
        <w:ind w:firstLine="480" w:firstLineChars="200"/>
        <w:jc w:val="right"/>
        <w:rPr>
          <w:rFonts w:ascii="宋体" w:hAnsi="宋体" w:cs="宋体"/>
          <w:kern w:val="0"/>
          <w:sz w:val="24"/>
          <w:shd w:val="clear" w:color="auto" w:fill="FFFFFF"/>
        </w:rPr>
      </w:pPr>
    </w:p>
    <w:p>
      <w:pPr>
        <w:snapToGrid w:val="0"/>
        <w:spacing w:line="360" w:lineRule="auto"/>
        <w:ind w:firstLine="480" w:firstLineChars="200"/>
        <w:jc w:val="right"/>
        <w:rPr>
          <w:rFonts w:ascii="宋体" w:hAnsi="宋体" w:cs="宋体"/>
          <w:kern w:val="0"/>
          <w:sz w:val="24"/>
        </w:rPr>
      </w:pPr>
      <w:r>
        <w:rPr>
          <w:rFonts w:hint="eastAsia" w:ascii="宋体" w:hAnsi="宋体" w:cs="宋体"/>
          <w:kern w:val="0"/>
          <w:sz w:val="24"/>
        </w:rPr>
        <w:t>法定代表人（签字或电子盖章）：</w:t>
      </w:r>
    </w:p>
    <w:p>
      <w:pPr>
        <w:snapToGrid w:val="0"/>
        <w:spacing w:line="360" w:lineRule="auto"/>
        <w:ind w:firstLine="480" w:firstLineChars="200"/>
        <w:jc w:val="right"/>
        <w:rPr>
          <w:rFonts w:ascii="宋体" w:hAnsi="宋体" w:cs="宋体"/>
          <w:kern w:val="0"/>
          <w:sz w:val="24"/>
        </w:rPr>
      </w:pPr>
      <w:r>
        <w:rPr>
          <w:rFonts w:hint="eastAsia" w:ascii="宋体" w:hAnsi="宋体" w:cs="宋体"/>
          <w:kern w:val="0"/>
          <w:sz w:val="24"/>
        </w:rPr>
        <w:t>投标人（盖单位电子公章）：</w:t>
      </w:r>
    </w:p>
    <w:p>
      <w:pPr>
        <w:snapToGrid w:val="0"/>
        <w:spacing w:line="360" w:lineRule="auto"/>
        <w:ind w:firstLine="480" w:firstLineChars="200"/>
        <w:jc w:val="right"/>
        <w:rPr>
          <w:rFonts w:ascii="宋体" w:hAnsi="宋体" w:cs="宋体"/>
          <w:kern w:val="0"/>
          <w:sz w:val="24"/>
        </w:rPr>
        <w:sectPr>
          <w:pgSz w:w="11906" w:h="16838"/>
          <w:pgMar w:top="1440" w:right="1800" w:bottom="1440" w:left="1800" w:header="851" w:footer="992" w:gutter="0"/>
          <w:cols w:space="425" w:num="1"/>
          <w:docGrid w:type="lines" w:linePitch="312" w:charSpace="0"/>
        </w:sectPr>
      </w:pPr>
      <w:r>
        <w:rPr>
          <w:rFonts w:hint="eastAsia" w:ascii="宋体" w:hAnsi="宋体" w:cs="宋体"/>
          <w:kern w:val="0"/>
          <w:sz w:val="24"/>
        </w:rPr>
        <w:t>日期：    年   月   日</w:t>
      </w:r>
    </w:p>
    <w:p>
      <w:pPr>
        <w:pStyle w:val="24"/>
        <w:spacing w:beforeAutospacing="0" w:afterAutospacing="0" w:line="375" w:lineRule="atLeast"/>
        <w:rPr>
          <w:rFonts w:hint="default" w:cs="宋体"/>
          <w:b/>
          <w:sz w:val="28"/>
          <w:szCs w:val="28"/>
        </w:rPr>
      </w:pPr>
      <w:r>
        <w:rPr>
          <w:rFonts w:cs="宋体"/>
          <w:b/>
          <w:sz w:val="28"/>
          <w:szCs w:val="28"/>
        </w:rPr>
        <w:t>附件5</w:t>
      </w:r>
    </w:p>
    <w:p>
      <w:pPr>
        <w:jc w:val="center"/>
        <w:rPr>
          <w:rFonts w:ascii="黑体" w:hAnsi="宋体" w:eastAsia="黑体" w:cs="黑体"/>
          <w:bCs/>
          <w:kern w:val="0"/>
          <w:sz w:val="44"/>
          <w:szCs w:val="44"/>
        </w:rPr>
      </w:pPr>
    </w:p>
    <w:p>
      <w:pPr>
        <w:jc w:val="center"/>
        <w:rPr>
          <w:rFonts w:ascii="宋体" w:hAnsi="宋体" w:cs="宋体"/>
          <w:b/>
          <w:kern w:val="0"/>
          <w:sz w:val="32"/>
          <w:szCs w:val="32"/>
        </w:rPr>
      </w:pPr>
      <w:r>
        <w:rPr>
          <w:rFonts w:hint="eastAsia" w:ascii="黑体" w:hAnsi="宋体" w:eastAsia="黑体" w:cs="黑体"/>
          <w:bCs/>
          <w:kern w:val="0"/>
          <w:sz w:val="44"/>
          <w:szCs w:val="44"/>
        </w:rPr>
        <w:t>具有良好的商业信誉和健全的财务会计制度的承诺函</w:t>
      </w:r>
    </w:p>
    <w:p>
      <w:pPr>
        <w:jc w:val="center"/>
        <w:rPr>
          <w:rFonts w:ascii="宋体" w:hAnsi="宋体" w:cs="宋体"/>
          <w:b/>
          <w:kern w:val="0"/>
          <w:sz w:val="32"/>
          <w:szCs w:val="32"/>
        </w:rPr>
      </w:pPr>
      <w:r>
        <w:rPr>
          <w:rFonts w:hint="eastAsia" w:ascii="宋体" w:hAnsi="宋体" w:cs="宋体"/>
          <w:b/>
          <w:kern w:val="0"/>
          <w:sz w:val="32"/>
          <w:szCs w:val="32"/>
        </w:rPr>
        <w:t xml:space="preserve"> </w:t>
      </w:r>
    </w:p>
    <w:p>
      <w:pPr>
        <w:widowControl/>
        <w:spacing w:before="100" w:beforeAutospacing="1" w:after="100" w:afterAutospacing="1" w:line="480" w:lineRule="auto"/>
        <w:jc w:val="left"/>
        <w:rPr>
          <w:rFonts w:ascii="宋体" w:hAnsi="宋体" w:cs="宋体"/>
          <w:kern w:val="0"/>
          <w:sz w:val="24"/>
          <w:shd w:val="clear" w:color="auto" w:fill="FFFFFF"/>
        </w:rPr>
      </w:pPr>
      <w:r>
        <w:rPr>
          <w:rFonts w:hint="eastAsia" w:ascii="宋体" w:hAnsi="宋体" w:cs="宋体"/>
          <w:kern w:val="0"/>
          <w:sz w:val="24"/>
          <w:u w:val="single"/>
          <w:shd w:val="clear" w:color="auto" w:fill="FFFFFF"/>
        </w:rPr>
        <w:t xml:space="preserve"> 台州市自然资源和规划局台州湾新区（高新区）分局</w:t>
      </w:r>
      <w:r>
        <w:rPr>
          <w:rFonts w:hint="eastAsia" w:ascii="宋体" w:hAnsi="宋体" w:cs="宋体"/>
          <w:kern w:val="0"/>
          <w:sz w:val="24"/>
          <w:shd w:val="clear" w:color="auto" w:fill="FFFFFF"/>
        </w:rPr>
        <w:t>：</w:t>
      </w:r>
    </w:p>
    <w:p>
      <w:pPr>
        <w:widowControl/>
        <w:spacing w:before="100" w:beforeAutospacing="1" w:after="100" w:afterAutospacing="1" w:line="480" w:lineRule="auto"/>
        <w:ind w:firstLine="480" w:firstLineChars="200"/>
        <w:jc w:val="left"/>
        <w:rPr>
          <w:rFonts w:ascii="宋体" w:hAnsi="宋体" w:cs="宋体"/>
          <w:kern w:val="0"/>
          <w:sz w:val="24"/>
          <w:shd w:val="clear" w:color="auto" w:fill="FFFFFF"/>
        </w:rPr>
      </w:pPr>
      <w:r>
        <w:rPr>
          <w:rFonts w:hint="eastAsia" w:ascii="宋体" w:hAnsi="宋体" w:cs="宋体"/>
          <w:kern w:val="0"/>
          <w:sz w:val="24"/>
          <w:shd w:val="clear" w:color="auto" w:fill="FFFFFF"/>
        </w:rPr>
        <w:t>我单位具有良好的商业信誉和健全的财务会计制度。如本声明失实，我单位自愿承担被取消成交资格等责任。</w:t>
      </w:r>
    </w:p>
    <w:p>
      <w:pPr>
        <w:snapToGrid w:val="0"/>
        <w:spacing w:line="360" w:lineRule="auto"/>
        <w:ind w:firstLine="480" w:firstLineChars="200"/>
        <w:rPr>
          <w:rFonts w:ascii="宋体" w:hAnsi="宋体" w:cs="宋体"/>
          <w:kern w:val="0"/>
          <w:sz w:val="24"/>
          <w:shd w:val="clear" w:color="auto" w:fill="FFFFFF"/>
        </w:rPr>
      </w:pPr>
      <w:r>
        <w:rPr>
          <w:rFonts w:hint="eastAsia" w:ascii="宋体" w:hAnsi="宋体" w:cs="宋体"/>
          <w:kern w:val="0"/>
          <w:sz w:val="24"/>
          <w:shd w:val="clear" w:color="auto" w:fill="FFFFFF"/>
        </w:rPr>
        <w:t>特此声明。</w:t>
      </w:r>
    </w:p>
    <w:p>
      <w:pPr>
        <w:snapToGrid w:val="0"/>
        <w:spacing w:line="360" w:lineRule="auto"/>
        <w:ind w:firstLine="480" w:firstLineChars="200"/>
        <w:jc w:val="right"/>
        <w:rPr>
          <w:rFonts w:ascii="宋体" w:hAnsi="宋体" w:cs="宋体"/>
          <w:kern w:val="0"/>
          <w:sz w:val="24"/>
          <w:shd w:val="clear" w:color="auto" w:fill="FFFFFF"/>
        </w:rPr>
      </w:pPr>
    </w:p>
    <w:p>
      <w:pPr>
        <w:snapToGrid w:val="0"/>
        <w:spacing w:line="360" w:lineRule="auto"/>
        <w:ind w:firstLine="480" w:firstLineChars="200"/>
        <w:jc w:val="right"/>
        <w:rPr>
          <w:rFonts w:ascii="宋体" w:hAnsi="宋体" w:cs="宋体"/>
          <w:kern w:val="0"/>
          <w:sz w:val="24"/>
          <w:shd w:val="clear" w:color="auto" w:fill="FFFFFF"/>
        </w:rPr>
      </w:pPr>
    </w:p>
    <w:p>
      <w:pPr>
        <w:snapToGrid w:val="0"/>
        <w:spacing w:line="360" w:lineRule="auto"/>
        <w:ind w:firstLine="480" w:firstLineChars="200"/>
        <w:jc w:val="right"/>
        <w:rPr>
          <w:rFonts w:ascii="宋体" w:hAnsi="宋体" w:cs="宋体"/>
          <w:kern w:val="0"/>
          <w:sz w:val="24"/>
          <w:shd w:val="clear" w:color="auto" w:fill="FFFFFF"/>
        </w:rPr>
      </w:pPr>
    </w:p>
    <w:p>
      <w:pPr>
        <w:snapToGrid w:val="0"/>
        <w:spacing w:line="360" w:lineRule="auto"/>
        <w:ind w:firstLine="480" w:firstLineChars="200"/>
        <w:jc w:val="right"/>
        <w:rPr>
          <w:rFonts w:ascii="宋体" w:hAnsi="宋体" w:cs="宋体"/>
          <w:kern w:val="0"/>
          <w:sz w:val="24"/>
          <w:shd w:val="clear" w:color="auto" w:fill="FFFFFF"/>
        </w:rPr>
      </w:pPr>
    </w:p>
    <w:p>
      <w:pPr>
        <w:snapToGrid w:val="0"/>
        <w:spacing w:line="360" w:lineRule="auto"/>
        <w:ind w:firstLine="480" w:firstLineChars="200"/>
        <w:jc w:val="right"/>
        <w:rPr>
          <w:rFonts w:ascii="宋体" w:hAnsi="宋体" w:cs="宋体"/>
          <w:kern w:val="0"/>
          <w:sz w:val="24"/>
        </w:rPr>
      </w:pPr>
      <w:r>
        <w:rPr>
          <w:rFonts w:hint="eastAsia" w:ascii="宋体" w:hAnsi="宋体" w:cs="宋体"/>
          <w:kern w:val="0"/>
          <w:sz w:val="24"/>
        </w:rPr>
        <w:t>法定代表人（签字或电子盖章）：</w:t>
      </w:r>
    </w:p>
    <w:p>
      <w:pPr>
        <w:snapToGrid w:val="0"/>
        <w:spacing w:line="360" w:lineRule="auto"/>
        <w:ind w:firstLine="480" w:firstLineChars="200"/>
        <w:jc w:val="right"/>
        <w:rPr>
          <w:rFonts w:ascii="宋体" w:hAnsi="宋体" w:cs="宋体"/>
          <w:kern w:val="0"/>
          <w:sz w:val="24"/>
        </w:rPr>
      </w:pPr>
      <w:r>
        <w:rPr>
          <w:rFonts w:hint="eastAsia" w:ascii="宋体" w:hAnsi="宋体" w:cs="宋体"/>
          <w:kern w:val="0"/>
          <w:sz w:val="24"/>
        </w:rPr>
        <w:t>投标人（盖单位电子公章）：</w:t>
      </w:r>
    </w:p>
    <w:p>
      <w:pPr>
        <w:snapToGrid w:val="0"/>
        <w:spacing w:line="360" w:lineRule="auto"/>
        <w:ind w:firstLine="480" w:firstLineChars="200"/>
        <w:jc w:val="right"/>
        <w:rPr>
          <w:rFonts w:ascii="宋体" w:hAnsi="宋体" w:cs="宋体"/>
          <w:kern w:val="0"/>
          <w:sz w:val="24"/>
        </w:rPr>
        <w:sectPr>
          <w:pgSz w:w="11906" w:h="16838"/>
          <w:pgMar w:top="1440" w:right="1800" w:bottom="1440" w:left="1800" w:header="851" w:footer="992" w:gutter="0"/>
          <w:cols w:space="425" w:num="1"/>
          <w:docGrid w:type="lines" w:linePitch="312" w:charSpace="0"/>
        </w:sectPr>
      </w:pPr>
      <w:r>
        <w:rPr>
          <w:rFonts w:hint="eastAsia" w:ascii="宋体" w:hAnsi="宋体" w:cs="宋体"/>
          <w:kern w:val="0"/>
          <w:sz w:val="24"/>
        </w:rPr>
        <w:t>日期：    年   月   日</w:t>
      </w:r>
    </w:p>
    <w:p>
      <w:pPr>
        <w:pStyle w:val="24"/>
        <w:spacing w:before="0" w:beforeAutospacing="0" w:after="0" w:afterAutospacing="0" w:line="360" w:lineRule="auto"/>
        <w:rPr>
          <w:rFonts w:hint="default" w:cs="宋体"/>
          <w:b/>
          <w:sz w:val="28"/>
          <w:szCs w:val="28"/>
        </w:rPr>
      </w:pPr>
      <w:r>
        <w:rPr>
          <w:rFonts w:cs="宋体"/>
          <w:b/>
          <w:sz w:val="28"/>
          <w:szCs w:val="28"/>
        </w:rPr>
        <w:t>附件6</w:t>
      </w:r>
    </w:p>
    <w:p>
      <w:pPr>
        <w:pStyle w:val="24"/>
        <w:spacing w:before="0" w:beforeAutospacing="0" w:after="0" w:afterAutospacing="0" w:line="360" w:lineRule="auto"/>
        <w:jc w:val="center"/>
        <w:rPr>
          <w:rFonts w:hint="default" w:eastAsia="微软雅黑" w:cs="宋体"/>
          <w:sz w:val="44"/>
          <w:szCs w:val="44"/>
        </w:rPr>
      </w:pPr>
      <w:r>
        <w:rPr>
          <w:rFonts w:ascii="黑体" w:eastAsia="黑体" w:cs="黑体"/>
          <w:bCs/>
          <w:sz w:val="44"/>
          <w:szCs w:val="44"/>
        </w:rPr>
        <w:t>投标人基本情况表</w:t>
      </w:r>
    </w:p>
    <w:tbl>
      <w:tblPr>
        <w:tblStyle w:val="28"/>
        <w:tblW w:w="8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720"/>
        <w:gridCol w:w="947"/>
        <w:gridCol w:w="148"/>
        <w:gridCol w:w="1106"/>
        <w:gridCol w:w="112"/>
        <w:gridCol w:w="1093"/>
        <w:gridCol w:w="325"/>
        <w:gridCol w:w="1276"/>
        <w:gridCol w:w="400"/>
        <w:gridCol w:w="1220"/>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tcBorders>
              <w:top w:val="single" w:color="auto" w:sz="4" w:space="0"/>
              <w:left w:val="single" w:color="auto" w:sz="4" w:space="0"/>
              <w:bottom w:val="single" w:color="auto" w:sz="4" w:space="0"/>
              <w:right w:val="single" w:color="auto" w:sz="4" w:space="0"/>
            </w:tcBorders>
            <w:tcMar>
              <w:top w:w="57" w:type="dxa"/>
            </w:tcMar>
            <w:vAlign w:val="center"/>
          </w:tcPr>
          <w:p>
            <w:pPr>
              <w:pStyle w:val="24"/>
              <w:spacing w:before="0" w:beforeAutospacing="0" w:after="0" w:afterAutospacing="0"/>
              <w:jc w:val="center"/>
              <w:rPr>
                <w:rFonts w:hint="default" w:cs="宋体"/>
                <w:bCs/>
                <w:sz w:val="21"/>
                <w:szCs w:val="21"/>
              </w:rPr>
            </w:pPr>
            <w:r>
              <w:rPr>
                <w:rFonts w:cs="宋体"/>
                <w:bCs/>
                <w:sz w:val="21"/>
                <w:szCs w:val="21"/>
              </w:rPr>
              <w:t>企业名称</w:t>
            </w:r>
          </w:p>
        </w:tc>
        <w:tc>
          <w:tcPr>
            <w:tcW w:w="4126" w:type="dxa"/>
            <w:gridSpan w:val="6"/>
            <w:tcBorders>
              <w:top w:val="single" w:color="auto" w:sz="4" w:space="0"/>
              <w:left w:val="single" w:color="auto" w:sz="4" w:space="0"/>
              <w:bottom w:val="single" w:color="auto" w:sz="4" w:space="0"/>
              <w:right w:val="single" w:color="auto" w:sz="4" w:space="0"/>
            </w:tcBorders>
            <w:tcMar>
              <w:top w:w="57" w:type="dxa"/>
            </w:tcMar>
            <w:vAlign w:val="center"/>
          </w:tcPr>
          <w:p>
            <w:pPr>
              <w:pStyle w:val="24"/>
              <w:spacing w:before="0" w:beforeAutospacing="0" w:after="0" w:afterAutospacing="0"/>
              <w:jc w:val="center"/>
              <w:rPr>
                <w:rFonts w:hint="default" w:cs="宋体"/>
                <w:bCs/>
                <w:sz w:val="21"/>
                <w:szCs w:val="21"/>
              </w:rPr>
            </w:pPr>
          </w:p>
        </w:tc>
        <w:tc>
          <w:tcPr>
            <w:tcW w:w="2001" w:type="dxa"/>
            <w:gridSpan w:val="3"/>
            <w:tcBorders>
              <w:top w:val="single" w:color="auto" w:sz="4" w:space="0"/>
              <w:left w:val="single" w:color="auto" w:sz="4" w:space="0"/>
              <w:bottom w:val="single" w:color="auto" w:sz="4" w:space="0"/>
              <w:right w:val="single" w:color="auto" w:sz="4" w:space="0"/>
            </w:tcBorders>
            <w:tcMar>
              <w:top w:w="57" w:type="dxa"/>
            </w:tcMar>
            <w:vAlign w:val="center"/>
          </w:tcPr>
          <w:p>
            <w:pPr>
              <w:pStyle w:val="24"/>
              <w:spacing w:before="0" w:beforeAutospacing="0" w:after="0" w:afterAutospacing="0"/>
              <w:jc w:val="center"/>
              <w:rPr>
                <w:rFonts w:hint="default" w:cs="宋体"/>
                <w:bCs/>
                <w:sz w:val="21"/>
                <w:szCs w:val="21"/>
              </w:rPr>
            </w:pPr>
            <w:r>
              <w:rPr>
                <w:rFonts w:cs="宋体"/>
                <w:bCs/>
                <w:sz w:val="21"/>
                <w:szCs w:val="21"/>
              </w:rPr>
              <w:t>法人代表</w:t>
            </w:r>
          </w:p>
        </w:tc>
        <w:tc>
          <w:tcPr>
            <w:tcW w:w="2153" w:type="dxa"/>
            <w:gridSpan w:val="2"/>
            <w:tcBorders>
              <w:top w:val="single" w:color="auto" w:sz="4" w:space="0"/>
              <w:left w:val="single" w:color="auto" w:sz="4" w:space="0"/>
              <w:bottom w:val="single" w:color="auto" w:sz="4" w:space="0"/>
              <w:right w:val="single" w:color="auto" w:sz="4" w:space="0"/>
            </w:tcBorders>
            <w:tcMar>
              <w:top w:w="57" w:type="dxa"/>
            </w:tcMar>
            <w:vAlign w:val="center"/>
          </w:tcPr>
          <w:p>
            <w:pPr>
              <w:pStyle w:val="24"/>
              <w:spacing w:before="0" w:beforeAutospacing="0" w:after="0" w:afterAutospacing="0"/>
              <w:jc w:val="center"/>
              <w:rPr>
                <w:rFonts w:hint="default"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707" w:type="dxa"/>
            <w:tcBorders>
              <w:top w:val="single" w:color="auto" w:sz="4" w:space="0"/>
              <w:left w:val="single" w:color="auto" w:sz="4" w:space="0"/>
              <w:bottom w:val="single" w:color="auto" w:sz="4" w:space="0"/>
              <w:right w:val="single" w:color="auto" w:sz="4" w:space="0"/>
            </w:tcBorders>
            <w:tcMar>
              <w:top w:w="57" w:type="dxa"/>
            </w:tcMar>
            <w:vAlign w:val="center"/>
          </w:tcPr>
          <w:p>
            <w:pPr>
              <w:pStyle w:val="24"/>
              <w:spacing w:before="0" w:beforeAutospacing="0" w:after="0" w:afterAutospacing="0"/>
              <w:jc w:val="center"/>
              <w:rPr>
                <w:rFonts w:hint="default" w:cs="宋体"/>
                <w:bCs/>
                <w:sz w:val="21"/>
                <w:szCs w:val="21"/>
              </w:rPr>
            </w:pPr>
            <w:r>
              <w:rPr>
                <w:rFonts w:cs="宋体"/>
                <w:bCs/>
                <w:sz w:val="21"/>
                <w:szCs w:val="21"/>
              </w:rPr>
              <w:t>地址</w:t>
            </w:r>
          </w:p>
        </w:tc>
        <w:tc>
          <w:tcPr>
            <w:tcW w:w="4126" w:type="dxa"/>
            <w:gridSpan w:val="6"/>
            <w:tcBorders>
              <w:top w:val="single" w:color="auto" w:sz="4" w:space="0"/>
              <w:left w:val="single" w:color="auto" w:sz="4" w:space="0"/>
              <w:bottom w:val="single" w:color="auto" w:sz="4" w:space="0"/>
              <w:right w:val="single" w:color="auto" w:sz="4" w:space="0"/>
            </w:tcBorders>
            <w:tcMar>
              <w:top w:w="57" w:type="dxa"/>
            </w:tcMar>
            <w:vAlign w:val="center"/>
          </w:tcPr>
          <w:p>
            <w:pPr>
              <w:pStyle w:val="24"/>
              <w:spacing w:before="0" w:beforeAutospacing="0" w:after="0" w:afterAutospacing="0"/>
              <w:jc w:val="center"/>
              <w:rPr>
                <w:rFonts w:hint="default" w:cs="宋体"/>
                <w:bCs/>
                <w:sz w:val="21"/>
                <w:szCs w:val="21"/>
              </w:rPr>
            </w:pPr>
          </w:p>
        </w:tc>
        <w:tc>
          <w:tcPr>
            <w:tcW w:w="2001" w:type="dxa"/>
            <w:gridSpan w:val="3"/>
            <w:tcBorders>
              <w:top w:val="single" w:color="auto" w:sz="4" w:space="0"/>
              <w:left w:val="single" w:color="auto" w:sz="4" w:space="0"/>
              <w:bottom w:val="single" w:color="auto" w:sz="4" w:space="0"/>
              <w:right w:val="single" w:color="auto" w:sz="4" w:space="0"/>
            </w:tcBorders>
            <w:tcMar>
              <w:top w:w="57" w:type="dxa"/>
            </w:tcMar>
            <w:vAlign w:val="center"/>
          </w:tcPr>
          <w:p>
            <w:pPr>
              <w:pStyle w:val="24"/>
              <w:spacing w:before="0" w:beforeAutospacing="0" w:after="0" w:afterAutospacing="0"/>
              <w:jc w:val="center"/>
              <w:rPr>
                <w:rFonts w:hint="default" w:cs="宋体"/>
                <w:bCs/>
                <w:sz w:val="21"/>
                <w:szCs w:val="21"/>
              </w:rPr>
            </w:pPr>
            <w:r>
              <w:rPr>
                <w:rFonts w:cs="宋体"/>
                <w:bCs/>
                <w:sz w:val="21"/>
                <w:szCs w:val="21"/>
              </w:rPr>
              <w:t>企业性质</w:t>
            </w:r>
          </w:p>
        </w:tc>
        <w:tc>
          <w:tcPr>
            <w:tcW w:w="2153" w:type="dxa"/>
            <w:gridSpan w:val="2"/>
            <w:tcBorders>
              <w:top w:val="single" w:color="auto" w:sz="4" w:space="0"/>
              <w:left w:val="single" w:color="auto" w:sz="4" w:space="0"/>
              <w:bottom w:val="single" w:color="auto" w:sz="4" w:space="0"/>
              <w:right w:val="single" w:color="auto" w:sz="4" w:space="0"/>
            </w:tcBorders>
            <w:tcMar>
              <w:top w:w="57" w:type="dxa"/>
            </w:tcMar>
            <w:vAlign w:val="center"/>
          </w:tcPr>
          <w:p>
            <w:pPr>
              <w:pStyle w:val="24"/>
              <w:spacing w:before="0" w:beforeAutospacing="0" w:after="0" w:afterAutospacing="0"/>
              <w:jc w:val="center"/>
              <w:rPr>
                <w:rFonts w:hint="default"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07" w:type="dxa"/>
            <w:tcBorders>
              <w:top w:val="single" w:color="auto" w:sz="4" w:space="0"/>
              <w:left w:val="single" w:color="auto" w:sz="4" w:space="0"/>
              <w:bottom w:val="single" w:color="auto" w:sz="4" w:space="0"/>
              <w:right w:val="single" w:color="auto" w:sz="4" w:space="0"/>
            </w:tcBorders>
            <w:tcMar>
              <w:top w:w="57" w:type="dxa"/>
            </w:tcMar>
            <w:vAlign w:val="center"/>
          </w:tcPr>
          <w:p>
            <w:pPr>
              <w:pStyle w:val="24"/>
              <w:spacing w:before="0" w:beforeAutospacing="0" w:after="0" w:afterAutospacing="0"/>
              <w:jc w:val="center"/>
              <w:rPr>
                <w:rFonts w:hint="default" w:cs="宋体"/>
                <w:bCs/>
                <w:sz w:val="21"/>
                <w:szCs w:val="21"/>
              </w:rPr>
            </w:pPr>
            <w:r>
              <w:rPr>
                <w:rFonts w:cs="宋体"/>
                <w:bCs/>
                <w:sz w:val="21"/>
                <w:szCs w:val="21"/>
              </w:rPr>
              <w:t>股东姓名</w:t>
            </w:r>
          </w:p>
        </w:tc>
        <w:tc>
          <w:tcPr>
            <w:tcW w:w="720" w:type="dxa"/>
            <w:tcBorders>
              <w:top w:val="single" w:color="auto" w:sz="4" w:space="0"/>
              <w:left w:val="single" w:color="auto" w:sz="4" w:space="0"/>
              <w:bottom w:val="single" w:color="auto" w:sz="4" w:space="0"/>
              <w:right w:val="single" w:color="auto" w:sz="4" w:space="0"/>
            </w:tcBorders>
            <w:tcMar>
              <w:top w:w="57" w:type="dxa"/>
            </w:tcMar>
            <w:vAlign w:val="center"/>
          </w:tcPr>
          <w:p>
            <w:pPr>
              <w:pStyle w:val="24"/>
              <w:spacing w:before="0" w:beforeAutospacing="0" w:after="0" w:afterAutospacing="0"/>
              <w:jc w:val="center"/>
              <w:rPr>
                <w:rFonts w:hint="default" w:cs="宋体"/>
                <w:bCs/>
                <w:sz w:val="21"/>
                <w:szCs w:val="21"/>
              </w:rPr>
            </w:pPr>
          </w:p>
        </w:tc>
        <w:tc>
          <w:tcPr>
            <w:tcW w:w="1095" w:type="dxa"/>
            <w:gridSpan w:val="2"/>
            <w:tcBorders>
              <w:top w:val="single" w:color="auto" w:sz="4" w:space="0"/>
              <w:left w:val="single" w:color="auto" w:sz="4" w:space="0"/>
              <w:bottom w:val="single" w:color="auto" w:sz="4" w:space="0"/>
              <w:right w:val="single" w:color="auto" w:sz="4" w:space="0"/>
            </w:tcBorders>
            <w:tcMar>
              <w:top w:w="57" w:type="dxa"/>
            </w:tcMar>
            <w:vAlign w:val="center"/>
          </w:tcPr>
          <w:p>
            <w:pPr>
              <w:pStyle w:val="24"/>
              <w:spacing w:before="0" w:beforeAutospacing="0" w:after="0" w:afterAutospacing="0"/>
              <w:jc w:val="center"/>
              <w:rPr>
                <w:rFonts w:hint="default" w:cs="宋体"/>
                <w:bCs/>
                <w:sz w:val="21"/>
                <w:szCs w:val="21"/>
              </w:rPr>
            </w:pPr>
            <w:r>
              <w:rPr>
                <w:rFonts w:cs="宋体"/>
                <w:bCs/>
                <w:sz w:val="21"/>
                <w:szCs w:val="21"/>
              </w:rPr>
              <w:t>股权结构（%）</w:t>
            </w:r>
          </w:p>
        </w:tc>
        <w:tc>
          <w:tcPr>
            <w:tcW w:w="2311" w:type="dxa"/>
            <w:gridSpan w:val="3"/>
            <w:tcBorders>
              <w:top w:val="single" w:color="auto" w:sz="4" w:space="0"/>
              <w:left w:val="single" w:color="auto" w:sz="4" w:space="0"/>
              <w:bottom w:val="single" w:color="auto" w:sz="4" w:space="0"/>
              <w:right w:val="single" w:color="auto" w:sz="4" w:space="0"/>
            </w:tcBorders>
            <w:tcMar>
              <w:top w:w="57" w:type="dxa"/>
            </w:tcMar>
            <w:vAlign w:val="center"/>
          </w:tcPr>
          <w:p>
            <w:pPr>
              <w:pStyle w:val="24"/>
              <w:spacing w:before="0" w:beforeAutospacing="0" w:after="0" w:afterAutospacing="0"/>
              <w:jc w:val="center"/>
              <w:rPr>
                <w:rFonts w:hint="default" w:cs="宋体"/>
                <w:bCs/>
                <w:sz w:val="21"/>
                <w:szCs w:val="21"/>
              </w:rPr>
            </w:pPr>
          </w:p>
        </w:tc>
        <w:tc>
          <w:tcPr>
            <w:tcW w:w="2001" w:type="dxa"/>
            <w:gridSpan w:val="3"/>
            <w:tcBorders>
              <w:top w:val="single" w:color="auto" w:sz="4" w:space="0"/>
              <w:left w:val="single" w:color="auto" w:sz="4" w:space="0"/>
              <w:bottom w:val="single" w:color="auto" w:sz="4" w:space="0"/>
              <w:right w:val="single" w:color="auto" w:sz="4" w:space="0"/>
            </w:tcBorders>
            <w:tcMar>
              <w:top w:w="57" w:type="dxa"/>
            </w:tcMar>
            <w:vAlign w:val="center"/>
          </w:tcPr>
          <w:p>
            <w:pPr>
              <w:pStyle w:val="24"/>
              <w:spacing w:before="0" w:beforeAutospacing="0" w:after="0" w:afterAutospacing="0"/>
              <w:jc w:val="center"/>
              <w:rPr>
                <w:rFonts w:hint="default" w:cs="宋体"/>
                <w:bCs/>
                <w:sz w:val="21"/>
                <w:szCs w:val="21"/>
              </w:rPr>
            </w:pPr>
            <w:r>
              <w:rPr>
                <w:rFonts w:cs="宋体"/>
                <w:bCs/>
                <w:sz w:val="21"/>
                <w:szCs w:val="21"/>
              </w:rPr>
              <w:t>股东关系</w:t>
            </w:r>
          </w:p>
        </w:tc>
        <w:tc>
          <w:tcPr>
            <w:tcW w:w="2153" w:type="dxa"/>
            <w:gridSpan w:val="2"/>
            <w:tcBorders>
              <w:top w:val="single" w:color="auto" w:sz="4" w:space="0"/>
              <w:left w:val="single" w:color="auto" w:sz="4" w:space="0"/>
              <w:bottom w:val="single" w:color="auto" w:sz="4" w:space="0"/>
              <w:right w:val="single" w:color="auto" w:sz="4" w:space="0"/>
            </w:tcBorders>
            <w:tcMar>
              <w:top w:w="57" w:type="dxa"/>
            </w:tcMar>
            <w:vAlign w:val="center"/>
          </w:tcPr>
          <w:p>
            <w:pPr>
              <w:pStyle w:val="24"/>
              <w:spacing w:before="0" w:beforeAutospacing="0" w:after="0" w:afterAutospacing="0"/>
              <w:jc w:val="center"/>
              <w:rPr>
                <w:rFonts w:hint="default"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07" w:type="dxa"/>
            <w:vMerge w:val="restart"/>
            <w:tcBorders>
              <w:top w:val="nil"/>
              <w:left w:val="single" w:color="auto" w:sz="4" w:space="0"/>
              <w:bottom w:val="single" w:color="auto" w:sz="4" w:space="0"/>
              <w:right w:val="single" w:color="auto" w:sz="4" w:space="0"/>
            </w:tcBorders>
            <w:tcMar>
              <w:top w:w="57" w:type="dxa"/>
            </w:tcMar>
            <w:vAlign w:val="center"/>
          </w:tcPr>
          <w:p>
            <w:pPr>
              <w:pStyle w:val="24"/>
              <w:spacing w:before="0" w:beforeAutospacing="0" w:after="0" w:afterAutospacing="0"/>
              <w:jc w:val="center"/>
              <w:rPr>
                <w:rFonts w:hint="default" w:cs="宋体"/>
                <w:bCs/>
                <w:sz w:val="21"/>
                <w:szCs w:val="21"/>
              </w:rPr>
            </w:pPr>
            <w:r>
              <w:rPr>
                <w:rFonts w:cs="宋体"/>
                <w:bCs/>
                <w:sz w:val="21"/>
                <w:szCs w:val="21"/>
              </w:rPr>
              <w:t>联系人姓名</w:t>
            </w:r>
          </w:p>
        </w:tc>
        <w:tc>
          <w:tcPr>
            <w:tcW w:w="720" w:type="dxa"/>
            <w:vMerge w:val="restart"/>
            <w:tcBorders>
              <w:top w:val="nil"/>
              <w:left w:val="single" w:color="auto" w:sz="4" w:space="0"/>
              <w:bottom w:val="single" w:color="auto" w:sz="4" w:space="0"/>
              <w:right w:val="single" w:color="auto" w:sz="4" w:space="0"/>
            </w:tcBorders>
            <w:tcMar>
              <w:top w:w="57" w:type="dxa"/>
            </w:tcMar>
            <w:vAlign w:val="center"/>
          </w:tcPr>
          <w:p>
            <w:pPr>
              <w:pStyle w:val="24"/>
              <w:spacing w:before="0" w:beforeAutospacing="0" w:after="0" w:afterAutospacing="0"/>
              <w:jc w:val="center"/>
              <w:rPr>
                <w:rFonts w:hint="default" w:cs="宋体"/>
                <w:bCs/>
                <w:sz w:val="21"/>
                <w:szCs w:val="21"/>
              </w:rPr>
            </w:pPr>
          </w:p>
        </w:tc>
        <w:tc>
          <w:tcPr>
            <w:tcW w:w="1095" w:type="dxa"/>
            <w:gridSpan w:val="2"/>
            <w:tcBorders>
              <w:top w:val="nil"/>
              <w:left w:val="single" w:color="auto" w:sz="4" w:space="0"/>
              <w:bottom w:val="single" w:color="auto" w:sz="4" w:space="0"/>
              <w:right w:val="single" w:color="auto" w:sz="4" w:space="0"/>
            </w:tcBorders>
            <w:tcMar>
              <w:top w:w="57" w:type="dxa"/>
            </w:tcMar>
            <w:vAlign w:val="center"/>
          </w:tcPr>
          <w:p>
            <w:pPr>
              <w:pStyle w:val="24"/>
              <w:spacing w:before="0" w:beforeAutospacing="0" w:after="0" w:afterAutospacing="0"/>
              <w:jc w:val="center"/>
              <w:rPr>
                <w:rFonts w:hint="default" w:cs="宋体"/>
                <w:bCs/>
                <w:sz w:val="21"/>
                <w:szCs w:val="21"/>
              </w:rPr>
            </w:pPr>
            <w:r>
              <w:rPr>
                <w:rFonts w:cs="宋体"/>
                <w:bCs/>
                <w:sz w:val="21"/>
                <w:szCs w:val="21"/>
              </w:rPr>
              <w:t>固定电话</w:t>
            </w:r>
          </w:p>
        </w:tc>
        <w:tc>
          <w:tcPr>
            <w:tcW w:w="2311" w:type="dxa"/>
            <w:gridSpan w:val="3"/>
            <w:tcBorders>
              <w:top w:val="nil"/>
              <w:left w:val="single" w:color="auto" w:sz="4" w:space="0"/>
              <w:bottom w:val="single" w:color="auto" w:sz="4" w:space="0"/>
              <w:right w:val="single" w:color="auto" w:sz="4" w:space="0"/>
            </w:tcBorders>
            <w:tcMar>
              <w:top w:w="57" w:type="dxa"/>
            </w:tcMar>
            <w:vAlign w:val="center"/>
          </w:tcPr>
          <w:p>
            <w:pPr>
              <w:pStyle w:val="24"/>
              <w:spacing w:before="0" w:beforeAutospacing="0" w:after="0" w:afterAutospacing="0"/>
              <w:jc w:val="center"/>
              <w:rPr>
                <w:rFonts w:hint="default" w:cs="宋体"/>
                <w:bCs/>
                <w:sz w:val="21"/>
                <w:szCs w:val="21"/>
              </w:rPr>
            </w:pPr>
          </w:p>
        </w:tc>
        <w:tc>
          <w:tcPr>
            <w:tcW w:w="2001" w:type="dxa"/>
            <w:gridSpan w:val="3"/>
            <w:vMerge w:val="restart"/>
            <w:tcBorders>
              <w:top w:val="nil"/>
              <w:left w:val="single" w:color="auto" w:sz="4" w:space="0"/>
              <w:bottom w:val="single" w:color="auto" w:sz="4" w:space="0"/>
              <w:right w:val="single" w:color="auto" w:sz="4" w:space="0"/>
            </w:tcBorders>
            <w:tcMar>
              <w:top w:w="57" w:type="dxa"/>
            </w:tcMar>
            <w:vAlign w:val="center"/>
          </w:tcPr>
          <w:p>
            <w:pPr>
              <w:pStyle w:val="24"/>
              <w:spacing w:before="0" w:beforeAutospacing="0" w:after="0" w:afterAutospacing="0"/>
              <w:jc w:val="center"/>
              <w:rPr>
                <w:rFonts w:hint="default" w:cs="宋体"/>
                <w:bCs/>
                <w:sz w:val="21"/>
                <w:szCs w:val="21"/>
              </w:rPr>
            </w:pPr>
            <w:r>
              <w:rPr>
                <w:rFonts w:cs="宋体"/>
                <w:bCs/>
                <w:sz w:val="21"/>
                <w:szCs w:val="21"/>
              </w:rPr>
              <w:t>传真</w:t>
            </w:r>
          </w:p>
        </w:tc>
        <w:tc>
          <w:tcPr>
            <w:tcW w:w="2153" w:type="dxa"/>
            <w:gridSpan w:val="2"/>
            <w:vMerge w:val="restart"/>
            <w:tcBorders>
              <w:top w:val="nil"/>
              <w:left w:val="single" w:color="auto" w:sz="4" w:space="0"/>
              <w:bottom w:val="single" w:color="auto" w:sz="4" w:space="0"/>
              <w:right w:val="single" w:color="auto" w:sz="4" w:space="0"/>
            </w:tcBorders>
            <w:tcMar>
              <w:top w:w="57" w:type="dxa"/>
            </w:tcMar>
            <w:vAlign w:val="center"/>
          </w:tcPr>
          <w:p>
            <w:pPr>
              <w:pStyle w:val="24"/>
              <w:spacing w:before="0" w:beforeAutospacing="0" w:after="0" w:afterAutospacing="0"/>
              <w:jc w:val="center"/>
              <w:rPr>
                <w:rFonts w:hint="default"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07" w:type="dxa"/>
            <w:vMerge w:val="continue"/>
            <w:tcBorders>
              <w:top w:val="nil"/>
              <w:left w:val="single" w:color="auto" w:sz="4" w:space="0"/>
              <w:bottom w:val="single" w:color="auto" w:sz="4" w:space="0"/>
              <w:right w:val="single" w:color="auto" w:sz="4" w:space="0"/>
            </w:tcBorders>
            <w:tcMar>
              <w:top w:w="57" w:type="dxa"/>
            </w:tcMar>
            <w:vAlign w:val="center"/>
          </w:tcPr>
          <w:p>
            <w:pPr>
              <w:rPr>
                <w:sz w:val="20"/>
                <w:szCs w:val="20"/>
              </w:rPr>
            </w:pPr>
          </w:p>
        </w:tc>
        <w:tc>
          <w:tcPr>
            <w:tcW w:w="720" w:type="dxa"/>
            <w:vMerge w:val="continue"/>
            <w:tcBorders>
              <w:top w:val="nil"/>
              <w:left w:val="single" w:color="auto" w:sz="4" w:space="0"/>
              <w:bottom w:val="single" w:color="auto" w:sz="4" w:space="0"/>
              <w:right w:val="single" w:color="auto" w:sz="4" w:space="0"/>
            </w:tcBorders>
            <w:tcMar>
              <w:top w:w="57" w:type="dxa"/>
            </w:tcMar>
            <w:vAlign w:val="center"/>
          </w:tcPr>
          <w:p>
            <w:pPr>
              <w:rPr>
                <w:sz w:val="20"/>
                <w:szCs w:val="20"/>
              </w:rPr>
            </w:pPr>
          </w:p>
        </w:tc>
        <w:tc>
          <w:tcPr>
            <w:tcW w:w="1095" w:type="dxa"/>
            <w:gridSpan w:val="2"/>
            <w:tcBorders>
              <w:top w:val="single" w:color="auto" w:sz="4" w:space="0"/>
              <w:left w:val="single" w:color="auto" w:sz="4" w:space="0"/>
              <w:bottom w:val="single" w:color="auto" w:sz="4" w:space="0"/>
              <w:right w:val="single" w:color="auto" w:sz="4" w:space="0"/>
            </w:tcBorders>
            <w:tcMar>
              <w:top w:w="57" w:type="dxa"/>
            </w:tcMar>
            <w:vAlign w:val="center"/>
          </w:tcPr>
          <w:p>
            <w:pPr>
              <w:pStyle w:val="24"/>
              <w:spacing w:before="0" w:beforeAutospacing="0" w:after="0" w:afterAutospacing="0"/>
              <w:jc w:val="center"/>
              <w:rPr>
                <w:rFonts w:hint="default" w:cs="宋体"/>
                <w:bCs/>
                <w:sz w:val="21"/>
                <w:szCs w:val="21"/>
              </w:rPr>
            </w:pPr>
            <w:r>
              <w:rPr>
                <w:rFonts w:cs="宋体"/>
                <w:bCs/>
                <w:sz w:val="21"/>
                <w:szCs w:val="21"/>
              </w:rPr>
              <w:t>手机</w:t>
            </w:r>
          </w:p>
        </w:tc>
        <w:tc>
          <w:tcPr>
            <w:tcW w:w="2311" w:type="dxa"/>
            <w:gridSpan w:val="3"/>
            <w:tcBorders>
              <w:top w:val="single" w:color="auto" w:sz="4" w:space="0"/>
              <w:left w:val="single" w:color="auto" w:sz="4" w:space="0"/>
              <w:bottom w:val="single" w:color="auto" w:sz="4" w:space="0"/>
              <w:right w:val="single" w:color="auto" w:sz="4" w:space="0"/>
            </w:tcBorders>
            <w:tcMar>
              <w:top w:w="57" w:type="dxa"/>
            </w:tcMar>
            <w:vAlign w:val="center"/>
          </w:tcPr>
          <w:p>
            <w:pPr>
              <w:pStyle w:val="24"/>
              <w:spacing w:before="0" w:beforeAutospacing="0" w:after="0" w:afterAutospacing="0"/>
              <w:jc w:val="center"/>
              <w:rPr>
                <w:rFonts w:hint="default" w:cs="宋体"/>
                <w:bCs/>
                <w:sz w:val="21"/>
                <w:szCs w:val="21"/>
              </w:rPr>
            </w:pPr>
          </w:p>
        </w:tc>
        <w:tc>
          <w:tcPr>
            <w:tcW w:w="2001" w:type="dxa"/>
            <w:gridSpan w:val="3"/>
            <w:vMerge w:val="continue"/>
            <w:tcBorders>
              <w:top w:val="nil"/>
              <w:left w:val="single" w:color="auto" w:sz="4" w:space="0"/>
              <w:bottom w:val="single" w:color="auto" w:sz="4" w:space="0"/>
              <w:right w:val="single" w:color="auto" w:sz="4" w:space="0"/>
            </w:tcBorders>
            <w:tcMar>
              <w:top w:w="57" w:type="dxa"/>
            </w:tcMar>
            <w:vAlign w:val="center"/>
          </w:tcPr>
          <w:p>
            <w:pPr>
              <w:rPr>
                <w:sz w:val="20"/>
                <w:szCs w:val="20"/>
              </w:rPr>
            </w:pPr>
          </w:p>
        </w:tc>
        <w:tc>
          <w:tcPr>
            <w:tcW w:w="2153" w:type="dxa"/>
            <w:gridSpan w:val="2"/>
            <w:vMerge w:val="continue"/>
            <w:tcBorders>
              <w:top w:val="nil"/>
              <w:left w:val="single" w:color="auto" w:sz="4" w:space="0"/>
              <w:bottom w:val="single" w:color="auto" w:sz="4" w:space="0"/>
              <w:right w:val="single" w:color="auto" w:sz="4" w:space="0"/>
            </w:tcBorders>
            <w:tcMar>
              <w:top w:w="57" w:type="dxa"/>
            </w:tcMar>
            <w:vAlign w:val="center"/>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707" w:type="dxa"/>
            <w:vMerge w:val="restart"/>
            <w:tcBorders>
              <w:top w:val="nil"/>
              <w:left w:val="single" w:color="auto" w:sz="4" w:space="0"/>
              <w:bottom w:val="single" w:color="auto" w:sz="4" w:space="0"/>
              <w:right w:val="single" w:color="auto" w:sz="4" w:space="0"/>
            </w:tcBorders>
            <w:tcMar>
              <w:top w:w="57" w:type="dxa"/>
            </w:tcMar>
            <w:vAlign w:val="center"/>
          </w:tcPr>
          <w:p>
            <w:pPr>
              <w:pStyle w:val="24"/>
              <w:spacing w:before="0" w:beforeAutospacing="0" w:after="0" w:afterAutospacing="0"/>
              <w:jc w:val="center"/>
              <w:rPr>
                <w:rFonts w:hint="default" w:cs="宋体"/>
                <w:bCs/>
                <w:sz w:val="21"/>
                <w:szCs w:val="21"/>
              </w:rPr>
            </w:pPr>
            <w:r>
              <w:rPr>
                <w:rFonts w:cs="宋体"/>
                <w:bCs/>
                <w:sz w:val="21"/>
                <w:szCs w:val="21"/>
              </w:rPr>
              <w:t>1.</w:t>
            </w:r>
          </w:p>
          <w:p>
            <w:pPr>
              <w:pStyle w:val="24"/>
              <w:spacing w:before="0" w:beforeAutospacing="0" w:after="0" w:afterAutospacing="0"/>
              <w:jc w:val="center"/>
              <w:rPr>
                <w:rFonts w:hint="default" w:cs="宋体"/>
                <w:bCs/>
                <w:sz w:val="21"/>
                <w:szCs w:val="21"/>
              </w:rPr>
            </w:pPr>
            <w:r>
              <w:rPr>
                <w:rFonts w:cs="宋体"/>
                <w:bCs/>
                <w:sz w:val="21"/>
                <w:szCs w:val="21"/>
              </w:rPr>
              <w:t>企</w:t>
            </w:r>
          </w:p>
          <w:p>
            <w:pPr>
              <w:pStyle w:val="24"/>
              <w:spacing w:before="0" w:beforeAutospacing="0" w:after="0" w:afterAutospacing="0"/>
              <w:jc w:val="center"/>
              <w:rPr>
                <w:rFonts w:hint="default" w:cs="宋体"/>
                <w:bCs/>
                <w:sz w:val="21"/>
                <w:szCs w:val="21"/>
              </w:rPr>
            </w:pPr>
            <w:r>
              <w:rPr>
                <w:rFonts w:cs="宋体"/>
                <w:bCs/>
                <w:sz w:val="21"/>
                <w:szCs w:val="21"/>
              </w:rPr>
              <w:t>业</w:t>
            </w:r>
          </w:p>
          <w:p>
            <w:pPr>
              <w:pStyle w:val="24"/>
              <w:spacing w:before="0" w:beforeAutospacing="0" w:after="0" w:afterAutospacing="0"/>
              <w:jc w:val="center"/>
              <w:rPr>
                <w:rFonts w:hint="default" w:cs="宋体"/>
                <w:bCs/>
                <w:sz w:val="21"/>
                <w:szCs w:val="21"/>
              </w:rPr>
            </w:pPr>
            <w:r>
              <w:rPr>
                <w:rFonts w:cs="宋体"/>
                <w:bCs/>
                <w:sz w:val="21"/>
                <w:szCs w:val="21"/>
              </w:rPr>
              <w:t>概</w:t>
            </w:r>
          </w:p>
          <w:p>
            <w:pPr>
              <w:pStyle w:val="24"/>
              <w:spacing w:before="0" w:beforeAutospacing="0" w:after="0" w:afterAutospacing="0"/>
              <w:jc w:val="center"/>
              <w:rPr>
                <w:rFonts w:hint="default" w:cs="宋体"/>
                <w:bCs/>
                <w:sz w:val="21"/>
                <w:szCs w:val="21"/>
              </w:rPr>
            </w:pPr>
            <w:r>
              <w:rPr>
                <w:rFonts w:cs="宋体"/>
                <w:bCs/>
                <w:sz w:val="21"/>
                <w:szCs w:val="21"/>
              </w:rPr>
              <w:t>况</w:t>
            </w:r>
          </w:p>
        </w:tc>
        <w:tc>
          <w:tcPr>
            <w:tcW w:w="720" w:type="dxa"/>
            <w:tcBorders>
              <w:top w:val="nil"/>
              <w:left w:val="single" w:color="auto" w:sz="4" w:space="0"/>
              <w:bottom w:val="single" w:color="auto" w:sz="4" w:space="0"/>
              <w:right w:val="single" w:color="auto" w:sz="4" w:space="0"/>
            </w:tcBorders>
            <w:tcMar>
              <w:top w:w="57" w:type="dxa"/>
            </w:tcMar>
            <w:vAlign w:val="center"/>
          </w:tcPr>
          <w:p>
            <w:pPr>
              <w:pStyle w:val="24"/>
              <w:spacing w:before="0" w:beforeAutospacing="0" w:after="0" w:afterAutospacing="0"/>
              <w:jc w:val="center"/>
              <w:rPr>
                <w:rFonts w:hint="default" w:cs="宋体"/>
                <w:bCs/>
                <w:sz w:val="21"/>
                <w:szCs w:val="21"/>
              </w:rPr>
            </w:pPr>
            <w:r>
              <w:rPr>
                <w:rFonts w:cs="宋体"/>
                <w:bCs/>
                <w:sz w:val="21"/>
                <w:szCs w:val="21"/>
              </w:rPr>
              <w:t>职工人数</w:t>
            </w:r>
          </w:p>
        </w:tc>
        <w:tc>
          <w:tcPr>
            <w:tcW w:w="1095" w:type="dxa"/>
            <w:gridSpan w:val="2"/>
            <w:tcBorders>
              <w:top w:val="nil"/>
              <w:left w:val="single" w:color="auto" w:sz="4" w:space="0"/>
              <w:bottom w:val="single" w:color="auto" w:sz="4" w:space="0"/>
              <w:right w:val="single" w:color="auto" w:sz="4" w:space="0"/>
            </w:tcBorders>
            <w:tcMar>
              <w:top w:w="57" w:type="dxa"/>
            </w:tcMar>
            <w:vAlign w:val="center"/>
          </w:tcPr>
          <w:p>
            <w:pPr>
              <w:pStyle w:val="24"/>
              <w:spacing w:before="0" w:beforeAutospacing="0" w:after="0" w:afterAutospacing="0"/>
              <w:jc w:val="center"/>
              <w:rPr>
                <w:rFonts w:hint="default" w:cs="宋体"/>
                <w:bCs/>
                <w:sz w:val="21"/>
                <w:szCs w:val="21"/>
              </w:rPr>
            </w:pPr>
          </w:p>
        </w:tc>
        <w:tc>
          <w:tcPr>
            <w:tcW w:w="1106" w:type="dxa"/>
            <w:tcBorders>
              <w:top w:val="nil"/>
              <w:left w:val="single" w:color="auto" w:sz="4" w:space="0"/>
              <w:bottom w:val="single" w:color="auto" w:sz="4" w:space="0"/>
              <w:right w:val="single" w:color="auto" w:sz="4" w:space="0"/>
            </w:tcBorders>
            <w:tcMar>
              <w:top w:w="57" w:type="dxa"/>
            </w:tcMar>
            <w:vAlign w:val="center"/>
          </w:tcPr>
          <w:p>
            <w:pPr>
              <w:pStyle w:val="24"/>
              <w:spacing w:before="0" w:beforeAutospacing="0" w:after="0" w:afterAutospacing="0"/>
              <w:jc w:val="center"/>
              <w:rPr>
                <w:rFonts w:hint="default" w:cs="宋体"/>
                <w:bCs/>
                <w:sz w:val="21"/>
                <w:szCs w:val="21"/>
              </w:rPr>
            </w:pPr>
            <w:r>
              <w:rPr>
                <w:rFonts w:cs="宋体"/>
                <w:bCs/>
                <w:sz w:val="21"/>
                <w:szCs w:val="21"/>
              </w:rPr>
              <w:t>具备大专以上学历人数</w:t>
            </w:r>
          </w:p>
        </w:tc>
        <w:tc>
          <w:tcPr>
            <w:tcW w:w="1205" w:type="dxa"/>
            <w:gridSpan w:val="2"/>
            <w:tcBorders>
              <w:top w:val="nil"/>
              <w:left w:val="single" w:color="auto" w:sz="4" w:space="0"/>
              <w:bottom w:val="single" w:color="auto" w:sz="4" w:space="0"/>
              <w:right w:val="single" w:color="auto" w:sz="4" w:space="0"/>
            </w:tcBorders>
            <w:tcMar>
              <w:top w:w="57" w:type="dxa"/>
            </w:tcMar>
            <w:vAlign w:val="center"/>
          </w:tcPr>
          <w:p>
            <w:pPr>
              <w:pStyle w:val="24"/>
              <w:spacing w:before="0" w:beforeAutospacing="0" w:after="0" w:afterAutospacing="0"/>
              <w:jc w:val="center"/>
              <w:rPr>
                <w:rFonts w:hint="default" w:cs="宋体"/>
                <w:bCs/>
                <w:sz w:val="21"/>
                <w:szCs w:val="21"/>
              </w:rPr>
            </w:pPr>
          </w:p>
        </w:tc>
        <w:tc>
          <w:tcPr>
            <w:tcW w:w="2001" w:type="dxa"/>
            <w:gridSpan w:val="3"/>
            <w:tcBorders>
              <w:top w:val="single" w:color="auto" w:sz="4" w:space="0"/>
              <w:left w:val="single" w:color="auto" w:sz="4" w:space="0"/>
              <w:bottom w:val="single" w:color="auto" w:sz="4" w:space="0"/>
              <w:right w:val="single" w:color="auto" w:sz="4" w:space="0"/>
            </w:tcBorders>
            <w:tcMar>
              <w:top w:w="57" w:type="dxa"/>
            </w:tcMar>
            <w:vAlign w:val="center"/>
          </w:tcPr>
          <w:p>
            <w:pPr>
              <w:pStyle w:val="24"/>
              <w:spacing w:before="0" w:beforeAutospacing="0" w:after="0" w:afterAutospacing="0"/>
              <w:jc w:val="center"/>
              <w:rPr>
                <w:rFonts w:hint="default" w:cs="宋体"/>
                <w:bCs/>
                <w:sz w:val="21"/>
                <w:szCs w:val="21"/>
              </w:rPr>
            </w:pPr>
            <w:r>
              <w:rPr>
                <w:rFonts w:cs="宋体"/>
                <w:bCs/>
                <w:sz w:val="21"/>
                <w:szCs w:val="21"/>
              </w:rPr>
              <w:t>国家授予技术职称人数</w:t>
            </w:r>
          </w:p>
        </w:tc>
        <w:tc>
          <w:tcPr>
            <w:tcW w:w="2153" w:type="dxa"/>
            <w:gridSpan w:val="2"/>
            <w:tcBorders>
              <w:top w:val="single" w:color="auto" w:sz="4" w:space="0"/>
              <w:left w:val="single" w:color="auto" w:sz="4" w:space="0"/>
              <w:bottom w:val="single" w:color="auto" w:sz="4" w:space="0"/>
              <w:right w:val="single" w:color="auto" w:sz="4" w:space="0"/>
            </w:tcBorders>
            <w:tcMar>
              <w:top w:w="57" w:type="dxa"/>
            </w:tcMar>
            <w:vAlign w:val="center"/>
          </w:tcPr>
          <w:p>
            <w:pPr>
              <w:widowControl/>
              <w:jc w:val="center"/>
              <w:rPr>
                <w:rFonts w:ascii="宋体" w:hAnsi="宋体" w:cs="宋体"/>
                <w:bCs/>
                <w:kern w:val="0"/>
                <w:sz w:val="28"/>
                <w:szCs w:val="28"/>
              </w:rPr>
            </w:pPr>
          </w:p>
          <w:p>
            <w:pPr>
              <w:pStyle w:val="24"/>
              <w:spacing w:before="0" w:beforeAutospacing="0" w:after="0" w:afterAutospacing="0"/>
              <w:jc w:val="center"/>
              <w:rPr>
                <w:rFonts w:hint="default"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707" w:type="dxa"/>
            <w:vMerge w:val="continue"/>
            <w:tcBorders>
              <w:top w:val="nil"/>
              <w:left w:val="single" w:color="auto" w:sz="4" w:space="0"/>
              <w:bottom w:val="single" w:color="auto" w:sz="4" w:space="0"/>
              <w:right w:val="single" w:color="auto" w:sz="4" w:space="0"/>
            </w:tcBorders>
            <w:tcMar>
              <w:top w:w="57" w:type="dxa"/>
            </w:tcMar>
            <w:vAlign w:val="center"/>
          </w:tcPr>
          <w:p>
            <w:pPr>
              <w:rPr>
                <w:sz w:val="20"/>
                <w:szCs w:val="20"/>
              </w:rPr>
            </w:pPr>
          </w:p>
        </w:tc>
        <w:tc>
          <w:tcPr>
            <w:tcW w:w="720" w:type="dxa"/>
            <w:tcBorders>
              <w:top w:val="single" w:color="auto" w:sz="4" w:space="0"/>
              <w:left w:val="single" w:color="auto" w:sz="4" w:space="0"/>
              <w:bottom w:val="single" w:color="auto" w:sz="4" w:space="0"/>
              <w:right w:val="single" w:color="auto" w:sz="4" w:space="0"/>
            </w:tcBorders>
            <w:tcMar>
              <w:top w:w="57" w:type="dxa"/>
            </w:tcMar>
            <w:vAlign w:val="center"/>
          </w:tcPr>
          <w:p>
            <w:pPr>
              <w:pStyle w:val="24"/>
              <w:spacing w:before="0" w:beforeAutospacing="0" w:after="0" w:afterAutospacing="0"/>
              <w:jc w:val="center"/>
              <w:rPr>
                <w:rFonts w:hint="default" w:cs="宋体"/>
                <w:bCs/>
                <w:sz w:val="21"/>
                <w:szCs w:val="21"/>
              </w:rPr>
            </w:pPr>
            <w:r>
              <w:rPr>
                <w:rFonts w:cs="宋体"/>
                <w:bCs/>
                <w:sz w:val="21"/>
                <w:szCs w:val="21"/>
              </w:rPr>
              <w:t>占地面积</w:t>
            </w:r>
          </w:p>
        </w:tc>
        <w:tc>
          <w:tcPr>
            <w:tcW w:w="1095" w:type="dxa"/>
            <w:gridSpan w:val="2"/>
            <w:tcBorders>
              <w:top w:val="single" w:color="auto" w:sz="4" w:space="0"/>
              <w:left w:val="single" w:color="auto" w:sz="4" w:space="0"/>
              <w:bottom w:val="single" w:color="auto" w:sz="4" w:space="0"/>
              <w:right w:val="single" w:color="auto" w:sz="4" w:space="0"/>
            </w:tcBorders>
            <w:tcMar>
              <w:top w:w="57" w:type="dxa"/>
            </w:tcMar>
            <w:vAlign w:val="center"/>
          </w:tcPr>
          <w:p>
            <w:pPr>
              <w:pStyle w:val="24"/>
              <w:spacing w:before="0" w:beforeAutospacing="0" w:after="0" w:afterAutospacing="0"/>
              <w:jc w:val="center"/>
              <w:rPr>
                <w:rFonts w:hint="default" w:cs="宋体"/>
                <w:bCs/>
                <w:sz w:val="21"/>
                <w:szCs w:val="21"/>
              </w:rPr>
            </w:pPr>
          </w:p>
        </w:tc>
        <w:tc>
          <w:tcPr>
            <w:tcW w:w="1106" w:type="dxa"/>
            <w:tcBorders>
              <w:top w:val="single" w:color="auto" w:sz="4" w:space="0"/>
              <w:left w:val="single" w:color="auto" w:sz="4" w:space="0"/>
              <w:bottom w:val="single" w:color="auto" w:sz="4" w:space="0"/>
              <w:right w:val="single" w:color="auto" w:sz="4" w:space="0"/>
            </w:tcBorders>
            <w:tcMar>
              <w:top w:w="57" w:type="dxa"/>
            </w:tcMar>
            <w:vAlign w:val="center"/>
          </w:tcPr>
          <w:p>
            <w:pPr>
              <w:pStyle w:val="24"/>
              <w:spacing w:before="0" w:beforeAutospacing="0" w:after="0" w:afterAutospacing="0"/>
              <w:jc w:val="center"/>
              <w:rPr>
                <w:rFonts w:hint="default" w:cs="宋体"/>
                <w:bCs/>
                <w:sz w:val="21"/>
                <w:szCs w:val="21"/>
              </w:rPr>
            </w:pPr>
            <w:r>
              <w:rPr>
                <w:rFonts w:cs="宋体"/>
                <w:bCs/>
                <w:sz w:val="21"/>
                <w:szCs w:val="21"/>
              </w:rPr>
              <w:t>建筑</w:t>
            </w:r>
          </w:p>
          <w:p>
            <w:pPr>
              <w:pStyle w:val="24"/>
              <w:spacing w:before="0" w:beforeAutospacing="0" w:after="0" w:afterAutospacing="0"/>
              <w:jc w:val="center"/>
              <w:rPr>
                <w:rFonts w:hint="default" w:cs="宋体"/>
                <w:bCs/>
                <w:sz w:val="21"/>
                <w:szCs w:val="21"/>
              </w:rPr>
            </w:pPr>
            <w:r>
              <w:rPr>
                <w:rFonts w:cs="宋体"/>
                <w:bCs/>
                <w:sz w:val="21"/>
                <w:szCs w:val="21"/>
              </w:rPr>
              <w:t>面积</w:t>
            </w:r>
          </w:p>
        </w:tc>
        <w:tc>
          <w:tcPr>
            <w:tcW w:w="1205" w:type="dxa"/>
            <w:gridSpan w:val="2"/>
            <w:tcBorders>
              <w:top w:val="single" w:color="auto" w:sz="4" w:space="0"/>
              <w:left w:val="single" w:color="auto" w:sz="4" w:space="0"/>
              <w:bottom w:val="single" w:color="auto" w:sz="4" w:space="0"/>
              <w:right w:val="single" w:color="auto" w:sz="4" w:space="0"/>
            </w:tcBorders>
            <w:tcMar>
              <w:top w:w="57" w:type="dxa"/>
            </w:tcMar>
            <w:vAlign w:val="center"/>
          </w:tcPr>
          <w:p>
            <w:pPr>
              <w:pStyle w:val="24"/>
              <w:spacing w:before="0" w:beforeAutospacing="0" w:after="0" w:afterAutospacing="0"/>
              <w:jc w:val="right"/>
              <w:rPr>
                <w:rFonts w:hint="default" w:cs="宋体"/>
                <w:bCs/>
                <w:sz w:val="21"/>
                <w:szCs w:val="21"/>
              </w:rPr>
            </w:pPr>
            <w:r>
              <w:rPr>
                <w:rFonts w:cs="宋体"/>
                <w:bCs/>
                <w:sz w:val="21"/>
                <w:szCs w:val="21"/>
              </w:rPr>
              <w:t>平方米</w:t>
            </w:r>
          </w:p>
          <w:p>
            <w:pPr>
              <w:pStyle w:val="24"/>
              <w:spacing w:before="0" w:beforeAutospacing="0" w:after="0" w:afterAutospacing="0"/>
              <w:jc w:val="center"/>
              <w:rPr>
                <w:rFonts w:hint="default" w:cs="宋体"/>
                <w:bCs/>
                <w:sz w:val="21"/>
                <w:szCs w:val="21"/>
              </w:rPr>
            </w:pPr>
            <w:r>
              <w:rPr>
                <w:rFonts w:cs="宋体"/>
                <w:bCs/>
                <w:sz w:val="21"/>
                <w:szCs w:val="21"/>
              </w:rPr>
              <w:t>□自有</w:t>
            </w:r>
          </w:p>
          <w:p>
            <w:pPr>
              <w:pStyle w:val="24"/>
              <w:spacing w:before="0" w:beforeAutospacing="0" w:after="0" w:afterAutospacing="0"/>
              <w:jc w:val="center"/>
              <w:rPr>
                <w:rFonts w:hint="default" w:cs="宋体"/>
                <w:bCs/>
                <w:sz w:val="21"/>
                <w:szCs w:val="21"/>
              </w:rPr>
            </w:pPr>
            <w:r>
              <w:rPr>
                <w:rFonts w:cs="宋体"/>
                <w:bCs/>
                <w:sz w:val="21"/>
                <w:szCs w:val="21"/>
              </w:rPr>
              <w:t>□租赁</w:t>
            </w:r>
          </w:p>
        </w:tc>
        <w:tc>
          <w:tcPr>
            <w:tcW w:w="2001" w:type="dxa"/>
            <w:gridSpan w:val="3"/>
            <w:tcBorders>
              <w:top w:val="single" w:color="auto" w:sz="4" w:space="0"/>
              <w:left w:val="single" w:color="auto" w:sz="4" w:space="0"/>
              <w:bottom w:val="single" w:color="auto" w:sz="4" w:space="0"/>
              <w:right w:val="single" w:color="auto" w:sz="4" w:space="0"/>
            </w:tcBorders>
            <w:tcMar>
              <w:top w:w="57" w:type="dxa"/>
            </w:tcMar>
            <w:vAlign w:val="center"/>
          </w:tcPr>
          <w:p>
            <w:pPr>
              <w:pStyle w:val="24"/>
              <w:spacing w:before="0" w:beforeAutospacing="0" w:after="0" w:afterAutospacing="0"/>
              <w:jc w:val="center"/>
              <w:rPr>
                <w:rFonts w:hint="default" w:cs="宋体"/>
                <w:bCs/>
                <w:sz w:val="21"/>
                <w:szCs w:val="21"/>
              </w:rPr>
            </w:pPr>
            <w:r>
              <w:rPr>
                <w:rFonts w:cs="宋体"/>
                <w:bCs/>
                <w:sz w:val="21"/>
                <w:szCs w:val="21"/>
              </w:rPr>
              <w:t>生产经营场所及场所的设施与设备</w:t>
            </w:r>
          </w:p>
        </w:tc>
        <w:tc>
          <w:tcPr>
            <w:tcW w:w="2153" w:type="dxa"/>
            <w:gridSpan w:val="2"/>
            <w:tcBorders>
              <w:top w:val="single" w:color="auto" w:sz="4" w:space="0"/>
              <w:left w:val="single" w:color="auto" w:sz="4" w:space="0"/>
              <w:bottom w:val="single" w:color="auto" w:sz="4" w:space="0"/>
              <w:right w:val="single" w:color="auto" w:sz="4" w:space="0"/>
            </w:tcBorders>
            <w:tcMar>
              <w:top w:w="57" w:type="dxa"/>
            </w:tcMar>
            <w:vAlign w:val="center"/>
          </w:tcPr>
          <w:p>
            <w:pPr>
              <w:pStyle w:val="24"/>
              <w:spacing w:before="0" w:beforeAutospacing="0" w:after="0" w:afterAutospacing="0"/>
              <w:jc w:val="center"/>
              <w:rPr>
                <w:rFonts w:hint="default"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07" w:type="dxa"/>
            <w:vMerge w:val="continue"/>
            <w:tcBorders>
              <w:top w:val="nil"/>
              <w:left w:val="single" w:color="auto" w:sz="4" w:space="0"/>
              <w:bottom w:val="single" w:color="auto" w:sz="4" w:space="0"/>
              <w:right w:val="single" w:color="auto" w:sz="4" w:space="0"/>
            </w:tcBorders>
            <w:tcMar>
              <w:top w:w="57" w:type="dxa"/>
            </w:tcMar>
            <w:vAlign w:val="center"/>
          </w:tcPr>
          <w:p>
            <w:pPr>
              <w:rPr>
                <w:sz w:val="20"/>
                <w:szCs w:val="20"/>
              </w:rPr>
            </w:pPr>
          </w:p>
        </w:tc>
        <w:tc>
          <w:tcPr>
            <w:tcW w:w="720" w:type="dxa"/>
            <w:tcBorders>
              <w:top w:val="single" w:color="auto" w:sz="4" w:space="0"/>
              <w:left w:val="single" w:color="auto" w:sz="4" w:space="0"/>
              <w:bottom w:val="single" w:color="auto" w:sz="4" w:space="0"/>
              <w:right w:val="single" w:color="auto" w:sz="4" w:space="0"/>
            </w:tcBorders>
            <w:tcMar>
              <w:top w:w="57" w:type="dxa"/>
            </w:tcMar>
            <w:vAlign w:val="center"/>
          </w:tcPr>
          <w:p>
            <w:pPr>
              <w:pStyle w:val="24"/>
              <w:spacing w:before="0" w:beforeAutospacing="0" w:after="0" w:afterAutospacing="0"/>
              <w:jc w:val="center"/>
              <w:rPr>
                <w:rFonts w:hint="default" w:cs="宋体"/>
                <w:bCs/>
                <w:sz w:val="21"/>
                <w:szCs w:val="21"/>
              </w:rPr>
            </w:pPr>
            <w:r>
              <w:rPr>
                <w:rFonts w:cs="宋体"/>
                <w:bCs/>
                <w:sz w:val="21"/>
                <w:szCs w:val="21"/>
              </w:rPr>
              <w:t>注册资金</w:t>
            </w:r>
          </w:p>
        </w:tc>
        <w:tc>
          <w:tcPr>
            <w:tcW w:w="1095" w:type="dxa"/>
            <w:gridSpan w:val="2"/>
            <w:tcBorders>
              <w:top w:val="single" w:color="auto" w:sz="4" w:space="0"/>
              <w:left w:val="single" w:color="auto" w:sz="4" w:space="0"/>
              <w:bottom w:val="single" w:color="auto" w:sz="4" w:space="0"/>
              <w:right w:val="single" w:color="auto" w:sz="4" w:space="0"/>
            </w:tcBorders>
            <w:tcMar>
              <w:top w:w="57" w:type="dxa"/>
            </w:tcMar>
            <w:vAlign w:val="center"/>
          </w:tcPr>
          <w:p>
            <w:pPr>
              <w:pStyle w:val="24"/>
              <w:spacing w:before="0" w:beforeAutospacing="0" w:after="0" w:afterAutospacing="0"/>
              <w:jc w:val="center"/>
              <w:rPr>
                <w:rFonts w:hint="default" w:cs="宋体"/>
                <w:bCs/>
                <w:sz w:val="21"/>
                <w:szCs w:val="21"/>
              </w:rPr>
            </w:pPr>
          </w:p>
        </w:tc>
        <w:tc>
          <w:tcPr>
            <w:tcW w:w="1106" w:type="dxa"/>
            <w:tcBorders>
              <w:top w:val="single" w:color="auto" w:sz="4" w:space="0"/>
              <w:left w:val="single" w:color="auto" w:sz="4" w:space="0"/>
              <w:bottom w:val="single" w:color="auto" w:sz="4" w:space="0"/>
              <w:right w:val="single" w:color="auto" w:sz="4" w:space="0"/>
            </w:tcBorders>
            <w:tcMar>
              <w:top w:w="57" w:type="dxa"/>
            </w:tcMar>
            <w:vAlign w:val="center"/>
          </w:tcPr>
          <w:p>
            <w:pPr>
              <w:pStyle w:val="24"/>
              <w:spacing w:before="0" w:beforeAutospacing="0" w:after="0" w:afterAutospacing="0"/>
              <w:jc w:val="center"/>
              <w:rPr>
                <w:rFonts w:hint="default" w:cs="宋体"/>
                <w:bCs/>
                <w:sz w:val="21"/>
                <w:szCs w:val="21"/>
              </w:rPr>
            </w:pPr>
            <w:r>
              <w:rPr>
                <w:rFonts w:cs="宋体"/>
                <w:bCs/>
                <w:sz w:val="21"/>
                <w:szCs w:val="21"/>
              </w:rPr>
              <w:t>注册发证机关</w:t>
            </w:r>
          </w:p>
        </w:tc>
        <w:tc>
          <w:tcPr>
            <w:tcW w:w="3206" w:type="dxa"/>
            <w:gridSpan w:val="5"/>
            <w:tcBorders>
              <w:top w:val="single" w:color="auto" w:sz="4" w:space="0"/>
              <w:left w:val="single" w:color="auto" w:sz="4" w:space="0"/>
              <w:bottom w:val="single" w:color="auto" w:sz="4" w:space="0"/>
              <w:right w:val="single" w:color="auto" w:sz="4" w:space="0"/>
            </w:tcBorders>
            <w:tcMar>
              <w:top w:w="57" w:type="dxa"/>
            </w:tcMar>
            <w:vAlign w:val="center"/>
          </w:tcPr>
          <w:p>
            <w:pPr>
              <w:widowControl/>
              <w:jc w:val="center"/>
              <w:rPr>
                <w:rFonts w:ascii="宋体" w:hAnsi="宋体" w:cs="宋体"/>
                <w:bCs/>
                <w:kern w:val="0"/>
                <w:sz w:val="28"/>
                <w:szCs w:val="28"/>
              </w:rPr>
            </w:pPr>
          </w:p>
          <w:p>
            <w:pPr>
              <w:pStyle w:val="24"/>
              <w:spacing w:before="0" w:beforeAutospacing="0" w:after="0" w:afterAutospacing="0"/>
              <w:jc w:val="center"/>
              <w:rPr>
                <w:rFonts w:hint="default" w:cs="宋体"/>
                <w:bCs/>
                <w:sz w:val="21"/>
                <w:szCs w:val="21"/>
              </w:rPr>
            </w:pPr>
          </w:p>
        </w:tc>
        <w:tc>
          <w:tcPr>
            <w:tcW w:w="1220" w:type="dxa"/>
            <w:tcBorders>
              <w:top w:val="single" w:color="auto" w:sz="4" w:space="0"/>
              <w:left w:val="single" w:color="auto" w:sz="4" w:space="0"/>
              <w:bottom w:val="single" w:color="auto" w:sz="4" w:space="0"/>
              <w:right w:val="single" w:color="auto" w:sz="4" w:space="0"/>
            </w:tcBorders>
            <w:tcMar>
              <w:top w:w="57" w:type="dxa"/>
            </w:tcMar>
            <w:vAlign w:val="center"/>
          </w:tcPr>
          <w:p>
            <w:pPr>
              <w:pStyle w:val="24"/>
              <w:spacing w:before="0" w:beforeAutospacing="0" w:after="0" w:afterAutospacing="0"/>
              <w:jc w:val="center"/>
              <w:rPr>
                <w:rFonts w:hint="default" w:cs="宋体"/>
                <w:bCs/>
                <w:sz w:val="21"/>
                <w:szCs w:val="21"/>
              </w:rPr>
            </w:pPr>
            <w:r>
              <w:rPr>
                <w:rFonts w:cs="宋体"/>
                <w:bCs/>
                <w:sz w:val="21"/>
                <w:szCs w:val="21"/>
              </w:rPr>
              <w:t>公司成立时间</w:t>
            </w:r>
          </w:p>
        </w:tc>
        <w:tc>
          <w:tcPr>
            <w:tcW w:w="933" w:type="dxa"/>
            <w:tcBorders>
              <w:top w:val="single" w:color="auto" w:sz="4" w:space="0"/>
              <w:left w:val="single" w:color="auto" w:sz="4" w:space="0"/>
              <w:bottom w:val="single" w:color="auto" w:sz="4" w:space="0"/>
              <w:right w:val="single" w:color="auto" w:sz="4" w:space="0"/>
            </w:tcBorders>
            <w:tcMar>
              <w:top w:w="57" w:type="dxa"/>
            </w:tcMar>
            <w:vAlign w:val="center"/>
          </w:tcPr>
          <w:p>
            <w:pPr>
              <w:pStyle w:val="24"/>
              <w:spacing w:before="0" w:beforeAutospacing="0" w:after="0" w:afterAutospacing="0"/>
              <w:jc w:val="center"/>
              <w:rPr>
                <w:rFonts w:hint="default"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07" w:type="dxa"/>
            <w:vMerge w:val="continue"/>
            <w:tcBorders>
              <w:top w:val="nil"/>
              <w:left w:val="single" w:color="auto" w:sz="4" w:space="0"/>
              <w:bottom w:val="single" w:color="auto" w:sz="4" w:space="0"/>
              <w:right w:val="single" w:color="auto" w:sz="4" w:space="0"/>
            </w:tcBorders>
            <w:tcMar>
              <w:top w:w="57" w:type="dxa"/>
            </w:tcMar>
            <w:vAlign w:val="center"/>
          </w:tcPr>
          <w:p>
            <w:pPr>
              <w:rPr>
                <w:sz w:val="20"/>
                <w:szCs w:val="20"/>
              </w:rPr>
            </w:pPr>
          </w:p>
        </w:tc>
        <w:tc>
          <w:tcPr>
            <w:tcW w:w="720" w:type="dxa"/>
            <w:tcBorders>
              <w:top w:val="single" w:color="auto" w:sz="4" w:space="0"/>
              <w:left w:val="single" w:color="auto" w:sz="4" w:space="0"/>
              <w:bottom w:val="single" w:color="auto" w:sz="4" w:space="0"/>
              <w:right w:val="single" w:color="auto" w:sz="4" w:space="0"/>
            </w:tcBorders>
            <w:tcMar>
              <w:top w:w="57" w:type="dxa"/>
            </w:tcMar>
            <w:vAlign w:val="center"/>
          </w:tcPr>
          <w:p>
            <w:pPr>
              <w:pStyle w:val="24"/>
              <w:spacing w:before="0" w:beforeAutospacing="0" w:after="0" w:afterAutospacing="0"/>
              <w:jc w:val="center"/>
              <w:rPr>
                <w:rFonts w:hint="default" w:cs="宋体"/>
                <w:bCs/>
                <w:sz w:val="21"/>
                <w:szCs w:val="21"/>
              </w:rPr>
            </w:pPr>
            <w:r>
              <w:rPr>
                <w:rFonts w:cs="宋体"/>
                <w:bCs/>
                <w:sz w:val="21"/>
                <w:szCs w:val="21"/>
              </w:rPr>
              <w:t>核准经营范围</w:t>
            </w:r>
          </w:p>
        </w:tc>
        <w:tc>
          <w:tcPr>
            <w:tcW w:w="7560" w:type="dxa"/>
            <w:gridSpan w:val="10"/>
            <w:tcBorders>
              <w:top w:val="single" w:color="auto" w:sz="4" w:space="0"/>
              <w:left w:val="single" w:color="auto" w:sz="4" w:space="0"/>
              <w:bottom w:val="single" w:color="auto" w:sz="4" w:space="0"/>
              <w:right w:val="single" w:color="auto" w:sz="4" w:space="0"/>
            </w:tcBorders>
            <w:tcMar>
              <w:top w:w="57" w:type="dxa"/>
            </w:tcMar>
            <w:vAlign w:val="center"/>
          </w:tcPr>
          <w:p>
            <w:pPr>
              <w:pStyle w:val="24"/>
              <w:spacing w:before="0" w:beforeAutospacing="0" w:after="0" w:afterAutospacing="0"/>
              <w:jc w:val="center"/>
              <w:rPr>
                <w:rFonts w:hint="default"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07" w:type="dxa"/>
            <w:vMerge w:val="continue"/>
            <w:tcBorders>
              <w:top w:val="nil"/>
              <w:left w:val="single" w:color="auto" w:sz="4" w:space="0"/>
              <w:bottom w:val="single" w:color="auto" w:sz="4" w:space="0"/>
              <w:right w:val="single" w:color="auto" w:sz="4" w:space="0"/>
            </w:tcBorders>
            <w:tcMar>
              <w:top w:w="57" w:type="dxa"/>
            </w:tcMar>
            <w:vAlign w:val="center"/>
          </w:tcPr>
          <w:p>
            <w:pPr>
              <w:rPr>
                <w:sz w:val="20"/>
                <w:szCs w:val="20"/>
              </w:rPr>
            </w:pPr>
          </w:p>
        </w:tc>
        <w:tc>
          <w:tcPr>
            <w:tcW w:w="8280" w:type="dxa"/>
            <w:gridSpan w:val="11"/>
            <w:tcBorders>
              <w:top w:val="single" w:color="auto" w:sz="4" w:space="0"/>
              <w:left w:val="single" w:color="auto" w:sz="4" w:space="0"/>
              <w:bottom w:val="single" w:color="auto" w:sz="4" w:space="0"/>
              <w:right w:val="single" w:color="auto" w:sz="4" w:space="0"/>
            </w:tcBorders>
            <w:tcMar>
              <w:top w:w="57" w:type="dxa"/>
            </w:tcMar>
            <w:vAlign w:val="center"/>
          </w:tcPr>
          <w:p>
            <w:pPr>
              <w:pStyle w:val="24"/>
              <w:spacing w:before="0" w:beforeAutospacing="0" w:after="0" w:afterAutospacing="0"/>
              <w:jc w:val="both"/>
              <w:rPr>
                <w:rFonts w:hint="default" w:cs="宋体"/>
                <w:bCs/>
                <w:sz w:val="21"/>
                <w:szCs w:val="21"/>
              </w:rPr>
            </w:pPr>
            <w:r>
              <w:rPr>
                <w:rFonts w:cs="宋体"/>
                <w:bCs/>
                <w:sz w:val="21"/>
                <w:szCs w:val="21"/>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7" w:type="dxa"/>
            <w:vMerge w:val="restart"/>
            <w:tcBorders>
              <w:top w:val="nil"/>
              <w:left w:val="single" w:color="auto" w:sz="4" w:space="0"/>
              <w:bottom w:val="single" w:color="auto" w:sz="4" w:space="0"/>
              <w:right w:val="single" w:color="auto" w:sz="4" w:space="0"/>
            </w:tcBorders>
            <w:tcMar>
              <w:top w:w="57" w:type="dxa"/>
            </w:tcMar>
            <w:vAlign w:val="center"/>
          </w:tcPr>
          <w:p>
            <w:pPr>
              <w:pStyle w:val="24"/>
              <w:spacing w:before="0" w:beforeAutospacing="0" w:after="0" w:afterAutospacing="0"/>
              <w:jc w:val="center"/>
              <w:rPr>
                <w:rFonts w:hint="default" w:cs="宋体"/>
                <w:bCs/>
                <w:sz w:val="21"/>
                <w:szCs w:val="21"/>
              </w:rPr>
            </w:pPr>
            <w:r>
              <w:rPr>
                <w:rFonts w:cs="宋体"/>
                <w:bCs/>
                <w:sz w:val="21"/>
                <w:szCs w:val="21"/>
              </w:rPr>
              <w:t>2．</w:t>
            </w:r>
          </w:p>
          <w:p>
            <w:pPr>
              <w:pStyle w:val="24"/>
              <w:spacing w:before="0" w:beforeAutospacing="0" w:after="0" w:afterAutospacing="0"/>
              <w:jc w:val="center"/>
              <w:rPr>
                <w:rFonts w:hint="default" w:cs="宋体"/>
                <w:bCs/>
                <w:sz w:val="21"/>
                <w:szCs w:val="21"/>
              </w:rPr>
            </w:pPr>
            <w:r>
              <w:rPr>
                <w:rFonts w:cs="宋体"/>
                <w:bCs/>
                <w:sz w:val="21"/>
                <w:szCs w:val="21"/>
              </w:rPr>
              <w:t>企业有关资质获证情况</w:t>
            </w:r>
          </w:p>
        </w:tc>
        <w:tc>
          <w:tcPr>
            <w:tcW w:w="1667" w:type="dxa"/>
            <w:gridSpan w:val="2"/>
            <w:vMerge w:val="restart"/>
            <w:tcBorders>
              <w:top w:val="nil"/>
              <w:left w:val="single" w:color="auto" w:sz="4" w:space="0"/>
              <w:bottom w:val="single" w:color="auto" w:sz="4" w:space="0"/>
              <w:right w:val="single" w:color="auto" w:sz="4" w:space="0"/>
            </w:tcBorders>
            <w:tcMar>
              <w:top w:w="57" w:type="dxa"/>
            </w:tcMar>
            <w:vAlign w:val="center"/>
          </w:tcPr>
          <w:p>
            <w:pPr>
              <w:pStyle w:val="24"/>
              <w:spacing w:before="0" w:beforeAutospacing="0" w:after="0" w:afterAutospacing="0"/>
              <w:jc w:val="center"/>
              <w:rPr>
                <w:rFonts w:hint="default" w:cs="宋体"/>
                <w:bCs/>
                <w:sz w:val="21"/>
                <w:szCs w:val="21"/>
              </w:rPr>
            </w:pPr>
            <w:r>
              <w:rPr>
                <w:rFonts w:cs="宋体"/>
                <w:bCs/>
                <w:sz w:val="21"/>
                <w:szCs w:val="21"/>
              </w:rPr>
              <w:t>产品生产许可证情况（对需获得生产许可证的产品要填写此栏）</w:t>
            </w:r>
          </w:p>
        </w:tc>
        <w:tc>
          <w:tcPr>
            <w:tcW w:w="1366" w:type="dxa"/>
            <w:gridSpan w:val="3"/>
            <w:tcBorders>
              <w:top w:val="single" w:color="auto" w:sz="4" w:space="0"/>
              <w:left w:val="single" w:color="auto" w:sz="4" w:space="0"/>
              <w:bottom w:val="single" w:color="auto" w:sz="4" w:space="0"/>
              <w:right w:val="single" w:color="auto" w:sz="4" w:space="0"/>
            </w:tcBorders>
            <w:tcMar>
              <w:top w:w="57" w:type="dxa"/>
            </w:tcMar>
            <w:vAlign w:val="center"/>
          </w:tcPr>
          <w:p>
            <w:pPr>
              <w:pStyle w:val="24"/>
              <w:spacing w:before="0" w:beforeAutospacing="0" w:after="0" w:afterAutospacing="0"/>
              <w:jc w:val="center"/>
              <w:rPr>
                <w:rFonts w:hint="default" w:cs="宋体"/>
                <w:bCs/>
                <w:sz w:val="21"/>
                <w:szCs w:val="21"/>
              </w:rPr>
            </w:pPr>
            <w:r>
              <w:rPr>
                <w:rFonts w:cs="宋体"/>
                <w:bCs/>
                <w:sz w:val="21"/>
                <w:szCs w:val="21"/>
              </w:rPr>
              <w:t>产品名称</w:t>
            </w:r>
          </w:p>
        </w:tc>
        <w:tc>
          <w:tcPr>
            <w:tcW w:w="1418" w:type="dxa"/>
            <w:gridSpan w:val="2"/>
            <w:tcBorders>
              <w:top w:val="single" w:color="auto" w:sz="4" w:space="0"/>
              <w:left w:val="single" w:color="auto" w:sz="4" w:space="0"/>
              <w:bottom w:val="single" w:color="auto" w:sz="4" w:space="0"/>
              <w:right w:val="single" w:color="auto" w:sz="4" w:space="0"/>
            </w:tcBorders>
            <w:tcMar>
              <w:top w:w="57" w:type="dxa"/>
            </w:tcMar>
            <w:vAlign w:val="center"/>
          </w:tcPr>
          <w:p>
            <w:pPr>
              <w:pStyle w:val="24"/>
              <w:spacing w:before="0" w:beforeAutospacing="0" w:after="0" w:afterAutospacing="0"/>
              <w:jc w:val="center"/>
              <w:rPr>
                <w:rFonts w:hint="default" w:cs="宋体"/>
                <w:bCs/>
                <w:sz w:val="21"/>
                <w:szCs w:val="21"/>
              </w:rPr>
            </w:pPr>
            <w:r>
              <w:rPr>
                <w:rFonts w:cs="宋体"/>
                <w:bCs/>
                <w:sz w:val="21"/>
                <w:szCs w:val="21"/>
              </w:rPr>
              <w:t>发证机关</w:t>
            </w:r>
          </w:p>
        </w:tc>
        <w:tc>
          <w:tcPr>
            <w:tcW w:w="1276" w:type="dxa"/>
            <w:tcBorders>
              <w:top w:val="single" w:color="auto" w:sz="4" w:space="0"/>
              <w:left w:val="single" w:color="auto" w:sz="4" w:space="0"/>
              <w:bottom w:val="single" w:color="auto" w:sz="4" w:space="0"/>
              <w:right w:val="single" w:color="auto" w:sz="4" w:space="0"/>
            </w:tcBorders>
            <w:tcMar>
              <w:top w:w="57" w:type="dxa"/>
            </w:tcMar>
            <w:vAlign w:val="center"/>
          </w:tcPr>
          <w:p>
            <w:pPr>
              <w:pStyle w:val="24"/>
              <w:spacing w:before="0" w:beforeAutospacing="0" w:after="0" w:afterAutospacing="0"/>
              <w:jc w:val="center"/>
              <w:rPr>
                <w:rFonts w:hint="default" w:cs="宋体"/>
                <w:bCs/>
                <w:sz w:val="21"/>
                <w:szCs w:val="21"/>
              </w:rPr>
            </w:pPr>
            <w:r>
              <w:rPr>
                <w:rFonts w:cs="宋体"/>
                <w:bCs/>
                <w:sz w:val="21"/>
                <w:szCs w:val="21"/>
              </w:rPr>
              <w:t>编号</w:t>
            </w:r>
          </w:p>
        </w:tc>
        <w:tc>
          <w:tcPr>
            <w:tcW w:w="1620" w:type="dxa"/>
            <w:gridSpan w:val="2"/>
            <w:tcBorders>
              <w:top w:val="single" w:color="auto" w:sz="4" w:space="0"/>
              <w:left w:val="single" w:color="auto" w:sz="4" w:space="0"/>
              <w:bottom w:val="single" w:color="auto" w:sz="4" w:space="0"/>
              <w:right w:val="single" w:color="auto" w:sz="4" w:space="0"/>
            </w:tcBorders>
            <w:tcMar>
              <w:top w:w="57" w:type="dxa"/>
            </w:tcMar>
            <w:vAlign w:val="center"/>
          </w:tcPr>
          <w:p>
            <w:pPr>
              <w:pStyle w:val="24"/>
              <w:spacing w:before="0" w:beforeAutospacing="0" w:after="0" w:afterAutospacing="0"/>
              <w:jc w:val="center"/>
              <w:rPr>
                <w:rFonts w:hint="default" w:cs="宋体"/>
                <w:bCs/>
                <w:sz w:val="21"/>
                <w:szCs w:val="21"/>
              </w:rPr>
            </w:pPr>
            <w:r>
              <w:rPr>
                <w:rFonts w:cs="宋体"/>
                <w:bCs/>
                <w:sz w:val="21"/>
                <w:szCs w:val="21"/>
              </w:rPr>
              <w:t>发证时间</w:t>
            </w:r>
          </w:p>
        </w:tc>
        <w:tc>
          <w:tcPr>
            <w:tcW w:w="933" w:type="dxa"/>
            <w:tcBorders>
              <w:top w:val="single" w:color="auto" w:sz="4" w:space="0"/>
              <w:left w:val="single" w:color="auto" w:sz="4" w:space="0"/>
              <w:bottom w:val="single" w:color="auto" w:sz="4" w:space="0"/>
              <w:right w:val="single" w:color="auto" w:sz="4" w:space="0"/>
            </w:tcBorders>
            <w:tcMar>
              <w:top w:w="57" w:type="dxa"/>
            </w:tcMar>
            <w:vAlign w:val="center"/>
          </w:tcPr>
          <w:p>
            <w:pPr>
              <w:pStyle w:val="24"/>
              <w:spacing w:before="0" w:beforeAutospacing="0" w:after="0" w:afterAutospacing="0"/>
              <w:jc w:val="center"/>
              <w:rPr>
                <w:rFonts w:hint="default" w:cs="宋体"/>
                <w:bCs/>
                <w:sz w:val="21"/>
                <w:szCs w:val="21"/>
              </w:rPr>
            </w:pPr>
            <w:r>
              <w:rPr>
                <w:rFonts w:cs="宋体"/>
                <w:bCs/>
                <w:sz w:val="21"/>
                <w:szCs w:val="21"/>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707" w:type="dxa"/>
            <w:vMerge w:val="continue"/>
            <w:tcBorders>
              <w:top w:val="nil"/>
              <w:left w:val="single" w:color="auto" w:sz="4" w:space="0"/>
              <w:bottom w:val="single" w:color="auto" w:sz="4" w:space="0"/>
              <w:right w:val="single" w:color="auto" w:sz="4" w:space="0"/>
            </w:tcBorders>
            <w:tcMar>
              <w:top w:w="57" w:type="dxa"/>
            </w:tcMar>
            <w:vAlign w:val="center"/>
          </w:tcPr>
          <w:p>
            <w:pPr>
              <w:rPr>
                <w:sz w:val="20"/>
                <w:szCs w:val="20"/>
              </w:rPr>
            </w:pPr>
          </w:p>
        </w:tc>
        <w:tc>
          <w:tcPr>
            <w:tcW w:w="1667" w:type="dxa"/>
            <w:gridSpan w:val="2"/>
            <w:vMerge w:val="continue"/>
            <w:tcBorders>
              <w:top w:val="nil"/>
              <w:left w:val="single" w:color="auto" w:sz="4" w:space="0"/>
              <w:bottom w:val="single" w:color="auto" w:sz="4" w:space="0"/>
              <w:right w:val="single" w:color="auto" w:sz="4" w:space="0"/>
            </w:tcBorders>
            <w:tcMar>
              <w:top w:w="57" w:type="dxa"/>
            </w:tcMar>
            <w:vAlign w:val="center"/>
          </w:tcPr>
          <w:p>
            <w:pPr>
              <w:rPr>
                <w:sz w:val="20"/>
                <w:szCs w:val="20"/>
              </w:rPr>
            </w:pPr>
          </w:p>
        </w:tc>
        <w:tc>
          <w:tcPr>
            <w:tcW w:w="1366" w:type="dxa"/>
            <w:gridSpan w:val="3"/>
            <w:tcBorders>
              <w:top w:val="single" w:color="auto" w:sz="4" w:space="0"/>
              <w:left w:val="single" w:color="auto" w:sz="4" w:space="0"/>
              <w:bottom w:val="single" w:color="auto" w:sz="4" w:space="0"/>
              <w:right w:val="single" w:color="auto" w:sz="4" w:space="0"/>
            </w:tcBorders>
            <w:tcMar>
              <w:top w:w="57" w:type="dxa"/>
            </w:tcMar>
            <w:vAlign w:val="center"/>
          </w:tcPr>
          <w:p>
            <w:pPr>
              <w:pStyle w:val="24"/>
              <w:spacing w:before="0" w:beforeAutospacing="0" w:after="0" w:afterAutospacing="0"/>
              <w:jc w:val="center"/>
              <w:rPr>
                <w:rFonts w:hint="default" w:cs="宋体"/>
                <w:bCs/>
                <w:sz w:val="21"/>
                <w:szCs w:val="21"/>
              </w:rPr>
            </w:pPr>
          </w:p>
        </w:tc>
        <w:tc>
          <w:tcPr>
            <w:tcW w:w="1418" w:type="dxa"/>
            <w:gridSpan w:val="2"/>
            <w:tcBorders>
              <w:top w:val="single" w:color="auto" w:sz="4" w:space="0"/>
              <w:left w:val="single" w:color="auto" w:sz="4" w:space="0"/>
              <w:bottom w:val="single" w:color="auto" w:sz="4" w:space="0"/>
              <w:right w:val="single" w:color="auto" w:sz="4" w:space="0"/>
            </w:tcBorders>
            <w:tcMar>
              <w:top w:w="57" w:type="dxa"/>
            </w:tcMar>
            <w:vAlign w:val="center"/>
          </w:tcPr>
          <w:p>
            <w:pPr>
              <w:pStyle w:val="24"/>
              <w:spacing w:before="0" w:beforeAutospacing="0" w:after="0" w:afterAutospacing="0"/>
              <w:jc w:val="center"/>
              <w:rPr>
                <w:rFonts w:hint="default" w:cs="宋体"/>
                <w:bCs/>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tcMar>
            <w:vAlign w:val="center"/>
          </w:tcPr>
          <w:p>
            <w:pPr>
              <w:pStyle w:val="24"/>
              <w:spacing w:before="0" w:beforeAutospacing="0" w:after="0" w:afterAutospacing="0"/>
              <w:jc w:val="center"/>
              <w:rPr>
                <w:rFonts w:hint="default" w:cs="宋体"/>
                <w:bCs/>
                <w:sz w:val="21"/>
                <w:szCs w:val="21"/>
              </w:rPr>
            </w:pPr>
          </w:p>
        </w:tc>
        <w:tc>
          <w:tcPr>
            <w:tcW w:w="1620" w:type="dxa"/>
            <w:gridSpan w:val="2"/>
            <w:tcBorders>
              <w:top w:val="single" w:color="auto" w:sz="4" w:space="0"/>
              <w:left w:val="single" w:color="auto" w:sz="4" w:space="0"/>
              <w:bottom w:val="single" w:color="auto" w:sz="4" w:space="0"/>
              <w:right w:val="single" w:color="auto" w:sz="4" w:space="0"/>
            </w:tcBorders>
            <w:tcMar>
              <w:top w:w="57" w:type="dxa"/>
            </w:tcMar>
            <w:vAlign w:val="center"/>
          </w:tcPr>
          <w:p>
            <w:pPr>
              <w:pStyle w:val="24"/>
              <w:spacing w:before="0" w:beforeAutospacing="0" w:after="0" w:afterAutospacing="0"/>
              <w:jc w:val="center"/>
              <w:rPr>
                <w:rFonts w:hint="default" w:cs="宋体"/>
                <w:bCs/>
                <w:sz w:val="21"/>
                <w:szCs w:val="21"/>
              </w:rPr>
            </w:pPr>
          </w:p>
        </w:tc>
        <w:tc>
          <w:tcPr>
            <w:tcW w:w="933" w:type="dxa"/>
            <w:tcBorders>
              <w:top w:val="single" w:color="auto" w:sz="4" w:space="0"/>
              <w:left w:val="single" w:color="auto" w:sz="4" w:space="0"/>
              <w:bottom w:val="single" w:color="auto" w:sz="4" w:space="0"/>
              <w:right w:val="single" w:color="auto" w:sz="4" w:space="0"/>
            </w:tcBorders>
            <w:tcMar>
              <w:top w:w="57" w:type="dxa"/>
            </w:tcMar>
            <w:vAlign w:val="center"/>
          </w:tcPr>
          <w:p>
            <w:pPr>
              <w:pStyle w:val="24"/>
              <w:spacing w:before="0" w:beforeAutospacing="0" w:after="0" w:afterAutospacing="0"/>
              <w:jc w:val="center"/>
              <w:rPr>
                <w:rFonts w:hint="default"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707" w:type="dxa"/>
            <w:vMerge w:val="continue"/>
            <w:tcBorders>
              <w:top w:val="nil"/>
              <w:left w:val="single" w:color="auto" w:sz="4" w:space="0"/>
              <w:bottom w:val="single" w:color="auto" w:sz="4" w:space="0"/>
              <w:right w:val="single" w:color="auto" w:sz="4" w:space="0"/>
            </w:tcBorders>
            <w:tcMar>
              <w:top w:w="57" w:type="dxa"/>
            </w:tcMar>
            <w:vAlign w:val="center"/>
          </w:tcPr>
          <w:p>
            <w:pPr>
              <w:rPr>
                <w:sz w:val="20"/>
                <w:szCs w:val="20"/>
              </w:rPr>
            </w:pPr>
          </w:p>
        </w:tc>
        <w:tc>
          <w:tcPr>
            <w:tcW w:w="1667" w:type="dxa"/>
            <w:gridSpan w:val="2"/>
            <w:tcBorders>
              <w:top w:val="single" w:color="auto" w:sz="4" w:space="0"/>
              <w:left w:val="single" w:color="auto" w:sz="4" w:space="0"/>
              <w:bottom w:val="single" w:color="auto" w:sz="4" w:space="0"/>
              <w:right w:val="single" w:color="auto" w:sz="4" w:space="0"/>
            </w:tcBorders>
            <w:tcMar>
              <w:top w:w="57" w:type="dxa"/>
            </w:tcMar>
            <w:vAlign w:val="center"/>
          </w:tcPr>
          <w:p>
            <w:pPr>
              <w:pStyle w:val="24"/>
              <w:spacing w:before="0" w:beforeAutospacing="0" w:after="0" w:afterAutospacing="0"/>
              <w:jc w:val="center"/>
              <w:rPr>
                <w:rFonts w:hint="default" w:cs="宋体"/>
                <w:bCs/>
                <w:sz w:val="21"/>
                <w:szCs w:val="21"/>
              </w:rPr>
            </w:pPr>
            <w:r>
              <w:rPr>
                <w:rFonts w:cs="宋体"/>
                <w:bCs/>
                <w:sz w:val="21"/>
                <w:szCs w:val="21"/>
              </w:rPr>
              <w:t>企业通过质量体系、环保体系、计量等认证情况</w:t>
            </w:r>
          </w:p>
        </w:tc>
        <w:tc>
          <w:tcPr>
            <w:tcW w:w="6613" w:type="dxa"/>
            <w:gridSpan w:val="9"/>
            <w:tcBorders>
              <w:top w:val="single" w:color="auto" w:sz="4" w:space="0"/>
              <w:left w:val="single" w:color="auto" w:sz="4" w:space="0"/>
              <w:bottom w:val="single" w:color="auto" w:sz="4" w:space="0"/>
              <w:right w:val="single" w:color="auto" w:sz="4" w:space="0"/>
            </w:tcBorders>
            <w:tcMar>
              <w:top w:w="57" w:type="dxa"/>
            </w:tcMar>
            <w:vAlign w:val="center"/>
          </w:tcPr>
          <w:p>
            <w:pPr>
              <w:pStyle w:val="24"/>
              <w:spacing w:before="0" w:beforeAutospacing="0" w:after="0" w:afterAutospacing="0"/>
              <w:jc w:val="center"/>
              <w:rPr>
                <w:rFonts w:hint="default" w:cs="宋体"/>
                <w:bCs/>
                <w:sz w:val="21"/>
                <w:szCs w:val="21"/>
              </w:rPr>
            </w:pPr>
          </w:p>
        </w:tc>
      </w:tr>
    </w:tbl>
    <w:p>
      <w:pPr>
        <w:snapToGrid w:val="0"/>
        <w:spacing w:line="360" w:lineRule="auto"/>
        <w:rPr>
          <w:rFonts w:ascii="宋体" w:hAnsi="宋体" w:cs="宋体"/>
          <w:kern w:val="0"/>
          <w:szCs w:val="21"/>
        </w:rPr>
      </w:pPr>
      <w:r>
        <w:rPr>
          <w:rFonts w:hint="eastAsia" w:ascii="宋体" w:hAnsi="宋体" w:cs="宋体"/>
          <w:b/>
          <w:kern w:val="0"/>
          <w:szCs w:val="21"/>
        </w:rPr>
        <w:t>要求：</w:t>
      </w:r>
      <w:r>
        <w:rPr>
          <w:rFonts w:hint="eastAsia" w:ascii="宋体" w:hAnsi="宋体" w:cs="宋体"/>
          <w:kern w:val="0"/>
          <w:szCs w:val="21"/>
        </w:rPr>
        <w:t>姓名栏必须将所有股东都统计在内，若非股份公司此行（第三行）无需填写。</w:t>
      </w:r>
    </w:p>
    <w:p>
      <w:pPr>
        <w:snapToGrid w:val="0"/>
        <w:spacing w:line="360" w:lineRule="auto"/>
        <w:jc w:val="right"/>
        <w:rPr>
          <w:rFonts w:ascii="宋体" w:hAnsi="宋体" w:cs="宋体"/>
          <w:kern w:val="0"/>
          <w:sz w:val="24"/>
        </w:rPr>
      </w:pPr>
    </w:p>
    <w:p>
      <w:pPr>
        <w:snapToGrid w:val="0"/>
        <w:spacing w:line="360" w:lineRule="auto"/>
        <w:jc w:val="right"/>
        <w:rPr>
          <w:rFonts w:ascii="宋体" w:hAnsi="宋体" w:cs="宋体"/>
          <w:kern w:val="0"/>
          <w:sz w:val="24"/>
        </w:rPr>
      </w:pPr>
      <w:r>
        <w:rPr>
          <w:rFonts w:hint="eastAsia" w:ascii="宋体" w:hAnsi="宋体" w:cs="宋体"/>
          <w:kern w:val="0"/>
          <w:sz w:val="24"/>
        </w:rPr>
        <w:t>法定代表人（签字或电子盖章）：</w:t>
      </w:r>
    </w:p>
    <w:p>
      <w:pPr>
        <w:snapToGrid w:val="0"/>
        <w:spacing w:line="360" w:lineRule="auto"/>
        <w:ind w:firstLine="480" w:firstLineChars="200"/>
        <w:jc w:val="right"/>
        <w:rPr>
          <w:rFonts w:ascii="宋体" w:hAnsi="宋体" w:cs="宋体"/>
          <w:kern w:val="0"/>
          <w:sz w:val="24"/>
        </w:rPr>
      </w:pPr>
      <w:r>
        <w:rPr>
          <w:rFonts w:hint="eastAsia" w:ascii="宋体" w:hAnsi="宋体" w:cs="宋体"/>
          <w:kern w:val="0"/>
          <w:sz w:val="24"/>
        </w:rPr>
        <w:t>投标人（盖单位电子公章）：</w:t>
      </w:r>
    </w:p>
    <w:p>
      <w:pPr>
        <w:snapToGrid w:val="0"/>
        <w:spacing w:line="360" w:lineRule="auto"/>
        <w:ind w:firstLine="480" w:firstLineChars="200"/>
        <w:jc w:val="right"/>
        <w:rPr>
          <w:rFonts w:ascii="宋体" w:hAnsi="宋体" w:cs="宋体"/>
          <w:kern w:val="0"/>
          <w:sz w:val="24"/>
        </w:rPr>
        <w:sectPr>
          <w:pgSz w:w="11906" w:h="16838"/>
          <w:pgMar w:top="1440" w:right="1800" w:bottom="1440" w:left="1800" w:header="851" w:footer="992" w:gutter="0"/>
          <w:cols w:space="425" w:num="1"/>
          <w:docGrid w:type="lines" w:linePitch="312" w:charSpace="0"/>
        </w:sectPr>
      </w:pPr>
      <w:r>
        <w:rPr>
          <w:rFonts w:hint="eastAsia" w:ascii="宋体" w:hAnsi="宋体" w:cs="宋体"/>
          <w:kern w:val="0"/>
          <w:sz w:val="24"/>
        </w:rPr>
        <w:t>日期：    年   月   日</w:t>
      </w:r>
    </w:p>
    <w:p>
      <w:pPr>
        <w:pStyle w:val="24"/>
        <w:widowControl w:val="0"/>
        <w:spacing w:before="0" w:beforeAutospacing="0" w:after="0" w:afterAutospacing="0" w:line="360" w:lineRule="auto"/>
        <w:rPr>
          <w:rFonts w:hint="default"/>
          <w:b/>
          <w:kern w:val="2"/>
          <w:sz w:val="28"/>
          <w:szCs w:val="28"/>
        </w:rPr>
      </w:pPr>
      <w:r>
        <w:rPr>
          <w:rFonts w:cs="宋体"/>
          <w:b/>
          <w:kern w:val="2"/>
          <w:sz w:val="28"/>
          <w:szCs w:val="28"/>
        </w:rPr>
        <w:t>附件7</w:t>
      </w:r>
    </w:p>
    <w:p>
      <w:pPr>
        <w:pStyle w:val="24"/>
        <w:widowControl w:val="0"/>
        <w:spacing w:before="0" w:beforeAutospacing="0" w:after="0" w:afterAutospacing="0" w:line="360" w:lineRule="auto"/>
        <w:jc w:val="center"/>
        <w:rPr>
          <w:rFonts w:hint="default"/>
          <w:b/>
          <w:kern w:val="2"/>
          <w:sz w:val="32"/>
          <w:szCs w:val="32"/>
        </w:rPr>
      </w:pPr>
      <w:r>
        <w:rPr>
          <w:rFonts w:ascii="黑体" w:eastAsia="黑体" w:cs="黑体"/>
          <w:bCs/>
          <w:kern w:val="2"/>
          <w:sz w:val="44"/>
          <w:szCs w:val="44"/>
        </w:rPr>
        <w:t>证书一览表</w:t>
      </w:r>
    </w:p>
    <w:tbl>
      <w:tblPr>
        <w:tblStyle w:val="28"/>
        <w:tblW w:w="8963" w:type="dxa"/>
        <w:jc w:val="center"/>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2258"/>
        <w:gridCol w:w="2260"/>
        <w:gridCol w:w="2359"/>
      </w:tblGrid>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top w:val="single" w:color="auto" w:sz="4" w:space="0"/>
              <w:left w:val="single" w:color="auto" w:sz="4" w:space="0"/>
              <w:bottom w:val="single" w:color="auto" w:sz="4" w:space="0"/>
              <w:right w:val="single" w:color="auto" w:sz="4" w:space="0"/>
            </w:tcBorders>
            <w:tcMar>
              <w:top w:w="57" w:type="dxa"/>
            </w:tcMar>
            <w:vAlign w:val="center"/>
          </w:tcPr>
          <w:p>
            <w:pPr>
              <w:pStyle w:val="24"/>
              <w:widowControl w:val="0"/>
              <w:spacing w:before="0" w:beforeAutospacing="0" w:after="0" w:afterAutospacing="0"/>
              <w:jc w:val="center"/>
              <w:rPr>
                <w:rFonts w:hint="default" w:cs="宋体"/>
                <w:b/>
                <w:bCs/>
                <w:kern w:val="2"/>
                <w:sz w:val="21"/>
                <w:szCs w:val="21"/>
              </w:rPr>
            </w:pPr>
            <w:r>
              <w:rPr>
                <w:rFonts w:cs="宋体"/>
                <w:b/>
                <w:bCs/>
                <w:kern w:val="2"/>
                <w:sz w:val="21"/>
                <w:szCs w:val="21"/>
              </w:rPr>
              <w:t>证书名称</w:t>
            </w:r>
          </w:p>
        </w:tc>
        <w:tc>
          <w:tcPr>
            <w:tcW w:w="2258" w:type="dxa"/>
            <w:tcBorders>
              <w:top w:val="single" w:color="auto" w:sz="4" w:space="0"/>
              <w:left w:val="single" w:color="auto" w:sz="4" w:space="0"/>
              <w:bottom w:val="single" w:color="auto" w:sz="4" w:space="0"/>
              <w:right w:val="single" w:color="auto" w:sz="4" w:space="0"/>
            </w:tcBorders>
            <w:tcMar>
              <w:top w:w="57" w:type="dxa"/>
            </w:tcMar>
            <w:vAlign w:val="center"/>
          </w:tcPr>
          <w:p>
            <w:pPr>
              <w:pStyle w:val="24"/>
              <w:widowControl w:val="0"/>
              <w:spacing w:before="0" w:beforeAutospacing="0" w:after="0" w:afterAutospacing="0"/>
              <w:jc w:val="center"/>
              <w:rPr>
                <w:rFonts w:hint="default" w:cs="宋体"/>
                <w:b/>
                <w:bCs/>
                <w:kern w:val="2"/>
                <w:sz w:val="21"/>
                <w:szCs w:val="21"/>
              </w:rPr>
            </w:pPr>
            <w:r>
              <w:rPr>
                <w:rFonts w:cs="宋体"/>
                <w:b/>
                <w:bCs/>
                <w:kern w:val="2"/>
                <w:sz w:val="21"/>
                <w:szCs w:val="21"/>
              </w:rPr>
              <w:t>发证单位</w:t>
            </w:r>
          </w:p>
        </w:tc>
        <w:tc>
          <w:tcPr>
            <w:tcW w:w="2260" w:type="dxa"/>
            <w:tcBorders>
              <w:top w:val="single" w:color="auto" w:sz="4" w:space="0"/>
              <w:left w:val="single" w:color="auto" w:sz="4" w:space="0"/>
              <w:bottom w:val="single" w:color="auto" w:sz="4" w:space="0"/>
              <w:right w:val="single" w:color="auto" w:sz="4" w:space="0"/>
            </w:tcBorders>
            <w:tcMar>
              <w:top w:w="57" w:type="dxa"/>
            </w:tcMar>
            <w:vAlign w:val="center"/>
          </w:tcPr>
          <w:p>
            <w:pPr>
              <w:pStyle w:val="24"/>
              <w:widowControl w:val="0"/>
              <w:spacing w:before="0" w:beforeAutospacing="0" w:after="0" w:afterAutospacing="0"/>
              <w:jc w:val="center"/>
              <w:rPr>
                <w:rFonts w:hint="default" w:cs="宋体"/>
                <w:b/>
                <w:bCs/>
                <w:kern w:val="2"/>
                <w:sz w:val="21"/>
                <w:szCs w:val="21"/>
              </w:rPr>
            </w:pPr>
            <w:r>
              <w:rPr>
                <w:rFonts w:cs="宋体"/>
                <w:b/>
                <w:bCs/>
                <w:kern w:val="2"/>
                <w:sz w:val="21"/>
                <w:szCs w:val="21"/>
              </w:rPr>
              <w:t>证书等级</w:t>
            </w:r>
          </w:p>
        </w:tc>
        <w:tc>
          <w:tcPr>
            <w:tcW w:w="2359" w:type="dxa"/>
            <w:tcBorders>
              <w:top w:val="single" w:color="auto" w:sz="4" w:space="0"/>
              <w:left w:val="single" w:color="auto" w:sz="4" w:space="0"/>
              <w:bottom w:val="single" w:color="auto" w:sz="4" w:space="0"/>
              <w:right w:val="single" w:color="auto" w:sz="4" w:space="0"/>
            </w:tcBorders>
            <w:tcMar>
              <w:top w:w="57" w:type="dxa"/>
            </w:tcMar>
            <w:vAlign w:val="center"/>
          </w:tcPr>
          <w:p>
            <w:pPr>
              <w:pStyle w:val="24"/>
              <w:widowControl w:val="0"/>
              <w:spacing w:before="0" w:beforeAutospacing="0" w:after="0" w:afterAutospacing="0"/>
              <w:jc w:val="center"/>
              <w:rPr>
                <w:rFonts w:hint="default" w:cs="宋体"/>
                <w:b/>
                <w:bCs/>
                <w:kern w:val="2"/>
                <w:sz w:val="21"/>
                <w:szCs w:val="21"/>
              </w:rPr>
            </w:pPr>
            <w:r>
              <w:rPr>
                <w:rFonts w:cs="宋体"/>
                <w:b/>
                <w:bCs/>
                <w:kern w:val="2"/>
                <w:sz w:val="21"/>
                <w:szCs w:val="21"/>
              </w:rPr>
              <w:t>证书有效期</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top w:val="single" w:color="auto" w:sz="4" w:space="0"/>
              <w:left w:val="single" w:color="auto" w:sz="4" w:space="0"/>
              <w:bottom w:val="single" w:color="auto" w:sz="4" w:space="0"/>
              <w:right w:val="single" w:color="auto" w:sz="4" w:space="0"/>
            </w:tcBorders>
            <w:tcMar>
              <w:top w:w="57" w:type="dxa"/>
            </w:tcMar>
            <w:vAlign w:val="center"/>
          </w:tcPr>
          <w:p>
            <w:pPr>
              <w:pStyle w:val="24"/>
              <w:widowControl w:val="0"/>
              <w:spacing w:before="0" w:beforeAutospacing="0" w:after="0" w:afterAutospacing="0" w:line="360" w:lineRule="auto"/>
              <w:jc w:val="center"/>
              <w:rPr>
                <w:rFonts w:hint="default" w:cs="宋体"/>
                <w:kern w:val="2"/>
                <w:sz w:val="21"/>
                <w:szCs w:val="21"/>
              </w:rPr>
            </w:pPr>
          </w:p>
        </w:tc>
        <w:tc>
          <w:tcPr>
            <w:tcW w:w="2258" w:type="dxa"/>
            <w:tcBorders>
              <w:top w:val="single" w:color="auto" w:sz="4" w:space="0"/>
              <w:left w:val="single" w:color="auto" w:sz="4" w:space="0"/>
              <w:bottom w:val="single" w:color="auto" w:sz="4" w:space="0"/>
              <w:right w:val="single" w:color="auto" w:sz="4" w:space="0"/>
            </w:tcBorders>
            <w:tcMar>
              <w:top w:w="57" w:type="dxa"/>
            </w:tcMar>
            <w:vAlign w:val="center"/>
          </w:tcPr>
          <w:p>
            <w:pPr>
              <w:pStyle w:val="24"/>
              <w:widowControl w:val="0"/>
              <w:spacing w:before="0" w:beforeAutospacing="0" w:after="0" w:afterAutospacing="0" w:line="360" w:lineRule="auto"/>
              <w:jc w:val="center"/>
              <w:rPr>
                <w:rFonts w:hint="default" w:cs="宋体"/>
                <w:kern w:val="2"/>
                <w:sz w:val="21"/>
                <w:szCs w:val="21"/>
              </w:rPr>
            </w:pPr>
          </w:p>
        </w:tc>
        <w:tc>
          <w:tcPr>
            <w:tcW w:w="2260" w:type="dxa"/>
            <w:tcBorders>
              <w:top w:val="single" w:color="auto" w:sz="4" w:space="0"/>
              <w:left w:val="single" w:color="auto" w:sz="4" w:space="0"/>
              <w:bottom w:val="single" w:color="auto" w:sz="4" w:space="0"/>
              <w:right w:val="single" w:color="auto" w:sz="4" w:space="0"/>
            </w:tcBorders>
            <w:tcMar>
              <w:top w:w="57" w:type="dxa"/>
            </w:tcMar>
            <w:vAlign w:val="center"/>
          </w:tcPr>
          <w:p>
            <w:pPr>
              <w:pStyle w:val="24"/>
              <w:widowControl w:val="0"/>
              <w:spacing w:before="0" w:beforeAutospacing="0" w:after="0" w:afterAutospacing="0" w:line="360" w:lineRule="auto"/>
              <w:jc w:val="center"/>
              <w:rPr>
                <w:rFonts w:hint="default" w:cs="宋体"/>
                <w:kern w:val="2"/>
                <w:sz w:val="21"/>
                <w:szCs w:val="21"/>
              </w:rPr>
            </w:pPr>
          </w:p>
        </w:tc>
        <w:tc>
          <w:tcPr>
            <w:tcW w:w="2359" w:type="dxa"/>
            <w:tcBorders>
              <w:top w:val="single" w:color="auto" w:sz="4" w:space="0"/>
              <w:left w:val="single" w:color="auto" w:sz="4" w:space="0"/>
              <w:bottom w:val="single" w:color="auto" w:sz="4" w:space="0"/>
              <w:right w:val="single" w:color="auto" w:sz="4" w:space="0"/>
            </w:tcBorders>
            <w:tcMar>
              <w:top w:w="57" w:type="dxa"/>
            </w:tcMar>
            <w:vAlign w:val="center"/>
          </w:tcPr>
          <w:p>
            <w:pPr>
              <w:pStyle w:val="24"/>
              <w:widowControl w:val="0"/>
              <w:spacing w:before="0" w:beforeAutospacing="0" w:after="0" w:afterAutospacing="0" w:line="360" w:lineRule="auto"/>
              <w:jc w:val="center"/>
              <w:rPr>
                <w:rFonts w:hint="default" w:cs="宋体"/>
                <w:kern w:val="2"/>
                <w:sz w:val="21"/>
                <w:szCs w:val="21"/>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top w:val="single" w:color="auto" w:sz="4" w:space="0"/>
              <w:left w:val="single" w:color="auto" w:sz="4" w:space="0"/>
              <w:bottom w:val="single" w:color="auto" w:sz="4" w:space="0"/>
              <w:right w:val="single" w:color="auto" w:sz="4" w:space="0"/>
            </w:tcBorders>
            <w:tcMar>
              <w:top w:w="57" w:type="dxa"/>
            </w:tcMar>
            <w:vAlign w:val="center"/>
          </w:tcPr>
          <w:p>
            <w:pPr>
              <w:pStyle w:val="24"/>
              <w:widowControl w:val="0"/>
              <w:spacing w:before="0" w:beforeAutospacing="0" w:after="0" w:afterAutospacing="0" w:line="360" w:lineRule="auto"/>
              <w:jc w:val="center"/>
              <w:rPr>
                <w:rFonts w:hint="default" w:cs="宋体"/>
                <w:kern w:val="2"/>
                <w:sz w:val="21"/>
                <w:szCs w:val="21"/>
              </w:rPr>
            </w:pPr>
          </w:p>
        </w:tc>
        <w:tc>
          <w:tcPr>
            <w:tcW w:w="2258" w:type="dxa"/>
            <w:tcBorders>
              <w:top w:val="single" w:color="auto" w:sz="4" w:space="0"/>
              <w:left w:val="single" w:color="auto" w:sz="4" w:space="0"/>
              <w:bottom w:val="single" w:color="auto" w:sz="4" w:space="0"/>
              <w:right w:val="single" w:color="auto" w:sz="4" w:space="0"/>
            </w:tcBorders>
            <w:tcMar>
              <w:top w:w="57" w:type="dxa"/>
            </w:tcMar>
            <w:vAlign w:val="center"/>
          </w:tcPr>
          <w:p>
            <w:pPr>
              <w:pStyle w:val="24"/>
              <w:widowControl w:val="0"/>
              <w:spacing w:before="0" w:beforeAutospacing="0" w:after="0" w:afterAutospacing="0" w:line="360" w:lineRule="auto"/>
              <w:jc w:val="center"/>
              <w:rPr>
                <w:rFonts w:hint="default" w:cs="宋体"/>
                <w:kern w:val="2"/>
                <w:sz w:val="21"/>
                <w:szCs w:val="21"/>
              </w:rPr>
            </w:pPr>
          </w:p>
        </w:tc>
        <w:tc>
          <w:tcPr>
            <w:tcW w:w="2260" w:type="dxa"/>
            <w:tcBorders>
              <w:top w:val="single" w:color="auto" w:sz="4" w:space="0"/>
              <w:left w:val="single" w:color="auto" w:sz="4" w:space="0"/>
              <w:bottom w:val="single" w:color="auto" w:sz="4" w:space="0"/>
              <w:right w:val="single" w:color="auto" w:sz="4" w:space="0"/>
            </w:tcBorders>
            <w:tcMar>
              <w:top w:w="57" w:type="dxa"/>
            </w:tcMar>
            <w:vAlign w:val="center"/>
          </w:tcPr>
          <w:p>
            <w:pPr>
              <w:pStyle w:val="24"/>
              <w:widowControl w:val="0"/>
              <w:spacing w:before="0" w:beforeAutospacing="0" w:after="0" w:afterAutospacing="0" w:line="360" w:lineRule="auto"/>
              <w:jc w:val="center"/>
              <w:rPr>
                <w:rFonts w:hint="default" w:cs="宋体"/>
                <w:kern w:val="2"/>
                <w:sz w:val="21"/>
                <w:szCs w:val="21"/>
              </w:rPr>
            </w:pPr>
          </w:p>
        </w:tc>
        <w:tc>
          <w:tcPr>
            <w:tcW w:w="2359" w:type="dxa"/>
            <w:tcBorders>
              <w:top w:val="single" w:color="auto" w:sz="4" w:space="0"/>
              <w:left w:val="single" w:color="auto" w:sz="4" w:space="0"/>
              <w:bottom w:val="single" w:color="auto" w:sz="4" w:space="0"/>
              <w:right w:val="single" w:color="auto" w:sz="4" w:space="0"/>
            </w:tcBorders>
            <w:tcMar>
              <w:top w:w="57" w:type="dxa"/>
            </w:tcMar>
            <w:vAlign w:val="center"/>
          </w:tcPr>
          <w:p>
            <w:pPr>
              <w:pStyle w:val="24"/>
              <w:widowControl w:val="0"/>
              <w:spacing w:before="0" w:beforeAutospacing="0" w:after="0" w:afterAutospacing="0" w:line="360" w:lineRule="auto"/>
              <w:jc w:val="center"/>
              <w:rPr>
                <w:rFonts w:hint="default" w:cs="宋体"/>
                <w:kern w:val="2"/>
                <w:sz w:val="21"/>
                <w:szCs w:val="21"/>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top w:val="single" w:color="auto" w:sz="4" w:space="0"/>
              <w:left w:val="single" w:color="auto" w:sz="4" w:space="0"/>
              <w:bottom w:val="single" w:color="auto" w:sz="4" w:space="0"/>
              <w:right w:val="single" w:color="auto" w:sz="4" w:space="0"/>
            </w:tcBorders>
            <w:tcMar>
              <w:top w:w="57" w:type="dxa"/>
            </w:tcMar>
            <w:vAlign w:val="center"/>
          </w:tcPr>
          <w:p>
            <w:pPr>
              <w:pStyle w:val="24"/>
              <w:widowControl w:val="0"/>
              <w:spacing w:before="0" w:beforeAutospacing="0" w:after="0" w:afterAutospacing="0" w:line="360" w:lineRule="auto"/>
              <w:jc w:val="center"/>
              <w:rPr>
                <w:rFonts w:hint="default" w:cs="宋体"/>
                <w:kern w:val="2"/>
                <w:sz w:val="21"/>
                <w:szCs w:val="21"/>
              </w:rPr>
            </w:pPr>
          </w:p>
        </w:tc>
        <w:tc>
          <w:tcPr>
            <w:tcW w:w="2258" w:type="dxa"/>
            <w:tcBorders>
              <w:top w:val="single" w:color="auto" w:sz="4" w:space="0"/>
              <w:left w:val="single" w:color="auto" w:sz="4" w:space="0"/>
              <w:bottom w:val="single" w:color="auto" w:sz="4" w:space="0"/>
              <w:right w:val="single" w:color="auto" w:sz="4" w:space="0"/>
            </w:tcBorders>
            <w:tcMar>
              <w:top w:w="57" w:type="dxa"/>
            </w:tcMar>
            <w:vAlign w:val="center"/>
          </w:tcPr>
          <w:p>
            <w:pPr>
              <w:pStyle w:val="24"/>
              <w:widowControl w:val="0"/>
              <w:spacing w:before="0" w:beforeAutospacing="0" w:after="0" w:afterAutospacing="0" w:line="360" w:lineRule="auto"/>
              <w:jc w:val="center"/>
              <w:rPr>
                <w:rFonts w:hint="default" w:cs="宋体"/>
                <w:kern w:val="2"/>
                <w:sz w:val="21"/>
                <w:szCs w:val="21"/>
              </w:rPr>
            </w:pPr>
          </w:p>
        </w:tc>
        <w:tc>
          <w:tcPr>
            <w:tcW w:w="2260" w:type="dxa"/>
            <w:tcBorders>
              <w:top w:val="single" w:color="auto" w:sz="4" w:space="0"/>
              <w:left w:val="single" w:color="auto" w:sz="4" w:space="0"/>
              <w:bottom w:val="single" w:color="auto" w:sz="4" w:space="0"/>
              <w:right w:val="single" w:color="auto" w:sz="4" w:space="0"/>
            </w:tcBorders>
            <w:tcMar>
              <w:top w:w="57" w:type="dxa"/>
            </w:tcMar>
            <w:vAlign w:val="center"/>
          </w:tcPr>
          <w:p>
            <w:pPr>
              <w:pStyle w:val="24"/>
              <w:widowControl w:val="0"/>
              <w:spacing w:before="0" w:beforeAutospacing="0" w:after="0" w:afterAutospacing="0" w:line="360" w:lineRule="auto"/>
              <w:jc w:val="center"/>
              <w:rPr>
                <w:rFonts w:hint="default" w:cs="宋体"/>
                <w:kern w:val="2"/>
                <w:sz w:val="21"/>
                <w:szCs w:val="21"/>
              </w:rPr>
            </w:pPr>
          </w:p>
        </w:tc>
        <w:tc>
          <w:tcPr>
            <w:tcW w:w="2359" w:type="dxa"/>
            <w:tcBorders>
              <w:top w:val="single" w:color="auto" w:sz="4" w:space="0"/>
              <w:left w:val="single" w:color="auto" w:sz="4" w:space="0"/>
              <w:bottom w:val="single" w:color="auto" w:sz="4" w:space="0"/>
              <w:right w:val="single" w:color="auto" w:sz="4" w:space="0"/>
            </w:tcBorders>
            <w:tcMar>
              <w:top w:w="57" w:type="dxa"/>
            </w:tcMar>
            <w:vAlign w:val="center"/>
          </w:tcPr>
          <w:p>
            <w:pPr>
              <w:pStyle w:val="24"/>
              <w:widowControl w:val="0"/>
              <w:spacing w:before="0" w:beforeAutospacing="0" w:after="0" w:afterAutospacing="0" w:line="360" w:lineRule="auto"/>
              <w:jc w:val="center"/>
              <w:rPr>
                <w:rFonts w:hint="default" w:cs="宋体"/>
                <w:kern w:val="2"/>
                <w:sz w:val="21"/>
                <w:szCs w:val="21"/>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top w:val="single" w:color="auto" w:sz="4" w:space="0"/>
              <w:left w:val="single" w:color="auto" w:sz="4" w:space="0"/>
              <w:bottom w:val="single" w:color="auto" w:sz="4" w:space="0"/>
              <w:right w:val="single" w:color="auto" w:sz="4" w:space="0"/>
            </w:tcBorders>
            <w:tcMar>
              <w:top w:w="57" w:type="dxa"/>
            </w:tcMar>
            <w:vAlign w:val="center"/>
          </w:tcPr>
          <w:p>
            <w:pPr>
              <w:pStyle w:val="24"/>
              <w:widowControl w:val="0"/>
              <w:spacing w:before="0" w:beforeAutospacing="0" w:after="0" w:afterAutospacing="0" w:line="360" w:lineRule="auto"/>
              <w:jc w:val="center"/>
              <w:rPr>
                <w:rFonts w:hint="default" w:cs="宋体"/>
                <w:kern w:val="2"/>
                <w:sz w:val="21"/>
                <w:szCs w:val="21"/>
              </w:rPr>
            </w:pPr>
          </w:p>
        </w:tc>
        <w:tc>
          <w:tcPr>
            <w:tcW w:w="2258" w:type="dxa"/>
            <w:tcBorders>
              <w:top w:val="single" w:color="auto" w:sz="4" w:space="0"/>
              <w:left w:val="single" w:color="auto" w:sz="4" w:space="0"/>
              <w:bottom w:val="single" w:color="auto" w:sz="4" w:space="0"/>
              <w:right w:val="single" w:color="auto" w:sz="4" w:space="0"/>
            </w:tcBorders>
            <w:tcMar>
              <w:top w:w="57" w:type="dxa"/>
            </w:tcMar>
            <w:vAlign w:val="center"/>
          </w:tcPr>
          <w:p>
            <w:pPr>
              <w:pStyle w:val="24"/>
              <w:widowControl w:val="0"/>
              <w:spacing w:before="0" w:beforeAutospacing="0" w:after="0" w:afterAutospacing="0" w:line="360" w:lineRule="auto"/>
              <w:jc w:val="center"/>
              <w:rPr>
                <w:rFonts w:hint="default" w:cs="宋体"/>
                <w:kern w:val="2"/>
                <w:sz w:val="21"/>
                <w:szCs w:val="21"/>
              </w:rPr>
            </w:pPr>
          </w:p>
        </w:tc>
        <w:tc>
          <w:tcPr>
            <w:tcW w:w="2260" w:type="dxa"/>
            <w:tcBorders>
              <w:top w:val="single" w:color="auto" w:sz="4" w:space="0"/>
              <w:left w:val="single" w:color="auto" w:sz="4" w:space="0"/>
              <w:bottom w:val="single" w:color="auto" w:sz="4" w:space="0"/>
              <w:right w:val="single" w:color="auto" w:sz="4" w:space="0"/>
            </w:tcBorders>
            <w:tcMar>
              <w:top w:w="57" w:type="dxa"/>
            </w:tcMar>
            <w:vAlign w:val="center"/>
          </w:tcPr>
          <w:p>
            <w:pPr>
              <w:pStyle w:val="24"/>
              <w:widowControl w:val="0"/>
              <w:spacing w:before="0" w:beforeAutospacing="0" w:after="0" w:afterAutospacing="0" w:line="360" w:lineRule="auto"/>
              <w:jc w:val="center"/>
              <w:rPr>
                <w:rFonts w:hint="default" w:cs="宋体"/>
                <w:kern w:val="2"/>
                <w:sz w:val="21"/>
                <w:szCs w:val="21"/>
              </w:rPr>
            </w:pPr>
          </w:p>
        </w:tc>
        <w:tc>
          <w:tcPr>
            <w:tcW w:w="2359" w:type="dxa"/>
            <w:tcBorders>
              <w:top w:val="single" w:color="auto" w:sz="4" w:space="0"/>
              <w:left w:val="single" w:color="auto" w:sz="4" w:space="0"/>
              <w:bottom w:val="single" w:color="auto" w:sz="4" w:space="0"/>
              <w:right w:val="single" w:color="auto" w:sz="4" w:space="0"/>
            </w:tcBorders>
            <w:tcMar>
              <w:top w:w="57" w:type="dxa"/>
            </w:tcMar>
            <w:vAlign w:val="center"/>
          </w:tcPr>
          <w:p>
            <w:pPr>
              <w:pStyle w:val="24"/>
              <w:widowControl w:val="0"/>
              <w:spacing w:before="0" w:beforeAutospacing="0" w:after="0" w:afterAutospacing="0" w:line="360" w:lineRule="auto"/>
              <w:jc w:val="center"/>
              <w:rPr>
                <w:rFonts w:hint="default" w:cs="宋体"/>
                <w:kern w:val="2"/>
                <w:sz w:val="21"/>
                <w:szCs w:val="21"/>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top w:val="single" w:color="auto" w:sz="4" w:space="0"/>
              <w:left w:val="single" w:color="auto" w:sz="4" w:space="0"/>
              <w:bottom w:val="single" w:color="auto" w:sz="4" w:space="0"/>
              <w:right w:val="single" w:color="auto" w:sz="4" w:space="0"/>
            </w:tcBorders>
            <w:tcMar>
              <w:top w:w="57" w:type="dxa"/>
            </w:tcMar>
            <w:vAlign w:val="center"/>
          </w:tcPr>
          <w:p>
            <w:pPr>
              <w:pStyle w:val="24"/>
              <w:widowControl w:val="0"/>
              <w:spacing w:before="0" w:beforeAutospacing="0" w:after="0" w:afterAutospacing="0" w:line="360" w:lineRule="auto"/>
              <w:jc w:val="center"/>
              <w:rPr>
                <w:rFonts w:hint="default" w:cs="宋体"/>
                <w:kern w:val="2"/>
                <w:sz w:val="21"/>
                <w:szCs w:val="21"/>
              </w:rPr>
            </w:pPr>
          </w:p>
        </w:tc>
        <w:tc>
          <w:tcPr>
            <w:tcW w:w="2258" w:type="dxa"/>
            <w:tcBorders>
              <w:top w:val="single" w:color="auto" w:sz="4" w:space="0"/>
              <w:left w:val="single" w:color="auto" w:sz="4" w:space="0"/>
              <w:bottom w:val="single" w:color="auto" w:sz="4" w:space="0"/>
              <w:right w:val="single" w:color="auto" w:sz="4" w:space="0"/>
            </w:tcBorders>
            <w:tcMar>
              <w:top w:w="57" w:type="dxa"/>
            </w:tcMar>
            <w:vAlign w:val="center"/>
          </w:tcPr>
          <w:p>
            <w:pPr>
              <w:pStyle w:val="24"/>
              <w:widowControl w:val="0"/>
              <w:spacing w:before="0" w:beforeAutospacing="0" w:after="0" w:afterAutospacing="0" w:line="360" w:lineRule="auto"/>
              <w:jc w:val="center"/>
              <w:rPr>
                <w:rFonts w:hint="default" w:cs="宋体"/>
                <w:kern w:val="2"/>
                <w:sz w:val="21"/>
                <w:szCs w:val="21"/>
              </w:rPr>
            </w:pPr>
          </w:p>
        </w:tc>
        <w:tc>
          <w:tcPr>
            <w:tcW w:w="2260" w:type="dxa"/>
            <w:tcBorders>
              <w:top w:val="single" w:color="auto" w:sz="4" w:space="0"/>
              <w:left w:val="single" w:color="auto" w:sz="4" w:space="0"/>
              <w:bottom w:val="single" w:color="auto" w:sz="4" w:space="0"/>
              <w:right w:val="single" w:color="auto" w:sz="4" w:space="0"/>
            </w:tcBorders>
            <w:tcMar>
              <w:top w:w="57" w:type="dxa"/>
            </w:tcMar>
            <w:vAlign w:val="center"/>
          </w:tcPr>
          <w:p>
            <w:pPr>
              <w:pStyle w:val="24"/>
              <w:widowControl w:val="0"/>
              <w:spacing w:before="0" w:beforeAutospacing="0" w:after="0" w:afterAutospacing="0" w:line="360" w:lineRule="auto"/>
              <w:jc w:val="center"/>
              <w:rPr>
                <w:rFonts w:hint="default" w:cs="宋体"/>
                <w:kern w:val="2"/>
                <w:sz w:val="21"/>
                <w:szCs w:val="21"/>
              </w:rPr>
            </w:pPr>
          </w:p>
        </w:tc>
        <w:tc>
          <w:tcPr>
            <w:tcW w:w="2359" w:type="dxa"/>
            <w:tcBorders>
              <w:top w:val="single" w:color="auto" w:sz="4" w:space="0"/>
              <w:left w:val="single" w:color="auto" w:sz="4" w:space="0"/>
              <w:bottom w:val="single" w:color="auto" w:sz="4" w:space="0"/>
              <w:right w:val="single" w:color="auto" w:sz="4" w:space="0"/>
            </w:tcBorders>
            <w:tcMar>
              <w:top w:w="57" w:type="dxa"/>
            </w:tcMar>
            <w:vAlign w:val="center"/>
          </w:tcPr>
          <w:p>
            <w:pPr>
              <w:pStyle w:val="24"/>
              <w:widowControl w:val="0"/>
              <w:spacing w:before="0" w:beforeAutospacing="0" w:after="0" w:afterAutospacing="0" w:line="360" w:lineRule="auto"/>
              <w:jc w:val="center"/>
              <w:rPr>
                <w:rFonts w:hint="default" w:cs="宋体"/>
                <w:kern w:val="2"/>
                <w:sz w:val="21"/>
                <w:szCs w:val="21"/>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top w:val="single" w:color="auto" w:sz="4" w:space="0"/>
              <w:left w:val="single" w:color="auto" w:sz="4" w:space="0"/>
              <w:bottom w:val="single" w:color="auto" w:sz="4" w:space="0"/>
              <w:right w:val="single" w:color="auto" w:sz="4" w:space="0"/>
            </w:tcBorders>
            <w:tcMar>
              <w:top w:w="57" w:type="dxa"/>
            </w:tcMar>
            <w:vAlign w:val="center"/>
          </w:tcPr>
          <w:p>
            <w:pPr>
              <w:pStyle w:val="24"/>
              <w:widowControl w:val="0"/>
              <w:spacing w:before="0" w:beforeAutospacing="0" w:after="0" w:afterAutospacing="0" w:line="360" w:lineRule="auto"/>
              <w:jc w:val="center"/>
              <w:rPr>
                <w:rFonts w:hint="default" w:cs="宋体"/>
                <w:kern w:val="2"/>
                <w:sz w:val="21"/>
                <w:szCs w:val="21"/>
              </w:rPr>
            </w:pPr>
          </w:p>
        </w:tc>
        <w:tc>
          <w:tcPr>
            <w:tcW w:w="2258" w:type="dxa"/>
            <w:tcBorders>
              <w:top w:val="single" w:color="auto" w:sz="4" w:space="0"/>
              <w:left w:val="single" w:color="auto" w:sz="4" w:space="0"/>
              <w:bottom w:val="single" w:color="auto" w:sz="4" w:space="0"/>
              <w:right w:val="single" w:color="auto" w:sz="4" w:space="0"/>
            </w:tcBorders>
            <w:tcMar>
              <w:top w:w="57" w:type="dxa"/>
            </w:tcMar>
            <w:vAlign w:val="center"/>
          </w:tcPr>
          <w:p>
            <w:pPr>
              <w:pStyle w:val="24"/>
              <w:widowControl w:val="0"/>
              <w:spacing w:before="0" w:beforeAutospacing="0" w:after="0" w:afterAutospacing="0" w:line="360" w:lineRule="auto"/>
              <w:jc w:val="center"/>
              <w:rPr>
                <w:rFonts w:hint="default" w:cs="宋体"/>
                <w:kern w:val="2"/>
                <w:sz w:val="21"/>
                <w:szCs w:val="21"/>
              </w:rPr>
            </w:pPr>
          </w:p>
        </w:tc>
        <w:tc>
          <w:tcPr>
            <w:tcW w:w="2260" w:type="dxa"/>
            <w:tcBorders>
              <w:top w:val="single" w:color="auto" w:sz="4" w:space="0"/>
              <w:left w:val="single" w:color="auto" w:sz="4" w:space="0"/>
              <w:bottom w:val="single" w:color="auto" w:sz="4" w:space="0"/>
              <w:right w:val="single" w:color="auto" w:sz="4" w:space="0"/>
            </w:tcBorders>
            <w:tcMar>
              <w:top w:w="57" w:type="dxa"/>
            </w:tcMar>
            <w:vAlign w:val="center"/>
          </w:tcPr>
          <w:p>
            <w:pPr>
              <w:pStyle w:val="24"/>
              <w:widowControl w:val="0"/>
              <w:spacing w:before="0" w:beforeAutospacing="0" w:after="0" w:afterAutospacing="0" w:line="360" w:lineRule="auto"/>
              <w:jc w:val="center"/>
              <w:rPr>
                <w:rFonts w:hint="default" w:cs="宋体"/>
                <w:kern w:val="2"/>
                <w:sz w:val="21"/>
                <w:szCs w:val="21"/>
              </w:rPr>
            </w:pPr>
          </w:p>
        </w:tc>
        <w:tc>
          <w:tcPr>
            <w:tcW w:w="2359" w:type="dxa"/>
            <w:tcBorders>
              <w:top w:val="single" w:color="auto" w:sz="4" w:space="0"/>
              <w:left w:val="single" w:color="auto" w:sz="4" w:space="0"/>
              <w:bottom w:val="single" w:color="auto" w:sz="4" w:space="0"/>
              <w:right w:val="single" w:color="auto" w:sz="4" w:space="0"/>
            </w:tcBorders>
            <w:tcMar>
              <w:top w:w="57" w:type="dxa"/>
            </w:tcMar>
            <w:vAlign w:val="center"/>
          </w:tcPr>
          <w:p>
            <w:pPr>
              <w:pStyle w:val="24"/>
              <w:widowControl w:val="0"/>
              <w:spacing w:before="0" w:beforeAutospacing="0" w:after="0" w:afterAutospacing="0" w:line="360" w:lineRule="auto"/>
              <w:jc w:val="center"/>
              <w:rPr>
                <w:rFonts w:hint="default" w:cs="宋体"/>
                <w:kern w:val="2"/>
                <w:sz w:val="21"/>
                <w:szCs w:val="21"/>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top w:val="single" w:color="auto" w:sz="4" w:space="0"/>
              <w:left w:val="single" w:color="auto" w:sz="4" w:space="0"/>
              <w:bottom w:val="single" w:color="auto" w:sz="4" w:space="0"/>
              <w:right w:val="single" w:color="auto" w:sz="4" w:space="0"/>
            </w:tcBorders>
            <w:tcMar>
              <w:top w:w="57" w:type="dxa"/>
            </w:tcMar>
            <w:vAlign w:val="center"/>
          </w:tcPr>
          <w:p>
            <w:pPr>
              <w:pStyle w:val="24"/>
              <w:widowControl w:val="0"/>
              <w:spacing w:before="0" w:beforeAutospacing="0" w:after="0" w:afterAutospacing="0" w:line="360" w:lineRule="auto"/>
              <w:jc w:val="center"/>
              <w:rPr>
                <w:rFonts w:hint="default" w:cs="宋体"/>
                <w:kern w:val="2"/>
                <w:sz w:val="21"/>
                <w:szCs w:val="21"/>
              </w:rPr>
            </w:pPr>
          </w:p>
        </w:tc>
        <w:tc>
          <w:tcPr>
            <w:tcW w:w="2258" w:type="dxa"/>
            <w:tcBorders>
              <w:top w:val="single" w:color="auto" w:sz="4" w:space="0"/>
              <w:left w:val="single" w:color="auto" w:sz="4" w:space="0"/>
              <w:bottom w:val="single" w:color="auto" w:sz="4" w:space="0"/>
              <w:right w:val="single" w:color="auto" w:sz="4" w:space="0"/>
            </w:tcBorders>
            <w:tcMar>
              <w:top w:w="57" w:type="dxa"/>
            </w:tcMar>
            <w:vAlign w:val="center"/>
          </w:tcPr>
          <w:p>
            <w:pPr>
              <w:pStyle w:val="24"/>
              <w:widowControl w:val="0"/>
              <w:spacing w:before="0" w:beforeAutospacing="0" w:after="0" w:afterAutospacing="0" w:line="360" w:lineRule="auto"/>
              <w:jc w:val="center"/>
              <w:rPr>
                <w:rFonts w:hint="default" w:cs="宋体"/>
                <w:kern w:val="2"/>
                <w:sz w:val="21"/>
                <w:szCs w:val="21"/>
              </w:rPr>
            </w:pPr>
          </w:p>
        </w:tc>
        <w:tc>
          <w:tcPr>
            <w:tcW w:w="2260" w:type="dxa"/>
            <w:tcBorders>
              <w:top w:val="single" w:color="auto" w:sz="4" w:space="0"/>
              <w:left w:val="single" w:color="auto" w:sz="4" w:space="0"/>
              <w:bottom w:val="single" w:color="auto" w:sz="4" w:space="0"/>
              <w:right w:val="single" w:color="auto" w:sz="4" w:space="0"/>
            </w:tcBorders>
            <w:tcMar>
              <w:top w:w="57" w:type="dxa"/>
            </w:tcMar>
            <w:vAlign w:val="center"/>
          </w:tcPr>
          <w:p>
            <w:pPr>
              <w:pStyle w:val="24"/>
              <w:widowControl w:val="0"/>
              <w:spacing w:before="0" w:beforeAutospacing="0" w:after="0" w:afterAutospacing="0" w:line="360" w:lineRule="auto"/>
              <w:jc w:val="center"/>
              <w:rPr>
                <w:rFonts w:hint="default" w:cs="宋体"/>
                <w:kern w:val="2"/>
                <w:sz w:val="21"/>
                <w:szCs w:val="21"/>
              </w:rPr>
            </w:pPr>
          </w:p>
        </w:tc>
        <w:tc>
          <w:tcPr>
            <w:tcW w:w="2359" w:type="dxa"/>
            <w:tcBorders>
              <w:top w:val="single" w:color="auto" w:sz="4" w:space="0"/>
              <w:left w:val="single" w:color="auto" w:sz="4" w:space="0"/>
              <w:bottom w:val="single" w:color="auto" w:sz="4" w:space="0"/>
              <w:right w:val="single" w:color="auto" w:sz="4" w:space="0"/>
            </w:tcBorders>
            <w:tcMar>
              <w:top w:w="57" w:type="dxa"/>
            </w:tcMar>
            <w:vAlign w:val="center"/>
          </w:tcPr>
          <w:p>
            <w:pPr>
              <w:pStyle w:val="24"/>
              <w:widowControl w:val="0"/>
              <w:spacing w:before="0" w:beforeAutospacing="0" w:after="0" w:afterAutospacing="0" w:line="360" w:lineRule="auto"/>
              <w:jc w:val="center"/>
              <w:rPr>
                <w:rFonts w:hint="default" w:cs="宋体"/>
                <w:kern w:val="2"/>
                <w:sz w:val="21"/>
                <w:szCs w:val="21"/>
              </w:rPr>
            </w:pPr>
          </w:p>
        </w:tc>
      </w:tr>
    </w:tbl>
    <w:p>
      <w:pPr>
        <w:pStyle w:val="24"/>
        <w:widowControl w:val="0"/>
        <w:autoSpaceDE w:val="0"/>
        <w:snapToGrid w:val="0"/>
        <w:spacing w:before="0" w:beforeAutospacing="0" w:after="0" w:afterAutospacing="0"/>
        <w:jc w:val="both"/>
        <w:rPr>
          <w:rFonts w:hint="default" w:cs="宋体"/>
          <w:kern w:val="2"/>
          <w:sz w:val="21"/>
          <w:szCs w:val="21"/>
        </w:rPr>
      </w:pPr>
      <w:r>
        <w:rPr>
          <w:rFonts w:cs="宋体"/>
          <w:b/>
          <w:kern w:val="2"/>
          <w:sz w:val="21"/>
          <w:szCs w:val="21"/>
        </w:rPr>
        <w:t>要求：</w:t>
      </w:r>
      <w:r>
        <w:rPr>
          <w:rFonts w:cs="宋体"/>
          <w:kern w:val="2"/>
          <w:sz w:val="21"/>
          <w:szCs w:val="21"/>
        </w:rPr>
        <w:t>1.填写投标人获得资质、认证或企业信誉证书。</w:t>
      </w:r>
    </w:p>
    <w:p>
      <w:pPr>
        <w:pStyle w:val="24"/>
        <w:widowControl w:val="0"/>
        <w:tabs>
          <w:tab w:val="left" w:pos="411"/>
        </w:tabs>
        <w:autoSpaceDE w:val="0"/>
        <w:snapToGrid w:val="0"/>
        <w:spacing w:before="0" w:beforeAutospacing="0" w:after="0" w:afterAutospacing="0"/>
        <w:ind w:firstLine="630" w:firstLineChars="300"/>
        <w:jc w:val="both"/>
        <w:rPr>
          <w:rFonts w:hint="default" w:cs="宋体"/>
          <w:kern w:val="2"/>
          <w:sz w:val="21"/>
          <w:szCs w:val="21"/>
        </w:rPr>
      </w:pPr>
      <w:r>
        <w:rPr>
          <w:rFonts w:cs="宋体"/>
          <w:kern w:val="2"/>
          <w:sz w:val="21"/>
          <w:szCs w:val="21"/>
        </w:rPr>
        <w:t>2.附所列证书或其他证明材料。</w:t>
      </w:r>
    </w:p>
    <w:p>
      <w:pPr>
        <w:snapToGrid w:val="0"/>
        <w:spacing w:line="360" w:lineRule="auto"/>
        <w:jc w:val="right"/>
        <w:rPr>
          <w:rFonts w:ascii="宋体" w:hAnsi="宋体" w:cs="宋体"/>
          <w:szCs w:val="21"/>
        </w:rPr>
      </w:pPr>
    </w:p>
    <w:p>
      <w:pPr>
        <w:snapToGrid w:val="0"/>
        <w:spacing w:line="360" w:lineRule="auto"/>
        <w:jc w:val="right"/>
        <w:rPr>
          <w:rFonts w:ascii="宋体" w:hAnsi="宋体" w:cs="宋体"/>
          <w:szCs w:val="21"/>
        </w:rPr>
      </w:pPr>
    </w:p>
    <w:p>
      <w:pPr>
        <w:snapToGrid w:val="0"/>
        <w:spacing w:line="360" w:lineRule="auto"/>
        <w:jc w:val="right"/>
        <w:rPr>
          <w:rFonts w:ascii="宋体" w:hAnsi="宋体" w:cs="宋体"/>
          <w:szCs w:val="21"/>
        </w:rPr>
      </w:pPr>
    </w:p>
    <w:p>
      <w:pPr>
        <w:pStyle w:val="14"/>
        <w:rPr>
          <w:rFonts w:ascii="宋体" w:hAnsi="宋体" w:cs="宋体"/>
          <w:szCs w:val="21"/>
        </w:rPr>
      </w:pPr>
    </w:p>
    <w:p/>
    <w:p>
      <w:pPr>
        <w:snapToGrid w:val="0"/>
        <w:spacing w:line="360" w:lineRule="auto"/>
        <w:jc w:val="right"/>
        <w:rPr>
          <w:rFonts w:ascii="宋体" w:hAnsi="宋体" w:cs="宋体"/>
          <w:kern w:val="0"/>
          <w:sz w:val="24"/>
        </w:rPr>
      </w:pPr>
      <w:r>
        <w:rPr>
          <w:rFonts w:hint="eastAsia" w:ascii="宋体" w:hAnsi="宋体" w:cs="宋体"/>
          <w:kern w:val="0"/>
          <w:sz w:val="24"/>
        </w:rPr>
        <w:t>法定代表人（签字或电子盖章）：</w:t>
      </w:r>
    </w:p>
    <w:p>
      <w:pPr>
        <w:snapToGrid w:val="0"/>
        <w:spacing w:line="360" w:lineRule="auto"/>
        <w:jc w:val="right"/>
        <w:rPr>
          <w:rFonts w:ascii="宋体" w:hAnsi="宋体" w:cs="宋体"/>
          <w:kern w:val="0"/>
          <w:sz w:val="24"/>
        </w:rPr>
      </w:pPr>
      <w:r>
        <w:rPr>
          <w:rFonts w:hint="eastAsia" w:ascii="宋体" w:hAnsi="宋体" w:cs="宋体"/>
          <w:kern w:val="0"/>
          <w:sz w:val="24"/>
        </w:rPr>
        <w:t>投标人（盖单位电子公章）：</w:t>
      </w:r>
    </w:p>
    <w:p>
      <w:pPr>
        <w:snapToGrid w:val="0"/>
        <w:spacing w:line="360" w:lineRule="auto"/>
        <w:jc w:val="right"/>
        <w:rPr>
          <w:rFonts w:ascii="宋体" w:hAnsi="宋体" w:cs="宋体"/>
          <w:kern w:val="0"/>
          <w:sz w:val="24"/>
        </w:rPr>
        <w:sectPr>
          <w:pgSz w:w="11906" w:h="16838"/>
          <w:pgMar w:top="1440" w:right="1800" w:bottom="1440" w:left="1800" w:header="851" w:footer="992" w:gutter="0"/>
          <w:cols w:space="425" w:num="1"/>
          <w:docGrid w:type="lines" w:linePitch="312" w:charSpace="0"/>
        </w:sectPr>
      </w:pPr>
      <w:r>
        <w:rPr>
          <w:rFonts w:hint="eastAsia" w:ascii="宋体" w:hAnsi="宋体" w:cs="宋体"/>
          <w:kern w:val="0"/>
          <w:sz w:val="24"/>
        </w:rPr>
        <w:t>日期：    年   月   日</w:t>
      </w:r>
    </w:p>
    <w:p>
      <w:pPr>
        <w:adjustRightInd w:val="0"/>
        <w:snapToGrid w:val="0"/>
        <w:spacing w:line="360" w:lineRule="auto"/>
        <w:ind w:right="480"/>
        <w:rPr>
          <w:rFonts w:ascii="宋体"/>
          <w:b/>
          <w:sz w:val="30"/>
          <w:szCs w:val="30"/>
        </w:rPr>
      </w:pPr>
      <w:r>
        <w:rPr>
          <w:rFonts w:hint="eastAsia" w:ascii="宋体" w:hAnsi="宋体"/>
          <w:b/>
          <w:sz w:val="28"/>
        </w:rPr>
        <w:t>附件8</w:t>
      </w:r>
    </w:p>
    <w:p>
      <w:pPr>
        <w:pStyle w:val="24"/>
        <w:widowControl w:val="0"/>
        <w:spacing w:before="0" w:beforeAutospacing="0" w:after="0" w:afterAutospacing="0" w:line="360" w:lineRule="auto"/>
        <w:jc w:val="center"/>
        <w:rPr>
          <w:rFonts w:hint="default" w:ascii="黑体" w:eastAsia="黑体" w:cs="黑体"/>
          <w:bCs/>
          <w:kern w:val="2"/>
          <w:sz w:val="44"/>
          <w:szCs w:val="44"/>
        </w:rPr>
      </w:pPr>
      <w:r>
        <w:rPr>
          <w:rFonts w:ascii="黑体" w:eastAsia="黑体" w:cs="黑体"/>
          <w:bCs/>
          <w:kern w:val="2"/>
          <w:sz w:val="44"/>
          <w:szCs w:val="44"/>
        </w:rPr>
        <w:t>项目实施人员一览表</w:t>
      </w:r>
    </w:p>
    <w:tbl>
      <w:tblPr>
        <w:tblStyle w:val="28"/>
        <w:tblpPr w:leftFromText="181" w:rightFromText="181" w:bottomFromText="170" w:vertAnchor="text" w:tblpXSpec="center" w:tblpY="1"/>
        <w:tblOverlap w:val="never"/>
        <w:tblW w:w="91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04"/>
        <w:gridCol w:w="1725"/>
        <w:gridCol w:w="1650"/>
        <w:gridCol w:w="1438"/>
        <w:gridCol w:w="1752"/>
        <w:gridCol w:w="18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Cs w:val="21"/>
              </w:rPr>
            </w:pPr>
            <w:r>
              <w:rPr>
                <w:rFonts w:hint="eastAsia" w:ascii="宋体" w:hAnsi="宋体"/>
                <w:b/>
                <w:szCs w:val="21"/>
              </w:rPr>
              <w:t>序号</w:t>
            </w:r>
          </w:p>
        </w:tc>
        <w:tc>
          <w:tcPr>
            <w:tcW w:w="172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Cs w:val="21"/>
              </w:rPr>
            </w:pPr>
            <w:r>
              <w:rPr>
                <w:rFonts w:hint="eastAsia" w:ascii="宋体" w:hAnsi="宋体"/>
                <w:b/>
                <w:szCs w:val="21"/>
              </w:rPr>
              <w:t>姓名</w:t>
            </w:r>
          </w:p>
        </w:tc>
        <w:tc>
          <w:tcPr>
            <w:tcW w:w="165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Cs w:val="21"/>
              </w:rPr>
            </w:pPr>
            <w:r>
              <w:rPr>
                <w:rFonts w:hint="eastAsia" w:ascii="宋体" w:hAnsi="宋体"/>
                <w:b/>
                <w:szCs w:val="21"/>
              </w:rPr>
              <w:t>职务</w:t>
            </w:r>
          </w:p>
        </w:tc>
        <w:tc>
          <w:tcPr>
            <w:tcW w:w="143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Cs w:val="21"/>
              </w:rPr>
            </w:pPr>
            <w:r>
              <w:rPr>
                <w:rFonts w:hint="eastAsia" w:ascii="宋体" w:hAnsi="宋体"/>
                <w:b/>
                <w:szCs w:val="21"/>
              </w:rPr>
              <w:t>职责</w:t>
            </w:r>
          </w:p>
        </w:tc>
        <w:tc>
          <w:tcPr>
            <w:tcW w:w="175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bCs/>
                <w:szCs w:val="21"/>
              </w:rPr>
            </w:pPr>
            <w:r>
              <w:rPr>
                <w:rFonts w:hint="eastAsia" w:ascii="宋体" w:hAnsi="宋体"/>
                <w:b/>
                <w:bCs/>
                <w:szCs w:val="21"/>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bCs/>
                <w:szCs w:val="21"/>
              </w:rPr>
            </w:pPr>
            <w:r>
              <w:rPr>
                <w:rFonts w:hint="eastAsia" w:ascii="宋体" w:hAnsi="宋体"/>
                <w:b/>
                <w:szCs w:val="21"/>
              </w:rPr>
              <w:t>身份证号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szCs w:val="21"/>
              </w:rPr>
            </w:pPr>
          </w:p>
        </w:tc>
        <w:tc>
          <w:tcPr>
            <w:tcW w:w="172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165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jc w:val="center"/>
              <w:rPr>
                <w:rFonts w:ascii="宋体" w:hAnsi="宋体"/>
                <w:b/>
                <w:kern w:val="44"/>
                <w:szCs w:val="21"/>
              </w:rPr>
            </w:pPr>
          </w:p>
        </w:tc>
        <w:tc>
          <w:tcPr>
            <w:tcW w:w="143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175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szCs w:val="21"/>
              </w:rPr>
            </w:pPr>
          </w:p>
        </w:tc>
        <w:tc>
          <w:tcPr>
            <w:tcW w:w="172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165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jc w:val="center"/>
              <w:rPr>
                <w:rFonts w:ascii="宋体" w:hAnsi="宋体"/>
                <w:b/>
                <w:kern w:val="44"/>
                <w:szCs w:val="21"/>
              </w:rPr>
            </w:pPr>
          </w:p>
        </w:tc>
        <w:tc>
          <w:tcPr>
            <w:tcW w:w="143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175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szCs w:val="21"/>
              </w:rPr>
            </w:pPr>
          </w:p>
        </w:tc>
        <w:tc>
          <w:tcPr>
            <w:tcW w:w="172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165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jc w:val="center"/>
              <w:rPr>
                <w:rFonts w:ascii="宋体" w:hAnsi="宋体"/>
                <w:b/>
                <w:kern w:val="44"/>
                <w:szCs w:val="21"/>
              </w:rPr>
            </w:pPr>
          </w:p>
        </w:tc>
        <w:tc>
          <w:tcPr>
            <w:tcW w:w="143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7"/>
              <w:snapToGrid w:val="0"/>
              <w:spacing w:before="156" w:beforeLines="50" w:after="50" w:line="360" w:lineRule="auto"/>
              <w:ind w:left="5250"/>
              <w:rPr>
                <w:rFonts w:ascii="宋体" w:hAnsi="宋体" w:eastAsia="宋体"/>
                <w:b/>
                <w:kern w:val="44"/>
                <w:sz w:val="21"/>
                <w:szCs w:val="21"/>
              </w:rPr>
            </w:pPr>
          </w:p>
        </w:tc>
        <w:tc>
          <w:tcPr>
            <w:tcW w:w="175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szCs w:val="21"/>
              </w:rPr>
            </w:pPr>
          </w:p>
        </w:tc>
        <w:tc>
          <w:tcPr>
            <w:tcW w:w="172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165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jc w:val="center"/>
              <w:rPr>
                <w:rFonts w:ascii="宋体" w:hAnsi="宋体"/>
                <w:b/>
                <w:kern w:val="44"/>
                <w:szCs w:val="21"/>
              </w:rPr>
            </w:pPr>
          </w:p>
        </w:tc>
        <w:tc>
          <w:tcPr>
            <w:tcW w:w="143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175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szCs w:val="21"/>
              </w:rPr>
            </w:pPr>
          </w:p>
        </w:tc>
        <w:tc>
          <w:tcPr>
            <w:tcW w:w="172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165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jc w:val="center"/>
              <w:rPr>
                <w:rFonts w:ascii="宋体" w:hAnsi="宋体"/>
                <w:b/>
                <w:kern w:val="44"/>
                <w:szCs w:val="21"/>
              </w:rPr>
            </w:pPr>
            <w:r>
              <w:rPr>
                <w:rFonts w:hint="eastAsia" w:ascii="宋体" w:hAnsi="宋体"/>
                <w:b/>
                <w:kern w:val="44"/>
                <w:szCs w:val="21"/>
              </w:rPr>
              <w:t>...</w:t>
            </w:r>
          </w:p>
        </w:tc>
        <w:tc>
          <w:tcPr>
            <w:tcW w:w="143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175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r>
    </w:tbl>
    <w:p>
      <w:pPr>
        <w:spacing w:line="360" w:lineRule="auto"/>
        <w:rPr>
          <w:rFonts w:ascii="宋体" w:hAnsi="宋体"/>
          <w:szCs w:val="21"/>
        </w:rPr>
      </w:pPr>
      <w:r>
        <w:rPr>
          <w:rFonts w:hint="eastAsia" w:ascii="宋体" w:hAnsi="宋体"/>
          <w:b/>
          <w:szCs w:val="21"/>
        </w:rPr>
        <w:t>要求：</w:t>
      </w:r>
      <w:r>
        <w:rPr>
          <w:rFonts w:hint="eastAsia" w:ascii="宋体" w:hAnsi="宋体"/>
          <w:szCs w:val="21"/>
        </w:rPr>
        <w:t>1.</w:t>
      </w:r>
      <w:r>
        <w:rPr>
          <w:rFonts w:hint="eastAsia" w:ascii="宋体" w:hAnsi="宋体"/>
          <w:bCs/>
          <w:szCs w:val="21"/>
        </w:rPr>
        <w:t>在填</w:t>
      </w:r>
      <w:r>
        <w:rPr>
          <w:rFonts w:hint="eastAsia" w:ascii="宋体" w:hAnsi="宋体"/>
          <w:szCs w:val="21"/>
        </w:rPr>
        <w:t>写时，如本表格不适合投标单位的实际情况，可根据本表格式自行划表填写。</w:t>
      </w:r>
    </w:p>
    <w:p>
      <w:pPr>
        <w:spacing w:line="360" w:lineRule="auto"/>
        <w:rPr>
          <w:rFonts w:ascii="宋体" w:hAnsi="宋体"/>
          <w:szCs w:val="21"/>
        </w:rPr>
      </w:pPr>
      <w:r>
        <w:rPr>
          <w:rFonts w:hint="eastAsia" w:ascii="宋体" w:hAnsi="宋体"/>
          <w:szCs w:val="21"/>
        </w:rPr>
        <w:t>2.投标人此表中人员须为实际到岗人员，否则按违约处理。</w:t>
      </w:r>
    </w:p>
    <w:p>
      <w:pPr>
        <w:pStyle w:val="27"/>
        <w:jc w:val="right"/>
      </w:pPr>
      <w:r>
        <w:rPr>
          <w:rFonts w:hint="eastAsia"/>
        </w:rPr>
        <w:t xml:space="preserve"> </w:t>
      </w:r>
    </w:p>
    <w:p>
      <w:pPr>
        <w:pStyle w:val="27"/>
        <w:jc w:val="right"/>
      </w:pPr>
    </w:p>
    <w:p>
      <w:pPr>
        <w:pStyle w:val="27"/>
        <w:jc w:val="right"/>
      </w:pPr>
    </w:p>
    <w:p>
      <w:pPr>
        <w:pStyle w:val="27"/>
        <w:jc w:val="right"/>
      </w:pPr>
    </w:p>
    <w:p>
      <w:pPr>
        <w:pStyle w:val="27"/>
        <w:jc w:val="right"/>
        <w:rPr>
          <w:sz w:val="24"/>
        </w:rPr>
      </w:pPr>
      <w:r>
        <w:rPr>
          <w:rFonts w:hint="eastAsia"/>
          <w:sz w:val="24"/>
        </w:rPr>
        <w:t>法定代表人（签字或电子盖章）：</w:t>
      </w:r>
    </w:p>
    <w:p>
      <w:pPr>
        <w:pStyle w:val="27"/>
        <w:jc w:val="right"/>
        <w:rPr>
          <w:sz w:val="24"/>
        </w:rPr>
      </w:pPr>
      <w:r>
        <w:rPr>
          <w:rFonts w:hint="eastAsia"/>
          <w:sz w:val="24"/>
        </w:rPr>
        <w:t>投标人（盖单位电子公章）：</w:t>
      </w:r>
    </w:p>
    <w:p>
      <w:pPr>
        <w:pStyle w:val="27"/>
        <w:jc w:val="right"/>
        <w:rPr>
          <w:sz w:val="24"/>
        </w:rPr>
      </w:pPr>
      <w:r>
        <w:rPr>
          <w:rFonts w:hint="eastAsia"/>
          <w:sz w:val="24"/>
        </w:rPr>
        <w:t>日期：    年   月   日</w:t>
      </w:r>
    </w:p>
    <w:p>
      <w:pPr>
        <w:spacing w:line="480" w:lineRule="auto"/>
        <w:jc w:val="center"/>
        <w:rPr>
          <w:rFonts w:ascii="宋体" w:hAnsi="宋体"/>
          <w:b/>
          <w:bCs/>
          <w:sz w:val="24"/>
        </w:rPr>
      </w:pPr>
      <w:bookmarkStart w:id="39" w:name="_Toc29537_WPSOffice_Level1"/>
      <w:bookmarkStart w:id="40" w:name="_Toc19972_WPSOffice_Level1"/>
    </w:p>
    <w:p>
      <w:pPr>
        <w:spacing w:line="480" w:lineRule="auto"/>
        <w:jc w:val="center"/>
        <w:rPr>
          <w:rFonts w:ascii="宋体" w:hAnsi="宋体"/>
          <w:b/>
          <w:bCs/>
          <w:sz w:val="36"/>
          <w:szCs w:val="36"/>
        </w:rPr>
      </w:pPr>
    </w:p>
    <w:p>
      <w:pPr>
        <w:spacing w:line="480" w:lineRule="auto"/>
        <w:jc w:val="center"/>
        <w:rPr>
          <w:rFonts w:ascii="宋体" w:hAnsi="宋体"/>
          <w:b/>
          <w:bCs/>
          <w:sz w:val="36"/>
          <w:szCs w:val="36"/>
        </w:rPr>
        <w:sectPr>
          <w:pgSz w:w="11906" w:h="16838"/>
          <w:pgMar w:top="1440" w:right="1800" w:bottom="1440" w:left="1800" w:header="851" w:footer="992" w:gutter="0"/>
          <w:cols w:space="425" w:num="1"/>
          <w:docGrid w:type="lines" w:linePitch="312" w:charSpace="0"/>
        </w:sectPr>
      </w:pPr>
    </w:p>
    <w:p>
      <w:pPr>
        <w:spacing w:line="360" w:lineRule="auto"/>
        <w:jc w:val="left"/>
        <w:rPr>
          <w:rFonts w:ascii="宋体" w:hAnsi="宋体" w:cs="宋体"/>
          <w:b/>
          <w:sz w:val="28"/>
          <w:szCs w:val="28"/>
        </w:rPr>
      </w:pPr>
      <w:r>
        <w:rPr>
          <w:rFonts w:hint="eastAsia" w:ascii="宋体" w:hAnsi="宋体" w:cs="宋体"/>
          <w:b/>
          <w:sz w:val="28"/>
          <w:szCs w:val="28"/>
        </w:rPr>
        <w:t>附件9</w:t>
      </w:r>
    </w:p>
    <w:p>
      <w:pPr>
        <w:pStyle w:val="24"/>
        <w:widowControl w:val="0"/>
        <w:spacing w:before="0" w:beforeAutospacing="0" w:after="0" w:afterAutospacing="0" w:line="360" w:lineRule="auto"/>
        <w:jc w:val="center"/>
        <w:rPr>
          <w:rFonts w:hint="default" w:ascii="黑体" w:eastAsia="黑体" w:cs="黑体"/>
          <w:bCs/>
          <w:kern w:val="2"/>
          <w:sz w:val="44"/>
          <w:szCs w:val="44"/>
        </w:rPr>
      </w:pPr>
      <w:r>
        <w:rPr>
          <w:rFonts w:ascii="黑体" w:eastAsia="黑体" w:cs="黑体"/>
          <w:bCs/>
          <w:kern w:val="2"/>
          <w:sz w:val="44"/>
          <w:szCs w:val="44"/>
        </w:rPr>
        <w:t>类似项目实施情况一览表</w:t>
      </w:r>
    </w:p>
    <w:tbl>
      <w:tblPr>
        <w:tblStyle w:val="28"/>
        <w:tblW w:w="9107"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540"/>
        <w:gridCol w:w="1293"/>
        <w:gridCol w:w="1322"/>
        <w:gridCol w:w="1260"/>
        <w:gridCol w:w="1272"/>
        <w:gridCol w:w="1383"/>
        <w:gridCol w:w="2037"/>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tcMar>
              <w:top w:w="57" w:type="dxa"/>
            </w:tcMar>
            <w:vAlign w:val="center"/>
          </w:tcPr>
          <w:p>
            <w:pPr>
              <w:pStyle w:val="24"/>
              <w:widowControl w:val="0"/>
              <w:spacing w:before="0" w:beforeAutospacing="0" w:after="0" w:afterAutospacing="0" w:line="360" w:lineRule="auto"/>
              <w:jc w:val="center"/>
              <w:rPr>
                <w:rFonts w:hint="default" w:cs="宋体"/>
                <w:b/>
                <w:bCs/>
                <w:kern w:val="2"/>
                <w:sz w:val="21"/>
                <w:szCs w:val="21"/>
              </w:rPr>
            </w:pPr>
            <w:r>
              <w:rPr>
                <w:rFonts w:cs="宋体"/>
                <w:b/>
                <w:bCs/>
                <w:kern w:val="2"/>
                <w:sz w:val="21"/>
                <w:szCs w:val="21"/>
              </w:rPr>
              <w:t>序号</w:t>
            </w:r>
          </w:p>
        </w:tc>
        <w:tc>
          <w:tcPr>
            <w:tcW w:w="1293" w:type="dxa"/>
            <w:tcBorders>
              <w:top w:val="single" w:color="auto" w:sz="6" w:space="0"/>
              <w:left w:val="nil"/>
              <w:bottom w:val="single" w:color="auto" w:sz="6" w:space="0"/>
              <w:right w:val="single" w:color="auto" w:sz="6" w:space="0"/>
            </w:tcBorders>
            <w:tcMar>
              <w:top w:w="57" w:type="dxa"/>
            </w:tcMar>
            <w:vAlign w:val="center"/>
          </w:tcPr>
          <w:p>
            <w:pPr>
              <w:pStyle w:val="24"/>
              <w:widowControl w:val="0"/>
              <w:spacing w:before="0" w:beforeAutospacing="0" w:after="0" w:afterAutospacing="0" w:line="360" w:lineRule="auto"/>
              <w:jc w:val="center"/>
              <w:rPr>
                <w:rFonts w:hint="default" w:cs="宋体"/>
                <w:b/>
                <w:bCs/>
                <w:kern w:val="2"/>
                <w:sz w:val="21"/>
                <w:szCs w:val="21"/>
              </w:rPr>
            </w:pPr>
            <w:r>
              <w:rPr>
                <w:rFonts w:cs="宋体"/>
                <w:b/>
                <w:bCs/>
                <w:kern w:val="2"/>
                <w:sz w:val="21"/>
                <w:szCs w:val="21"/>
              </w:rPr>
              <w:t>项目名称</w:t>
            </w:r>
          </w:p>
        </w:tc>
        <w:tc>
          <w:tcPr>
            <w:tcW w:w="1322" w:type="dxa"/>
            <w:tcBorders>
              <w:top w:val="single" w:color="auto" w:sz="6" w:space="0"/>
              <w:left w:val="nil"/>
              <w:bottom w:val="single" w:color="auto" w:sz="6" w:space="0"/>
              <w:right w:val="single" w:color="auto" w:sz="6" w:space="0"/>
            </w:tcBorders>
            <w:tcMar>
              <w:top w:w="57" w:type="dxa"/>
            </w:tcMar>
            <w:vAlign w:val="center"/>
          </w:tcPr>
          <w:p>
            <w:pPr>
              <w:pStyle w:val="24"/>
              <w:widowControl w:val="0"/>
              <w:spacing w:before="0" w:beforeAutospacing="0" w:after="0" w:afterAutospacing="0" w:line="360" w:lineRule="auto"/>
              <w:jc w:val="center"/>
              <w:rPr>
                <w:rFonts w:hint="default" w:cs="宋体"/>
                <w:b/>
                <w:bCs/>
                <w:kern w:val="2"/>
                <w:sz w:val="21"/>
                <w:szCs w:val="21"/>
              </w:rPr>
            </w:pPr>
            <w:r>
              <w:rPr>
                <w:rFonts w:cs="宋体"/>
                <w:b/>
                <w:bCs/>
                <w:kern w:val="2"/>
                <w:sz w:val="21"/>
                <w:szCs w:val="21"/>
              </w:rPr>
              <w:t>项目地址</w:t>
            </w:r>
          </w:p>
        </w:tc>
        <w:tc>
          <w:tcPr>
            <w:tcW w:w="1260" w:type="dxa"/>
            <w:tcBorders>
              <w:top w:val="single" w:color="auto" w:sz="6" w:space="0"/>
              <w:left w:val="nil"/>
              <w:bottom w:val="single" w:color="auto" w:sz="6" w:space="0"/>
              <w:right w:val="single" w:color="auto" w:sz="6" w:space="0"/>
            </w:tcBorders>
            <w:tcMar>
              <w:top w:w="57" w:type="dxa"/>
            </w:tcMar>
            <w:vAlign w:val="center"/>
          </w:tcPr>
          <w:p>
            <w:pPr>
              <w:pStyle w:val="24"/>
              <w:widowControl w:val="0"/>
              <w:spacing w:before="0" w:beforeAutospacing="0" w:after="0" w:afterAutospacing="0" w:line="360" w:lineRule="auto"/>
              <w:jc w:val="center"/>
              <w:rPr>
                <w:rFonts w:hint="default" w:cs="宋体"/>
                <w:b/>
                <w:bCs/>
                <w:kern w:val="2"/>
                <w:sz w:val="21"/>
                <w:szCs w:val="21"/>
              </w:rPr>
            </w:pPr>
            <w:r>
              <w:rPr>
                <w:rFonts w:cs="宋体"/>
                <w:b/>
                <w:bCs/>
                <w:kern w:val="2"/>
                <w:sz w:val="21"/>
                <w:szCs w:val="21"/>
              </w:rPr>
              <w:t>合同总价</w:t>
            </w:r>
          </w:p>
        </w:tc>
        <w:tc>
          <w:tcPr>
            <w:tcW w:w="1272" w:type="dxa"/>
            <w:tcBorders>
              <w:top w:val="single" w:color="auto" w:sz="6" w:space="0"/>
              <w:left w:val="nil"/>
              <w:bottom w:val="single" w:color="auto" w:sz="6" w:space="0"/>
              <w:right w:val="single" w:color="auto" w:sz="6" w:space="0"/>
            </w:tcBorders>
            <w:tcMar>
              <w:top w:w="57" w:type="dxa"/>
            </w:tcMar>
            <w:vAlign w:val="center"/>
          </w:tcPr>
          <w:p>
            <w:pPr>
              <w:pStyle w:val="24"/>
              <w:widowControl w:val="0"/>
              <w:spacing w:before="0" w:beforeAutospacing="0" w:after="0" w:afterAutospacing="0" w:line="360" w:lineRule="auto"/>
              <w:jc w:val="center"/>
              <w:rPr>
                <w:rFonts w:hint="default" w:cs="宋体"/>
                <w:b/>
                <w:bCs/>
                <w:kern w:val="2"/>
                <w:sz w:val="21"/>
                <w:szCs w:val="21"/>
              </w:rPr>
            </w:pPr>
            <w:r>
              <w:rPr>
                <w:rFonts w:cs="宋体"/>
                <w:b/>
                <w:bCs/>
                <w:kern w:val="2"/>
                <w:sz w:val="21"/>
                <w:szCs w:val="21"/>
              </w:rPr>
              <w:t>实施时间</w:t>
            </w:r>
          </w:p>
        </w:tc>
        <w:tc>
          <w:tcPr>
            <w:tcW w:w="1383" w:type="dxa"/>
            <w:tcBorders>
              <w:top w:val="single" w:color="auto" w:sz="6" w:space="0"/>
              <w:left w:val="nil"/>
              <w:bottom w:val="single" w:color="auto" w:sz="6" w:space="0"/>
              <w:right w:val="single" w:color="auto" w:sz="6" w:space="0"/>
            </w:tcBorders>
            <w:tcMar>
              <w:top w:w="57" w:type="dxa"/>
            </w:tcMar>
            <w:vAlign w:val="center"/>
          </w:tcPr>
          <w:p>
            <w:pPr>
              <w:pStyle w:val="24"/>
              <w:widowControl w:val="0"/>
              <w:spacing w:before="0" w:beforeAutospacing="0" w:after="0" w:afterAutospacing="0" w:line="360" w:lineRule="auto"/>
              <w:jc w:val="center"/>
              <w:rPr>
                <w:rFonts w:hint="default" w:cs="宋体"/>
                <w:b/>
                <w:bCs/>
                <w:kern w:val="2"/>
                <w:sz w:val="21"/>
                <w:szCs w:val="21"/>
              </w:rPr>
            </w:pPr>
            <w:r>
              <w:rPr>
                <w:rFonts w:cs="宋体"/>
                <w:b/>
                <w:bCs/>
                <w:kern w:val="2"/>
                <w:sz w:val="21"/>
                <w:szCs w:val="21"/>
              </w:rPr>
              <w:t>项目质量</w:t>
            </w:r>
          </w:p>
        </w:tc>
        <w:tc>
          <w:tcPr>
            <w:tcW w:w="2037" w:type="dxa"/>
            <w:tcBorders>
              <w:top w:val="single" w:color="auto" w:sz="6" w:space="0"/>
              <w:left w:val="nil"/>
              <w:bottom w:val="single" w:color="auto" w:sz="6" w:space="0"/>
              <w:right w:val="single" w:color="auto" w:sz="6" w:space="0"/>
            </w:tcBorders>
            <w:tcMar>
              <w:top w:w="57" w:type="dxa"/>
            </w:tcMar>
            <w:vAlign w:val="center"/>
          </w:tcPr>
          <w:p>
            <w:pPr>
              <w:pStyle w:val="24"/>
              <w:widowControl w:val="0"/>
              <w:spacing w:before="0" w:beforeAutospacing="0" w:after="0" w:afterAutospacing="0" w:line="360" w:lineRule="auto"/>
              <w:jc w:val="center"/>
              <w:rPr>
                <w:rFonts w:hint="default" w:cs="宋体"/>
                <w:b/>
                <w:bCs/>
                <w:kern w:val="2"/>
                <w:sz w:val="21"/>
                <w:szCs w:val="21"/>
              </w:rPr>
            </w:pPr>
            <w:r>
              <w:rPr>
                <w:rFonts w:cs="宋体"/>
                <w:b/>
                <w:bCs/>
                <w:kern w:val="2"/>
                <w:sz w:val="21"/>
                <w:szCs w:val="21"/>
              </w:rPr>
              <w:t>项目单位名称及其联系人电话</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tcMar>
          </w:tcPr>
          <w:p>
            <w:pPr>
              <w:pStyle w:val="24"/>
              <w:widowControl w:val="0"/>
              <w:spacing w:before="0" w:beforeAutospacing="0" w:after="0" w:afterAutospacing="0" w:line="360" w:lineRule="auto"/>
              <w:jc w:val="center"/>
              <w:rPr>
                <w:rFonts w:hint="default" w:cs="宋体"/>
                <w:kern w:val="2"/>
                <w:sz w:val="21"/>
                <w:szCs w:val="21"/>
              </w:rPr>
            </w:pPr>
            <w:r>
              <w:rPr>
                <w:rFonts w:cs="宋体"/>
                <w:kern w:val="2"/>
                <w:sz w:val="21"/>
                <w:szCs w:val="21"/>
              </w:rPr>
              <w:t>1</w:t>
            </w:r>
          </w:p>
        </w:tc>
        <w:tc>
          <w:tcPr>
            <w:tcW w:w="1293" w:type="dxa"/>
            <w:tcBorders>
              <w:top w:val="single" w:color="auto" w:sz="6" w:space="0"/>
              <w:left w:val="nil"/>
              <w:bottom w:val="single" w:color="auto" w:sz="6" w:space="0"/>
              <w:right w:val="single" w:color="auto" w:sz="6" w:space="0"/>
            </w:tcBorders>
            <w:tcMar>
              <w:top w:w="57" w:type="dxa"/>
            </w:tcMar>
          </w:tcPr>
          <w:p>
            <w:pPr>
              <w:pStyle w:val="24"/>
              <w:widowControl w:val="0"/>
              <w:spacing w:before="0" w:beforeAutospacing="0" w:after="0" w:afterAutospacing="0" w:line="360" w:lineRule="auto"/>
              <w:jc w:val="both"/>
              <w:rPr>
                <w:rFonts w:hint="default" w:cs="宋体"/>
                <w:kern w:val="2"/>
                <w:sz w:val="21"/>
                <w:szCs w:val="21"/>
              </w:rPr>
            </w:pPr>
          </w:p>
        </w:tc>
        <w:tc>
          <w:tcPr>
            <w:tcW w:w="1322" w:type="dxa"/>
            <w:tcBorders>
              <w:top w:val="single" w:color="auto" w:sz="6" w:space="0"/>
              <w:left w:val="nil"/>
              <w:bottom w:val="single" w:color="auto" w:sz="6" w:space="0"/>
              <w:right w:val="single" w:color="auto" w:sz="6" w:space="0"/>
            </w:tcBorders>
            <w:tcMar>
              <w:top w:w="57" w:type="dxa"/>
            </w:tcMar>
          </w:tcPr>
          <w:p>
            <w:pPr>
              <w:pStyle w:val="24"/>
              <w:widowControl w:val="0"/>
              <w:spacing w:before="0" w:beforeAutospacing="0" w:after="0" w:afterAutospacing="0" w:line="360" w:lineRule="auto"/>
              <w:jc w:val="both"/>
              <w:rPr>
                <w:rFonts w:hint="default" w:cs="宋体"/>
                <w:kern w:val="2"/>
                <w:sz w:val="21"/>
                <w:szCs w:val="21"/>
              </w:rPr>
            </w:pPr>
          </w:p>
        </w:tc>
        <w:tc>
          <w:tcPr>
            <w:tcW w:w="1260" w:type="dxa"/>
            <w:tcBorders>
              <w:top w:val="single" w:color="auto" w:sz="6" w:space="0"/>
              <w:left w:val="nil"/>
              <w:bottom w:val="single" w:color="auto" w:sz="6" w:space="0"/>
              <w:right w:val="single" w:color="auto" w:sz="6" w:space="0"/>
            </w:tcBorders>
            <w:tcMar>
              <w:top w:w="57" w:type="dxa"/>
            </w:tcMar>
          </w:tcPr>
          <w:p>
            <w:pPr>
              <w:pStyle w:val="24"/>
              <w:widowControl w:val="0"/>
              <w:spacing w:before="0" w:beforeAutospacing="0" w:after="0" w:afterAutospacing="0" w:line="360" w:lineRule="auto"/>
              <w:jc w:val="both"/>
              <w:rPr>
                <w:rFonts w:hint="default" w:cs="宋体"/>
                <w:kern w:val="2"/>
                <w:sz w:val="21"/>
                <w:szCs w:val="21"/>
              </w:rPr>
            </w:pPr>
          </w:p>
        </w:tc>
        <w:tc>
          <w:tcPr>
            <w:tcW w:w="1272" w:type="dxa"/>
            <w:tcBorders>
              <w:top w:val="single" w:color="auto" w:sz="6" w:space="0"/>
              <w:left w:val="nil"/>
              <w:bottom w:val="single" w:color="auto" w:sz="6" w:space="0"/>
              <w:right w:val="single" w:color="auto" w:sz="6" w:space="0"/>
            </w:tcBorders>
            <w:tcMar>
              <w:top w:w="57" w:type="dxa"/>
            </w:tcMar>
          </w:tcPr>
          <w:p>
            <w:pPr>
              <w:pStyle w:val="24"/>
              <w:widowControl w:val="0"/>
              <w:spacing w:before="0" w:beforeAutospacing="0" w:after="0" w:afterAutospacing="0" w:line="360" w:lineRule="auto"/>
              <w:jc w:val="both"/>
              <w:rPr>
                <w:rFonts w:hint="default" w:cs="宋体"/>
                <w:kern w:val="2"/>
                <w:sz w:val="21"/>
                <w:szCs w:val="21"/>
              </w:rPr>
            </w:pPr>
          </w:p>
        </w:tc>
        <w:tc>
          <w:tcPr>
            <w:tcW w:w="1383" w:type="dxa"/>
            <w:tcBorders>
              <w:top w:val="single" w:color="auto" w:sz="6" w:space="0"/>
              <w:left w:val="nil"/>
              <w:bottom w:val="single" w:color="auto" w:sz="6" w:space="0"/>
              <w:right w:val="single" w:color="auto" w:sz="6" w:space="0"/>
            </w:tcBorders>
            <w:tcMar>
              <w:top w:w="57" w:type="dxa"/>
            </w:tcMar>
          </w:tcPr>
          <w:p>
            <w:pPr>
              <w:pStyle w:val="24"/>
              <w:widowControl w:val="0"/>
              <w:spacing w:before="0" w:beforeAutospacing="0" w:after="0" w:afterAutospacing="0" w:line="360" w:lineRule="auto"/>
              <w:jc w:val="both"/>
              <w:rPr>
                <w:rFonts w:hint="default" w:cs="宋体"/>
                <w:kern w:val="2"/>
                <w:sz w:val="21"/>
                <w:szCs w:val="21"/>
              </w:rPr>
            </w:pPr>
          </w:p>
        </w:tc>
        <w:tc>
          <w:tcPr>
            <w:tcW w:w="2037" w:type="dxa"/>
            <w:tcBorders>
              <w:top w:val="single" w:color="auto" w:sz="6" w:space="0"/>
              <w:left w:val="nil"/>
              <w:bottom w:val="single" w:color="auto" w:sz="6" w:space="0"/>
              <w:right w:val="single" w:color="auto" w:sz="6" w:space="0"/>
            </w:tcBorders>
            <w:tcMar>
              <w:top w:w="57" w:type="dxa"/>
            </w:tcMar>
          </w:tcPr>
          <w:p>
            <w:pPr>
              <w:pStyle w:val="24"/>
              <w:widowControl w:val="0"/>
              <w:spacing w:before="0" w:beforeAutospacing="0" w:after="0" w:afterAutospacing="0" w:line="360" w:lineRule="auto"/>
              <w:jc w:val="both"/>
              <w:rPr>
                <w:rFonts w:hint="default" w:cs="宋体"/>
                <w:kern w:val="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tcMar>
          </w:tcPr>
          <w:p>
            <w:pPr>
              <w:pStyle w:val="24"/>
              <w:widowControl w:val="0"/>
              <w:spacing w:before="0" w:beforeAutospacing="0" w:after="0" w:afterAutospacing="0" w:line="360" w:lineRule="auto"/>
              <w:jc w:val="center"/>
              <w:rPr>
                <w:rFonts w:hint="default" w:cs="宋体"/>
                <w:kern w:val="2"/>
                <w:sz w:val="21"/>
                <w:szCs w:val="21"/>
              </w:rPr>
            </w:pPr>
            <w:r>
              <w:rPr>
                <w:rFonts w:cs="宋体"/>
                <w:kern w:val="2"/>
                <w:sz w:val="21"/>
                <w:szCs w:val="21"/>
              </w:rPr>
              <w:t>2</w:t>
            </w:r>
          </w:p>
        </w:tc>
        <w:tc>
          <w:tcPr>
            <w:tcW w:w="1293" w:type="dxa"/>
            <w:tcBorders>
              <w:top w:val="single" w:color="auto" w:sz="6" w:space="0"/>
              <w:left w:val="nil"/>
              <w:bottom w:val="single" w:color="auto" w:sz="6" w:space="0"/>
              <w:right w:val="single" w:color="auto" w:sz="6" w:space="0"/>
            </w:tcBorders>
            <w:tcMar>
              <w:top w:w="57" w:type="dxa"/>
            </w:tcMar>
          </w:tcPr>
          <w:p>
            <w:pPr>
              <w:pStyle w:val="24"/>
              <w:widowControl w:val="0"/>
              <w:spacing w:before="0" w:beforeAutospacing="0" w:after="0" w:afterAutospacing="0" w:line="360" w:lineRule="auto"/>
              <w:jc w:val="both"/>
              <w:rPr>
                <w:rFonts w:hint="default" w:cs="宋体"/>
                <w:kern w:val="2"/>
                <w:sz w:val="21"/>
                <w:szCs w:val="21"/>
              </w:rPr>
            </w:pPr>
          </w:p>
        </w:tc>
        <w:tc>
          <w:tcPr>
            <w:tcW w:w="1322" w:type="dxa"/>
            <w:tcBorders>
              <w:top w:val="single" w:color="auto" w:sz="6" w:space="0"/>
              <w:left w:val="nil"/>
              <w:bottom w:val="single" w:color="auto" w:sz="6" w:space="0"/>
              <w:right w:val="single" w:color="auto" w:sz="6" w:space="0"/>
            </w:tcBorders>
            <w:tcMar>
              <w:top w:w="57" w:type="dxa"/>
            </w:tcMar>
          </w:tcPr>
          <w:p>
            <w:pPr>
              <w:pStyle w:val="24"/>
              <w:widowControl w:val="0"/>
              <w:spacing w:before="0" w:beforeAutospacing="0" w:after="0" w:afterAutospacing="0" w:line="360" w:lineRule="auto"/>
              <w:jc w:val="both"/>
              <w:rPr>
                <w:rFonts w:hint="default" w:cs="宋体"/>
                <w:kern w:val="2"/>
                <w:sz w:val="21"/>
                <w:szCs w:val="21"/>
              </w:rPr>
            </w:pPr>
          </w:p>
        </w:tc>
        <w:tc>
          <w:tcPr>
            <w:tcW w:w="1260" w:type="dxa"/>
            <w:tcBorders>
              <w:top w:val="single" w:color="auto" w:sz="6" w:space="0"/>
              <w:left w:val="nil"/>
              <w:bottom w:val="single" w:color="auto" w:sz="6" w:space="0"/>
              <w:right w:val="single" w:color="auto" w:sz="6" w:space="0"/>
            </w:tcBorders>
            <w:tcMar>
              <w:top w:w="57" w:type="dxa"/>
            </w:tcMar>
          </w:tcPr>
          <w:p>
            <w:pPr>
              <w:pStyle w:val="24"/>
              <w:widowControl w:val="0"/>
              <w:spacing w:before="0" w:beforeAutospacing="0" w:after="0" w:afterAutospacing="0" w:line="360" w:lineRule="auto"/>
              <w:jc w:val="both"/>
              <w:rPr>
                <w:rFonts w:hint="default" w:cs="宋体"/>
                <w:kern w:val="2"/>
                <w:sz w:val="21"/>
                <w:szCs w:val="21"/>
              </w:rPr>
            </w:pPr>
          </w:p>
        </w:tc>
        <w:tc>
          <w:tcPr>
            <w:tcW w:w="1272" w:type="dxa"/>
            <w:tcBorders>
              <w:top w:val="single" w:color="auto" w:sz="6" w:space="0"/>
              <w:left w:val="nil"/>
              <w:bottom w:val="single" w:color="auto" w:sz="6" w:space="0"/>
              <w:right w:val="single" w:color="auto" w:sz="6" w:space="0"/>
            </w:tcBorders>
            <w:tcMar>
              <w:top w:w="57" w:type="dxa"/>
            </w:tcMar>
          </w:tcPr>
          <w:p>
            <w:pPr>
              <w:pStyle w:val="24"/>
              <w:widowControl w:val="0"/>
              <w:spacing w:before="0" w:beforeAutospacing="0" w:after="0" w:afterAutospacing="0" w:line="360" w:lineRule="auto"/>
              <w:jc w:val="both"/>
              <w:rPr>
                <w:rFonts w:hint="default" w:cs="宋体"/>
                <w:kern w:val="2"/>
                <w:sz w:val="21"/>
                <w:szCs w:val="21"/>
              </w:rPr>
            </w:pPr>
          </w:p>
        </w:tc>
        <w:tc>
          <w:tcPr>
            <w:tcW w:w="1383" w:type="dxa"/>
            <w:tcBorders>
              <w:top w:val="single" w:color="auto" w:sz="6" w:space="0"/>
              <w:left w:val="nil"/>
              <w:bottom w:val="single" w:color="auto" w:sz="6" w:space="0"/>
              <w:right w:val="single" w:color="auto" w:sz="6" w:space="0"/>
            </w:tcBorders>
            <w:tcMar>
              <w:top w:w="57" w:type="dxa"/>
            </w:tcMar>
          </w:tcPr>
          <w:p>
            <w:pPr>
              <w:pStyle w:val="24"/>
              <w:widowControl w:val="0"/>
              <w:spacing w:before="0" w:beforeAutospacing="0" w:after="0" w:afterAutospacing="0" w:line="360" w:lineRule="auto"/>
              <w:jc w:val="both"/>
              <w:rPr>
                <w:rFonts w:hint="default" w:cs="宋体"/>
                <w:kern w:val="2"/>
                <w:sz w:val="21"/>
                <w:szCs w:val="21"/>
              </w:rPr>
            </w:pPr>
          </w:p>
        </w:tc>
        <w:tc>
          <w:tcPr>
            <w:tcW w:w="2037" w:type="dxa"/>
            <w:tcBorders>
              <w:top w:val="single" w:color="auto" w:sz="6" w:space="0"/>
              <w:left w:val="nil"/>
              <w:bottom w:val="single" w:color="auto" w:sz="6" w:space="0"/>
              <w:right w:val="single" w:color="auto" w:sz="6" w:space="0"/>
            </w:tcBorders>
            <w:tcMar>
              <w:top w:w="57" w:type="dxa"/>
            </w:tcMar>
          </w:tcPr>
          <w:p>
            <w:pPr>
              <w:pStyle w:val="24"/>
              <w:widowControl w:val="0"/>
              <w:spacing w:before="0" w:beforeAutospacing="0" w:after="0" w:afterAutospacing="0" w:line="360" w:lineRule="auto"/>
              <w:jc w:val="both"/>
              <w:rPr>
                <w:rFonts w:hint="default" w:cs="宋体"/>
                <w:kern w:val="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tcMar>
          </w:tcPr>
          <w:p>
            <w:pPr>
              <w:pStyle w:val="24"/>
              <w:widowControl w:val="0"/>
              <w:spacing w:before="0" w:beforeAutospacing="0" w:after="0" w:afterAutospacing="0" w:line="360" w:lineRule="auto"/>
              <w:jc w:val="center"/>
              <w:rPr>
                <w:rFonts w:hint="default" w:cs="宋体"/>
                <w:kern w:val="2"/>
                <w:sz w:val="21"/>
                <w:szCs w:val="21"/>
              </w:rPr>
            </w:pPr>
            <w:r>
              <w:rPr>
                <w:rFonts w:cs="宋体"/>
                <w:kern w:val="2"/>
                <w:sz w:val="21"/>
                <w:szCs w:val="21"/>
              </w:rPr>
              <w:t>3</w:t>
            </w:r>
          </w:p>
        </w:tc>
        <w:tc>
          <w:tcPr>
            <w:tcW w:w="1293" w:type="dxa"/>
            <w:tcBorders>
              <w:top w:val="single" w:color="auto" w:sz="6" w:space="0"/>
              <w:left w:val="nil"/>
              <w:bottom w:val="single" w:color="auto" w:sz="6" w:space="0"/>
              <w:right w:val="single" w:color="auto" w:sz="6" w:space="0"/>
            </w:tcBorders>
            <w:tcMar>
              <w:top w:w="57" w:type="dxa"/>
            </w:tcMar>
          </w:tcPr>
          <w:p>
            <w:pPr>
              <w:pStyle w:val="24"/>
              <w:widowControl w:val="0"/>
              <w:spacing w:before="0" w:beforeAutospacing="0" w:after="0" w:afterAutospacing="0" w:line="360" w:lineRule="auto"/>
              <w:jc w:val="both"/>
              <w:rPr>
                <w:rFonts w:hint="default" w:cs="宋体"/>
                <w:kern w:val="2"/>
                <w:sz w:val="21"/>
                <w:szCs w:val="21"/>
              </w:rPr>
            </w:pPr>
          </w:p>
        </w:tc>
        <w:tc>
          <w:tcPr>
            <w:tcW w:w="1322" w:type="dxa"/>
            <w:tcBorders>
              <w:top w:val="single" w:color="auto" w:sz="6" w:space="0"/>
              <w:left w:val="nil"/>
              <w:bottom w:val="single" w:color="auto" w:sz="6" w:space="0"/>
              <w:right w:val="single" w:color="auto" w:sz="6" w:space="0"/>
            </w:tcBorders>
            <w:tcMar>
              <w:top w:w="57" w:type="dxa"/>
            </w:tcMar>
          </w:tcPr>
          <w:p>
            <w:pPr>
              <w:pStyle w:val="24"/>
              <w:widowControl w:val="0"/>
              <w:spacing w:before="0" w:beforeAutospacing="0" w:after="0" w:afterAutospacing="0" w:line="360" w:lineRule="auto"/>
              <w:jc w:val="both"/>
              <w:rPr>
                <w:rFonts w:hint="default" w:cs="宋体"/>
                <w:kern w:val="2"/>
                <w:sz w:val="21"/>
                <w:szCs w:val="21"/>
              </w:rPr>
            </w:pPr>
          </w:p>
        </w:tc>
        <w:tc>
          <w:tcPr>
            <w:tcW w:w="1260" w:type="dxa"/>
            <w:tcBorders>
              <w:top w:val="single" w:color="auto" w:sz="6" w:space="0"/>
              <w:left w:val="nil"/>
              <w:bottom w:val="single" w:color="auto" w:sz="6" w:space="0"/>
              <w:right w:val="single" w:color="auto" w:sz="6" w:space="0"/>
            </w:tcBorders>
            <w:tcMar>
              <w:top w:w="57" w:type="dxa"/>
            </w:tcMar>
          </w:tcPr>
          <w:p>
            <w:pPr>
              <w:pStyle w:val="24"/>
              <w:widowControl w:val="0"/>
              <w:spacing w:before="0" w:beforeAutospacing="0" w:after="0" w:afterAutospacing="0" w:line="360" w:lineRule="auto"/>
              <w:jc w:val="both"/>
              <w:rPr>
                <w:rFonts w:hint="default" w:cs="宋体"/>
                <w:kern w:val="2"/>
                <w:sz w:val="21"/>
                <w:szCs w:val="21"/>
              </w:rPr>
            </w:pPr>
          </w:p>
        </w:tc>
        <w:tc>
          <w:tcPr>
            <w:tcW w:w="1272" w:type="dxa"/>
            <w:tcBorders>
              <w:top w:val="single" w:color="auto" w:sz="6" w:space="0"/>
              <w:left w:val="nil"/>
              <w:bottom w:val="single" w:color="auto" w:sz="6" w:space="0"/>
              <w:right w:val="single" w:color="auto" w:sz="6" w:space="0"/>
            </w:tcBorders>
            <w:tcMar>
              <w:top w:w="57" w:type="dxa"/>
            </w:tcMar>
          </w:tcPr>
          <w:p>
            <w:pPr>
              <w:pStyle w:val="24"/>
              <w:widowControl w:val="0"/>
              <w:spacing w:before="0" w:beforeAutospacing="0" w:after="0" w:afterAutospacing="0" w:line="360" w:lineRule="auto"/>
              <w:jc w:val="both"/>
              <w:rPr>
                <w:rFonts w:hint="default" w:cs="宋体"/>
                <w:kern w:val="2"/>
                <w:sz w:val="21"/>
                <w:szCs w:val="21"/>
              </w:rPr>
            </w:pPr>
          </w:p>
        </w:tc>
        <w:tc>
          <w:tcPr>
            <w:tcW w:w="1383" w:type="dxa"/>
            <w:tcBorders>
              <w:top w:val="single" w:color="auto" w:sz="6" w:space="0"/>
              <w:left w:val="nil"/>
              <w:bottom w:val="single" w:color="auto" w:sz="6" w:space="0"/>
              <w:right w:val="single" w:color="auto" w:sz="6" w:space="0"/>
            </w:tcBorders>
            <w:tcMar>
              <w:top w:w="57" w:type="dxa"/>
            </w:tcMar>
          </w:tcPr>
          <w:p>
            <w:pPr>
              <w:pStyle w:val="24"/>
              <w:widowControl w:val="0"/>
              <w:spacing w:before="0" w:beforeAutospacing="0" w:after="0" w:afterAutospacing="0" w:line="360" w:lineRule="auto"/>
              <w:jc w:val="both"/>
              <w:rPr>
                <w:rFonts w:hint="default" w:cs="宋体"/>
                <w:kern w:val="2"/>
                <w:sz w:val="21"/>
                <w:szCs w:val="21"/>
              </w:rPr>
            </w:pPr>
          </w:p>
        </w:tc>
        <w:tc>
          <w:tcPr>
            <w:tcW w:w="2037" w:type="dxa"/>
            <w:tcBorders>
              <w:top w:val="single" w:color="auto" w:sz="6" w:space="0"/>
              <w:left w:val="nil"/>
              <w:bottom w:val="single" w:color="auto" w:sz="6" w:space="0"/>
              <w:right w:val="single" w:color="auto" w:sz="6" w:space="0"/>
            </w:tcBorders>
            <w:tcMar>
              <w:top w:w="57" w:type="dxa"/>
            </w:tcMar>
          </w:tcPr>
          <w:p>
            <w:pPr>
              <w:pStyle w:val="24"/>
              <w:widowControl w:val="0"/>
              <w:spacing w:before="0" w:beforeAutospacing="0" w:after="0" w:afterAutospacing="0" w:line="360" w:lineRule="auto"/>
              <w:jc w:val="both"/>
              <w:rPr>
                <w:rFonts w:hint="default" w:cs="宋体"/>
                <w:kern w:val="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tcMar>
          </w:tcPr>
          <w:p>
            <w:pPr>
              <w:pStyle w:val="24"/>
              <w:widowControl w:val="0"/>
              <w:spacing w:before="0" w:beforeAutospacing="0" w:after="0" w:afterAutospacing="0" w:line="360" w:lineRule="auto"/>
              <w:jc w:val="both"/>
              <w:rPr>
                <w:rFonts w:hint="default" w:cs="宋体"/>
                <w:kern w:val="2"/>
                <w:sz w:val="21"/>
                <w:szCs w:val="21"/>
              </w:rPr>
            </w:pPr>
            <w:r>
              <w:rPr>
                <w:rFonts w:cs="宋体"/>
                <w:kern w:val="2"/>
                <w:sz w:val="21"/>
                <w:szCs w:val="21"/>
              </w:rPr>
              <w:t>…</w:t>
            </w:r>
          </w:p>
        </w:tc>
        <w:tc>
          <w:tcPr>
            <w:tcW w:w="1293" w:type="dxa"/>
            <w:tcBorders>
              <w:top w:val="single" w:color="auto" w:sz="6" w:space="0"/>
              <w:left w:val="nil"/>
              <w:bottom w:val="single" w:color="auto" w:sz="6" w:space="0"/>
              <w:right w:val="single" w:color="auto" w:sz="6" w:space="0"/>
            </w:tcBorders>
            <w:tcMar>
              <w:top w:w="57" w:type="dxa"/>
            </w:tcMar>
          </w:tcPr>
          <w:p>
            <w:pPr>
              <w:pStyle w:val="24"/>
              <w:widowControl w:val="0"/>
              <w:spacing w:before="0" w:beforeAutospacing="0" w:after="0" w:afterAutospacing="0" w:line="360" w:lineRule="auto"/>
              <w:jc w:val="both"/>
              <w:rPr>
                <w:rFonts w:hint="default" w:cs="宋体"/>
                <w:kern w:val="2"/>
                <w:sz w:val="21"/>
                <w:szCs w:val="21"/>
              </w:rPr>
            </w:pPr>
          </w:p>
        </w:tc>
        <w:tc>
          <w:tcPr>
            <w:tcW w:w="1322" w:type="dxa"/>
            <w:tcBorders>
              <w:top w:val="single" w:color="auto" w:sz="6" w:space="0"/>
              <w:left w:val="nil"/>
              <w:bottom w:val="single" w:color="auto" w:sz="6" w:space="0"/>
              <w:right w:val="single" w:color="auto" w:sz="6" w:space="0"/>
            </w:tcBorders>
            <w:tcMar>
              <w:top w:w="57" w:type="dxa"/>
            </w:tcMar>
          </w:tcPr>
          <w:p>
            <w:pPr>
              <w:pStyle w:val="24"/>
              <w:widowControl w:val="0"/>
              <w:spacing w:before="0" w:beforeAutospacing="0" w:after="0" w:afterAutospacing="0" w:line="360" w:lineRule="auto"/>
              <w:jc w:val="both"/>
              <w:rPr>
                <w:rFonts w:hint="default" w:cs="宋体"/>
                <w:kern w:val="2"/>
                <w:sz w:val="21"/>
                <w:szCs w:val="21"/>
              </w:rPr>
            </w:pPr>
          </w:p>
        </w:tc>
        <w:tc>
          <w:tcPr>
            <w:tcW w:w="1260" w:type="dxa"/>
            <w:tcBorders>
              <w:top w:val="single" w:color="auto" w:sz="6" w:space="0"/>
              <w:left w:val="nil"/>
              <w:bottom w:val="single" w:color="auto" w:sz="6" w:space="0"/>
              <w:right w:val="single" w:color="auto" w:sz="6" w:space="0"/>
            </w:tcBorders>
            <w:tcMar>
              <w:top w:w="57" w:type="dxa"/>
            </w:tcMar>
          </w:tcPr>
          <w:p>
            <w:pPr>
              <w:pStyle w:val="24"/>
              <w:widowControl w:val="0"/>
              <w:spacing w:before="0" w:beforeAutospacing="0" w:after="0" w:afterAutospacing="0" w:line="360" w:lineRule="auto"/>
              <w:jc w:val="both"/>
              <w:rPr>
                <w:rFonts w:hint="default" w:cs="宋体"/>
                <w:kern w:val="2"/>
                <w:sz w:val="21"/>
                <w:szCs w:val="21"/>
              </w:rPr>
            </w:pPr>
          </w:p>
        </w:tc>
        <w:tc>
          <w:tcPr>
            <w:tcW w:w="1272" w:type="dxa"/>
            <w:tcBorders>
              <w:top w:val="single" w:color="auto" w:sz="6" w:space="0"/>
              <w:left w:val="nil"/>
              <w:bottom w:val="single" w:color="auto" w:sz="6" w:space="0"/>
              <w:right w:val="single" w:color="auto" w:sz="6" w:space="0"/>
            </w:tcBorders>
            <w:tcMar>
              <w:top w:w="57" w:type="dxa"/>
            </w:tcMar>
          </w:tcPr>
          <w:p>
            <w:pPr>
              <w:pStyle w:val="24"/>
              <w:widowControl w:val="0"/>
              <w:spacing w:before="0" w:beforeAutospacing="0" w:after="0" w:afterAutospacing="0" w:line="360" w:lineRule="auto"/>
              <w:jc w:val="both"/>
              <w:rPr>
                <w:rFonts w:hint="default" w:cs="宋体"/>
                <w:kern w:val="2"/>
                <w:sz w:val="21"/>
                <w:szCs w:val="21"/>
              </w:rPr>
            </w:pPr>
          </w:p>
        </w:tc>
        <w:tc>
          <w:tcPr>
            <w:tcW w:w="1383" w:type="dxa"/>
            <w:tcBorders>
              <w:top w:val="single" w:color="auto" w:sz="6" w:space="0"/>
              <w:left w:val="nil"/>
              <w:bottom w:val="single" w:color="auto" w:sz="6" w:space="0"/>
              <w:right w:val="single" w:color="auto" w:sz="6" w:space="0"/>
            </w:tcBorders>
            <w:tcMar>
              <w:top w:w="57" w:type="dxa"/>
            </w:tcMar>
          </w:tcPr>
          <w:p>
            <w:pPr>
              <w:pStyle w:val="24"/>
              <w:widowControl w:val="0"/>
              <w:spacing w:before="0" w:beforeAutospacing="0" w:after="0" w:afterAutospacing="0" w:line="360" w:lineRule="auto"/>
              <w:jc w:val="both"/>
              <w:rPr>
                <w:rFonts w:hint="default" w:cs="宋体"/>
                <w:kern w:val="2"/>
                <w:sz w:val="21"/>
                <w:szCs w:val="21"/>
              </w:rPr>
            </w:pPr>
          </w:p>
        </w:tc>
        <w:tc>
          <w:tcPr>
            <w:tcW w:w="2037" w:type="dxa"/>
            <w:tcBorders>
              <w:top w:val="single" w:color="auto" w:sz="6" w:space="0"/>
              <w:left w:val="nil"/>
              <w:bottom w:val="single" w:color="auto" w:sz="6" w:space="0"/>
              <w:right w:val="single" w:color="auto" w:sz="6" w:space="0"/>
            </w:tcBorders>
            <w:tcMar>
              <w:top w:w="57" w:type="dxa"/>
            </w:tcMar>
          </w:tcPr>
          <w:p>
            <w:pPr>
              <w:pStyle w:val="24"/>
              <w:widowControl w:val="0"/>
              <w:spacing w:before="0" w:beforeAutospacing="0" w:after="0" w:afterAutospacing="0" w:line="360" w:lineRule="auto"/>
              <w:jc w:val="both"/>
              <w:rPr>
                <w:rFonts w:hint="default" w:cs="宋体"/>
                <w:kern w:val="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tcMar>
          </w:tcPr>
          <w:p>
            <w:pPr>
              <w:pStyle w:val="24"/>
              <w:widowControl w:val="0"/>
              <w:spacing w:before="0" w:beforeAutospacing="0" w:after="0" w:afterAutospacing="0" w:line="360" w:lineRule="auto"/>
              <w:jc w:val="both"/>
              <w:rPr>
                <w:rFonts w:hint="default" w:cs="宋体"/>
                <w:kern w:val="2"/>
                <w:sz w:val="21"/>
                <w:szCs w:val="21"/>
              </w:rPr>
            </w:pPr>
          </w:p>
        </w:tc>
        <w:tc>
          <w:tcPr>
            <w:tcW w:w="1293" w:type="dxa"/>
            <w:tcBorders>
              <w:top w:val="single" w:color="auto" w:sz="6" w:space="0"/>
              <w:left w:val="nil"/>
              <w:bottom w:val="single" w:color="auto" w:sz="6" w:space="0"/>
              <w:right w:val="single" w:color="auto" w:sz="6" w:space="0"/>
            </w:tcBorders>
            <w:tcMar>
              <w:top w:w="57" w:type="dxa"/>
            </w:tcMar>
          </w:tcPr>
          <w:p>
            <w:pPr>
              <w:pStyle w:val="24"/>
              <w:widowControl w:val="0"/>
              <w:spacing w:before="0" w:beforeAutospacing="0" w:after="0" w:afterAutospacing="0" w:line="360" w:lineRule="auto"/>
              <w:jc w:val="both"/>
              <w:rPr>
                <w:rFonts w:hint="default" w:cs="宋体"/>
                <w:kern w:val="2"/>
                <w:sz w:val="21"/>
                <w:szCs w:val="21"/>
              </w:rPr>
            </w:pPr>
          </w:p>
        </w:tc>
        <w:tc>
          <w:tcPr>
            <w:tcW w:w="1322" w:type="dxa"/>
            <w:tcBorders>
              <w:top w:val="single" w:color="auto" w:sz="6" w:space="0"/>
              <w:left w:val="nil"/>
              <w:bottom w:val="single" w:color="auto" w:sz="6" w:space="0"/>
              <w:right w:val="single" w:color="auto" w:sz="6" w:space="0"/>
            </w:tcBorders>
            <w:tcMar>
              <w:top w:w="57" w:type="dxa"/>
            </w:tcMar>
          </w:tcPr>
          <w:p>
            <w:pPr>
              <w:pStyle w:val="24"/>
              <w:widowControl w:val="0"/>
              <w:spacing w:before="0" w:beforeAutospacing="0" w:after="0" w:afterAutospacing="0" w:line="360" w:lineRule="auto"/>
              <w:jc w:val="both"/>
              <w:rPr>
                <w:rFonts w:hint="default" w:cs="宋体"/>
                <w:kern w:val="2"/>
                <w:sz w:val="21"/>
                <w:szCs w:val="21"/>
              </w:rPr>
            </w:pPr>
          </w:p>
        </w:tc>
        <w:tc>
          <w:tcPr>
            <w:tcW w:w="1260" w:type="dxa"/>
            <w:tcBorders>
              <w:top w:val="single" w:color="auto" w:sz="6" w:space="0"/>
              <w:left w:val="nil"/>
              <w:bottom w:val="single" w:color="auto" w:sz="6" w:space="0"/>
              <w:right w:val="single" w:color="auto" w:sz="6" w:space="0"/>
            </w:tcBorders>
            <w:tcMar>
              <w:top w:w="57" w:type="dxa"/>
            </w:tcMar>
          </w:tcPr>
          <w:p>
            <w:pPr>
              <w:pStyle w:val="24"/>
              <w:widowControl w:val="0"/>
              <w:spacing w:before="0" w:beforeAutospacing="0" w:after="0" w:afterAutospacing="0" w:line="360" w:lineRule="auto"/>
              <w:jc w:val="both"/>
              <w:rPr>
                <w:rFonts w:hint="default" w:cs="宋体"/>
                <w:kern w:val="2"/>
                <w:sz w:val="21"/>
                <w:szCs w:val="21"/>
              </w:rPr>
            </w:pPr>
          </w:p>
        </w:tc>
        <w:tc>
          <w:tcPr>
            <w:tcW w:w="1272" w:type="dxa"/>
            <w:tcBorders>
              <w:top w:val="single" w:color="auto" w:sz="6" w:space="0"/>
              <w:left w:val="nil"/>
              <w:bottom w:val="single" w:color="auto" w:sz="6" w:space="0"/>
              <w:right w:val="single" w:color="auto" w:sz="6" w:space="0"/>
            </w:tcBorders>
            <w:tcMar>
              <w:top w:w="57" w:type="dxa"/>
            </w:tcMar>
          </w:tcPr>
          <w:p>
            <w:pPr>
              <w:pStyle w:val="24"/>
              <w:widowControl w:val="0"/>
              <w:spacing w:before="0" w:beforeAutospacing="0" w:after="0" w:afterAutospacing="0" w:line="360" w:lineRule="auto"/>
              <w:jc w:val="both"/>
              <w:rPr>
                <w:rFonts w:hint="default" w:cs="宋体"/>
                <w:kern w:val="2"/>
                <w:sz w:val="21"/>
                <w:szCs w:val="21"/>
              </w:rPr>
            </w:pPr>
          </w:p>
        </w:tc>
        <w:tc>
          <w:tcPr>
            <w:tcW w:w="1383" w:type="dxa"/>
            <w:tcBorders>
              <w:top w:val="single" w:color="auto" w:sz="6" w:space="0"/>
              <w:left w:val="nil"/>
              <w:bottom w:val="single" w:color="auto" w:sz="6" w:space="0"/>
              <w:right w:val="single" w:color="auto" w:sz="6" w:space="0"/>
            </w:tcBorders>
            <w:tcMar>
              <w:top w:w="57" w:type="dxa"/>
            </w:tcMar>
          </w:tcPr>
          <w:p>
            <w:pPr>
              <w:pStyle w:val="24"/>
              <w:widowControl w:val="0"/>
              <w:spacing w:before="0" w:beforeAutospacing="0" w:after="0" w:afterAutospacing="0" w:line="360" w:lineRule="auto"/>
              <w:jc w:val="both"/>
              <w:rPr>
                <w:rFonts w:hint="default" w:cs="宋体"/>
                <w:kern w:val="2"/>
                <w:sz w:val="21"/>
                <w:szCs w:val="21"/>
              </w:rPr>
            </w:pPr>
          </w:p>
        </w:tc>
        <w:tc>
          <w:tcPr>
            <w:tcW w:w="2037" w:type="dxa"/>
            <w:tcBorders>
              <w:top w:val="single" w:color="auto" w:sz="6" w:space="0"/>
              <w:left w:val="nil"/>
              <w:bottom w:val="single" w:color="auto" w:sz="6" w:space="0"/>
              <w:right w:val="single" w:color="auto" w:sz="6" w:space="0"/>
            </w:tcBorders>
            <w:tcMar>
              <w:top w:w="57" w:type="dxa"/>
            </w:tcMar>
          </w:tcPr>
          <w:p>
            <w:pPr>
              <w:pStyle w:val="24"/>
              <w:widowControl w:val="0"/>
              <w:spacing w:before="0" w:beforeAutospacing="0" w:after="0" w:afterAutospacing="0" w:line="360" w:lineRule="auto"/>
              <w:jc w:val="both"/>
              <w:rPr>
                <w:rFonts w:hint="default" w:cs="宋体"/>
                <w:kern w:val="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tcMar>
          </w:tcPr>
          <w:p>
            <w:pPr>
              <w:pStyle w:val="24"/>
              <w:widowControl w:val="0"/>
              <w:spacing w:before="0" w:beforeAutospacing="0" w:after="0" w:afterAutospacing="0" w:line="360" w:lineRule="auto"/>
              <w:jc w:val="both"/>
              <w:rPr>
                <w:rFonts w:hint="default" w:cs="宋体"/>
                <w:kern w:val="2"/>
                <w:sz w:val="21"/>
                <w:szCs w:val="21"/>
              </w:rPr>
            </w:pPr>
          </w:p>
        </w:tc>
        <w:tc>
          <w:tcPr>
            <w:tcW w:w="1293" w:type="dxa"/>
            <w:tcBorders>
              <w:top w:val="single" w:color="auto" w:sz="6" w:space="0"/>
              <w:left w:val="nil"/>
              <w:bottom w:val="single" w:color="auto" w:sz="6" w:space="0"/>
              <w:right w:val="single" w:color="auto" w:sz="6" w:space="0"/>
            </w:tcBorders>
            <w:tcMar>
              <w:top w:w="57" w:type="dxa"/>
            </w:tcMar>
          </w:tcPr>
          <w:p>
            <w:pPr>
              <w:pStyle w:val="24"/>
              <w:widowControl w:val="0"/>
              <w:spacing w:before="0" w:beforeAutospacing="0" w:after="0" w:afterAutospacing="0" w:line="360" w:lineRule="auto"/>
              <w:jc w:val="both"/>
              <w:rPr>
                <w:rFonts w:hint="default" w:cs="宋体"/>
                <w:kern w:val="2"/>
                <w:sz w:val="21"/>
                <w:szCs w:val="21"/>
              </w:rPr>
            </w:pPr>
          </w:p>
        </w:tc>
        <w:tc>
          <w:tcPr>
            <w:tcW w:w="1322" w:type="dxa"/>
            <w:tcBorders>
              <w:top w:val="single" w:color="auto" w:sz="6" w:space="0"/>
              <w:left w:val="nil"/>
              <w:bottom w:val="single" w:color="auto" w:sz="6" w:space="0"/>
              <w:right w:val="single" w:color="auto" w:sz="6" w:space="0"/>
            </w:tcBorders>
            <w:tcMar>
              <w:top w:w="57" w:type="dxa"/>
            </w:tcMar>
          </w:tcPr>
          <w:p>
            <w:pPr>
              <w:pStyle w:val="24"/>
              <w:widowControl w:val="0"/>
              <w:spacing w:before="0" w:beforeAutospacing="0" w:after="0" w:afterAutospacing="0" w:line="360" w:lineRule="auto"/>
              <w:jc w:val="both"/>
              <w:rPr>
                <w:rFonts w:hint="default" w:cs="宋体"/>
                <w:kern w:val="2"/>
                <w:sz w:val="21"/>
                <w:szCs w:val="21"/>
              </w:rPr>
            </w:pPr>
          </w:p>
        </w:tc>
        <w:tc>
          <w:tcPr>
            <w:tcW w:w="1260" w:type="dxa"/>
            <w:tcBorders>
              <w:top w:val="single" w:color="auto" w:sz="6" w:space="0"/>
              <w:left w:val="nil"/>
              <w:bottom w:val="single" w:color="auto" w:sz="6" w:space="0"/>
              <w:right w:val="single" w:color="auto" w:sz="6" w:space="0"/>
            </w:tcBorders>
            <w:tcMar>
              <w:top w:w="57" w:type="dxa"/>
            </w:tcMar>
          </w:tcPr>
          <w:p>
            <w:pPr>
              <w:pStyle w:val="24"/>
              <w:widowControl w:val="0"/>
              <w:spacing w:before="0" w:beforeAutospacing="0" w:after="0" w:afterAutospacing="0" w:line="360" w:lineRule="auto"/>
              <w:jc w:val="both"/>
              <w:rPr>
                <w:rFonts w:hint="default" w:cs="宋体"/>
                <w:kern w:val="2"/>
                <w:sz w:val="21"/>
                <w:szCs w:val="21"/>
              </w:rPr>
            </w:pPr>
          </w:p>
        </w:tc>
        <w:tc>
          <w:tcPr>
            <w:tcW w:w="1272" w:type="dxa"/>
            <w:tcBorders>
              <w:top w:val="single" w:color="auto" w:sz="6" w:space="0"/>
              <w:left w:val="nil"/>
              <w:bottom w:val="single" w:color="auto" w:sz="6" w:space="0"/>
              <w:right w:val="single" w:color="auto" w:sz="6" w:space="0"/>
            </w:tcBorders>
            <w:tcMar>
              <w:top w:w="57" w:type="dxa"/>
            </w:tcMar>
          </w:tcPr>
          <w:p>
            <w:pPr>
              <w:pStyle w:val="24"/>
              <w:widowControl w:val="0"/>
              <w:spacing w:before="0" w:beforeAutospacing="0" w:after="0" w:afterAutospacing="0" w:line="360" w:lineRule="auto"/>
              <w:jc w:val="both"/>
              <w:rPr>
                <w:rFonts w:hint="default" w:cs="宋体"/>
                <w:kern w:val="2"/>
                <w:sz w:val="21"/>
                <w:szCs w:val="21"/>
              </w:rPr>
            </w:pPr>
          </w:p>
        </w:tc>
        <w:tc>
          <w:tcPr>
            <w:tcW w:w="1383" w:type="dxa"/>
            <w:tcBorders>
              <w:top w:val="single" w:color="auto" w:sz="6" w:space="0"/>
              <w:left w:val="nil"/>
              <w:bottom w:val="single" w:color="auto" w:sz="6" w:space="0"/>
              <w:right w:val="single" w:color="auto" w:sz="6" w:space="0"/>
            </w:tcBorders>
            <w:tcMar>
              <w:top w:w="57" w:type="dxa"/>
            </w:tcMar>
          </w:tcPr>
          <w:p>
            <w:pPr>
              <w:pStyle w:val="24"/>
              <w:widowControl w:val="0"/>
              <w:spacing w:before="0" w:beforeAutospacing="0" w:after="0" w:afterAutospacing="0" w:line="360" w:lineRule="auto"/>
              <w:jc w:val="both"/>
              <w:rPr>
                <w:rFonts w:hint="default" w:cs="宋体"/>
                <w:kern w:val="2"/>
                <w:sz w:val="21"/>
                <w:szCs w:val="21"/>
              </w:rPr>
            </w:pPr>
          </w:p>
        </w:tc>
        <w:tc>
          <w:tcPr>
            <w:tcW w:w="2037" w:type="dxa"/>
            <w:tcBorders>
              <w:top w:val="single" w:color="auto" w:sz="6" w:space="0"/>
              <w:left w:val="nil"/>
              <w:bottom w:val="single" w:color="auto" w:sz="6" w:space="0"/>
              <w:right w:val="single" w:color="auto" w:sz="6" w:space="0"/>
            </w:tcBorders>
            <w:tcMar>
              <w:top w:w="57" w:type="dxa"/>
            </w:tcMar>
          </w:tcPr>
          <w:p>
            <w:pPr>
              <w:pStyle w:val="24"/>
              <w:widowControl w:val="0"/>
              <w:spacing w:before="0" w:beforeAutospacing="0" w:after="0" w:afterAutospacing="0" w:line="360" w:lineRule="auto"/>
              <w:jc w:val="both"/>
              <w:rPr>
                <w:rFonts w:hint="default" w:cs="宋体"/>
                <w:kern w:val="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tcMar>
          </w:tcPr>
          <w:p>
            <w:pPr>
              <w:pStyle w:val="24"/>
              <w:widowControl w:val="0"/>
              <w:spacing w:before="0" w:beforeAutospacing="0" w:after="0" w:afterAutospacing="0" w:line="360" w:lineRule="auto"/>
              <w:jc w:val="both"/>
              <w:rPr>
                <w:rFonts w:hint="default" w:cs="宋体"/>
                <w:kern w:val="2"/>
                <w:sz w:val="21"/>
                <w:szCs w:val="21"/>
              </w:rPr>
            </w:pPr>
          </w:p>
        </w:tc>
        <w:tc>
          <w:tcPr>
            <w:tcW w:w="1293" w:type="dxa"/>
            <w:tcBorders>
              <w:top w:val="single" w:color="auto" w:sz="6" w:space="0"/>
              <w:left w:val="nil"/>
              <w:bottom w:val="single" w:color="auto" w:sz="6" w:space="0"/>
              <w:right w:val="single" w:color="auto" w:sz="6" w:space="0"/>
            </w:tcBorders>
            <w:tcMar>
              <w:top w:w="57" w:type="dxa"/>
            </w:tcMar>
          </w:tcPr>
          <w:p>
            <w:pPr>
              <w:pStyle w:val="24"/>
              <w:widowControl w:val="0"/>
              <w:spacing w:before="0" w:beforeAutospacing="0" w:after="0" w:afterAutospacing="0" w:line="360" w:lineRule="auto"/>
              <w:jc w:val="both"/>
              <w:rPr>
                <w:rFonts w:hint="default" w:cs="宋体"/>
                <w:kern w:val="2"/>
                <w:sz w:val="21"/>
                <w:szCs w:val="21"/>
              </w:rPr>
            </w:pPr>
          </w:p>
        </w:tc>
        <w:tc>
          <w:tcPr>
            <w:tcW w:w="1322" w:type="dxa"/>
            <w:tcBorders>
              <w:top w:val="single" w:color="auto" w:sz="6" w:space="0"/>
              <w:left w:val="nil"/>
              <w:bottom w:val="single" w:color="auto" w:sz="6" w:space="0"/>
              <w:right w:val="single" w:color="auto" w:sz="6" w:space="0"/>
            </w:tcBorders>
            <w:tcMar>
              <w:top w:w="57" w:type="dxa"/>
            </w:tcMar>
          </w:tcPr>
          <w:p>
            <w:pPr>
              <w:pStyle w:val="24"/>
              <w:widowControl w:val="0"/>
              <w:spacing w:before="0" w:beforeAutospacing="0" w:after="0" w:afterAutospacing="0" w:line="360" w:lineRule="auto"/>
              <w:jc w:val="both"/>
              <w:rPr>
                <w:rFonts w:hint="default" w:cs="宋体"/>
                <w:kern w:val="2"/>
                <w:sz w:val="21"/>
                <w:szCs w:val="21"/>
              </w:rPr>
            </w:pPr>
          </w:p>
        </w:tc>
        <w:tc>
          <w:tcPr>
            <w:tcW w:w="1260" w:type="dxa"/>
            <w:tcBorders>
              <w:top w:val="single" w:color="auto" w:sz="6" w:space="0"/>
              <w:left w:val="nil"/>
              <w:bottom w:val="single" w:color="auto" w:sz="6" w:space="0"/>
              <w:right w:val="single" w:color="auto" w:sz="6" w:space="0"/>
            </w:tcBorders>
            <w:tcMar>
              <w:top w:w="57" w:type="dxa"/>
            </w:tcMar>
          </w:tcPr>
          <w:p>
            <w:pPr>
              <w:pStyle w:val="24"/>
              <w:widowControl w:val="0"/>
              <w:spacing w:before="0" w:beforeAutospacing="0" w:after="0" w:afterAutospacing="0" w:line="360" w:lineRule="auto"/>
              <w:jc w:val="both"/>
              <w:rPr>
                <w:rFonts w:hint="default" w:cs="宋体"/>
                <w:kern w:val="2"/>
                <w:sz w:val="21"/>
                <w:szCs w:val="21"/>
              </w:rPr>
            </w:pPr>
          </w:p>
        </w:tc>
        <w:tc>
          <w:tcPr>
            <w:tcW w:w="1272" w:type="dxa"/>
            <w:tcBorders>
              <w:top w:val="single" w:color="auto" w:sz="6" w:space="0"/>
              <w:left w:val="nil"/>
              <w:bottom w:val="single" w:color="auto" w:sz="6" w:space="0"/>
              <w:right w:val="single" w:color="auto" w:sz="6" w:space="0"/>
            </w:tcBorders>
            <w:tcMar>
              <w:top w:w="57" w:type="dxa"/>
            </w:tcMar>
          </w:tcPr>
          <w:p>
            <w:pPr>
              <w:pStyle w:val="24"/>
              <w:widowControl w:val="0"/>
              <w:spacing w:before="0" w:beforeAutospacing="0" w:after="0" w:afterAutospacing="0" w:line="360" w:lineRule="auto"/>
              <w:jc w:val="both"/>
              <w:rPr>
                <w:rFonts w:hint="default" w:cs="宋体"/>
                <w:kern w:val="2"/>
                <w:sz w:val="21"/>
                <w:szCs w:val="21"/>
              </w:rPr>
            </w:pPr>
          </w:p>
        </w:tc>
        <w:tc>
          <w:tcPr>
            <w:tcW w:w="1383" w:type="dxa"/>
            <w:tcBorders>
              <w:top w:val="single" w:color="auto" w:sz="6" w:space="0"/>
              <w:left w:val="nil"/>
              <w:bottom w:val="single" w:color="auto" w:sz="6" w:space="0"/>
              <w:right w:val="single" w:color="auto" w:sz="6" w:space="0"/>
            </w:tcBorders>
            <w:tcMar>
              <w:top w:w="57" w:type="dxa"/>
            </w:tcMar>
          </w:tcPr>
          <w:p>
            <w:pPr>
              <w:pStyle w:val="24"/>
              <w:widowControl w:val="0"/>
              <w:spacing w:before="0" w:beforeAutospacing="0" w:after="0" w:afterAutospacing="0" w:line="360" w:lineRule="auto"/>
              <w:jc w:val="both"/>
              <w:rPr>
                <w:rFonts w:hint="default" w:cs="宋体"/>
                <w:kern w:val="2"/>
                <w:sz w:val="21"/>
                <w:szCs w:val="21"/>
              </w:rPr>
            </w:pPr>
          </w:p>
        </w:tc>
        <w:tc>
          <w:tcPr>
            <w:tcW w:w="2037" w:type="dxa"/>
            <w:tcBorders>
              <w:top w:val="single" w:color="auto" w:sz="6" w:space="0"/>
              <w:left w:val="nil"/>
              <w:bottom w:val="single" w:color="auto" w:sz="6" w:space="0"/>
              <w:right w:val="single" w:color="auto" w:sz="6" w:space="0"/>
            </w:tcBorders>
            <w:tcMar>
              <w:top w:w="57" w:type="dxa"/>
            </w:tcMar>
          </w:tcPr>
          <w:p>
            <w:pPr>
              <w:pStyle w:val="24"/>
              <w:widowControl w:val="0"/>
              <w:spacing w:before="0" w:beforeAutospacing="0" w:after="0" w:afterAutospacing="0" w:line="360" w:lineRule="auto"/>
              <w:jc w:val="both"/>
              <w:rPr>
                <w:rFonts w:hint="default" w:cs="宋体"/>
                <w:kern w:val="2"/>
                <w:sz w:val="21"/>
                <w:szCs w:val="21"/>
              </w:rPr>
            </w:pPr>
          </w:p>
        </w:tc>
      </w:tr>
    </w:tbl>
    <w:p>
      <w:pPr>
        <w:pStyle w:val="27"/>
        <w:ind w:left="632" w:leftChars="0" w:hanging="632" w:hangingChars="300"/>
        <w:rPr>
          <w:rFonts w:ascii="宋体" w:hAnsi="宋体"/>
          <w:szCs w:val="21"/>
        </w:rPr>
      </w:pPr>
      <w:r>
        <w:rPr>
          <w:rFonts w:hint="eastAsia" w:ascii="宋体" w:hAnsi="宋体"/>
          <w:b/>
          <w:bCs/>
          <w:szCs w:val="21"/>
        </w:rPr>
        <w:t>要求：</w:t>
      </w:r>
      <w:r>
        <w:rPr>
          <w:rFonts w:hint="eastAsia" w:ascii="宋体" w:hAnsi="宋体"/>
          <w:szCs w:val="21"/>
        </w:rPr>
        <w:t>1.业绩证明应提供证明材料（合同可只提供首页、含金额页、盖章页并加盖公章）。2.投标人可按此表格式复制。</w:t>
      </w:r>
    </w:p>
    <w:p>
      <w:pPr>
        <w:pStyle w:val="27"/>
        <w:jc w:val="right"/>
        <w:rPr>
          <w:rFonts w:ascii="宋体" w:hAnsi="宋体"/>
          <w:szCs w:val="21"/>
        </w:rPr>
      </w:pPr>
    </w:p>
    <w:p>
      <w:pPr>
        <w:pStyle w:val="27"/>
        <w:jc w:val="right"/>
        <w:rPr>
          <w:rFonts w:ascii="宋体" w:hAnsi="宋体"/>
          <w:szCs w:val="21"/>
        </w:rPr>
      </w:pPr>
    </w:p>
    <w:p>
      <w:pPr>
        <w:pStyle w:val="27"/>
        <w:jc w:val="right"/>
        <w:rPr>
          <w:rFonts w:ascii="宋体" w:hAnsi="宋体"/>
          <w:szCs w:val="21"/>
        </w:rPr>
      </w:pPr>
    </w:p>
    <w:p>
      <w:pPr>
        <w:pStyle w:val="27"/>
        <w:jc w:val="right"/>
        <w:rPr>
          <w:rFonts w:ascii="宋体" w:hAnsi="宋体"/>
          <w:szCs w:val="21"/>
        </w:rPr>
      </w:pPr>
    </w:p>
    <w:p>
      <w:pPr>
        <w:pStyle w:val="27"/>
        <w:jc w:val="right"/>
        <w:rPr>
          <w:rFonts w:ascii="宋体" w:hAnsi="宋体"/>
          <w:szCs w:val="21"/>
        </w:rPr>
      </w:pPr>
    </w:p>
    <w:p>
      <w:pPr>
        <w:pStyle w:val="27"/>
        <w:jc w:val="right"/>
        <w:rPr>
          <w:sz w:val="24"/>
        </w:rPr>
      </w:pPr>
      <w:r>
        <w:rPr>
          <w:rFonts w:hint="eastAsia"/>
          <w:sz w:val="24"/>
        </w:rPr>
        <w:t>法定代表人（签字或电子盖章）：</w:t>
      </w:r>
    </w:p>
    <w:p>
      <w:pPr>
        <w:pStyle w:val="27"/>
        <w:jc w:val="right"/>
        <w:rPr>
          <w:sz w:val="24"/>
        </w:rPr>
      </w:pPr>
      <w:r>
        <w:rPr>
          <w:rFonts w:hint="eastAsia"/>
          <w:sz w:val="24"/>
        </w:rPr>
        <w:t>投标人（盖单位电子公章）：</w:t>
      </w:r>
    </w:p>
    <w:p>
      <w:pPr>
        <w:pStyle w:val="27"/>
        <w:jc w:val="right"/>
        <w:rPr>
          <w:sz w:val="24"/>
        </w:rPr>
      </w:pPr>
      <w:r>
        <w:rPr>
          <w:rFonts w:hint="eastAsia"/>
          <w:sz w:val="24"/>
        </w:rPr>
        <w:t>日期：    年   月   日</w:t>
      </w:r>
      <w:r>
        <w:rPr>
          <w:rFonts w:hint="eastAsia"/>
          <w:sz w:val="24"/>
        </w:rPr>
        <w:br w:type="page"/>
      </w:r>
    </w:p>
    <w:p>
      <w:pPr>
        <w:spacing w:line="480" w:lineRule="auto"/>
        <w:jc w:val="center"/>
      </w:pPr>
      <w:r>
        <w:rPr>
          <w:rFonts w:hint="eastAsia" w:ascii="宋体" w:hAnsi="宋体"/>
          <w:b/>
          <w:bCs/>
          <w:sz w:val="36"/>
          <w:szCs w:val="36"/>
        </w:rPr>
        <w:t>商务标目录</w:t>
      </w:r>
      <w:bookmarkEnd w:id="39"/>
      <w:bookmarkEnd w:id="40"/>
    </w:p>
    <w:p>
      <w:pPr>
        <w:rPr>
          <w:rFonts w:ascii="宋体" w:hAnsi="宋体" w:cs="宋体"/>
          <w:sz w:val="28"/>
          <w:szCs w:val="28"/>
        </w:rPr>
      </w:pPr>
    </w:p>
    <w:p>
      <w:pPr>
        <w:autoSpaceDE w:val="0"/>
        <w:autoSpaceDN w:val="0"/>
        <w:adjustRightInd w:val="0"/>
        <w:spacing w:line="360" w:lineRule="auto"/>
        <w:ind w:firstLine="480" w:firstLineChars="200"/>
        <w:rPr>
          <w:rFonts w:ascii="宋体" w:hAnsi="宋体"/>
          <w:kern w:val="0"/>
          <w:sz w:val="24"/>
        </w:rPr>
      </w:pPr>
      <w:bookmarkStart w:id="41" w:name="_Toc29988_WPSOffice_Level1"/>
      <w:bookmarkStart w:id="42" w:name="_Toc6778_WPSOffice_Level1"/>
      <w:r>
        <w:rPr>
          <w:rFonts w:hint="eastAsia" w:ascii="宋体" w:hAnsi="宋体"/>
          <w:kern w:val="0"/>
          <w:sz w:val="24"/>
        </w:rPr>
        <w:t>（1）开标一览表（格式见附件）；</w:t>
      </w:r>
    </w:p>
    <w:p>
      <w:pPr>
        <w:autoSpaceDE w:val="0"/>
        <w:autoSpaceDN w:val="0"/>
        <w:adjustRightInd w:val="0"/>
        <w:spacing w:line="360" w:lineRule="auto"/>
        <w:ind w:firstLine="480" w:firstLineChars="200"/>
        <w:rPr>
          <w:rFonts w:ascii="宋体" w:hAnsi="宋体"/>
          <w:kern w:val="0"/>
          <w:sz w:val="24"/>
        </w:rPr>
      </w:pPr>
      <w:r>
        <w:rPr>
          <w:rFonts w:hint="eastAsia" w:ascii="宋体" w:hAnsi="宋体"/>
          <w:kern w:val="0"/>
          <w:sz w:val="24"/>
        </w:rPr>
        <w:t>（2）针对报价投标人认为其他需要说明的（如有）。</w:t>
      </w:r>
    </w:p>
    <w:bookmarkEnd w:id="41"/>
    <w:bookmarkEnd w:id="42"/>
    <w:p>
      <w:pPr>
        <w:spacing w:line="360" w:lineRule="auto"/>
        <w:ind w:firstLine="480" w:firstLineChars="200"/>
        <w:rPr>
          <w:sz w:val="24"/>
        </w:rPr>
      </w:pPr>
    </w:p>
    <w:p>
      <w:pPr>
        <w:spacing w:line="360" w:lineRule="auto"/>
        <w:ind w:firstLine="482" w:firstLineChars="200"/>
        <w:rPr>
          <w:rFonts w:ascii="宋体" w:hAnsi="宋体"/>
          <w:b/>
          <w:sz w:val="24"/>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rPr>
          <w:rFonts w:ascii="宋体" w:hAnsi="宋体"/>
          <w:b/>
          <w:sz w:val="28"/>
        </w:rPr>
      </w:pPr>
      <w:r>
        <w:rPr>
          <w:rFonts w:hint="eastAsia" w:ascii="宋体" w:hAnsi="宋体"/>
          <w:b/>
          <w:sz w:val="28"/>
        </w:rPr>
        <w:br w:type="page"/>
      </w:r>
    </w:p>
    <w:p>
      <w:pPr>
        <w:pStyle w:val="24"/>
        <w:widowControl w:val="0"/>
        <w:spacing w:before="0" w:beforeAutospacing="0" w:after="0" w:afterAutospacing="0" w:line="360" w:lineRule="auto"/>
        <w:jc w:val="both"/>
        <w:rPr>
          <w:rFonts w:hint="default" w:cs="宋体"/>
          <w:b/>
          <w:bCs/>
          <w:kern w:val="2"/>
          <w:sz w:val="30"/>
          <w:szCs w:val="30"/>
        </w:rPr>
      </w:pPr>
      <w:r>
        <w:rPr>
          <w:rFonts w:cs="宋体"/>
          <w:b/>
          <w:kern w:val="2"/>
          <w:sz w:val="28"/>
          <w:szCs w:val="28"/>
        </w:rPr>
        <w:t>附件10</w:t>
      </w:r>
    </w:p>
    <w:p>
      <w:pPr>
        <w:autoSpaceDE w:val="0"/>
        <w:snapToGrid w:val="0"/>
        <w:spacing w:line="360" w:lineRule="auto"/>
        <w:jc w:val="center"/>
        <w:rPr>
          <w:rFonts w:ascii="黑体" w:hAnsi="宋体" w:eastAsia="黑体" w:cs="黑体"/>
          <w:b/>
          <w:bCs/>
          <w:sz w:val="52"/>
          <w:szCs w:val="52"/>
        </w:rPr>
      </w:pPr>
      <w:r>
        <w:rPr>
          <w:rFonts w:hint="eastAsia" w:ascii="黑体" w:hAnsi="宋体" w:eastAsia="黑体" w:cs="黑体"/>
          <w:b/>
          <w:bCs/>
          <w:sz w:val="44"/>
          <w:szCs w:val="44"/>
        </w:rPr>
        <w:t>开标一览表</w:t>
      </w:r>
    </w:p>
    <w:p>
      <w:pPr>
        <w:snapToGrid w:val="0"/>
        <w:spacing w:before="50" w:after="50" w:line="360" w:lineRule="auto"/>
        <w:jc w:val="left"/>
        <w:rPr>
          <w:rFonts w:ascii="Arial" w:hAnsi="Arial" w:cs="Arial"/>
          <w:sz w:val="24"/>
        </w:rPr>
      </w:pPr>
      <w:r>
        <w:rPr>
          <w:rFonts w:hint="eastAsia" w:ascii="宋体" w:hAnsi="宋体" w:cs="宋体"/>
          <w:sz w:val="24"/>
        </w:rPr>
        <w:t>致：</w:t>
      </w:r>
      <w:r>
        <w:rPr>
          <w:rFonts w:hint="eastAsia" w:ascii="宋体" w:hAnsi="宋体" w:cs="宋体"/>
          <w:sz w:val="24"/>
          <w:u w:val="single"/>
        </w:rPr>
        <w:t xml:space="preserve"> 台州市自然资源和规划局台州湾新区（高新区）分局</w:t>
      </w:r>
    </w:p>
    <w:p>
      <w:pPr>
        <w:snapToGrid w:val="0"/>
        <w:ind w:firstLine="480" w:firstLineChars="200"/>
        <w:jc w:val="left"/>
        <w:rPr>
          <w:rFonts w:ascii="Arial" w:hAnsi="Arial" w:cs="宋体"/>
          <w:sz w:val="24"/>
        </w:rPr>
      </w:pPr>
      <w:r>
        <w:rPr>
          <w:rFonts w:hint="eastAsia" w:ascii="宋体" w:hAnsi="宋体" w:cs="宋体"/>
          <w:sz w:val="24"/>
        </w:rPr>
        <w:t>经研究，我们决定参加你单位的</w:t>
      </w:r>
      <w:r>
        <w:rPr>
          <w:rFonts w:hint="eastAsia" w:ascii="宋体" w:hAnsi="宋体" w:cs="宋体"/>
          <w:sz w:val="24"/>
          <w:u w:val="single"/>
          <w:lang w:eastAsia="zh-CN"/>
        </w:rPr>
        <w:t>台州湾新区2024年度历史围填海处置区域出让区块海域使用价格评估报告书编制项目(重新招标）</w:t>
      </w:r>
      <w:r>
        <w:rPr>
          <w:rFonts w:hint="eastAsia" w:ascii="宋体" w:hAnsi="宋体" w:cs="宋体"/>
          <w:sz w:val="24"/>
        </w:rPr>
        <w:t>的招标采购活动并提交投标文件。为此，我方郑重声明以下诸点，并负法律责任。</w:t>
      </w:r>
    </w:p>
    <w:p>
      <w:pPr>
        <w:snapToGrid w:val="0"/>
        <w:ind w:firstLine="480" w:firstLineChars="200"/>
        <w:jc w:val="left"/>
        <w:rPr>
          <w:rFonts w:ascii="Arial" w:hAnsi="Arial" w:cs="Arial"/>
          <w:sz w:val="24"/>
        </w:rPr>
      </w:pPr>
      <w:r>
        <w:rPr>
          <w:rFonts w:ascii="Arial" w:hAnsi="Arial" w:cs="Arial"/>
          <w:sz w:val="24"/>
        </w:rPr>
        <w:t>1</w:t>
      </w:r>
      <w:r>
        <w:rPr>
          <w:rFonts w:hint="eastAsia" w:ascii="宋体" w:hAnsi="宋体" w:cs="宋体"/>
          <w:sz w:val="24"/>
        </w:rPr>
        <w:t>、如果我们的采购文件被接受，我们将履行采购文件中规定的每一项要求，并按我们投标文件中的承诺按期、按质、按量提供货物、服务。</w:t>
      </w:r>
    </w:p>
    <w:p>
      <w:pPr>
        <w:pStyle w:val="24"/>
        <w:widowControl w:val="0"/>
        <w:adjustRightInd w:val="0"/>
        <w:snapToGrid w:val="0"/>
        <w:spacing w:before="0" w:beforeAutospacing="0" w:after="0" w:afterAutospacing="0"/>
        <w:ind w:firstLine="299" w:firstLineChars="129"/>
        <w:jc w:val="both"/>
        <w:rPr>
          <w:rFonts w:hint="default" w:ascii="Arial" w:hAnsi="Arial" w:cs="Arial"/>
          <w:spacing w:val="-4"/>
          <w:kern w:val="2"/>
        </w:rPr>
      </w:pPr>
      <w:r>
        <w:rPr>
          <w:rFonts w:hint="default" w:ascii="Arial" w:hAnsi="Arial" w:cs="Arial"/>
          <w:spacing w:val="-4"/>
          <w:kern w:val="2"/>
        </w:rPr>
        <w:t>2</w:t>
      </w:r>
      <w:r>
        <w:rPr>
          <w:rFonts w:cs="宋体"/>
          <w:spacing w:val="-4"/>
          <w:kern w:val="2"/>
        </w:rPr>
        <w:t>、我方同意按采购文件规定遵守采购人有关采购的各项规定。</w:t>
      </w:r>
    </w:p>
    <w:p>
      <w:pPr>
        <w:pStyle w:val="24"/>
        <w:widowControl w:val="0"/>
        <w:adjustRightInd w:val="0"/>
        <w:snapToGrid w:val="0"/>
        <w:spacing w:before="0" w:beforeAutospacing="0" w:after="0" w:afterAutospacing="0"/>
        <w:ind w:firstLine="290" w:firstLineChars="125"/>
        <w:jc w:val="both"/>
        <w:rPr>
          <w:rFonts w:hint="default" w:ascii="Arial" w:hAnsi="Arial" w:cs="Arial"/>
          <w:spacing w:val="-4"/>
          <w:kern w:val="2"/>
        </w:rPr>
      </w:pPr>
      <w:r>
        <w:rPr>
          <w:rFonts w:hint="default" w:ascii="Arial" w:hAnsi="Arial" w:cs="Arial"/>
          <w:spacing w:val="-4"/>
          <w:kern w:val="2"/>
        </w:rPr>
        <w:t>3</w:t>
      </w:r>
      <w:r>
        <w:rPr>
          <w:rFonts w:cs="宋体"/>
          <w:spacing w:val="-4"/>
          <w:kern w:val="2"/>
        </w:rPr>
        <w:t>、我方同意提供按照贵方要求的与投标有关的一切数据或资料，我方若未成为中标人，采购人有权不做任何解释。</w:t>
      </w:r>
    </w:p>
    <w:p>
      <w:pPr>
        <w:ind w:firstLine="360" w:firstLineChars="150"/>
        <w:rPr>
          <w:rFonts w:ascii="Arial" w:hAnsi="Arial" w:cs="宋体"/>
          <w:sz w:val="24"/>
        </w:rPr>
      </w:pPr>
      <w:r>
        <w:rPr>
          <w:rFonts w:ascii="Arial" w:hAnsi="Arial" w:cs="Arial"/>
          <w:sz w:val="24"/>
        </w:rPr>
        <w:t>4</w:t>
      </w:r>
      <w:r>
        <w:rPr>
          <w:rFonts w:hint="eastAsia" w:ascii="宋体" w:hAnsi="宋体" w:cs="宋体"/>
          <w:sz w:val="24"/>
        </w:rPr>
        <w:t>、我方如果中标，将保证履行采购文件以及采购文件修改书（如有）中的全部责任和义务，按质、按量、按期完成合同中的全部任务。</w:t>
      </w:r>
    </w:p>
    <w:tbl>
      <w:tblPr>
        <w:tblStyle w:val="28"/>
        <w:tblpPr w:leftFromText="181" w:rightFromText="181" w:bottomFromText="170" w:vertAnchor="text" w:tblpXSpec="center" w:tblpY="1"/>
        <w:tblOverlap w:val="never"/>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3087"/>
        <w:gridCol w:w="5585"/>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3087" w:type="dxa"/>
            <w:tcBorders>
              <w:top w:val="single" w:color="auto" w:sz="12" w:space="0"/>
              <w:left w:val="single" w:color="auto" w:sz="12"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sz w:val="24"/>
              </w:rPr>
            </w:pPr>
            <w:r>
              <w:rPr>
                <w:rFonts w:hint="eastAsia" w:ascii="宋体" w:hAnsi="宋体"/>
                <w:sz w:val="24"/>
              </w:rPr>
              <w:t>报价系数</w:t>
            </w:r>
          </w:p>
        </w:tc>
        <w:tc>
          <w:tcPr>
            <w:tcW w:w="5585" w:type="dxa"/>
            <w:tcBorders>
              <w:top w:val="single" w:color="auto" w:sz="12" w:space="0"/>
              <w:left w:val="single" w:color="auto" w:sz="4" w:space="0"/>
              <w:bottom w:val="single" w:color="auto" w:sz="4" w:space="0"/>
              <w:right w:val="single" w:color="auto" w:sz="12" w:space="0"/>
            </w:tcBorders>
            <w:vAlign w:val="center"/>
          </w:tcPr>
          <w:p>
            <w:pPr>
              <w:autoSpaceDE w:val="0"/>
              <w:autoSpaceDN w:val="0"/>
              <w:spacing w:line="450" w:lineRule="exact"/>
              <w:ind w:firstLine="210" w:firstLineChars="100"/>
              <w:textAlignment w:val="bottom"/>
              <w:rPr>
                <w:rFonts w:ascii="宋体" w:hAnsi="宋体"/>
                <w:szCs w:val="21"/>
              </w:rPr>
            </w:pPr>
            <w:r>
              <w:rPr>
                <w:rFonts w:hint="eastAsia" w:ascii="宋体" w:hAnsi="宋体"/>
                <w:szCs w:val="21"/>
              </w:rPr>
              <w:t xml:space="preserve"> </w:t>
            </w:r>
            <w:r>
              <w:rPr>
                <w:rFonts w:hint="eastAsia" w:ascii="宋体" w:hAnsi="宋体"/>
                <w:szCs w:val="21"/>
                <w:u w:val="single"/>
              </w:rPr>
              <w:t xml:space="preserve">           （小数点后保留两位，第三位四舍五入）</w:t>
            </w:r>
          </w:p>
        </w:tc>
      </w:tr>
    </w:tbl>
    <w:p>
      <w:pPr>
        <w:ind w:firstLine="422" w:firstLineChars="200"/>
        <w:rPr>
          <w:rFonts w:ascii="宋体" w:hAnsi="宋体"/>
          <w:szCs w:val="21"/>
        </w:rPr>
      </w:pPr>
      <w:r>
        <w:rPr>
          <w:rFonts w:hint="eastAsia" w:ascii="宋体" w:hAnsi="宋体"/>
          <w:b/>
          <w:szCs w:val="21"/>
        </w:rPr>
        <w:t>填报要求：</w:t>
      </w:r>
      <w:r>
        <w:rPr>
          <w:rFonts w:hint="eastAsia" w:ascii="宋体" w:hAnsi="宋体"/>
          <w:szCs w:val="21"/>
        </w:rPr>
        <w:t>投标报价包括本项目采购需求和投入使用的所有费用，包括现场踏勘、资料收集整理、数据调查分析、工作大纲编制、取样、试验、测试、检测、测量、模拟计算、组织评审费、会务费、餐费、住宿费、最终相关专题及报告的编制、印刷、报相关主管部门审批、咨询费、风险费、保险、利润、规费、税金、政策性文件规定及合同包含的所有风险、责任等所有费用。各投标人应根据招标人提供的招标需求，以及本项目实际情况和自身的综合实力，竞报投标报价。投标报价以人民币元计。投标人在投标报价时综合考虑，以后不作任何调整。</w:t>
      </w:r>
    </w:p>
    <w:p>
      <w:pPr>
        <w:pStyle w:val="11"/>
        <w:spacing w:line="240" w:lineRule="auto"/>
      </w:pPr>
      <w:r>
        <w:rPr>
          <w:rFonts w:hint="eastAsia" w:ascii="宋体" w:hAnsi="宋体"/>
          <w:szCs w:val="21"/>
        </w:rPr>
        <w:t xml:space="preserve">   </w:t>
      </w:r>
    </w:p>
    <w:p>
      <w:pPr>
        <w:autoSpaceDE w:val="0"/>
        <w:snapToGrid w:val="0"/>
        <w:ind w:firstLine="420" w:firstLineChars="200"/>
        <w:jc w:val="left"/>
        <w:rPr>
          <w:rFonts w:ascii="宋体" w:hAnsi="宋体" w:cs="宋体"/>
          <w:szCs w:val="21"/>
        </w:rPr>
      </w:pPr>
    </w:p>
    <w:p>
      <w:pPr>
        <w:snapToGrid w:val="0"/>
        <w:spacing w:line="480" w:lineRule="exact"/>
        <w:ind w:firstLine="720" w:firstLineChars="300"/>
        <w:jc w:val="left"/>
        <w:rPr>
          <w:rFonts w:ascii="宋体" w:hAnsi="宋体" w:cs="宋体"/>
          <w:sz w:val="24"/>
        </w:rPr>
      </w:pPr>
    </w:p>
    <w:p>
      <w:pPr>
        <w:pStyle w:val="27"/>
        <w:jc w:val="right"/>
        <w:rPr>
          <w:sz w:val="24"/>
        </w:rPr>
      </w:pPr>
      <w:r>
        <w:rPr>
          <w:rFonts w:hint="eastAsia"/>
          <w:sz w:val="24"/>
        </w:rPr>
        <w:t>法定代表人（签字或电子盖章）：</w:t>
      </w:r>
    </w:p>
    <w:p>
      <w:pPr>
        <w:pStyle w:val="27"/>
        <w:jc w:val="right"/>
        <w:rPr>
          <w:sz w:val="24"/>
        </w:rPr>
      </w:pPr>
      <w:r>
        <w:rPr>
          <w:rFonts w:hint="eastAsia"/>
          <w:sz w:val="24"/>
        </w:rPr>
        <w:t>投标人（盖单位电子公章）：</w:t>
      </w:r>
    </w:p>
    <w:p>
      <w:pPr>
        <w:pStyle w:val="27"/>
        <w:jc w:val="right"/>
        <w:rPr>
          <w:sz w:val="24"/>
        </w:rPr>
      </w:pPr>
      <w:r>
        <w:rPr>
          <w:rFonts w:hint="eastAsia"/>
          <w:sz w:val="24"/>
        </w:rPr>
        <w:t>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swiss"/>
    <w:pitch w:val="default"/>
    <w:sig w:usb0="FFFFFFFF" w:usb1="E9FFFFFF" w:usb2="0000003F" w:usb3="00000000" w:csb0="603F01FF" w:csb1="FFFF0000"/>
  </w:font>
  <w:font w:name="方正小标宋_GBK">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方正书宋简体">
    <w:altName w:val="宋体"/>
    <w:panose1 w:val="00000000000000000000"/>
    <w:charset w:val="86"/>
    <w:family w:val="script"/>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Verdana">
    <w:panose1 w:val="020B0604030504040204"/>
    <w:charset w:val="00"/>
    <w:family w:val="auto"/>
    <w:pitch w:val="default"/>
    <w:sig w:usb0="A10006FF" w:usb1="4000205B" w:usb2="00000010" w:usb3="00000000" w:csb0="2000019F" w:csb1="00000000"/>
  </w:font>
  <w:font w:name="华文宋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numPr>
        <w:ilvl w:val="0"/>
        <w:numId w:val="0"/>
      </w:numPr>
      <w:tabs>
        <w:tab w:val="clear" w:pos="360"/>
      </w:tabs>
      <w:spacing w:after="120"/>
      <w:ind w:left="480"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19"/>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CAHDOVxQEAAJQDAAAOAAAAAAAAAAEAIAAAAB8BAABkcnMvZTJvRG9jLnht&#10;bFBLBQYAAAAABgAGAFkBAABWBQAAAAA=&#10;">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tabs>
        <w:tab w:val="left" w:pos="454"/>
        <w:tab w:val="left" w:pos="720"/>
        <w:tab w:val="left" w:pos="1200"/>
      </w:tabs>
      <w:spacing w:after="120"/>
      <w:rPr>
        <w:rStyle w:val="32"/>
      </w:rPr>
    </w:pPr>
    <w:r>
      <w:fldChar w:fldCharType="begin"/>
    </w:r>
    <w:r>
      <w:rPr>
        <w:rStyle w:val="32"/>
      </w:rPr>
      <w:instrText xml:space="preserve">PAGE  </w:instrText>
    </w:r>
    <w:r>
      <w:fldChar w:fldCharType="separate"/>
    </w:r>
    <w:r>
      <w:rPr>
        <w:rStyle w:val="32"/>
      </w:rPr>
      <w:t>10</w:t>
    </w:r>
    <w:r>
      <w:fldChar w:fldCharType="end"/>
    </w:r>
  </w:p>
  <w:p>
    <w:pPr>
      <w:pStyle w:val="7"/>
      <w:tabs>
        <w:tab w:val="left" w:pos="454"/>
        <w:tab w:val="left" w:pos="720"/>
        <w:tab w:val="left" w:pos="1200"/>
      </w:tabs>
      <w:spacing w:after="12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19"/>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CheHdFxQEAAJQDAAAOAAAAAAAAAAEAIAAAAB8BAABkcnMvZTJvRG9jLnht&#10;bFBLBQYAAAAABgAGAFkBAABWBQAAAAA=&#10;">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19"/>
                          </w:pPr>
                          <w:r>
                            <w:fldChar w:fldCharType="begin"/>
                          </w:r>
                          <w:r>
                            <w:instrText xml:space="preserve"> PAGE  \* MERGEFORMAT </w:instrText>
                          </w:r>
                          <w:r>
                            <w:fldChar w:fldCharType="separate"/>
                          </w:r>
                          <w:r>
                            <w:t>30</w:t>
                          </w:r>
                          <w:r>
                            <w:fldChar w:fldCharType="end"/>
                          </w:r>
                        </w:p>
                      </w:txbxContent>
                    </wps:txbx>
                    <wps:bodyPr vert="horz" wrap="none" lIns="0" tIns="0" rIns="0" bIns="0" anchor="t">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5dblS0AAAAAUBAAAPAAAAAAAAAAEAIAAAACIAAABkcnMvZG93&#10;bnJldi54bWxQSwECFAAUAAAACACHTuJAWI1WNc8BAACoAwAADgAAAAAAAAABACAAAAAfAQAAZHJz&#10;L2Uyb0RvYy54bWxQSwUGAAAAAAYABgBZAQAAYAUAAAAA&#10;">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30</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808080"/>
        <w:w w:val="66"/>
        <w:sz w:val="10"/>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94FD1E"/>
    <w:multiLevelType w:val="singleLevel"/>
    <w:tmpl w:val="DF94FD1E"/>
    <w:lvl w:ilvl="0" w:tentative="0">
      <w:start w:val="1"/>
      <w:numFmt w:val="decimal"/>
      <w:suff w:val="nothing"/>
      <w:lvlText w:val="（%1）"/>
      <w:lvlJc w:val="left"/>
    </w:lvl>
  </w:abstractNum>
  <w:abstractNum w:abstractNumId="1">
    <w:nsid w:val="FDF69EA7"/>
    <w:multiLevelType w:val="singleLevel"/>
    <w:tmpl w:val="FDF69EA7"/>
    <w:lvl w:ilvl="0" w:tentative="0">
      <w:start w:val="6"/>
      <w:numFmt w:val="chineseCounting"/>
      <w:suff w:val="nothing"/>
      <w:lvlText w:val="%1、"/>
      <w:lvlJc w:val="left"/>
      <w:rPr>
        <w:rFonts w:hint="eastAsia"/>
      </w:rPr>
    </w:lvl>
  </w:abstractNum>
  <w:abstractNum w:abstractNumId="2">
    <w:nsid w:val="00000003"/>
    <w:multiLevelType w:val="singleLevel"/>
    <w:tmpl w:val="00000003"/>
    <w:lvl w:ilvl="0" w:tentative="0">
      <w:start w:val="1"/>
      <w:numFmt w:val="bullet"/>
      <w:pStyle w:val="8"/>
      <w:lvlText w:val=""/>
      <w:lvlJc w:val="left"/>
      <w:pPr>
        <w:tabs>
          <w:tab w:val="left" w:pos="360"/>
        </w:tabs>
        <w:ind w:left="360" w:hanging="360"/>
      </w:pPr>
      <w:rPr>
        <w:rFonts w:hint="default" w:ascii="Wingdings" w:hAnsi="Wingdings"/>
      </w:rPr>
    </w:lvl>
  </w:abstractNum>
  <w:abstractNum w:abstractNumId="3">
    <w:nsid w:val="00000005"/>
    <w:multiLevelType w:val="multilevel"/>
    <w:tmpl w:val="00000005"/>
    <w:lvl w:ilvl="0" w:tentative="0">
      <w:start w:val="1"/>
      <w:numFmt w:val="decimal"/>
      <w:pStyle w:val="7"/>
      <w:lvlText w:val="%1."/>
      <w:lvlJc w:val="left"/>
      <w:pPr>
        <w:tabs>
          <w:tab w:val="left" w:pos="360"/>
        </w:tabs>
        <w:ind w:left="360" w:hanging="360"/>
      </w:pPr>
    </w:lvl>
    <w:lvl w:ilvl="1" w:tentative="0">
      <w:start w:val="1"/>
      <w:numFmt w:val="decimal"/>
      <w:lvlText w:val="%1.%2"/>
      <w:lvlJc w:val="left"/>
      <w:pPr>
        <w:tabs>
          <w:tab w:val="left" w:pos="882"/>
        </w:tabs>
        <w:ind w:left="882" w:hanging="567"/>
      </w:pPr>
      <w:rPr>
        <w:rFonts w:hint="default" w:ascii="Arial" w:hAnsi="Arial" w:cs="Arial"/>
        <w:b w:val="0"/>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4">
    <w:nsid w:val="00000006"/>
    <w:multiLevelType w:val="singleLevel"/>
    <w:tmpl w:val="00000006"/>
    <w:lvl w:ilvl="0" w:tentative="0">
      <w:start w:val="2"/>
      <w:numFmt w:val="chineseCounting"/>
      <w:suff w:val="space"/>
      <w:lvlText w:val="第%1章"/>
      <w:lvlJc w:val="left"/>
      <w:rPr>
        <w:rFonts w:hint="eastAsia"/>
      </w:rPr>
    </w:lvl>
  </w:abstractNum>
  <w:abstractNum w:abstractNumId="5">
    <w:nsid w:val="00000008"/>
    <w:multiLevelType w:val="multilevel"/>
    <w:tmpl w:val="00000008"/>
    <w:lvl w:ilvl="0" w:tentative="0">
      <w:start w:val="1"/>
      <w:numFmt w:val="decimal"/>
      <w:pStyle w:val="3"/>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Text w:val="%1.%2.%3.%4.%5.%6.%7"/>
      <w:lvlJc w:val="left"/>
      <w:pPr>
        <w:ind w:left="5109" w:hanging="851"/>
      </w:pPr>
      <w:rPr>
        <w:rFonts w:hint="eastAsia"/>
      </w:rPr>
    </w:lvl>
    <w:lvl w:ilvl="7" w:tentative="0">
      <w:start w:val="1"/>
      <w:numFmt w:val="decimal"/>
      <w:suff w:val="nothing"/>
      <w:lvlText w:val="表%1-%8  "/>
      <w:lvlJc w:val="left"/>
      <w:pPr>
        <w:ind w:left="4820" w:hanging="1417"/>
      </w:pPr>
      <w:rPr>
        <w:rFonts w:hint="eastAsia" w:ascii="Times New Roman" w:hAnsi="Times New Roman" w:cs="Times New Roman"/>
        <w:bCs w:val="0"/>
        <w:i w:val="0"/>
        <w:iCs w:val="0"/>
        <w:caps w:val="0"/>
        <w:smallCaps w:val="0"/>
        <w:vanish w:val="0"/>
        <w:spacing w:val="0"/>
        <w:position w:val="0"/>
        <w:u w:val="none"/>
        <w:vertAlign w:val="baseline"/>
      </w:rPr>
    </w:lvl>
    <w:lvl w:ilvl="8" w:tentative="0">
      <w:start w:val="1"/>
      <w:numFmt w:val="decimal"/>
      <w:suff w:val="nothing"/>
      <w:lvlText w:val="图%1-%9  "/>
      <w:lvlJc w:val="left"/>
      <w:pPr>
        <w:ind w:left="5102" w:hanging="1700"/>
      </w:pPr>
      <w:rPr>
        <w:rFonts w:hint="eastAsia"/>
      </w:rPr>
    </w:lvl>
  </w:abstractNum>
  <w:abstractNum w:abstractNumId="6">
    <w:nsid w:val="00000009"/>
    <w:multiLevelType w:val="singleLevel"/>
    <w:tmpl w:val="00000009"/>
    <w:lvl w:ilvl="0" w:tentative="0">
      <w:start w:val="1"/>
      <w:numFmt w:val="chineseCounting"/>
      <w:suff w:val="space"/>
      <w:lvlText w:val="第%1章"/>
      <w:lvlJc w:val="left"/>
      <w:rPr>
        <w:rFonts w:hint="eastAsia"/>
      </w:rPr>
    </w:lvl>
  </w:abstractNum>
  <w:abstractNum w:abstractNumId="7">
    <w:nsid w:val="0053208E"/>
    <w:multiLevelType w:val="singleLevel"/>
    <w:tmpl w:val="0053208E"/>
    <w:lvl w:ilvl="0" w:tentative="0">
      <w:start w:val="1"/>
      <w:numFmt w:val="bullet"/>
      <w:pStyle w:val="15"/>
      <w:lvlText w:val=""/>
      <w:lvlJc w:val="left"/>
      <w:pPr>
        <w:tabs>
          <w:tab w:val="left" w:pos="780"/>
        </w:tabs>
        <w:ind w:left="780" w:hanging="360"/>
      </w:pPr>
      <w:rPr>
        <w:rFonts w:hint="default" w:ascii="Wingdings" w:hAnsi="Wingdings"/>
      </w:rPr>
    </w:lvl>
  </w:abstractNum>
  <w:abstractNum w:abstractNumId="8">
    <w:nsid w:val="1D368AF1"/>
    <w:multiLevelType w:val="multilevel"/>
    <w:tmpl w:val="1D368AF1"/>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5"/>
  </w:num>
  <w:num w:numId="2">
    <w:abstractNumId w:val="3"/>
  </w:num>
  <w:num w:numId="3">
    <w:abstractNumId w:val="2"/>
  </w:num>
  <w:num w:numId="4">
    <w:abstractNumId w:val="7"/>
  </w:num>
  <w:num w:numId="5">
    <w:abstractNumId w:val="6"/>
  </w:num>
  <w:num w:numId="6">
    <w:abstractNumId w:val="4"/>
  </w:num>
  <w:num w:numId="7">
    <w:abstractNumId w:val="1"/>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4ZDQzNDVjYzAxOTM3YTJmNmMxN2UxYmY5OWQwMGQifQ=="/>
  </w:docVars>
  <w:rsids>
    <w:rsidRoot w:val="0001697B"/>
    <w:rsid w:val="0001697B"/>
    <w:rsid w:val="003B23D9"/>
    <w:rsid w:val="004411F2"/>
    <w:rsid w:val="004606F7"/>
    <w:rsid w:val="008012AA"/>
    <w:rsid w:val="00876548"/>
    <w:rsid w:val="009F79AD"/>
    <w:rsid w:val="00BA14AE"/>
    <w:rsid w:val="00D8498D"/>
    <w:rsid w:val="00D91ED6"/>
    <w:rsid w:val="00EA4C75"/>
    <w:rsid w:val="019813A6"/>
    <w:rsid w:val="01A159C8"/>
    <w:rsid w:val="02902A6D"/>
    <w:rsid w:val="03C73027"/>
    <w:rsid w:val="05CB2955"/>
    <w:rsid w:val="081366F7"/>
    <w:rsid w:val="08C71AF5"/>
    <w:rsid w:val="09437494"/>
    <w:rsid w:val="09964816"/>
    <w:rsid w:val="0A0C452C"/>
    <w:rsid w:val="0A924C6F"/>
    <w:rsid w:val="0B545E6B"/>
    <w:rsid w:val="0CE75D5E"/>
    <w:rsid w:val="0D70006B"/>
    <w:rsid w:val="0DE917FF"/>
    <w:rsid w:val="0F276CCE"/>
    <w:rsid w:val="124B0E0F"/>
    <w:rsid w:val="13C426F1"/>
    <w:rsid w:val="15901CD5"/>
    <w:rsid w:val="16385BCA"/>
    <w:rsid w:val="16C62AAA"/>
    <w:rsid w:val="17C57205"/>
    <w:rsid w:val="1891649E"/>
    <w:rsid w:val="19643B73"/>
    <w:rsid w:val="1BB97D2C"/>
    <w:rsid w:val="1BFD2DF3"/>
    <w:rsid w:val="1CF74F6C"/>
    <w:rsid w:val="20E402BE"/>
    <w:rsid w:val="21172789"/>
    <w:rsid w:val="219C0FD7"/>
    <w:rsid w:val="21FF3314"/>
    <w:rsid w:val="220C79B2"/>
    <w:rsid w:val="22AB795A"/>
    <w:rsid w:val="25AB17E9"/>
    <w:rsid w:val="26BA25D8"/>
    <w:rsid w:val="26F14645"/>
    <w:rsid w:val="27561EF5"/>
    <w:rsid w:val="277D5407"/>
    <w:rsid w:val="2C462142"/>
    <w:rsid w:val="2C5B58E2"/>
    <w:rsid w:val="2DC518B5"/>
    <w:rsid w:val="2DED5E44"/>
    <w:rsid w:val="2E2445EA"/>
    <w:rsid w:val="2E2662C7"/>
    <w:rsid w:val="310002CF"/>
    <w:rsid w:val="32002C17"/>
    <w:rsid w:val="3234700A"/>
    <w:rsid w:val="32870C1D"/>
    <w:rsid w:val="32B61635"/>
    <w:rsid w:val="32D0120D"/>
    <w:rsid w:val="339D0395"/>
    <w:rsid w:val="33E93EE1"/>
    <w:rsid w:val="342C0A70"/>
    <w:rsid w:val="34763909"/>
    <w:rsid w:val="358D0F0B"/>
    <w:rsid w:val="366C0322"/>
    <w:rsid w:val="36A75FFC"/>
    <w:rsid w:val="37B47F1C"/>
    <w:rsid w:val="37EA47B2"/>
    <w:rsid w:val="39A44A75"/>
    <w:rsid w:val="3A157721"/>
    <w:rsid w:val="3A1B6C10"/>
    <w:rsid w:val="3A535C63"/>
    <w:rsid w:val="3AF955D5"/>
    <w:rsid w:val="3B1735B9"/>
    <w:rsid w:val="3B9703AF"/>
    <w:rsid w:val="3C09437E"/>
    <w:rsid w:val="3C597554"/>
    <w:rsid w:val="3CCF5D49"/>
    <w:rsid w:val="3DC16FA5"/>
    <w:rsid w:val="3EEF6792"/>
    <w:rsid w:val="3F277CDA"/>
    <w:rsid w:val="402A76FA"/>
    <w:rsid w:val="403102E6"/>
    <w:rsid w:val="41F477D8"/>
    <w:rsid w:val="41F57D5A"/>
    <w:rsid w:val="42467F85"/>
    <w:rsid w:val="42694E81"/>
    <w:rsid w:val="44780FD8"/>
    <w:rsid w:val="44EF0EF0"/>
    <w:rsid w:val="45C1477F"/>
    <w:rsid w:val="479E5836"/>
    <w:rsid w:val="47B01FE2"/>
    <w:rsid w:val="48257DC3"/>
    <w:rsid w:val="48267D90"/>
    <w:rsid w:val="484A6923"/>
    <w:rsid w:val="48675E2C"/>
    <w:rsid w:val="490A250B"/>
    <w:rsid w:val="49371F3A"/>
    <w:rsid w:val="49A65F5E"/>
    <w:rsid w:val="49BA19D8"/>
    <w:rsid w:val="4AFB400D"/>
    <w:rsid w:val="4B324875"/>
    <w:rsid w:val="4B775B85"/>
    <w:rsid w:val="4D754306"/>
    <w:rsid w:val="4E4C256F"/>
    <w:rsid w:val="4E9E788D"/>
    <w:rsid w:val="4EF34216"/>
    <w:rsid w:val="4EFB6E1D"/>
    <w:rsid w:val="51741973"/>
    <w:rsid w:val="517527ED"/>
    <w:rsid w:val="520C7FB2"/>
    <w:rsid w:val="522B5D49"/>
    <w:rsid w:val="53656BCB"/>
    <w:rsid w:val="53C862CB"/>
    <w:rsid w:val="54134879"/>
    <w:rsid w:val="55AA24A0"/>
    <w:rsid w:val="58973BDE"/>
    <w:rsid w:val="599844D5"/>
    <w:rsid w:val="5B851357"/>
    <w:rsid w:val="5BDE09E0"/>
    <w:rsid w:val="5D422059"/>
    <w:rsid w:val="5F853E7D"/>
    <w:rsid w:val="61A16CB6"/>
    <w:rsid w:val="66CB0FC3"/>
    <w:rsid w:val="67E26786"/>
    <w:rsid w:val="68725F14"/>
    <w:rsid w:val="6A240CB2"/>
    <w:rsid w:val="6B062163"/>
    <w:rsid w:val="6B650410"/>
    <w:rsid w:val="6E766B6E"/>
    <w:rsid w:val="6F1A0ED3"/>
    <w:rsid w:val="70885A9B"/>
    <w:rsid w:val="71437243"/>
    <w:rsid w:val="71766353"/>
    <w:rsid w:val="74085625"/>
    <w:rsid w:val="77C72273"/>
    <w:rsid w:val="77E0098C"/>
    <w:rsid w:val="78A71DBF"/>
    <w:rsid w:val="78E214E9"/>
    <w:rsid w:val="791F3E96"/>
    <w:rsid w:val="79927E6B"/>
    <w:rsid w:val="79972321"/>
    <w:rsid w:val="799F7821"/>
    <w:rsid w:val="7A6A4943"/>
    <w:rsid w:val="7A730C2B"/>
    <w:rsid w:val="7C9C4B5C"/>
    <w:rsid w:val="7CC74FD3"/>
    <w:rsid w:val="7CE309DD"/>
    <w:rsid w:val="7E780F24"/>
    <w:rsid w:val="7EEE11C7"/>
    <w:rsid w:val="7F141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9"/>
    <w:pPr>
      <w:keepNext/>
      <w:keepLines/>
      <w:numPr>
        <w:ilvl w:val="0"/>
        <w:numId w:val="1"/>
      </w:numPr>
      <w:spacing w:before="60" w:after="60"/>
      <w:ind w:firstLine="0"/>
      <w:jc w:val="center"/>
      <w:outlineLvl w:val="0"/>
    </w:pPr>
    <w:rPr>
      <w:b/>
      <w:bCs/>
      <w:kern w:val="44"/>
      <w:sz w:val="44"/>
      <w:szCs w:val="44"/>
    </w:rPr>
  </w:style>
  <w:style w:type="paragraph" w:styleId="4">
    <w:name w:val="heading 2"/>
    <w:basedOn w:val="1"/>
    <w:next w:val="1"/>
    <w:autoRedefine/>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5">
    <w:name w:val="heading 3"/>
    <w:basedOn w:val="1"/>
    <w:next w:val="6"/>
    <w:autoRedefine/>
    <w:qFormat/>
    <w:uiPriority w:val="0"/>
    <w:pPr>
      <w:keepNext/>
      <w:keepLines/>
      <w:tabs>
        <w:tab w:val="left" w:pos="8280"/>
      </w:tabs>
      <w:spacing w:before="260" w:after="260" w:line="416" w:lineRule="auto"/>
      <w:outlineLvl w:val="2"/>
    </w:pPr>
    <w:rPr>
      <w:bCs/>
      <w:szCs w:val="32"/>
    </w:rPr>
  </w:style>
  <w:style w:type="character" w:default="1" w:styleId="30">
    <w:name w:val="Default Paragraph Font"/>
    <w:semiHidden/>
    <w:unhideWhenUsed/>
    <w:uiPriority w:val="1"/>
  </w:style>
  <w:style w:type="table" w:default="1" w:styleId="28">
    <w:name w:val="Normal Table"/>
    <w:semiHidden/>
    <w:unhideWhenUsed/>
    <w:uiPriority w:val="99"/>
    <w:tblPr>
      <w:tblCellMar>
        <w:top w:w="0" w:type="dxa"/>
        <w:left w:w="108" w:type="dxa"/>
        <w:bottom w:w="0" w:type="dxa"/>
        <w:right w:w="108" w:type="dxa"/>
      </w:tblCellMar>
    </w:tblPr>
  </w:style>
  <w:style w:type="paragraph" w:customStyle="1" w:styleId="2">
    <w:name w:val="正文（首行缩进2字符）"/>
    <w:basedOn w:val="1"/>
    <w:autoRedefine/>
    <w:qFormat/>
    <w:uiPriority w:val="0"/>
    <w:pPr>
      <w:spacing w:line="360" w:lineRule="auto"/>
      <w:ind w:firstLine="420" w:firstLineChars="200"/>
    </w:pPr>
    <w:rPr>
      <w:szCs w:val="21"/>
    </w:rPr>
  </w:style>
  <w:style w:type="paragraph" w:styleId="6">
    <w:name w:val="Normal Indent"/>
    <w:basedOn w:val="1"/>
    <w:autoRedefine/>
    <w:qFormat/>
    <w:uiPriority w:val="0"/>
    <w:pPr>
      <w:ind w:firstLine="420"/>
    </w:pPr>
    <w:rPr>
      <w:szCs w:val="20"/>
    </w:rPr>
  </w:style>
  <w:style w:type="paragraph" w:styleId="7">
    <w:name w:val="List Number"/>
    <w:basedOn w:val="1"/>
    <w:autoRedefine/>
    <w:qFormat/>
    <w:uiPriority w:val="0"/>
    <w:pPr>
      <w:numPr>
        <w:ilvl w:val="0"/>
        <w:numId w:val="2"/>
      </w:numPr>
    </w:pPr>
  </w:style>
  <w:style w:type="paragraph" w:styleId="8">
    <w:name w:val="List Bullet"/>
    <w:basedOn w:val="1"/>
    <w:next w:val="1"/>
    <w:autoRedefine/>
    <w:qFormat/>
    <w:uiPriority w:val="0"/>
    <w:pPr>
      <w:numPr>
        <w:ilvl w:val="0"/>
        <w:numId w:val="3"/>
      </w:numPr>
    </w:pPr>
  </w:style>
  <w:style w:type="paragraph" w:styleId="9">
    <w:name w:val="annotation text"/>
    <w:basedOn w:val="1"/>
    <w:link w:val="81"/>
    <w:autoRedefine/>
    <w:qFormat/>
    <w:uiPriority w:val="0"/>
    <w:pPr>
      <w:jc w:val="left"/>
    </w:pPr>
  </w:style>
  <w:style w:type="paragraph" w:styleId="10">
    <w:name w:val="Body Text 3"/>
    <w:basedOn w:val="1"/>
    <w:autoRedefine/>
    <w:qFormat/>
    <w:uiPriority w:val="0"/>
    <w:pPr>
      <w:snapToGrid w:val="0"/>
      <w:spacing w:before="50" w:after="50"/>
    </w:pPr>
    <w:rPr>
      <w:rFonts w:hAnsi="宋体" w:eastAsia="仿宋_GB2312"/>
      <w:b/>
      <w:bCs/>
      <w:sz w:val="24"/>
      <w:szCs w:val="20"/>
    </w:rPr>
  </w:style>
  <w:style w:type="paragraph" w:styleId="11">
    <w:name w:val="Body Text"/>
    <w:basedOn w:val="1"/>
    <w:next w:val="12"/>
    <w:autoRedefine/>
    <w:qFormat/>
    <w:uiPriority w:val="0"/>
    <w:pPr>
      <w:spacing w:line="360" w:lineRule="exact"/>
    </w:pPr>
    <w:rPr>
      <w:sz w:val="24"/>
    </w:rPr>
  </w:style>
  <w:style w:type="paragraph" w:styleId="12">
    <w:name w:val="Body Text First Indent"/>
    <w:basedOn w:val="11"/>
    <w:next w:val="13"/>
    <w:link w:val="83"/>
    <w:autoRedefine/>
    <w:qFormat/>
    <w:uiPriority w:val="0"/>
    <w:pPr>
      <w:ind w:firstLine="200" w:firstLineChars="200"/>
    </w:pPr>
  </w:style>
  <w:style w:type="paragraph" w:styleId="13">
    <w:name w:val="toc 6"/>
    <w:basedOn w:val="1"/>
    <w:next w:val="1"/>
    <w:autoRedefine/>
    <w:qFormat/>
    <w:uiPriority w:val="39"/>
    <w:pPr>
      <w:ind w:left="2100" w:leftChars="1000"/>
    </w:pPr>
    <w:rPr>
      <w:rFonts w:ascii="Calibri" w:hAnsi="Calibri"/>
    </w:rPr>
  </w:style>
  <w:style w:type="paragraph" w:styleId="14">
    <w:name w:val="Body Text Indent"/>
    <w:basedOn w:val="1"/>
    <w:autoRedefine/>
    <w:qFormat/>
    <w:uiPriority w:val="0"/>
    <w:pPr>
      <w:spacing w:after="120"/>
      <w:ind w:left="420" w:leftChars="200"/>
    </w:pPr>
  </w:style>
  <w:style w:type="paragraph" w:styleId="15">
    <w:name w:val="List Bullet 2"/>
    <w:basedOn w:val="1"/>
    <w:next w:val="8"/>
    <w:autoRedefine/>
    <w:qFormat/>
    <w:uiPriority w:val="0"/>
    <w:pPr>
      <w:numPr>
        <w:ilvl w:val="0"/>
        <w:numId w:val="4"/>
      </w:numPr>
    </w:pPr>
  </w:style>
  <w:style w:type="paragraph" w:styleId="16">
    <w:name w:val="Plain Text"/>
    <w:basedOn w:val="1"/>
    <w:next w:val="17"/>
    <w:link w:val="73"/>
    <w:autoRedefine/>
    <w:qFormat/>
    <w:uiPriority w:val="0"/>
    <w:rPr>
      <w:rFonts w:ascii="宋体" w:hAnsi="Courier New" w:cs="宋体"/>
    </w:rPr>
  </w:style>
  <w:style w:type="paragraph" w:styleId="17">
    <w:name w:val="Date"/>
    <w:basedOn w:val="1"/>
    <w:next w:val="1"/>
    <w:autoRedefine/>
    <w:qFormat/>
    <w:uiPriority w:val="0"/>
    <w:pPr>
      <w:ind w:left="2500" w:leftChars="2500"/>
    </w:pPr>
    <w:rPr>
      <w:rFonts w:ascii="Calibri" w:hAnsi="Calibri" w:eastAsia="楷体_GB2312" w:cs="宋体"/>
      <w:sz w:val="32"/>
      <w:szCs w:val="22"/>
    </w:rPr>
  </w:style>
  <w:style w:type="paragraph" w:styleId="18">
    <w:name w:val="Balloon Text"/>
    <w:basedOn w:val="1"/>
    <w:link w:val="63"/>
    <w:autoRedefine/>
    <w:qFormat/>
    <w:uiPriority w:val="0"/>
    <w:rPr>
      <w:sz w:val="18"/>
      <w:szCs w:val="18"/>
    </w:rPr>
  </w:style>
  <w:style w:type="paragraph" w:styleId="19">
    <w:name w:val="footer"/>
    <w:basedOn w:val="1"/>
    <w:autoRedefine/>
    <w:qFormat/>
    <w:uiPriority w:val="0"/>
    <w:pPr>
      <w:tabs>
        <w:tab w:val="center" w:pos="4153"/>
        <w:tab w:val="right" w:pos="8306"/>
      </w:tabs>
      <w:snapToGrid w:val="0"/>
      <w:jc w:val="left"/>
    </w:pPr>
    <w:rPr>
      <w:sz w:val="18"/>
    </w:rPr>
  </w:style>
  <w:style w:type="paragraph" w:styleId="2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1">
    <w:name w:val="toc 1"/>
    <w:basedOn w:val="1"/>
    <w:next w:val="1"/>
    <w:autoRedefine/>
    <w:qFormat/>
    <w:uiPriority w:val="39"/>
    <w:pPr>
      <w:spacing w:line="360" w:lineRule="auto"/>
      <w:ind w:left="420" w:leftChars="200" w:right="420" w:rightChars="200"/>
    </w:pPr>
    <w:rPr>
      <w:rFonts w:ascii="宋体" w:hAnsi="宋体"/>
      <w:sz w:val="24"/>
    </w:rPr>
  </w:style>
  <w:style w:type="paragraph" w:styleId="22">
    <w:name w:val="toc 2"/>
    <w:basedOn w:val="1"/>
    <w:next w:val="1"/>
    <w:autoRedefine/>
    <w:qFormat/>
    <w:uiPriority w:val="39"/>
    <w:pPr>
      <w:ind w:left="420" w:leftChars="200"/>
    </w:pPr>
  </w:style>
  <w:style w:type="paragraph" w:styleId="23">
    <w:name w:val="Body Text 2"/>
    <w:basedOn w:val="1"/>
    <w:autoRedefine/>
    <w:unhideWhenUsed/>
    <w:qFormat/>
    <w:uiPriority w:val="99"/>
    <w:pPr>
      <w:spacing w:after="120" w:line="480" w:lineRule="auto"/>
    </w:pPr>
  </w:style>
  <w:style w:type="paragraph" w:styleId="24">
    <w:name w:val="Normal (Web)"/>
    <w:basedOn w:val="1"/>
    <w:autoRedefine/>
    <w:qFormat/>
    <w:uiPriority w:val="0"/>
    <w:pPr>
      <w:widowControl/>
      <w:spacing w:before="100" w:beforeAutospacing="1" w:after="100" w:afterAutospacing="1"/>
      <w:jc w:val="left"/>
    </w:pPr>
    <w:rPr>
      <w:rFonts w:hint="eastAsia" w:ascii="宋体" w:hAnsi="宋体"/>
      <w:kern w:val="0"/>
      <w:sz w:val="24"/>
    </w:rPr>
  </w:style>
  <w:style w:type="paragraph" w:styleId="25">
    <w:name w:val="Title"/>
    <w:basedOn w:val="1"/>
    <w:next w:val="1"/>
    <w:autoRedefine/>
    <w:qFormat/>
    <w:uiPriority w:val="0"/>
    <w:pPr>
      <w:spacing w:before="240" w:after="60"/>
      <w:jc w:val="center"/>
      <w:outlineLvl w:val="0"/>
    </w:pPr>
    <w:rPr>
      <w:rFonts w:ascii="Cambria" w:hAnsi="Cambria"/>
      <w:b/>
      <w:bCs/>
      <w:kern w:val="0"/>
      <w:sz w:val="32"/>
      <w:szCs w:val="32"/>
    </w:rPr>
  </w:style>
  <w:style w:type="paragraph" w:styleId="26">
    <w:name w:val="annotation subject"/>
    <w:basedOn w:val="9"/>
    <w:next w:val="9"/>
    <w:link w:val="82"/>
    <w:autoRedefine/>
    <w:qFormat/>
    <w:uiPriority w:val="0"/>
    <w:rPr>
      <w:b/>
      <w:bCs/>
    </w:rPr>
  </w:style>
  <w:style w:type="paragraph" w:styleId="27">
    <w:name w:val="Body Text First Indent 2"/>
    <w:basedOn w:val="14"/>
    <w:autoRedefine/>
    <w:qFormat/>
    <w:uiPriority w:val="0"/>
    <w:pPr>
      <w:ind w:firstLine="420"/>
    </w:pPr>
  </w:style>
  <w:style w:type="table" w:styleId="29">
    <w:name w:val="Table Grid"/>
    <w:basedOn w:val="28"/>
    <w:autoRedefine/>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style>
  <w:style w:type="character" w:styleId="31">
    <w:name w:val="page number"/>
    <w:basedOn w:val="30"/>
    <w:autoRedefine/>
    <w:qFormat/>
    <w:uiPriority w:val="0"/>
  </w:style>
  <w:style w:type="character" w:styleId="32">
    <w:name w:val="Hyperlink"/>
    <w:autoRedefine/>
    <w:qFormat/>
    <w:uiPriority w:val="0"/>
    <w:rPr>
      <w:color w:val="0000FF"/>
      <w:u w:val="single"/>
    </w:rPr>
  </w:style>
  <w:style w:type="character" w:styleId="33">
    <w:name w:val="annotation reference"/>
    <w:basedOn w:val="30"/>
    <w:autoRedefine/>
    <w:qFormat/>
    <w:uiPriority w:val="0"/>
    <w:rPr>
      <w:sz w:val="21"/>
      <w:szCs w:val="21"/>
    </w:rPr>
  </w:style>
  <w:style w:type="paragraph" w:customStyle="1" w:styleId="34">
    <w:name w:val="4、正文"/>
    <w:basedOn w:val="1"/>
    <w:autoRedefine/>
    <w:qFormat/>
    <w:uiPriority w:val="0"/>
    <w:pPr>
      <w:ind w:firstLine="200" w:firstLineChars="200"/>
    </w:pPr>
    <w:rPr>
      <w:rFonts w:ascii="宋体"/>
      <w:sz w:val="24"/>
      <w:szCs w:val="28"/>
    </w:rPr>
  </w:style>
  <w:style w:type="paragraph" w:customStyle="1" w:styleId="35">
    <w:name w:val="自动更正"/>
    <w:autoRedefine/>
    <w:qFormat/>
    <w:uiPriority w:val="99"/>
    <w:pPr>
      <w:widowControl w:val="0"/>
    </w:pPr>
    <w:rPr>
      <w:rFonts w:ascii="宋体" w:hAnsi="宋体" w:eastAsia="宋体" w:cs="Times New Roman"/>
      <w:kern w:val="2"/>
      <w:sz w:val="24"/>
      <w:szCs w:val="24"/>
      <w:lang w:val="en-US" w:eastAsia="zh-CN" w:bidi="ar-SA"/>
    </w:rPr>
  </w:style>
  <w:style w:type="paragraph" w:customStyle="1" w:styleId="36">
    <w:name w:val="无间隔1"/>
    <w:autoRedefine/>
    <w:qFormat/>
    <w:uiPriority w:val="99"/>
    <w:pPr>
      <w:adjustRightInd w:val="0"/>
      <w:snapToGrid w:val="0"/>
    </w:pPr>
    <w:rPr>
      <w:rFonts w:ascii="Tahoma" w:hAnsi="Tahoma" w:eastAsia="微软雅黑" w:cs="宋体"/>
      <w:sz w:val="22"/>
      <w:szCs w:val="22"/>
      <w:lang w:val="en-US" w:eastAsia="zh-CN" w:bidi="ar-SA"/>
    </w:rPr>
  </w:style>
  <w:style w:type="paragraph" w:customStyle="1" w:styleId="37">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8">
    <w:name w:val="正文首行缩进1"/>
    <w:next w:val="1"/>
    <w:autoRedefine/>
    <w:qFormat/>
    <w:uiPriority w:val="0"/>
    <w:pPr>
      <w:framePr w:wrap="around" w:vAnchor="margin" w:hAnchor="text" w:y="1"/>
      <w:widowControl w:val="0"/>
      <w:spacing w:line="360" w:lineRule="exact"/>
      <w:ind w:firstLine="42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customStyle="1" w:styleId="39">
    <w:name w:val="样式 10 磅31114"/>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40">
    <w:name w:val="表格文字"/>
    <w:basedOn w:val="1"/>
    <w:next w:val="11"/>
    <w:autoRedefine/>
    <w:qFormat/>
    <w:uiPriority w:val="0"/>
    <w:pPr>
      <w:jc w:val="left"/>
      <w:textAlignment w:val="top"/>
    </w:pPr>
    <w:rPr>
      <w:sz w:val="18"/>
    </w:rPr>
  </w:style>
  <w:style w:type="paragraph" w:styleId="41">
    <w:name w:val="List Paragraph"/>
    <w:basedOn w:val="1"/>
    <w:autoRedefine/>
    <w:qFormat/>
    <w:uiPriority w:val="0"/>
    <w:pPr>
      <w:ind w:firstLine="420" w:firstLineChars="200"/>
    </w:pPr>
    <w:rPr>
      <w:rFonts w:ascii="Calibri" w:hAnsi="Calibri"/>
      <w:szCs w:val="22"/>
    </w:rPr>
  </w:style>
  <w:style w:type="paragraph" w:customStyle="1" w:styleId="42">
    <w:name w:val="_Style 2"/>
    <w:autoRedefine/>
    <w:qFormat/>
    <w:uiPriority w:val="99"/>
    <w:pPr>
      <w:adjustRightInd w:val="0"/>
      <w:snapToGrid w:val="0"/>
    </w:pPr>
    <w:rPr>
      <w:rFonts w:ascii="Tahoma" w:hAnsi="Tahoma" w:eastAsia="微软雅黑" w:cs="Tahoma"/>
      <w:sz w:val="22"/>
      <w:szCs w:val="22"/>
      <w:lang w:val="en-US" w:eastAsia="zh-CN" w:bidi="ar-SA"/>
    </w:rPr>
  </w:style>
  <w:style w:type="paragraph" w:customStyle="1" w:styleId="43">
    <w:name w:val="无间隔11"/>
    <w:autoRedefine/>
    <w:qFormat/>
    <w:uiPriority w:val="0"/>
    <w:pPr>
      <w:adjustRightInd w:val="0"/>
      <w:snapToGrid w:val="0"/>
    </w:pPr>
    <w:rPr>
      <w:rFonts w:ascii="Tahoma" w:hAnsi="Tahoma" w:eastAsia="微软雅黑" w:cs="宋体"/>
      <w:sz w:val="22"/>
      <w:szCs w:val="22"/>
      <w:lang w:val="en-US" w:eastAsia="zh-CN" w:bidi="ar-SA"/>
    </w:rPr>
  </w:style>
  <w:style w:type="paragraph" w:customStyle="1" w:styleId="44">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5">
    <w:name w:val="正文_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14"/>
    <w:autoRedefine/>
    <w:qFormat/>
    <w:uiPriority w:val="0"/>
    <w:rPr>
      <w:rFonts w:ascii="Times New Roman" w:hAnsi="Times New Roman" w:eastAsia="宋体" w:cs="Times New Roman"/>
      <w:sz w:val="21"/>
      <w:szCs w:val="22"/>
      <w:lang w:val="en-US" w:eastAsia="zh-CN" w:bidi="ar-SA"/>
    </w:rPr>
  </w:style>
  <w:style w:type="paragraph" w:customStyle="1" w:styleId="47">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正文_1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纯文本_3"/>
    <w:basedOn w:val="49"/>
    <w:autoRedefine/>
    <w:qFormat/>
    <w:uiPriority w:val="0"/>
    <w:pPr>
      <w:widowControl/>
      <w:jc w:val="left"/>
    </w:pPr>
    <w:rPr>
      <w:rFonts w:ascii="宋体" w:hAnsi="Courier New" w:cs="宋体"/>
      <w:szCs w:val="21"/>
    </w:rPr>
  </w:style>
  <w:style w:type="paragraph" w:customStyle="1" w:styleId="51">
    <w:name w:val="纯文本_0_1"/>
    <w:basedOn w:val="1"/>
    <w:autoRedefine/>
    <w:qFormat/>
    <w:uiPriority w:val="0"/>
    <w:pPr>
      <w:widowControl/>
      <w:jc w:val="left"/>
    </w:pPr>
    <w:rPr>
      <w:rFonts w:ascii="宋体" w:hAnsi="Courier New" w:cs="宋体"/>
      <w:szCs w:val="21"/>
    </w:rPr>
  </w:style>
  <w:style w:type="paragraph" w:customStyle="1" w:styleId="52">
    <w:name w:val="正文_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正文_2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Normal_15"/>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56">
    <w:name w:val="font21"/>
    <w:basedOn w:val="30"/>
    <w:autoRedefine/>
    <w:qFormat/>
    <w:uiPriority w:val="0"/>
    <w:rPr>
      <w:rFonts w:hint="default" w:ascii="Arial" w:hAnsi="Arial" w:cs="Arial"/>
      <w:color w:val="000000"/>
      <w:sz w:val="20"/>
      <w:szCs w:val="20"/>
      <w:u w:val="none"/>
    </w:rPr>
  </w:style>
  <w:style w:type="character" w:customStyle="1" w:styleId="57">
    <w:name w:val="font01"/>
    <w:basedOn w:val="30"/>
    <w:autoRedefine/>
    <w:qFormat/>
    <w:uiPriority w:val="0"/>
    <w:rPr>
      <w:rFonts w:hint="eastAsia" w:ascii="宋体" w:hAnsi="宋体" w:eastAsia="宋体" w:cs="宋体"/>
      <w:color w:val="000000"/>
      <w:sz w:val="20"/>
      <w:szCs w:val="20"/>
      <w:u w:val="none"/>
    </w:rPr>
  </w:style>
  <w:style w:type="paragraph" w:customStyle="1" w:styleId="58">
    <w:name w:val="纯文本1"/>
    <w:basedOn w:val="59"/>
    <w:autoRedefine/>
    <w:qFormat/>
    <w:uiPriority w:val="0"/>
    <w:pPr>
      <w:widowControl/>
      <w:jc w:val="left"/>
    </w:pPr>
    <w:rPr>
      <w:rFonts w:ascii="宋体" w:hAnsi="Courier New"/>
    </w:rPr>
  </w:style>
  <w:style w:type="paragraph" w:customStyle="1" w:styleId="59">
    <w:name w:val="正文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0">
    <w:name w:val="Table Paragraph"/>
    <w:basedOn w:val="1"/>
    <w:autoRedefine/>
    <w:qFormat/>
    <w:uiPriority w:val="1"/>
    <w:rPr>
      <w:rFonts w:ascii="宋体" w:hAnsi="宋体" w:cs="宋体"/>
    </w:rPr>
  </w:style>
  <w:style w:type="paragraph" w:customStyle="1" w:styleId="61">
    <w:name w:val="WPSOffice手动目录 1"/>
    <w:autoRedefine/>
    <w:qFormat/>
    <w:uiPriority w:val="0"/>
    <w:rPr>
      <w:rFonts w:ascii="Times New Roman" w:hAnsi="Times New Roman" w:eastAsia="宋体" w:cs="Times New Roman"/>
      <w:lang w:val="en-US" w:eastAsia="zh-CN" w:bidi="ar-SA"/>
    </w:rPr>
  </w:style>
  <w:style w:type="paragraph" w:customStyle="1" w:styleId="62">
    <w:name w:val="默认段落字体 Para Char Char Char Char Char Char Char Char Char1 Char Char Char Char"/>
    <w:basedOn w:val="1"/>
    <w:autoRedefine/>
    <w:qFormat/>
    <w:uiPriority w:val="0"/>
    <w:rPr>
      <w:rFonts w:ascii="Tahoma" w:hAnsi="Tahoma"/>
      <w:sz w:val="24"/>
      <w:szCs w:val="20"/>
    </w:rPr>
  </w:style>
  <w:style w:type="character" w:customStyle="1" w:styleId="63">
    <w:name w:val="批注框文本 字符"/>
    <w:basedOn w:val="30"/>
    <w:link w:val="18"/>
    <w:autoRedefine/>
    <w:qFormat/>
    <w:uiPriority w:val="0"/>
    <w:rPr>
      <w:kern w:val="2"/>
      <w:sz w:val="18"/>
      <w:szCs w:val="18"/>
    </w:rPr>
  </w:style>
  <w:style w:type="paragraph" w:customStyle="1" w:styleId="64">
    <w:name w:val="英文"/>
    <w:basedOn w:val="1"/>
    <w:link w:val="66"/>
    <w:autoRedefine/>
    <w:qFormat/>
    <w:uiPriority w:val="0"/>
    <w:pPr>
      <w:adjustRightInd w:val="0"/>
      <w:snapToGrid w:val="0"/>
      <w:spacing w:line="360" w:lineRule="auto"/>
      <w:ind w:firstLine="480" w:firstLineChars="200"/>
    </w:pPr>
    <w:rPr>
      <w:rFonts w:ascii="Arial" w:hAnsi="Arial" w:cs="Arial"/>
      <w:sz w:val="24"/>
    </w:rPr>
  </w:style>
  <w:style w:type="paragraph" w:customStyle="1" w:styleId="65">
    <w:name w:val="样式1"/>
    <w:basedOn w:val="1"/>
    <w:autoRedefine/>
    <w:qFormat/>
    <w:uiPriority w:val="0"/>
    <w:pPr>
      <w:adjustRightInd w:val="0"/>
      <w:snapToGrid w:val="0"/>
      <w:spacing w:line="360" w:lineRule="auto"/>
      <w:ind w:firstLine="480" w:firstLineChars="200"/>
    </w:pPr>
    <w:rPr>
      <w:rFonts w:ascii="Arial" w:hAnsi="Arial" w:cs="Arial"/>
      <w:sz w:val="24"/>
    </w:rPr>
  </w:style>
  <w:style w:type="character" w:customStyle="1" w:styleId="66">
    <w:name w:val="英文 Char"/>
    <w:link w:val="64"/>
    <w:autoRedefine/>
    <w:qFormat/>
    <w:uiPriority w:val="0"/>
    <w:rPr>
      <w:rFonts w:ascii="Arial" w:hAnsi="Arial" w:cs="Arial"/>
      <w:sz w:val="24"/>
    </w:rPr>
  </w:style>
  <w:style w:type="paragraph" w:customStyle="1" w:styleId="67">
    <w:name w:val="题目"/>
    <w:basedOn w:val="1"/>
    <w:autoRedefine/>
    <w:qFormat/>
    <w:uiPriority w:val="0"/>
    <w:pPr>
      <w:spacing w:beforeLines="100" w:afterLines="100" w:line="360" w:lineRule="auto"/>
      <w:jc w:val="center"/>
    </w:pPr>
    <w:rPr>
      <w:rFonts w:ascii="方正小标宋_GBK" w:hAnsi="新宋体" w:eastAsia="方正小标宋_GBK"/>
      <w:sz w:val="32"/>
      <w:szCs w:val="32"/>
    </w:rPr>
  </w:style>
  <w:style w:type="paragraph" w:customStyle="1" w:styleId="68">
    <w:name w:val="正文段落"/>
    <w:basedOn w:val="1"/>
    <w:autoRedefine/>
    <w:qFormat/>
    <w:uiPriority w:val="0"/>
    <w:pPr>
      <w:spacing w:line="360" w:lineRule="auto"/>
      <w:ind w:firstLine="200" w:firstLineChars="200"/>
    </w:pPr>
    <w:rPr>
      <w:rFonts w:eastAsia="仿宋"/>
      <w:sz w:val="28"/>
    </w:rPr>
  </w:style>
  <w:style w:type="paragraph" w:customStyle="1" w:styleId="69">
    <w:name w:val="Normal Indent1"/>
    <w:basedOn w:val="1"/>
    <w:autoRedefine/>
    <w:qFormat/>
    <w:uiPriority w:val="0"/>
    <w:pPr>
      <w:ind w:firstLine="420" w:firstLineChars="200"/>
    </w:pPr>
  </w:style>
  <w:style w:type="paragraph" w:customStyle="1" w:styleId="70">
    <w:name w:val="修订1"/>
    <w:autoRedefine/>
    <w:qFormat/>
    <w:uiPriority w:val="99"/>
    <w:rPr>
      <w:rFonts w:ascii="Times New Roman" w:hAnsi="Times New Roman" w:eastAsia="宋体" w:cs="Times New Roman"/>
      <w:kern w:val="2"/>
      <w:sz w:val="21"/>
      <w:szCs w:val="24"/>
      <w:lang w:val="en-US" w:eastAsia="zh-CN" w:bidi="ar-SA"/>
    </w:rPr>
  </w:style>
  <w:style w:type="paragraph" w:customStyle="1" w:styleId="71">
    <w:name w:val="修订2"/>
    <w:autoRedefine/>
    <w:qFormat/>
    <w:uiPriority w:val="99"/>
    <w:rPr>
      <w:rFonts w:ascii="Times New Roman" w:hAnsi="Times New Roman" w:eastAsia="宋体" w:cs="Times New Roman"/>
      <w:kern w:val="2"/>
      <w:sz w:val="21"/>
      <w:szCs w:val="24"/>
      <w:lang w:val="en-US" w:eastAsia="zh-CN" w:bidi="ar-SA"/>
    </w:rPr>
  </w:style>
  <w:style w:type="paragraph" w:customStyle="1" w:styleId="72">
    <w:name w:val="列表段落1"/>
    <w:basedOn w:val="1"/>
    <w:autoRedefine/>
    <w:qFormat/>
    <w:uiPriority w:val="0"/>
    <w:pPr>
      <w:ind w:firstLine="420" w:firstLineChars="200"/>
    </w:pPr>
  </w:style>
  <w:style w:type="character" w:customStyle="1" w:styleId="73">
    <w:name w:val="纯文本 字符"/>
    <w:link w:val="16"/>
    <w:autoRedefine/>
    <w:qFormat/>
    <w:uiPriority w:val="0"/>
    <w:rPr>
      <w:rFonts w:ascii="宋体" w:hAnsi="Courier New" w:cs="宋体"/>
      <w:kern w:val="2"/>
      <w:sz w:val="21"/>
      <w:szCs w:val="24"/>
    </w:rPr>
  </w:style>
  <w:style w:type="character" w:customStyle="1" w:styleId="74">
    <w:name w:val="NormalCharacter"/>
    <w:autoRedefine/>
    <w:qFormat/>
    <w:uiPriority w:val="0"/>
  </w:style>
  <w:style w:type="paragraph" w:customStyle="1" w:styleId="75">
    <w:name w:val="UserStyle_4"/>
    <w:basedOn w:val="1"/>
    <w:autoRedefine/>
    <w:qFormat/>
    <w:uiPriority w:val="0"/>
    <w:pPr>
      <w:ind w:firstLine="420" w:firstLineChars="200"/>
    </w:pPr>
    <w:rPr>
      <w:sz w:val="24"/>
    </w:rPr>
  </w:style>
  <w:style w:type="paragraph" w:customStyle="1" w:styleId="76">
    <w:name w:val="HtmlNormal"/>
    <w:basedOn w:val="1"/>
    <w:autoRedefine/>
    <w:qFormat/>
    <w:uiPriority w:val="0"/>
    <w:pPr>
      <w:spacing w:before="100" w:beforeAutospacing="1" w:after="100" w:afterAutospacing="1"/>
      <w:jc w:val="left"/>
    </w:pPr>
    <w:rPr>
      <w:rFonts w:ascii="宋体" w:hAnsi="宋体"/>
      <w:color w:val="000000"/>
      <w:kern w:val="0"/>
      <w:sz w:val="24"/>
      <w:szCs w:val="21"/>
    </w:rPr>
  </w:style>
  <w:style w:type="paragraph" w:customStyle="1" w:styleId="77">
    <w:name w:val="UserStyle_48"/>
    <w:basedOn w:val="1"/>
    <w:autoRedefine/>
    <w:qFormat/>
    <w:uiPriority w:val="0"/>
    <w:pPr>
      <w:ind w:firstLine="420" w:firstLineChars="200"/>
    </w:pPr>
    <w:rPr>
      <w:szCs w:val="21"/>
    </w:rPr>
  </w:style>
  <w:style w:type="paragraph" w:customStyle="1" w:styleId="78">
    <w:name w:val="PlainText"/>
    <w:basedOn w:val="1"/>
    <w:autoRedefine/>
    <w:qFormat/>
    <w:uiPriority w:val="0"/>
    <w:pPr>
      <w:spacing w:before="156" w:after="156" w:line="400" w:lineRule="atLeast"/>
    </w:pPr>
    <w:rPr>
      <w:rFonts w:ascii="宋体" w:hAnsi="Courier New"/>
      <w:sz w:val="24"/>
    </w:rPr>
  </w:style>
  <w:style w:type="paragraph" w:customStyle="1" w:styleId="79">
    <w:name w:val="UserStyle_29"/>
    <w:basedOn w:val="1"/>
    <w:autoRedefine/>
    <w:qFormat/>
    <w:uiPriority w:val="0"/>
    <w:pPr>
      <w:ind w:firstLine="420" w:firstLineChars="200"/>
    </w:pPr>
    <w:rPr>
      <w:szCs w:val="22"/>
    </w:rPr>
  </w:style>
  <w:style w:type="table" w:customStyle="1" w:styleId="80">
    <w:name w:val="Table Normal"/>
    <w:autoRedefine/>
    <w:qFormat/>
    <w:uiPriority w:val="0"/>
    <w:tblPr>
      <w:tblCellMar>
        <w:top w:w="0" w:type="dxa"/>
        <w:left w:w="0" w:type="dxa"/>
        <w:bottom w:w="0" w:type="dxa"/>
        <w:right w:w="0" w:type="dxa"/>
      </w:tblCellMar>
    </w:tblPr>
  </w:style>
  <w:style w:type="character" w:customStyle="1" w:styleId="81">
    <w:name w:val="批注文字 字符"/>
    <w:basedOn w:val="30"/>
    <w:link w:val="9"/>
    <w:autoRedefine/>
    <w:qFormat/>
    <w:uiPriority w:val="0"/>
    <w:rPr>
      <w:kern w:val="2"/>
      <w:sz w:val="21"/>
      <w:szCs w:val="24"/>
    </w:rPr>
  </w:style>
  <w:style w:type="character" w:customStyle="1" w:styleId="82">
    <w:name w:val="批注主题 字符"/>
    <w:basedOn w:val="81"/>
    <w:link w:val="26"/>
    <w:autoRedefine/>
    <w:qFormat/>
    <w:uiPriority w:val="0"/>
    <w:rPr>
      <w:b/>
      <w:bCs/>
      <w:kern w:val="2"/>
      <w:sz w:val="21"/>
      <w:szCs w:val="24"/>
    </w:rPr>
  </w:style>
  <w:style w:type="character" w:customStyle="1" w:styleId="83">
    <w:name w:val="正文文本首行缩进 字符"/>
    <w:basedOn w:val="30"/>
    <w:link w:val="12"/>
    <w:autoRedefine/>
    <w:qFormat/>
    <w:uiPriority w:val="0"/>
    <w:rPr>
      <w:kern w:val="2"/>
      <w:sz w:val="24"/>
      <w:szCs w:val="24"/>
    </w:rPr>
  </w:style>
  <w:style w:type="paragraph" w:customStyle="1" w:styleId="84">
    <w:name w:val="_Style 3"/>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85">
    <w:name w:val="未处理的提及1"/>
    <w:basedOn w:val="30"/>
    <w:autoRedefine/>
    <w:qFormat/>
    <w:uiPriority w:val="99"/>
    <w:rPr>
      <w:color w:val="605E5C"/>
      <w:shd w:val="clear" w:color="auto" w:fill="E1DFDD"/>
    </w:rPr>
  </w:style>
  <w:style w:type="paragraph" w:customStyle="1" w:styleId="86">
    <w:name w:val="zw"/>
    <w:basedOn w:val="1"/>
    <w:autoRedefine/>
    <w:qFormat/>
    <w:uiPriority w:val="0"/>
    <w:pPr>
      <w:widowControl/>
      <w:spacing w:before="30"/>
      <w:ind w:left="100" w:right="100"/>
    </w:pPr>
    <w:rPr>
      <w:rFonts w:ascii="方正书宋简体" w:hAnsi="宋体" w:eastAsia="方正书宋简体"/>
      <w:color w:val="000000"/>
      <w:kern w:val="0"/>
      <w:szCs w:val="21"/>
    </w:rPr>
  </w:style>
  <w:style w:type="character" w:customStyle="1" w:styleId="87">
    <w:name w:val="font11"/>
    <w:basedOn w:val="30"/>
    <w:autoRedefine/>
    <w:qFormat/>
    <w:uiPriority w:val="0"/>
    <w:rPr>
      <w:rFonts w:hint="eastAsia" w:ascii="宋体" w:hAnsi="宋体" w:eastAsia="宋体" w:cs="宋体"/>
      <w:b/>
      <w:bCs/>
      <w:color w:val="000000"/>
      <w:sz w:val="22"/>
      <w:szCs w:val="22"/>
      <w:u w:val="none"/>
    </w:rPr>
  </w:style>
  <w:style w:type="character" w:customStyle="1" w:styleId="88">
    <w:name w:val="font31"/>
    <w:autoRedefine/>
    <w:qFormat/>
    <w:uiPriority w:val="0"/>
    <w:rPr>
      <w:rFonts w:hint="eastAsia" w:ascii="宋体" w:hAnsi="宋体" w:eastAsia="宋体" w:cs="宋体"/>
      <w:color w:val="898400"/>
      <w:sz w:val="23"/>
      <w:szCs w:val="23"/>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8AA35B-C018-4441-8E09-73DFB75F52CD}">
  <ds:schemaRefs/>
</ds:datastoreItem>
</file>

<file path=docProps/app.xml><?xml version="1.0" encoding="utf-8"?>
<Properties xmlns="http://schemas.openxmlformats.org/officeDocument/2006/extended-properties" xmlns:vt="http://schemas.openxmlformats.org/officeDocument/2006/docPropsVTypes">
  <Template>Normal</Template>
  <Pages>40</Pages>
  <Words>18442</Words>
  <Characters>19324</Characters>
  <Lines>156</Lines>
  <Paragraphs>44</Paragraphs>
  <TotalTime>0</TotalTime>
  <ScaleCrop>false</ScaleCrop>
  <LinksUpToDate>false</LinksUpToDate>
  <CharactersWithSpaces>20546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2023-06-16T06:49:00Z</dcterms:created>
  <dc:creator>Thorpe521</dc:creator>
  <cp:lastModifiedBy>蒋建敏</cp:lastModifiedBy>
  <cp:lastPrinted>2024-05-11T00:59:00Z</cp:lastPrinted>
  <dcterms:modified xsi:type="dcterms:W3CDTF">2024-05-28T06:10:29Z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3FEAA7ED0DCC4982AD1A5F8EDCEAF2AA_13</vt:lpwstr>
  </property>
  <property fmtid="{D5CDD505-2E9C-101B-9397-08002B2CF9AE}" pid="4" name="commondata">
    <vt:lpwstr>eyJoZGlkIjoiZWM5NTczMTg4N2ExZWZmMDU0MmIxMDc2NTJiZjIxOTMifQ==</vt:lpwstr>
  </property>
</Properties>
</file>