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pStyle w:val="87"/>
        <w:jc w:val="center"/>
        <w:rPr>
          <w:rFonts w:hint="eastAsia" w:eastAsia="宋体"/>
          <w:b/>
          <w:bCs/>
          <w:sz w:val="32"/>
          <w:szCs w:val="36"/>
          <w:lang w:eastAsia="zh-CN"/>
        </w:rPr>
      </w:pPr>
      <w:r>
        <w:rPr>
          <w:rFonts w:hint="eastAsia"/>
          <w:b/>
          <w:bCs/>
          <w:sz w:val="32"/>
          <w:szCs w:val="36"/>
          <w:lang w:eastAsia="zh-CN"/>
        </w:rPr>
        <w:t>2024年台州湾新区取水管理服务（重新招标）</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招 标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Calibri Light"/>
          <w:kern w:val="0"/>
          <w:sz w:val="24"/>
          <w:lang w:eastAsia="zh-CN"/>
        </w:rPr>
      </w:pPr>
      <w:r>
        <w:rPr>
          <w:rFonts w:hint="eastAsia" w:ascii="宋体" w:hAnsi="宋体" w:cs="Calibri Light"/>
          <w:kern w:val="0"/>
          <w:sz w:val="24"/>
        </w:rPr>
        <w:t>采购编号：</w:t>
      </w:r>
      <w:r>
        <w:rPr>
          <w:rFonts w:hint="eastAsia" w:ascii="宋体" w:hAnsi="宋体" w:cs="Calibri Light"/>
          <w:kern w:val="0"/>
          <w:sz w:val="24"/>
          <w:lang w:eastAsia="zh-CN"/>
        </w:rPr>
        <w:t>QBJ2024103</w:t>
      </w:r>
    </w:p>
    <w:p>
      <w:pPr>
        <w:tabs>
          <w:tab w:val="left" w:pos="1260"/>
        </w:tabs>
        <w:spacing w:line="640" w:lineRule="exact"/>
        <w:outlineLvl w:val="0"/>
        <w:rPr>
          <w:rFonts w:ascii="宋体" w:hAnsi="宋体"/>
          <w:spacing w:val="20"/>
          <w:kern w:val="21"/>
          <w:sz w:val="30"/>
          <w:szCs w:val="30"/>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采购人：</w:t>
      </w:r>
      <w:r>
        <w:rPr>
          <w:rFonts w:hint="eastAsia" w:asciiTheme="minorEastAsia" w:hAnsiTheme="minorEastAsia" w:eastAsiaTheme="minorEastAsia"/>
          <w:sz w:val="28"/>
          <w:szCs w:val="28"/>
          <w:u w:val="single"/>
        </w:rPr>
        <w:t>台州湾新区管理委员会</w:t>
      </w:r>
      <w:r>
        <w:rPr>
          <w:rFonts w:hint="eastAsia" w:asciiTheme="minorEastAsia" w:hAnsiTheme="minorEastAsia" w:eastAsiaTheme="minorEastAsia"/>
          <w:sz w:val="28"/>
          <w:szCs w:val="28"/>
        </w:rPr>
        <w:t>（盖章）</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 系 人：</w:t>
      </w:r>
      <w:r>
        <w:rPr>
          <w:rFonts w:hint="eastAsia" w:asciiTheme="minorEastAsia" w:hAnsiTheme="minorEastAsia" w:eastAsiaTheme="minorEastAsia"/>
          <w:sz w:val="28"/>
          <w:szCs w:val="28"/>
          <w:u w:val="single"/>
        </w:rPr>
        <w:t>戴女士</w:t>
      </w:r>
      <w:r>
        <w:rPr>
          <w:rFonts w:asciiTheme="minorEastAsia" w:hAnsiTheme="minorEastAsia" w:eastAsiaTheme="minorEastAsia"/>
          <w:sz w:val="28"/>
          <w:szCs w:val="28"/>
        </w:rPr>
        <w:t xml:space="preserve">     </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r>
        <w:rPr>
          <w:rFonts w:hint="eastAsia" w:asciiTheme="minorEastAsia" w:hAnsiTheme="minorEastAsia" w:eastAsiaTheme="minorEastAsia"/>
          <w:sz w:val="28"/>
          <w:szCs w:val="28"/>
          <w:u w:val="single"/>
        </w:rPr>
        <w:t>0576-88909766</w:t>
      </w: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招标代理机构：</w:t>
      </w:r>
      <w:r>
        <w:rPr>
          <w:rFonts w:hint="eastAsia" w:asciiTheme="minorEastAsia" w:hAnsiTheme="minorEastAsia" w:eastAsiaTheme="minorEastAsia"/>
          <w:sz w:val="28"/>
          <w:szCs w:val="28"/>
          <w:u w:val="single"/>
        </w:rPr>
        <w:t>浙江中永工程咨询有限公司</w:t>
      </w:r>
      <w:r>
        <w:rPr>
          <w:rFonts w:hint="eastAsia" w:asciiTheme="minorEastAsia" w:hAnsiTheme="minorEastAsia" w:eastAsiaTheme="minorEastAsia"/>
          <w:sz w:val="28"/>
          <w:szCs w:val="28"/>
        </w:rPr>
        <w:t>（盖章）</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 系 人：</w:t>
      </w:r>
      <w:r>
        <w:rPr>
          <w:rFonts w:hint="eastAsia" w:asciiTheme="minorEastAsia" w:hAnsiTheme="minorEastAsia" w:eastAsiaTheme="minorEastAsia"/>
          <w:sz w:val="28"/>
          <w:szCs w:val="28"/>
          <w:u w:val="single"/>
        </w:rPr>
        <w:t>李雅倩</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r>
        <w:rPr>
          <w:rFonts w:hint="eastAsia" w:asciiTheme="minorEastAsia" w:hAnsiTheme="minorEastAsia" w:eastAsiaTheme="minorEastAsia"/>
          <w:sz w:val="28"/>
          <w:szCs w:val="28"/>
          <w:u w:val="single"/>
        </w:rPr>
        <w:t>0576-88601616</w:t>
      </w: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ind w:firstLine="560" w:firstLineChars="200"/>
        <w:jc w:val="center"/>
        <w:rPr>
          <w:rFonts w:asciiTheme="minorEastAsia" w:hAnsiTheme="minorEastAsia" w:eastAsiaTheme="minorEastAsia"/>
          <w:sz w:val="28"/>
          <w:szCs w:val="28"/>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Theme="minorEastAsia" w:hAnsiTheme="minorEastAsia" w:eastAsiaTheme="minorEastAsia"/>
          <w:sz w:val="28"/>
          <w:szCs w:val="28"/>
        </w:rPr>
        <w:t>2024年</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月</w:t>
      </w:r>
    </w:p>
    <w:p>
      <w:pPr>
        <w:pStyle w:val="43"/>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22"/>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22"/>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22"/>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22"/>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22"/>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rPr>
            <w:t>2</w:t>
          </w:r>
          <w:r>
            <w:rPr>
              <w:rFonts w:hint="eastAsia" w:eastAsiaTheme="minorEastAsia" w:cstheme="minorBidi"/>
              <w:sz w:val="28"/>
              <w:szCs w:val="28"/>
            </w:rPr>
            <w:fldChar w:fldCharType="end"/>
          </w:r>
          <w:r>
            <w:rPr>
              <w:rFonts w:hint="eastAsia" w:eastAsiaTheme="minorEastAsia" w:cstheme="minorBidi"/>
              <w:sz w:val="28"/>
              <w:szCs w:val="28"/>
            </w:rPr>
            <w:t>9</w:t>
          </w:r>
        </w:p>
        <w:p>
          <w:pPr>
            <w:pStyle w:val="22"/>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rPr>
            <w:t>3</w:t>
          </w:r>
          <w:r>
            <w:rPr>
              <w:rFonts w:hint="eastAsia" w:eastAsiaTheme="minorEastAsia" w:cstheme="minorBidi"/>
              <w:sz w:val="28"/>
              <w:szCs w:val="28"/>
            </w:rPr>
            <w:fldChar w:fldCharType="end"/>
          </w:r>
          <w:r>
            <w:rPr>
              <w:rFonts w:hint="eastAsia" w:eastAsiaTheme="minorEastAsia" w:cstheme="minorBidi"/>
              <w:sz w:val="28"/>
              <w:szCs w:val="28"/>
            </w:rPr>
            <w:t>3</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pStyle w:val="3"/>
        <w:numPr>
          <w:ilvl w:val="0"/>
          <w:numId w:val="0"/>
        </w:numPr>
        <w:ind w:left="425"/>
        <w:rPr>
          <w:rStyle w:val="99"/>
          <w:rFonts w:ascii="宋体" w:hAnsi="宋体" w:cs="宋体"/>
          <w:b/>
          <w:bCs w:val="0"/>
          <w:color w:val="000000"/>
        </w:rPr>
      </w:pPr>
      <w:bookmarkStart w:id="3" w:name="_Toc124415724"/>
      <w:bookmarkStart w:id="4" w:name="_Toc28359079"/>
      <w:bookmarkStart w:id="5" w:name="_Toc35393790"/>
      <w:bookmarkStart w:id="6" w:name="_Toc35393621"/>
      <w:bookmarkStart w:id="7" w:name="_Toc28359002"/>
      <w:bookmarkStart w:id="8" w:name="_Hlk24379207"/>
      <w:r>
        <w:rPr>
          <w:rStyle w:val="99"/>
          <w:rFonts w:hint="eastAsia" w:ascii="宋体" w:hAnsi="宋体" w:cs="宋体"/>
          <w:b/>
          <w:bCs w:val="0"/>
          <w:color w:val="000000"/>
        </w:rPr>
        <w:t xml:space="preserve">第一章  </w:t>
      </w:r>
      <w:bookmarkEnd w:id="3"/>
      <w:r>
        <w:rPr>
          <w:rStyle w:val="99"/>
          <w:rFonts w:hint="eastAsia" w:ascii="宋体" w:hAnsi="宋体" w:cs="宋体"/>
          <w:b/>
          <w:bCs w:val="0"/>
          <w:color w:val="000000"/>
        </w:rPr>
        <w:t>投标邀请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浙江中永工程咨询有限公司受台州湾新区管理委员会委托，就</w:t>
      </w:r>
      <w:r>
        <w:rPr>
          <w:rFonts w:hint="eastAsia" w:asciiTheme="minorEastAsia" w:hAnsiTheme="minorEastAsia" w:eastAsiaTheme="minorEastAsia"/>
          <w:sz w:val="24"/>
          <w:lang w:eastAsia="zh-CN"/>
        </w:rPr>
        <w:t>2024年台州湾新区取水管理服务（重新招标）</w:t>
      </w:r>
      <w:r>
        <w:rPr>
          <w:rFonts w:hint="eastAsia" w:asciiTheme="minorEastAsia" w:hAnsiTheme="minorEastAsia" w:eastAsiaTheme="minorEastAsia"/>
          <w:sz w:val="24"/>
        </w:rPr>
        <w:t>进行公开招标，欢迎具备本项目投标人的资质要求且能够及时提供相关服务的供应商前来投标。</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一、项目基本情况</w:t>
      </w:r>
      <w:bookmarkEnd w:id="4"/>
      <w:bookmarkEnd w:id="5"/>
      <w:bookmarkEnd w:id="6"/>
      <w:bookmarkEnd w:id="7"/>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bookmarkStart w:id="50" w:name="_GoBack"/>
      <w:bookmarkEnd w:id="50"/>
      <w:r>
        <w:rPr>
          <w:rFonts w:hint="eastAsia" w:ascii="宋体" w:hAnsi="宋体" w:cs="宋体"/>
          <w:sz w:val="24"/>
          <w:lang w:eastAsia="zh-CN"/>
        </w:rPr>
        <w:t>QBJ2024103</w:t>
      </w:r>
    </w:p>
    <w:bookmarkEnd w:id="8"/>
    <w:p>
      <w:pPr>
        <w:spacing w:line="360" w:lineRule="auto"/>
        <w:ind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lang w:eastAsia="zh-CN"/>
        </w:rPr>
        <w:t>2024年台州湾新区取水管理服务（重新招标）</w:t>
      </w:r>
      <w:r>
        <w:rPr>
          <w:rFonts w:hint="eastAsia" w:ascii="宋体" w:hAnsi="宋体" w:cs="宋体"/>
          <w:sz w:val="24"/>
        </w:rPr>
        <w:t xml:space="preserve"> </w:t>
      </w:r>
    </w:p>
    <w:tbl>
      <w:tblPr>
        <w:tblStyle w:val="29"/>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309"/>
        <w:gridCol w:w="843"/>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30"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sz w:val="24"/>
              </w:rPr>
              <w:t>标项号</w:t>
            </w:r>
          </w:p>
        </w:tc>
        <w:tc>
          <w:tcPr>
            <w:tcW w:w="3309" w:type="dxa"/>
            <w:vAlign w:val="center"/>
          </w:tcPr>
          <w:p>
            <w:pPr>
              <w:tabs>
                <w:tab w:val="left" w:pos="8280"/>
              </w:tabs>
              <w:autoSpaceDE w:val="0"/>
              <w:autoSpaceDN w:val="0"/>
              <w:adjustRightInd w:val="0"/>
              <w:ind w:firstLine="120" w:firstLineChars="50"/>
              <w:jc w:val="center"/>
              <w:rPr>
                <w:rFonts w:ascii="宋体" w:hAnsi="宋体" w:cs="宋体"/>
                <w:b/>
                <w:sz w:val="24"/>
              </w:rPr>
            </w:pPr>
            <w:r>
              <w:rPr>
                <w:rFonts w:hint="eastAsia" w:ascii="宋体" w:hAnsi="宋体" w:cs="宋体"/>
                <w:b/>
                <w:sz w:val="24"/>
              </w:rPr>
              <w:t>标项名称</w:t>
            </w:r>
          </w:p>
        </w:tc>
        <w:tc>
          <w:tcPr>
            <w:tcW w:w="843"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kern w:val="0"/>
                <w:sz w:val="24"/>
              </w:rPr>
              <w:t>数量</w:t>
            </w:r>
          </w:p>
        </w:tc>
        <w:tc>
          <w:tcPr>
            <w:tcW w:w="799"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sz w:val="24"/>
              </w:rPr>
              <w:t>单位</w:t>
            </w:r>
          </w:p>
        </w:tc>
        <w:tc>
          <w:tcPr>
            <w:tcW w:w="1190"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sz w:val="24"/>
              </w:rPr>
              <w:t>预算</w:t>
            </w:r>
          </w:p>
          <w:p>
            <w:pPr>
              <w:tabs>
                <w:tab w:val="left" w:pos="8280"/>
              </w:tabs>
              <w:autoSpaceDE w:val="0"/>
              <w:autoSpaceDN w:val="0"/>
              <w:adjustRightInd w:val="0"/>
              <w:jc w:val="center"/>
              <w:rPr>
                <w:rFonts w:ascii="宋体" w:hAnsi="宋体" w:cs="宋体"/>
                <w:b/>
                <w:sz w:val="24"/>
              </w:rPr>
            </w:pPr>
            <w:r>
              <w:rPr>
                <w:rFonts w:hint="eastAsia" w:ascii="宋体" w:hAnsi="宋体" w:cs="宋体"/>
                <w:b/>
                <w:sz w:val="24"/>
              </w:rPr>
              <w:t>（万元）</w:t>
            </w:r>
          </w:p>
        </w:tc>
        <w:tc>
          <w:tcPr>
            <w:tcW w:w="1372" w:type="dxa"/>
            <w:vAlign w:val="center"/>
          </w:tcPr>
          <w:p>
            <w:pPr>
              <w:jc w:val="center"/>
              <w:rPr>
                <w:rFonts w:ascii="宋体" w:hAnsi="宋体" w:cs="宋体"/>
                <w:b/>
                <w:sz w:val="24"/>
              </w:rPr>
            </w:pPr>
            <w:r>
              <w:rPr>
                <w:rFonts w:hint="eastAsia" w:ascii="宋体" w:hAnsi="宋体" w:cs="宋体"/>
                <w:b/>
                <w:sz w:val="24"/>
              </w:rPr>
              <w:t>最高限价</w:t>
            </w:r>
          </w:p>
          <w:p>
            <w:pPr>
              <w:jc w:val="center"/>
              <w:rPr>
                <w:rFonts w:ascii="宋体" w:hAnsi="宋体" w:cs="宋体"/>
                <w:b/>
                <w:sz w:val="24"/>
              </w:rPr>
            </w:pPr>
            <w:r>
              <w:rPr>
                <w:rFonts w:hint="eastAsia" w:ascii="宋体" w:hAnsi="宋体" w:cs="宋体"/>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0"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sz w:val="24"/>
              </w:rPr>
              <w:t>1</w:t>
            </w:r>
          </w:p>
        </w:tc>
        <w:tc>
          <w:tcPr>
            <w:tcW w:w="3309" w:type="dxa"/>
            <w:vAlign w:val="center"/>
          </w:tcPr>
          <w:p>
            <w:pPr>
              <w:tabs>
                <w:tab w:val="left" w:pos="8280"/>
              </w:tabs>
              <w:autoSpaceDE w:val="0"/>
              <w:autoSpaceDN w:val="0"/>
              <w:adjustRightInd w:val="0"/>
              <w:rPr>
                <w:rFonts w:hint="eastAsia" w:ascii="宋体" w:hAnsi="宋体" w:eastAsia="宋体" w:cs="宋体"/>
                <w:b/>
                <w:sz w:val="24"/>
                <w:lang w:eastAsia="zh-CN"/>
              </w:rPr>
            </w:pPr>
            <w:r>
              <w:rPr>
                <w:rFonts w:hint="eastAsia" w:ascii="宋体" w:hAnsi="宋体" w:cs="宋体"/>
                <w:b/>
                <w:sz w:val="24"/>
                <w:lang w:eastAsia="zh-CN"/>
              </w:rPr>
              <w:t>2024年台州湾新区取水管理服务（重新招标）</w:t>
            </w:r>
          </w:p>
        </w:tc>
        <w:tc>
          <w:tcPr>
            <w:tcW w:w="843" w:type="dxa"/>
            <w:vAlign w:val="center"/>
          </w:tcPr>
          <w:p>
            <w:pPr>
              <w:tabs>
                <w:tab w:val="left" w:pos="8280"/>
              </w:tabs>
              <w:autoSpaceDE w:val="0"/>
              <w:autoSpaceDN w:val="0"/>
              <w:adjustRightInd w:val="0"/>
              <w:jc w:val="center"/>
              <w:rPr>
                <w:rFonts w:ascii="宋体" w:hAnsi="宋体" w:cs="宋体"/>
                <w:bCs/>
                <w:sz w:val="24"/>
              </w:rPr>
            </w:pPr>
            <w:r>
              <w:rPr>
                <w:rFonts w:hint="eastAsia" w:ascii="宋体" w:hAnsi="宋体" w:cs="宋体"/>
                <w:bCs/>
                <w:sz w:val="24"/>
              </w:rPr>
              <w:t>1</w:t>
            </w:r>
          </w:p>
        </w:tc>
        <w:tc>
          <w:tcPr>
            <w:tcW w:w="799" w:type="dxa"/>
            <w:vAlign w:val="center"/>
          </w:tcPr>
          <w:p>
            <w:pPr>
              <w:tabs>
                <w:tab w:val="left" w:pos="8280"/>
              </w:tabs>
              <w:autoSpaceDE w:val="0"/>
              <w:autoSpaceDN w:val="0"/>
              <w:adjustRightInd w:val="0"/>
              <w:jc w:val="center"/>
              <w:rPr>
                <w:rFonts w:ascii="宋体" w:hAnsi="宋体" w:cs="宋体"/>
                <w:bCs/>
                <w:sz w:val="24"/>
              </w:rPr>
            </w:pPr>
            <w:r>
              <w:rPr>
                <w:rFonts w:hint="eastAsia" w:ascii="宋体" w:hAnsi="宋体" w:cs="宋体"/>
                <w:bCs/>
                <w:sz w:val="24"/>
              </w:rPr>
              <w:t>项</w:t>
            </w:r>
          </w:p>
        </w:tc>
        <w:tc>
          <w:tcPr>
            <w:tcW w:w="1190" w:type="dxa"/>
            <w:vAlign w:val="center"/>
          </w:tcPr>
          <w:p>
            <w:pPr>
              <w:tabs>
                <w:tab w:val="left" w:pos="8280"/>
              </w:tabs>
              <w:autoSpaceDE w:val="0"/>
              <w:autoSpaceDN w:val="0"/>
              <w:adjustRightInd w:val="0"/>
              <w:jc w:val="center"/>
              <w:rPr>
                <w:rFonts w:ascii="宋体" w:hAnsi="宋体" w:cs="宋体"/>
                <w:bCs/>
                <w:sz w:val="24"/>
              </w:rPr>
            </w:pPr>
            <w:r>
              <w:rPr>
                <w:rFonts w:hint="eastAsia" w:ascii="宋体" w:hAnsi="宋体" w:cs="宋体"/>
                <w:bCs/>
                <w:sz w:val="24"/>
              </w:rPr>
              <w:t>8</w:t>
            </w:r>
          </w:p>
        </w:tc>
        <w:tc>
          <w:tcPr>
            <w:tcW w:w="1372" w:type="dxa"/>
            <w:vAlign w:val="center"/>
          </w:tcPr>
          <w:p>
            <w:pPr>
              <w:tabs>
                <w:tab w:val="left" w:pos="8280"/>
              </w:tabs>
              <w:autoSpaceDE w:val="0"/>
              <w:autoSpaceDN w:val="0"/>
              <w:adjustRightInd w:val="0"/>
              <w:jc w:val="center"/>
              <w:rPr>
                <w:rStyle w:val="77"/>
                <w:rFonts w:ascii="宋体" w:hAnsi="宋体"/>
                <w:sz w:val="24"/>
              </w:rPr>
            </w:pPr>
            <w:r>
              <w:rPr>
                <w:rStyle w:val="77"/>
                <w:rFonts w:hint="eastAsia" w:ascii="宋体" w:hAnsi="宋体"/>
                <w:sz w:val="24"/>
              </w:rPr>
              <w:t>8</w:t>
            </w:r>
          </w:p>
        </w:tc>
      </w:tr>
    </w:tbl>
    <w:p>
      <w:pPr>
        <w:spacing w:line="360" w:lineRule="auto"/>
        <w:ind w:firstLine="482" w:firstLineChars="200"/>
        <w:rPr>
          <w:rFonts w:asciiTheme="minorEastAsia" w:hAnsiTheme="minorEastAsia" w:eastAsiaTheme="minorEastAsia"/>
          <w:b/>
          <w:sz w:val="24"/>
        </w:rPr>
      </w:pPr>
      <w:bookmarkStart w:id="9" w:name="_Toc28359080"/>
      <w:bookmarkStart w:id="10" w:name="_Toc35393622"/>
      <w:bookmarkStart w:id="11" w:name="_Toc35393791"/>
      <w:bookmarkStart w:id="12" w:name="_Toc28359003"/>
      <w:r>
        <w:rPr>
          <w:rFonts w:hint="eastAsia" w:asciiTheme="minorEastAsia" w:hAnsiTheme="minorEastAsia" w:eastAsiaTheme="minorEastAsia"/>
          <w:b/>
          <w:sz w:val="24"/>
        </w:rPr>
        <w:t>二、投标人的资格要求</w:t>
      </w:r>
      <w:bookmarkEnd w:id="9"/>
      <w:bookmarkEnd w:id="10"/>
      <w:bookmarkEnd w:id="11"/>
      <w:bookmarkEnd w:id="12"/>
    </w:p>
    <w:p>
      <w:pPr>
        <w:widowControl/>
        <w:spacing w:line="360" w:lineRule="auto"/>
        <w:ind w:firstLine="480" w:firstLineChars="200"/>
        <w:jc w:val="left"/>
        <w:rPr>
          <w:rFonts w:ascii="宋体" w:hAnsi="宋体" w:cs="宋体"/>
          <w:kern w:val="0"/>
          <w:sz w:val="24"/>
        </w:rPr>
      </w:pPr>
      <w:bookmarkStart w:id="13" w:name="_Toc35393623"/>
      <w:bookmarkStart w:id="14" w:name="_Toc35393792"/>
      <w:bookmarkStart w:id="15" w:name="_Toc28359004"/>
      <w:bookmarkStart w:id="16" w:name="_Toc28359081"/>
      <w:r>
        <w:rPr>
          <w:rFonts w:hint="eastAsia" w:ascii="宋体" w:hAnsi="宋体" w:cs="宋体"/>
          <w:kern w:val="0"/>
          <w:sz w:val="24"/>
        </w:rPr>
        <w:t>（一）在中华人民共和国注册，具有独立法人资格企业或组织；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（二）有履行合同所必需的设备和专业技术能力；</w:t>
      </w:r>
    </w:p>
    <w:p>
      <w:pPr>
        <w:widowControl/>
        <w:spacing w:line="360" w:lineRule="auto"/>
        <w:jc w:val="left"/>
        <w:rPr>
          <w:rFonts w:ascii="宋体" w:hAnsi="宋体" w:cs="宋体"/>
          <w:kern w:val="0"/>
          <w:sz w:val="24"/>
        </w:rPr>
      </w:pPr>
      <w:r>
        <w:rPr>
          <w:rFonts w:hint="eastAsia" w:ascii="宋体" w:hAnsi="宋体" w:cs="宋体"/>
          <w:kern w:val="0"/>
          <w:sz w:val="24"/>
        </w:rPr>
        <w:t>   （三）其它要求：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1.供应商未被列入失信被执行人名单、重大税收违法失信主体、政府采购严重违法失信行为记录名单，信用信息以信用中国网站（www.creditchina.gov.cn）、中国政府采购网（www.ccgp.gov.cn）公布为准；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2.单位负责人为同一人或者存在直接控股、管理关系的不同供应商，不得同时参加同一合同项下的投标。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szCs w:val="22"/>
        </w:rPr>
        <w:t>本项目不接受联合体参与投标。</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三、获取招标文件</w:t>
      </w:r>
      <w:bookmarkEnd w:id="13"/>
      <w:bookmarkEnd w:id="14"/>
      <w:bookmarkEnd w:id="15"/>
      <w:bookmarkEnd w:id="16"/>
    </w:p>
    <w:p>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rPr>
      </w:pPr>
      <w:r>
        <w:rPr>
          <w:rFonts w:hint="eastAsia" w:ascii="宋体" w:hAnsi="宋体" w:cs="宋体"/>
          <w:sz w:val="24"/>
        </w:rPr>
        <w:t>（二）方式：</w:t>
      </w:r>
      <w:r>
        <w:rPr>
          <w:rFonts w:hint="eastAsia" w:ascii="宋体" w:hAnsi="宋体" w:cs="宋体"/>
          <w:b/>
          <w:kern w:val="0"/>
          <w:sz w:val="24"/>
        </w:rPr>
        <w:t>网上下载-台州湾新区小额工程电子交易平台（</w:t>
      </w:r>
      <w:r>
        <w:rPr>
          <w:rFonts w:ascii="宋体" w:hAnsi="宋体" w:cs="宋体"/>
          <w:b/>
          <w:kern w:val="0"/>
          <w:sz w:val="24"/>
        </w:rPr>
        <w:t>http://www.tzwztb.com/</w:t>
      </w:r>
      <w:r>
        <w:rPr>
          <w:rFonts w:hint="eastAsia" w:ascii="宋体" w:hAnsi="宋体" w:cs="宋体"/>
          <w:b/>
          <w:kern w:val="0"/>
          <w:sz w:val="24"/>
        </w:rPr>
        <w:t>)</w:t>
      </w:r>
    </w:p>
    <w:p>
      <w:pPr>
        <w:spacing w:line="360" w:lineRule="auto"/>
        <w:ind w:firstLine="482" w:firstLineChars="200"/>
        <w:rPr>
          <w:rFonts w:asciiTheme="minorEastAsia" w:hAnsiTheme="minorEastAsia" w:eastAsiaTheme="minorEastAsia"/>
          <w:b/>
          <w:sz w:val="24"/>
        </w:rPr>
      </w:pPr>
      <w:bookmarkStart w:id="17" w:name="_Toc28359082"/>
      <w:bookmarkStart w:id="18" w:name="_Toc28359005"/>
      <w:bookmarkStart w:id="19" w:name="_Toc35393624"/>
      <w:bookmarkStart w:id="20" w:name="_Toc35393793"/>
      <w:r>
        <w:rPr>
          <w:rFonts w:hint="eastAsia" w:asciiTheme="minorEastAsia" w:hAnsiTheme="minorEastAsia" w:eastAsiaTheme="minorEastAsia"/>
          <w:b/>
          <w:sz w:val="24"/>
        </w:rPr>
        <w:t>四、提交投标文件</w:t>
      </w:r>
      <w:bookmarkEnd w:id="17"/>
      <w:bookmarkEnd w:id="18"/>
      <w:bookmarkEnd w:id="19"/>
      <w:bookmarkEnd w:id="20"/>
    </w:p>
    <w:p>
      <w:pPr>
        <w:spacing w:line="360" w:lineRule="auto"/>
        <w:ind w:firstLine="480" w:firstLineChars="200"/>
        <w:jc w:val="left"/>
        <w:rPr>
          <w:rFonts w:ascii="宋体" w:hAnsi="宋体" w:cs="宋体"/>
          <w:sz w:val="24"/>
        </w:rPr>
      </w:pPr>
      <w:bookmarkStart w:id="21" w:name="_Toc28359007"/>
      <w:bookmarkStart w:id="22" w:name="_Toc28359084"/>
      <w:bookmarkStart w:id="23" w:name="_Toc35393625"/>
      <w:bookmarkStart w:id="24" w:name="_Toc35393794"/>
      <w:r>
        <w:rPr>
          <w:rFonts w:hint="eastAsia" w:ascii="宋体" w:hAnsi="宋体" w:cs="宋体"/>
          <w:sz w:val="24"/>
        </w:rPr>
        <w:t>（一）截止时间（开标时间）：</w:t>
      </w:r>
      <w:r>
        <w:rPr>
          <w:rFonts w:hint="eastAsia" w:ascii="宋体" w:hAnsi="宋体" w:cs="宋体"/>
          <w:bCs/>
          <w:sz w:val="24"/>
          <w:u w:val="single"/>
        </w:rPr>
        <w:t>2024年</w:t>
      </w:r>
      <w:r>
        <w:rPr>
          <w:rFonts w:hint="eastAsia" w:ascii="宋体" w:hAnsi="宋体" w:cs="宋体"/>
          <w:sz w:val="24"/>
          <w:u w:val="single"/>
          <w:lang w:val="en-US" w:eastAsia="zh-CN"/>
        </w:rPr>
        <w:t>6</w:t>
      </w:r>
      <w:r>
        <w:rPr>
          <w:rFonts w:hint="eastAsia" w:ascii="宋体" w:hAnsi="宋体" w:cs="宋体"/>
          <w:bCs/>
          <w:sz w:val="24"/>
          <w:u w:val="single"/>
        </w:rPr>
        <w:t>月</w:t>
      </w:r>
      <w:r>
        <w:rPr>
          <w:rFonts w:hint="eastAsia" w:ascii="宋体" w:hAnsi="宋体" w:cs="宋体"/>
          <w:bCs/>
          <w:sz w:val="24"/>
          <w:u w:val="single"/>
          <w:lang w:val="en-US" w:eastAsia="zh-CN"/>
        </w:rPr>
        <w:t>11</w:t>
      </w:r>
      <w:r>
        <w:rPr>
          <w:rFonts w:hint="eastAsia" w:ascii="宋体" w:hAnsi="宋体" w:cs="宋体"/>
          <w:bCs/>
          <w:sz w:val="24"/>
          <w:u w:val="single"/>
        </w:rPr>
        <w:t>日</w:t>
      </w:r>
      <w:r>
        <w:rPr>
          <w:rFonts w:hint="eastAsia" w:ascii="宋体" w:hAnsi="宋体" w:cs="宋体"/>
          <w:bCs/>
          <w:sz w:val="24"/>
          <w:u w:val="single"/>
          <w:lang w:val="en-US" w:eastAsia="zh-CN"/>
        </w:rPr>
        <w:t>09</w:t>
      </w:r>
      <w:r>
        <w:rPr>
          <w:rFonts w:hint="eastAsia" w:ascii="宋体" w:hAnsi="宋体" w:cs="宋体"/>
          <w:bCs/>
          <w:sz w:val="24"/>
          <w:u w:val="single"/>
        </w:rPr>
        <w:t>时30分</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21"/>
    <w:bookmarkEnd w:id="22"/>
    <w:bookmarkEnd w:id="23"/>
    <w:bookmarkEnd w:id="24"/>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五、发布公告</w:t>
      </w:r>
    </w:p>
    <w:p>
      <w:pPr>
        <w:pStyle w:val="28"/>
        <w:spacing w:after="0" w:line="360" w:lineRule="auto"/>
        <w:ind w:left="0" w:leftChars="0" w:firstLine="480" w:firstLineChars="200"/>
        <w:rPr>
          <w:rFonts w:ascii="宋体" w:hAnsi="宋体" w:cs="宋体"/>
          <w:kern w:val="0"/>
          <w:sz w:val="24"/>
        </w:rPr>
      </w:pPr>
      <w:r>
        <w:rPr>
          <w:rFonts w:hint="eastAsia" w:ascii="宋体" w:hAnsi="宋体" w:cs="宋体"/>
          <w:sz w:val="24"/>
        </w:rPr>
        <w:t>（一）公告网址：台州湾新区小额工程电子交易平台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pPr>
        <w:pStyle w:val="28"/>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spacing w:line="360" w:lineRule="auto"/>
        <w:ind w:firstLine="482" w:firstLineChars="200"/>
        <w:rPr>
          <w:rFonts w:asciiTheme="minorEastAsia" w:hAnsiTheme="minorEastAsia" w:eastAsiaTheme="minorEastAsia"/>
          <w:b/>
          <w:sz w:val="24"/>
        </w:rPr>
      </w:pPr>
      <w:bookmarkStart w:id="25" w:name="_Toc35393795"/>
      <w:bookmarkStart w:id="26" w:name="_Toc35393626"/>
      <w:r>
        <w:rPr>
          <w:rFonts w:hint="eastAsia" w:asciiTheme="minorEastAsia" w:hAnsiTheme="minorEastAsia" w:eastAsiaTheme="minorEastAsia"/>
          <w:b/>
          <w:sz w:val="24"/>
        </w:rPr>
        <w:t>六、</w:t>
      </w:r>
      <w:bookmarkEnd w:id="25"/>
      <w:bookmarkEnd w:id="26"/>
      <w:r>
        <w:rPr>
          <w:rFonts w:hint="eastAsia" w:asciiTheme="minorEastAsia" w:hAnsiTheme="minorEastAsia" w:eastAsiaTheme="minorEastAsia"/>
          <w:b/>
          <w:sz w:val="24"/>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七、投标保证金：无。</w:t>
      </w:r>
    </w:p>
    <w:p>
      <w:pPr>
        <w:spacing w:line="360" w:lineRule="auto"/>
        <w:ind w:firstLine="482" w:firstLineChars="200"/>
        <w:rPr>
          <w:rFonts w:asciiTheme="minorEastAsia" w:hAnsiTheme="minorEastAsia" w:eastAsiaTheme="minorEastAsia"/>
          <w:b/>
          <w:sz w:val="24"/>
        </w:rPr>
      </w:pPr>
      <w:bookmarkStart w:id="27" w:name="_Toc28359085"/>
      <w:bookmarkStart w:id="28" w:name="_Toc35393627"/>
      <w:bookmarkStart w:id="29" w:name="_Toc28359008"/>
      <w:bookmarkStart w:id="30" w:name="_Toc35393796"/>
      <w:r>
        <w:rPr>
          <w:rFonts w:hint="eastAsia" w:asciiTheme="minorEastAsia" w:hAnsiTheme="minorEastAsia" w:eastAsiaTheme="minorEastAsia"/>
          <w:b/>
          <w:sz w:val="24"/>
        </w:rPr>
        <w:t>八、</w:t>
      </w:r>
      <w:bookmarkEnd w:id="27"/>
      <w:bookmarkEnd w:id="28"/>
      <w:bookmarkEnd w:id="29"/>
      <w:bookmarkEnd w:id="30"/>
      <w:r>
        <w:rPr>
          <w:rFonts w:hint="eastAsia" w:asciiTheme="minorEastAsia" w:hAnsiTheme="minorEastAsia" w:eastAsiaTheme="minorEastAsia"/>
          <w:b/>
          <w:sz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台州湾新区管理委员会</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浙江省台州市椒江区甲南大道东段9号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bookmarkStart w:id="31" w:name="_Toc28359086"/>
      <w:bookmarkStart w:id="32" w:name="_Toc28359009"/>
      <w:r>
        <w:rPr>
          <w:rFonts w:hint="eastAsia" w:ascii="宋体" w:hAnsi="宋体" w:cs="宋体"/>
          <w:sz w:val="24"/>
        </w:rPr>
        <w:t xml:space="preserve"> </w:t>
      </w:r>
      <w:r>
        <w:rPr>
          <w:rFonts w:hint="eastAsia" w:ascii="宋体" w:hAnsi="宋体" w:cs="宋体"/>
          <w:sz w:val="24"/>
          <w:u w:val="single"/>
        </w:rPr>
        <w:t>戴女士</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0576-88909766</w:t>
      </w:r>
    </w:p>
    <w:bookmarkEnd w:id="31"/>
    <w:bookmarkEnd w:id="32"/>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ascii="宋体" w:hAnsi="宋体" w:cs="宋体"/>
          <w:sz w:val="24"/>
          <w:u w:val="single"/>
        </w:rPr>
      </w:pPr>
      <w:bookmarkStart w:id="33" w:name="_Toc28359087"/>
      <w:bookmarkStart w:id="34" w:name="_Toc28359010"/>
      <w:r>
        <w:rPr>
          <w:rFonts w:hint="eastAsia" w:ascii="宋体" w:hAnsi="宋体" w:cs="宋体"/>
          <w:sz w:val="24"/>
        </w:rPr>
        <w:t>名 称：</w:t>
      </w:r>
      <w:r>
        <w:rPr>
          <w:rFonts w:hint="eastAsia" w:ascii="宋体" w:hAnsi="宋体" w:cs="宋体"/>
          <w:sz w:val="24"/>
          <w:u w:val="single"/>
        </w:rPr>
        <w:t>浙江中永工程咨询有限公司</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台州市椒江区海洋广场1幢5楼</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李雅倩</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0576-88601616</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邱海丽</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0576-88589196</w:t>
      </w:r>
    </w:p>
    <w:p>
      <w:pPr>
        <w:spacing w:line="360" w:lineRule="auto"/>
        <w:ind w:firstLine="482" w:firstLineChars="200"/>
        <w:rPr>
          <w:rFonts w:ascii="宋体" w:hAnsi="宋体" w:cs="宋体"/>
          <w:b/>
          <w:sz w:val="24"/>
        </w:rPr>
      </w:pPr>
      <w:r>
        <w:rPr>
          <w:rFonts w:hint="eastAsia" w:ascii="宋体" w:hAnsi="宋体" w:cs="宋体"/>
          <w:b/>
          <w:sz w:val="24"/>
        </w:rPr>
        <w:t>（三）监管机构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Theme="minorEastAsia" w:hAnsiTheme="minorEastAsia" w:eastAsiaTheme="minorEastAsia" w:cstheme="minorEastAsia"/>
          <w:sz w:val="24"/>
          <w:u w:val="single"/>
        </w:rPr>
        <w:t>台州湾新区行政审批与投资服务局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0576-88538849</w:t>
      </w:r>
    </w:p>
    <w:p>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pStyle w:val="41"/>
        <w:ind w:firstLine="480"/>
        <w:rPr>
          <w:rFonts w:asciiTheme="minorEastAsia" w:hAnsiTheme="minorEastAsia" w:eastAsiaTheme="minorEastAsia" w:cstheme="minorEastAsia"/>
          <w:kern w:val="0"/>
        </w:rPr>
      </w:pPr>
    </w:p>
    <w:p>
      <w:pPr>
        <w:pStyle w:val="41"/>
        <w:ind w:firstLine="480"/>
        <w:rPr>
          <w:rFonts w:asciiTheme="minorEastAsia" w:hAnsiTheme="minorEastAsia" w:eastAsiaTheme="minorEastAsia" w:cstheme="minorEastAsia"/>
          <w:kern w:val="0"/>
        </w:rPr>
      </w:pPr>
    </w:p>
    <w:bookmarkEnd w:id="33"/>
    <w:bookmarkEnd w:id="34"/>
    <w:p>
      <w:pPr>
        <w:pStyle w:val="3"/>
        <w:numPr>
          <w:ilvl w:val="0"/>
          <w:numId w:val="0"/>
        </w:numPr>
        <w:ind w:left="425"/>
        <w:rPr>
          <w:rStyle w:val="99"/>
          <w:rFonts w:ascii="宋体" w:hAnsi="宋体" w:cs="宋体"/>
          <w:b/>
          <w:bCs w:val="0"/>
          <w:color w:val="000000"/>
        </w:rPr>
      </w:pPr>
      <w:bookmarkStart w:id="35" w:name="_Toc25017_WPSOffice_Level1"/>
      <w:r>
        <w:rPr>
          <w:rStyle w:val="99"/>
          <w:rFonts w:hint="eastAsia" w:ascii="宋体" w:hAnsi="宋体" w:cs="宋体"/>
          <w:b/>
          <w:bCs w:val="0"/>
          <w:color w:val="000000"/>
        </w:rPr>
        <w:t>第二章 投标人须知</w:t>
      </w:r>
      <w:bookmarkEnd w:id="35"/>
    </w:p>
    <w:p>
      <w:pPr>
        <w:numPr>
          <w:ilvl w:val="0"/>
          <w:numId w:val="5"/>
        </w:numPr>
        <w:ind w:firstLine="482" w:firstLineChars="200"/>
      </w:pPr>
      <w:r>
        <w:rPr>
          <w:rFonts w:hint="eastAsia" w:asciiTheme="minorEastAsia" w:hAnsiTheme="minorEastAsia" w:eastAsiaTheme="minorEastAsia"/>
          <w:b/>
          <w:sz w:val="24"/>
        </w:rPr>
        <w:t>前附表</w:t>
      </w:r>
    </w:p>
    <w:tbl>
      <w:tblPr>
        <w:tblStyle w:val="29"/>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815"/>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rPr>
            </w:pPr>
            <w:r>
              <w:rPr>
                <w:rFonts w:hint="eastAsia" w:ascii="宋体" w:hAnsi="宋体" w:cs="宋体"/>
              </w:rPr>
              <w:t>2、电子投标文件上传步骤：</w:t>
            </w:r>
          </w:p>
          <w:p>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其他</w:t>
            </w:r>
          </w:p>
        </w:tc>
        <w:tc>
          <w:tcPr>
            <w:tcW w:w="6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本项目代理服务费按计价格【2002】1980号文件收费标准的60%计取（低于陆仟元按陆仟元计取），在发中标通知书时由中标人支付，响应供应商在报价时综合考虑。</w:t>
            </w:r>
          </w:p>
        </w:tc>
      </w:tr>
    </w:tbl>
    <w:p>
      <w:pPr>
        <w:pStyle w:val="16"/>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numPr>
          <w:ilvl w:val="0"/>
          <w:numId w:val="6"/>
        </w:numPr>
        <w:snapToGrid w:val="0"/>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2"/>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（二）定义</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1.采购代理机构/采购组织机构：是指组织本次招标的代理机构；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2.采购人/招标人：是指委托代理机构招标本次项目的需求方；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/供应商：是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w:t>
      </w:r>
    </w:p>
    <w:p>
      <w:pPr>
        <w:snapToGrid w:val="0"/>
        <w:spacing w:line="360" w:lineRule="auto"/>
        <w:ind w:firstLine="480" w:firstLineChars="200"/>
        <w:rPr>
          <w:rFonts w:asciiTheme="minorEastAsia" w:hAnsiTheme="minorEastAsia" w:eastAsiaTheme="minorEastAsia"/>
          <w:sz w:val="24"/>
        </w:rPr>
      </w:pPr>
      <w:r>
        <w:rPr>
          <w:rFonts w:hint="eastAsia" w:ascii="宋体" w:hAnsi="宋体"/>
          <w:sz w:val="24"/>
        </w:rPr>
        <w:t>4.</w:t>
      </w:r>
      <w:r>
        <w:rPr>
          <w:rFonts w:hint="eastAsia" w:ascii="宋体" w:hAnsi="宋体"/>
          <w:sz w:val="24"/>
          <w:lang w:val="zh-CN"/>
        </w:rPr>
        <w:t>中标</w:t>
      </w:r>
      <w:r>
        <w:rPr>
          <w:rFonts w:hint="eastAsia" w:ascii="宋体" w:hAnsi="宋体"/>
          <w:sz w:val="24"/>
        </w:rPr>
        <w:t>人/成交供应商</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w:t>
      </w:r>
      <w:r>
        <w:rPr>
          <w:rFonts w:hint="eastAsia" w:asciiTheme="minorEastAsia" w:hAnsiTheme="minorEastAsia" w:eastAsiaTheme="minorEastAsia"/>
          <w:sz w:val="24"/>
        </w:rPr>
        <w:t>性响应，经采购人按照规定在评标委员会推荐的中标候选人中确定的或受采购人委托直接确认的，与采购人签订合同资格的投标人；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5.联合体：两个或两个以上法人或者其他组织可以组成一个联合体，以一个投标人的身份共同投标。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6.货物：是指各种形态和种类的物品，包括原材料、燃料、设备、产品等。</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7.产品：是指供方按招标文件规定，须向采购人提供的一切设备、保险、税金、备品备件、工具、手册及其它有关技术资料和材料。</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8.服务：是指除货物和工程以外的采购对象，包括各类专业服务、信息网络开发服务、金融保险服务、运输服务，以及维修与维护服务等。</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9.项目：是指投标人按招标文件规定向采购人提供的产品和服务。</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10.“书面形式”包括信函、传真等。</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11.“▲”系指实质性要求条款。</w:t>
      </w:r>
    </w:p>
    <w:p>
      <w:pPr>
        <w:snapToGrid w:val="0"/>
        <w:spacing w:line="360" w:lineRule="auto"/>
        <w:ind w:firstLine="482" w:firstLineChars="200"/>
        <w:rPr>
          <w:b/>
          <w:bCs/>
          <w:sz w:val="24"/>
        </w:rPr>
      </w:pPr>
      <w:r>
        <w:rPr>
          <w:rFonts w:hint="eastAsia"/>
          <w:b/>
          <w:bCs/>
          <w:sz w:val="24"/>
        </w:rPr>
        <w:t>（三）投标费用</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1.不论投标结果如何，投标人均应自行承担所有与投标有关的全部费用（招标文件有相反规定除外）。</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w:t>
      </w:r>
      <w:r>
        <w:rPr>
          <w:rFonts w:hint="eastAsia"/>
        </w:rPr>
        <w:t xml:space="preserve"> </w:t>
      </w:r>
      <w:r>
        <w:rPr>
          <w:rFonts w:hint="eastAsia" w:ascii="宋体" w:hAnsi="宋体" w:cs="宋体"/>
          <w:color w:val="000000"/>
          <w:sz w:val="24"/>
        </w:rPr>
        <w:t>本项目代理服务费按计价格【2002】1980号文件收费标准的60%计取（低于陆仟元按陆仟元计取），在发中标通知书时由中标人支付，响应供应商在报价时综合考虑。</w:t>
      </w:r>
    </w:p>
    <w:p>
      <w:pPr>
        <w:pStyle w:val="16"/>
        <w:tabs>
          <w:tab w:val="left" w:pos="4410"/>
        </w:tabs>
        <w:snapToGrid w:val="0"/>
        <w:spacing w:line="360" w:lineRule="auto"/>
        <w:ind w:left="2" w:leftChars="1" w:firstLine="482" w:firstLineChars="200"/>
        <w:rPr>
          <w:rFonts w:hAnsi="宋体" w:cs="宋体"/>
          <w:b/>
          <w:color w:val="000000"/>
          <w:sz w:val="24"/>
        </w:rPr>
      </w:pPr>
      <w:r>
        <w:rPr>
          <w:rFonts w:hint="eastAsia" w:hAnsi="宋体" w:cs="宋体"/>
          <w:b/>
          <w:color w:val="000000"/>
          <w:sz w:val="24"/>
        </w:rPr>
        <w:t>（四）特别说明</w:t>
      </w:r>
    </w:p>
    <w:p>
      <w:pPr>
        <w:pStyle w:val="16"/>
        <w:snapToGrid w:val="0"/>
        <w:spacing w:line="360" w:lineRule="auto"/>
        <w:ind w:left="2" w:leftChars="1" w:firstLine="480" w:firstLineChars="200"/>
        <w:rPr>
          <w:rFonts w:hAnsi="宋体" w:cs="宋体"/>
          <w:color w:val="000000"/>
          <w:sz w:val="24"/>
        </w:rPr>
      </w:pPr>
      <w:r>
        <w:rPr>
          <w:rFonts w:hint="eastAsia" w:hAnsi="宋体" w:cs="宋体"/>
          <w:color w:val="000000"/>
          <w:sz w:val="24"/>
        </w:rPr>
        <w:t>1.投标人投标所使用的资格、信誉、荣誉、业绩与企业认证必须为本法人所拥有。投标人投标所使用的投标项目实施人员必须为本法人员工（或必须为本法人或控股公司正式员工）。</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pStyle w:val="101"/>
        <w:snapToGrid w:val="0"/>
        <w:spacing w:line="360" w:lineRule="auto"/>
        <w:ind w:firstLineChars="0"/>
        <w:rPr>
          <w:rFonts w:ascii="宋体" w:hAnsi="宋体" w:cs="宋体"/>
          <w:color w:val="000000"/>
        </w:rPr>
      </w:pPr>
      <w:r>
        <w:rPr>
          <w:rFonts w:hint="eastAsia" w:ascii="宋体" w:hAnsi="宋体" w:cs="宋体"/>
          <w:color w:val="000000"/>
          <w:sz w:val="24"/>
        </w:rPr>
        <w:t>3．投标人所标产品除招标文件中明确规定要求“提供官网截图或相应检测报告的证明材料”以外，所有技术参数描述均以投标文件为准。</w:t>
      </w:r>
      <w:r>
        <w:rPr>
          <w:rFonts w:hint="eastAsia" w:ascii="宋体" w:hAnsi="宋体" w:cs="宋体"/>
          <w:b/>
          <w:color w:val="000000"/>
          <w:sz w:val="24"/>
        </w:rPr>
        <w:t>投标人对所投产品技术参数的真实性承担法律责任。</w:t>
      </w:r>
      <w:r>
        <w:rPr>
          <w:rFonts w:hint="eastAsia" w:ascii="宋体" w:hAnsi="宋体" w:cs="宋体"/>
          <w:color w:val="000000"/>
          <w:sz w:val="24"/>
        </w:rPr>
        <w:t>项目招标结束后、质疑期限内，如有质疑投标人认为中标单位所投产品、投标文件技术参数与招标需求存在重大偏离、错误、甚至造假的情况，应提供具体有效的证明材料。</w:t>
      </w:r>
      <w:r>
        <w:rPr>
          <w:rFonts w:hint="eastAsia" w:ascii="宋体" w:hAnsi="宋体" w:cs="宋体"/>
          <w:color w:val="000000"/>
        </w:rPr>
        <w:tab/>
      </w:r>
    </w:p>
    <w:p>
      <w:pPr>
        <w:pStyle w:val="101"/>
        <w:snapToGrid w:val="0"/>
        <w:spacing w:line="360" w:lineRule="auto"/>
        <w:ind w:firstLine="480"/>
        <w:rPr>
          <w:rFonts w:ascii="宋体" w:hAnsi="宋体" w:cs="宋体"/>
          <w:color w:val="000000"/>
          <w:sz w:val="24"/>
        </w:rPr>
      </w:pPr>
      <w:r>
        <w:rPr>
          <w:rFonts w:hint="eastAsia" w:ascii="宋体" w:hAnsi="宋体" w:cs="宋体"/>
          <w:color w:val="000000"/>
          <w:sz w:val="24"/>
          <w:szCs w:val="24"/>
        </w:rPr>
        <w:t>4.</w:t>
      </w:r>
      <w:r>
        <w:rPr>
          <w:rFonts w:hint="eastAsia" w:ascii="宋体" w:hAnsi="宋体" w:cs="宋体"/>
          <w:color w:val="000000"/>
          <w:sz w:val="24"/>
        </w:rPr>
        <w:t>投标人在招投标活动中提供任何虚假材料,其投标无效。</w:t>
      </w:r>
    </w:p>
    <w:p>
      <w:pPr>
        <w:pStyle w:val="101"/>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pStyle w:val="101"/>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6.为招标项目提供整体设计、规范编制或者项目管理、监理、检测等服务的投标人，不得再参加该招标项目的其他采购活动。</w:t>
      </w:r>
    </w:p>
    <w:p>
      <w:pPr>
        <w:pStyle w:val="101"/>
        <w:snapToGrid w:val="0"/>
        <w:spacing w:line="360" w:lineRule="auto"/>
        <w:ind w:firstLine="480"/>
        <w:rPr>
          <w:rFonts w:ascii="宋体" w:hAnsi="宋体"/>
          <w:color w:val="000000"/>
          <w:sz w:val="24"/>
          <w:szCs w:val="24"/>
        </w:rPr>
      </w:pPr>
      <w:r>
        <w:rPr>
          <w:rFonts w:hint="eastAsia" w:ascii="宋体" w:hAnsi="宋体"/>
          <w:color w:val="000000"/>
          <w:sz w:val="24"/>
          <w:szCs w:val="24"/>
        </w:rPr>
        <w:t>7.投标文件格式中的表格式样可以根据项目差别做适当调整,但应当保持表格样式基本形态不变。</w:t>
      </w:r>
    </w:p>
    <w:p>
      <w:pPr>
        <w:pStyle w:val="101"/>
        <w:snapToGrid w:val="0"/>
        <w:spacing w:line="360" w:lineRule="auto"/>
        <w:ind w:firstLine="480"/>
        <w:rPr>
          <w:rFonts w:ascii="宋体" w:hAnsi="宋体"/>
          <w:color w:val="000000"/>
          <w:sz w:val="24"/>
          <w:szCs w:val="24"/>
        </w:rPr>
      </w:pPr>
      <w:r>
        <w:rPr>
          <w:rFonts w:hint="eastAsia" w:ascii="宋体" w:hAnsi="宋体"/>
          <w:color w:val="000000"/>
          <w:sz w:val="24"/>
          <w:szCs w:val="24"/>
        </w:rPr>
        <w:t>8.单位负责人为同一人或者存在直接控股、管理关系的不同供应商，不得参加同一合同项下的采购活动。</w:t>
      </w:r>
    </w:p>
    <w:p>
      <w:pPr>
        <w:pStyle w:val="101"/>
        <w:snapToGrid w:val="0"/>
        <w:spacing w:line="360" w:lineRule="auto"/>
        <w:ind w:firstLine="480"/>
        <w:rPr>
          <w:rFonts w:ascii="宋体" w:hAnsi="宋体"/>
          <w:color w:val="000000"/>
          <w:sz w:val="24"/>
          <w:szCs w:val="24"/>
        </w:rPr>
      </w:pPr>
      <w:r>
        <w:rPr>
          <w:rFonts w:hint="eastAsia" w:ascii="宋体" w:hAnsi="宋体"/>
          <w:color w:val="000000"/>
          <w:sz w:val="24"/>
          <w:szCs w:val="24"/>
        </w:rPr>
        <w:t>9.本项目不允许分包（若依法允许部分分包，则分包如下：供应商根据招标文件的规定和采购项目的实际情况，拟在成交后将成交项目的非主体、非关键性工作分包的，应当在招标响应文件中载明分包承担主体，分包承担主体应当具备相应资质条件且不得再次分包。）</w:t>
      </w:r>
    </w:p>
    <w:p>
      <w:pPr>
        <w:pStyle w:val="101"/>
        <w:snapToGrid w:val="0"/>
        <w:spacing w:line="360" w:lineRule="auto"/>
        <w:ind w:firstLine="480"/>
        <w:rPr>
          <w:rFonts w:ascii="宋体" w:hAnsi="宋体"/>
          <w:color w:val="000000"/>
          <w:sz w:val="24"/>
          <w:szCs w:val="24"/>
        </w:rPr>
      </w:pPr>
      <w:r>
        <w:rPr>
          <w:rFonts w:hint="eastAsia" w:ascii="宋体" w:hAnsi="宋体"/>
          <w:color w:val="000000"/>
          <w:sz w:val="24"/>
          <w:szCs w:val="24"/>
        </w:rPr>
        <w:t>10.供应商信用信息查询渠道及截止时点、信用信息查询记录和证据留存的具体方式、信用信息的使用规则：</w:t>
      </w:r>
    </w:p>
    <w:p>
      <w:pPr>
        <w:pStyle w:val="101"/>
        <w:snapToGrid w:val="0"/>
        <w:spacing w:line="360" w:lineRule="auto"/>
        <w:ind w:firstLine="480"/>
        <w:rPr>
          <w:rFonts w:ascii="宋体" w:hAnsi="宋体"/>
          <w:color w:val="000000"/>
          <w:sz w:val="24"/>
          <w:szCs w:val="24"/>
        </w:rPr>
      </w:pPr>
      <w:r>
        <w:rPr>
          <w:rFonts w:hint="eastAsia" w:ascii="宋体" w:hAnsi="宋体"/>
          <w:color w:val="000000"/>
          <w:sz w:val="24"/>
          <w:szCs w:val="24"/>
        </w:rPr>
        <w:t>查询渠道：中国政府采购网（网址：</w:t>
      </w:r>
      <w:r>
        <w:rPr>
          <w:rFonts w:ascii="宋体" w:hAnsi="宋体"/>
          <w:color w:val="000000"/>
          <w:sz w:val="24"/>
          <w:szCs w:val="24"/>
        </w:rPr>
        <w:t>http://www.ccgp.gov.cn</w:t>
      </w:r>
      <w:r>
        <w:rPr>
          <w:rFonts w:hint="eastAsia" w:ascii="宋体" w:hAnsi="宋体"/>
          <w:color w:val="000000"/>
          <w:sz w:val="24"/>
          <w:szCs w:val="24"/>
        </w:rPr>
        <w:t>）、信用中国（网址：</w:t>
      </w:r>
      <w:r>
        <w:rPr>
          <w:rFonts w:ascii="宋体" w:hAnsi="宋体"/>
          <w:color w:val="000000"/>
          <w:sz w:val="24"/>
          <w:szCs w:val="24"/>
        </w:rPr>
        <w:t>http://www.creditchina.gov.cn</w:t>
      </w:r>
      <w:r>
        <w:rPr>
          <w:rFonts w:hint="eastAsia" w:ascii="宋体" w:hAnsi="宋体"/>
          <w:color w:val="000000"/>
          <w:sz w:val="24"/>
          <w:szCs w:val="24"/>
        </w:rPr>
        <w:t>）。</w:t>
      </w:r>
    </w:p>
    <w:p>
      <w:pPr>
        <w:pStyle w:val="101"/>
        <w:snapToGrid w:val="0"/>
        <w:spacing w:line="360" w:lineRule="auto"/>
        <w:ind w:firstLine="480"/>
        <w:rPr>
          <w:rFonts w:ascii="宋体" w:hAnsi="宋体" w:cs="宋体"/>
          <w:color w:val="000000"/>
          <w:sz w:val="24"/>
          <w:szCs w:val="24"/>
        </w:rPr>
      </w:pPr>
      <w:r>
        <w:rPr>
          <w:rFonts w:hint="eastAsia" w:ascii="宋体" w:hAnsi="宋体"/>
          <w:color w:val="000000"/>
          <w:sz w:val="24"/>
          <w:szCs w:val="24"/>
        </w:rPr>
        <w:t>②使用规则：对列入失信被执行人、重大税收违法失信主体、政府采购严重违法失信行为记录名单及其他不符合《中华人民共和国政府采购法》第二十二条规定条件的供应商，将被拒绝其参与采购活动。</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4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4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4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4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（四）采购组织机构对招标文件进行必要的澄清更正的，澄清或者修改的内容可能影响投标文件编制的，于投标截止时间的3日前在</w:t>
      </w:r>
      <w:r>
        <w:rPr>
          <w:rFonts w:hint="eastAsia" w:ascii="宋体" w:hAnsi="宋体" w:cs="宋体"/>
          <w:sz w:val="24"/>
        </w:rPr>
        <w:t>台州湾新区小额工程电子交易平台</w:t>
      </w:r>
      <w:r>
        <w:rPr>
          <w:rFonts w:hint="eastAsia" w:asciiTheme="minorEastAsia" w:hAnsiTheme="minorEastAsia" w:eastAsiaTheme="minorEastAsia" w:cstheme="minorBidi"/>
          <w:sz w:val="24"/>
        </w:rPr>
        <w:t>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投标人获取招标文件后，按照采购组织机构的要求提供：资格标、技术标和商务标</w:t>
      </w:r>
      <w:r>
        <w:rPr>
          <w:rFonts w:hint="eastAsia" w:asciiTheme="minorEastAsia" w:hAnsiTheme="minorEastAsia" w:eastAsiaTheme="minorEastAsia"/>
          <w:kern w:val="0"/>
          <w:sz w:val="24"/>
          <w:lang w:val="zh-CN"/>
        </w:rPr>
        <w:t>。【特别提示：如在投标时有要求提供资料原件的，将原件扫描放入投标文件】</w:t>
      </w:r>
    </w:p>
    <w:p>
      <w:pPr>
        <w:snapToGri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sz w:val="24"/>
        </w:rPr>
        <w:t>1.资格标</w:t>
      </w:r>
      <w:r>
        <w:rPr>
          <w:rFonts w:hint="eastAsia" w:ascii="宋体" w:hAnsi="宋体"/>
          <w:b/>
          <w:sz w:val="24"/>
        </w:rPr>
        <w:t>组成</w:t>
      </w:r>
    </w:p>
    <w:p>
      <w:pPr>
        <w:snapToGrid w:val="0"/>
        <w:spacing w:line="360" w:lineRule="auto"/>
        <w:ind w:firstLine="480" w:firstLineChars="200"/>
        <w:rPr>
          <w:rFonts w:ascii="宋体" w:hAnsi="宋体" w:cs="宋体"/>
          <w:sz w:val="24"/>
        </w:rPr>
      </w:pPr>
      <w:r>
        <w:rPr>
          <w:rFonts w:hint="eastAsia" w:ascii="宋体" w:hAnsi="宋体" w:cs="宋体"/>
          <w:sz w:val="24"/>
        </w:rPr>
        <w:t>（1）投标声明书（格式见附件）；</w:t>
      </w:r>
    </w:p>
    <w:p>
      <w:pPr>
        <w:snapToGrid w:val="0"/>
        <w:spacing w:line="360" w:lineRule="auto"/>
        <w:ind w:firstLine="480" w:firstLineChars="200"/>
        <w:rPr>
          <w:rFonts w:ascii="宋体" w:hAnsi="宋体" w:cs="宋体"/>
          <w:sz w:val="24"/>
        </w:rPr>
      </w:pPr>
      <w:r>
        <w:rPr>
          <w:rFonts w:hint="eastAsia" w:ascii="宋体" w:hAnsi="宋体" w:cs="宋体"/>
          <w:sz w:val="24"/>
        </w:rPr>
        <w:t>（2）授权委托书或法定代表人身份证复印件（格式见附件，法定代表人亲自办理投标事宜的，则仅需提供身份证复印件，无需提交本授权委托书)；</w:t>
      </w:r>
    </w:p>
    <w:p>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kern w:val="0"/>
          <w:sz w:val="24"/>
        </w:rPr>
        <w:t>企业法人具有统一社会信用代码的有效营业执照扫描件；如事业单位参加投标的，则提供有效的《事业单位法人证书》扫描件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zh-CN"/>
        </w:rPr>
        <w:t>符合参与采购活动的资格条件、具备良好的商业信誉和健全的财务会计制度并且没有税收缴纳、社会保障等书面方面的失信记录的承诺函</w:t>
      </w:r>
      <w:r>
        <w:rPr>
          <w:rFonts w:hint="eastAsia" w:ascii="宋体" w:hAnsi="宋体" w:cs="宋体"/>
          <w:sz w:val="24"/>
        </w:rPr>
        <w:t>（格式见附件）；</w:t>
      </w:r>
    </w:p>
    <w:p>
      <w:pPr>
        <w:snapToGrid w:val="0"/>
        <w:spacing w:line="360" w:lineRule="auto"/>
        <w:ind w:firstLine="480" w:firstLineChars="200"/>
        <w:rPr>
          <w:rFonts w:ascii="宋体" w:hAnsi="宋体" w:cs="宋体"/>
          <w:sz w:val="24"/>
        </w:rPr>
      </w:pPr>
      <w:r>
        <w:rPr>
          <w:rFonts w:hint="eastAsia" w:ascii="宋体" w:hAnsi="宋体" w:cs="宋体"/>
          <w:sz w:val="24"/>
        </w:rPr>
        <w:t>（5）具有履行合同所必须的设备和专业技术能力的承诺函（格式见附件）；</w:t>
      </w:r>
    </w:p>
    <w:p>
      <w:pPr>
        <w:snapToGrid w:val="0"/>
        <w:spacing w:line="360" w:lineRule="auto"/>
        <w:ind w:firstLine="480" w:firstLineChars="200"/>
        <w:rPr>
          <w:rFonts w:ascii="宋体" w:hAnsi="宋体" w:cs="宋体"/>
          <w:sz w:val="24"/>
        </w:rPr>
      </w:pPr>
      <w:r>
        <w:rPr>
          <w:rFonts w:hint="eastAsia" w:ascii="宋体" w:hAnsi="宋体" w:cs="宋体"/>
          <w:sz w:val="24"/>
        </w:rPr>
        <w:t>（6）需要说明的其他资料。</w:t>
      </w: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rPr>
        <w:t>技术标</w:t>
      </w:r>
      <w:r>
        <w:rPr>
          <w:rFonts w:hint="eastAsia" w:ascii="宋体" w:hAnsi="宋体"/>
          <w:b/>
          <w:sz w:val="24"/>
        </w:rPr>
        <w:t>组成</w:t>
      </w:r>
    </w:p>
    <w:p>
      <w:pPr>
        <w:pStyle w:val="6"/>
        <w:spacing w:line="360" w:lineRule="auto"/>
        <w:ind w:firstLine="480" w:firstLineChars="200"/>
        <w:rPr>
          <w:rFonts w:ascii="宋体" w:hAnsi="宋体"/>
          <w:kern w:val="0"/>
          <w:sz w:val="24"/>
        </w:rPr>
      </w:pPr>
      <w:r>
        <w:rPr>
          <w:rFonts w:hint="eastAsia" w:ascii="宋体" w:hAnsi="宋体"/>
          <w:kern w:val="0"/>
          <w:sz w:val="24"/>
        </w:rPr>
        <w:t>（1）评分索引表（格式见附件）；</w:t>
      </w:r>
    </w:p>
    <w:p>
      <w:pPr>
        <w:pStyle w:val="6"/>
        <w:spacing w:line="360" w:lineRule="auto"/>
        <w:ind w:firstLine="480" w:firstLineChars="200"/>
        <w:rPr>
          <w:rFonts w:ascii="宋体" w:hAnsi="宋体"/>
          <w:kern w:val="0"/>
          <w:sz w:val="24"/>
        </w:rPr>
      </w:pPr>
      <w:r>
        <w:rPr>
          <w:rFonts w:hint="eastAsia" w:ascii="宋体" w:hAnsi="宋体"/>
          <w:kern w:val="0"/>
          <w:sz w:val="24"/>
        </w:rPr>
        <w:t>（2）投 标 函（格式见附件）；</w:t>
      </w:r>
    </w:p>
    <w:p>
      <w:pPr>
        <w:pStyle w:val="6"/>
        <w:spacing w:line="360" w:lineRule="auto"/>
        <w:ind w:firstLine="480" w:firstLineChars="200"/>
        <w:rPr>
          <w:rFonts w:ascii="宋体" w:hAnsi="宋体"/>
          <w:kern w:val="0"/>
          <w:sz w:val="24"/>
        </w:rPr>
      </w:pPr>
      <w:r>
        <w:rPr>
          <w:rFonts w:hint="eastAsia" w:ascii="宋体" w:hAnsi="宋体"/>
          <w:kern w:val="0"/>
          <w:sz w:val="24"/>
        </w:rPr>
        <w:t>（3）供应商基本情况表（格式见附件）；</w:t>
      </w:r>
    </w:p>
    <w:p>
      <w:pPr>
        <w:pStyle w:val="6"/>
        <w:spacing w:line="360" w:lineRule="auto"/>
        <w:ind w:firstLine="480" w:firstLineChars="200"/>
        <w:rPr>
          <w:rFonts w:ascii="宋体" w:hAnsi="宋体"/>
          <w:kern w:val="0"/>
          <w:sz w:val="24"/>
        </w:rPr>
      </w:pPr>
      <w:r>
        <w:rPr>
          <w:rFonts w:hint="eastAsia" w:ascii="宋体" w:hAnsi="宋体"/>
          <w:kern w:val="0"/>
          <w:sz w:val="24"/>
        </w:rPr>
        <w:t>（4）《证书、证明材料一览表》（格式见附件）；</w:t>
      </w:r>
    </w:p>
    <w:p>
      <w:pPr>
        <w:pStyle w:val="6"/>
        <w:spacing w:line="360" w:lineRule="auto"/>
        <w:ind w:firstLine="480" w:firstLineChars="200"/>
        <w:rPr>
          <w:rFonts w:ascii="宋体" w:hAnsi="宋体"/>
          <w:kern w:val="0"/>
          <w:sz w:val="24"/>
        </w:rPr>
      </w:pPr>
      <w:r>
        <w:rPr>
          <w:rFonts w:hint="eastAsia" w:ascii="宋体" w:hAnsi="宋体"/>
          <w:kern w:val="0"/>
          <w:sz w:val="24"/>
        </w:rPr>
        <w:t>（5）商务需求响应表（填制时对应第三章）（格式见附件）；</w:t>
      </w:r>
    </w:p>
    <w:p>
      <w:pPr>
        <w:pStyle w:val="6"/>
        <w:spacing w:line="360" w:lineRule="auto"/>
        <w:ind w:firstLine="480" w:firstLineChars="200"/>
        <w:rPr>
          <w:rFonts w:ascii="宋体" w:hAnsi="宋体"/>
          <w:kern w:val="0"/>
          <w:sz w:val="24"/>
        </w:rPr>
      </w:pPr>
      <w:r>
        <w:rPr>
          <w:rFonts w:hint="eastAsia" w:ascii="宋体" w:hAnsi="宋体"/>
          <w:kern w:val="0"/>
          <w:sz w:val="24"/>
        </w:rPr>
        <w:t>（6）《类似项目实施情况一览表》（格式见附件）及相关证明材料；</w:t>
      </w:r>
    </w:p>
    <w:p>
      <w:pPr>
        <w:pStyle w:val="6"/>
        <w:spacing w:line="360" w:lineRule="auto"/>
        <w:ind w:firstLine="480" w:firstLineChars="200"/>
        <w:rPr>
          <w:rFonts w:ascii="宋体" w:hAnsi="宋体"/>
          <w:kern w:val="0"/>
          <w:sz w:val="24"/>
        </w:rPr>
      </w:pPr>
      <w:r>
        <w:rPr>
          <w:rFonts w:hint="eastAsia" w:ascii="宋体" w:hAnsi="宋体"/>
          <w:kern w:val="0"/>
          <w:sz w:val="24"/>
        </w:rPr>
        <w:t>（7）对应评审方法供应商认为需要提供的其他资料或需要说明的其他内容（如有，格式自拟）。</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3.商务标组成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r>
        <w:rPr>
          <w:rFonts w:hint="eastAsia" w:ascii="宋体" w:hAnsi="宋体"/>
          <w:kern w:val="0"/>
          <w:sz w:val="24"/>
        </w:rPr>
        <w:t>格式见附件</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（2）</w:t>
      </w:r>
      <w:r>
        <w:rPr>
          <w:rFonts w:hint="eastAsia" w:asciiTheme="minorEastAsia" w:hAnsiTheme="minorEastAsia" w:eastAsiaTheme="minorEastAsia"/>
          <w:kern w:val="0"/>
          <w:sz w:val="24"/>
          <w:lang w:val="en-GB"/>
        </w:rPr>
        <w:t>报价明细表</w:t>
      </w:r>
      <w:r>
        <w:rPr>
          <w:rFonts w:hint="eastAsia" w:asciiTheme="minorEastAsia" w:hAnsiTheme="minorEastAsia" w:eastAsiaTheme="minorEastAsia"/>
          <w:kern w:val="0"/>
          <w:sz w:val="24"/>
        </w:rPr>
        <w:t>（</w:t>
      </w:r>
      <w:r>
        <w:rPr>
          <w:rFonts w:hint="eastAsia" w:ascii="宋体" w:hAnsi="宋体"/>
          <w:kern w:val="0"/>
          <w:sz w:val="24"/>
        </w:rPr>
        <w:t>格式见附件</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（3）针对报价投标人认为其他需要说明的</w:t>
      </w:r>
      <w:r>
        <w:rPr>
          <w:rFonts w:hint="eastAsia" w:ascii="宋体" w:hAnsi="宋体"/>
          <w:kern w:val="0"/>
          <w:sz w:val="24"/>
        </w:rPr>
        <w:t>（如有）</w:t>
      </w:r>
      <w:r>
        <w:rPr>
          <w:rFonts w:hint="eastAsia" w:asciiTheme="minorEastAsia" w:hAnsiTheme="minorEastAsia" w:eastAsiaTheme="minorEastAsia"/>
          <w:kern w:val="0"/>
          <w:sz w:val="24"/>
        </w:rPr>
        <w:t>。</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6"/>
        <w:spacing w:line="360" w:lineRule="auto"/>
        <w:ind w:firstLine="480" w:firstLineChars="200"/>
        <w:rPr>
          <w:rFonts w:ascii="宋体" w:hAnsi="宋体"/>
          <w:bCs/>
          <w:sz w:val="24"/>
        </w:rPr>
      </w:pPr>
      <w:r>
        <w:rPr>
          <w:rFonts w:hint="eastAsia" w:ascii="宋体" w:hAnsi="宋体"/>
          <w:bCs/>
          <w:sz w:val="24"/>
        </w:rPr>
        <w:t>1.投标供应商应按照招标需求内容、责任范围以及合同条款进行报价。并按“开标一览表”规定的格式报出总价。投标总价中不得包含招标文件要求以外的内容，否则，在评标时不予核减。</w:t>
      </w:r>
    </w:p>
    <w:p>
      <w:pPr>
        <w:pStyle w:val="6"/>
        <w:spacing w:line="360" w:lineRule="auto"/>
        <w:ind w:firstLine="480" w:firstLineChars="200"/>
        <w:rPr>
          <w:rFonts w:ascii="宋体" w:hAnsi="宋体"/>
          <w:bCs/>
          <w:sz w:val="24"/>
        </w:rPr>
      </w:pPr>
      <w:r>
        <w:rPr>
          <w:rFonts w:hint="eastAsia" w:ascii="宋体" w:hAnsi="宋体"/>
          <w:bCs/>
          <w:sz w:val="24"/>
        </w:rPr>
        <w:t>2.投标报价包括本项目需求和投入使用的所有费用</w:t>
      </w:r>
      <w:r>
        <w:rPr>
          <w:rFonts w:hint="eastAsia" w:hAnsi="宋体"/>
          <w:sz w:val="24"/>
        </w:rPr>
        <w:t>。</w:t>
      </w:r>
    </w:p>
    <w:p>
      <w:pPr>
        <w:pStyle w:val="6"/>
        <w:spacing w:line="360" w:lineRule="auto"/>
        <w:ind w:firstLine="480" w:firstLineChars="200"/>
        <w:rPr>
          <w:rFonts w:ascii="宋体" w:hAnsi="宋体"/>
          <w:bCs/>
          <w:sz w:val="24"/>
        </w:rPr>
      </w:pPr>
      <w:r>
        <w:rPr>
          <w:rFonts w:ascii="宋体" w:hAnsi="宋体" w:cs="宋体"/>
          <w:sz w:val="24"/>
        </w:rPr>
        <w:t>▲</w:t>
      </w:r>
      <w:r>
        <w:rPr>
          <w:rFonts w:hint="eastAsia" w:ascii="宋体" w:hAnsi="宋体"/>
          <w:bCs/>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Style w:val="16"/>
        <w:snapToGrid w:val="0"/>
        <w:spacing w:line="360" w:lineRule="auto"/>
        <w:ind w:firstLine="472" w:firstLineChars="196"/>
        <w:rPr>
          <w:rFonts w:cs="Times New Roman" w:asciiTheme="minorEastAsia" w:hAnsiTheme="minorEastAsia" w:eastAsiaTheme="minorEastAsia"/>
          <w:b/>
          <w:kern w:val="0"/>
          <w:sz w:val="24"/>
        </w:rPr>
      </w:pPr>
      <w:r>
        <w:rPr>
          <w:rFonts w:hint="eastAsia" w:cs="Times New Roman" w:asciiTheme="minorEastAsia" w:hAnsiTheme="minorEastAsia" w:eastAsiaTheme="minorEastAsia"/>
          <w:b/>
          <w:kern w:val="0"/>
          <w:sz w:val="24"/>
        </w:rPr>
        <w:t>（一）开标</w:t>
      </w:r>
    </w:p>
    <w:p>
      <w:pPr>
        <w:pStyle w:val="24"/>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33"/>
        </w:rPr>
        <w:t>http://www.tzwztb.com/live/</w:t>
      </w:r>
      <w:r>
        <w:rPr>
          <w:rStyle w:val="33"/>
        </w:rPr>
        <w:fldChar w:fldCharType="end"/>
      </w:r>
      <w:r>
        <w:rPr>
          <w:rFonts w:hint="default"/>
        </w:rPr>
        <w:t xml:space="preserve"> </w:t>
      </w:r>
      <w:r>
        <w:t>。</w:t>
      </w:r>
    </w:p>
    <w:p>
      <w:pPr>
        <w:pStyle w:val="16"/>
        <w:snapToGrid w:val="0"/>
        <w:spacing w:before="120" w:after="120" w:line="360" w:lineRule="auto"/>
        <w:ind w:firstLine="482" w:firstLineChars="200"/>
        <w:rPr>
          <w:rFonts w:hAnsi="宋体" w:cs="宋体"/>
          <w:b/>
          <w:bCs/>
          <w:sz w:val="24"/>
        </w:rPr>
      </w:pPr>
      <w:r>
        <w:rPr>
          <w:rFonts w:hAnsi="宋体" w:cs="宋体"/>
          <w:b/>
          <w:bCs/>
          <w:sz w:val="24"/>
        </w:rPr>
        <w:t>（二） 开标程序：</w:t>
      </w:r>
    </w:p>
    <w:p>
      <w:pPr>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先开资格标，资格标评审结束后再开技术标。</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.技术标</w:t>
      </w:r>
      <w:r>
        <w:rPr>
          <w:rFonts w:ascii="宋体" w:hAnsi="宋体" w:cs="宋体"/>
          <w:sz w:val="24"/>
        </w:rPr>
        <w:t>评审完成后，主持人宣告</w:t>
      </w:r>
      <w:r>
        <w:rPr>
          <w:rFonts w:hint="eastAsia" w:ascii="宋体" w:hAnsi="宋体" w:cs="宋体"/>
          <w:sz w:val="24"/>
        </w:rPr>
        <w:t>技术标</w:t>
      </w:r>
      <w:r>
        <w:rPr>
          <w:rFonts w:ascii="宋体" w:hAnsi="宋体" w:cs="宋体"/>
          <w:sz w:val="24"/>
        </w:rPr>
        <w:t>评审无效投标人名称及理由，公布经</w:t>
      </w:r>
      <w:r>
        <w:rPr>
          <w:rFonts w:hint="eastAsia" w:ascii="宋体" w:hAnsi="宋体" w:cs="宋体"/>
          <w:sz w:val="24"/>
        </w:rPr>
        <w:t>技术标</w:t>
      </w:r>
      <w:r>
        <w:rPr>
          <w:rFonts w:ascii="宋体" w:hAnsi="宋体" w:cs="宋体"/>
          <w:sz w:val="24"/>
        </w:rPr>
        <w:t>评审符合采购需求的投标人名单以及</w:t>
      </w:r>
      <w:r>
        <w:rPr>
          <w:rFonts w:hint="eastAsia" w:ascii="宋体" w:hAnsi="宋体" w:cs="宋体"/>
          <w:sz w:val="24"/>
        </w:rPr>
        <w:t>技术标</w:t>
      </w:r>
      <w:r>
        <w:rPr>
          <w:rFonts w:ascii="宋体" w:hAnsi="宋体" w:cs="宋体"/>
          <w:sz w:val="24"/>
        </w:rPr>
        <w:t>得分情况。</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w:t>
      </w:r>
      <w:r>
        <w:rPr>
          <w:rFonts w:ascii="宋体" w:hAnsi="宋体" w:cs="宋体"/>
          <w:sz w:val="24"/>
        </w:rPr>
        <w:t>开启各投标人</w:t>
      </w:r>
      <w:r>
        <w:rPr>
          <w:rFonts w:hint="eastAsia" w:ascii="宋体" w:hAnsi="宋体" w:cs="宋体"/>
          <w:sz w:val="24"/>
        </w:rPr>
        <w:t>商务标</w:t>
      </w:r>
      <w:r>
        <w:rPr>
          <w:rFonts w:ascii="宋体" w:hAnsi="宋体" w:cs="宋体"/>
          <w:sz w:val="24"/>
        </w:rPr>
        <w:t>。</w:t>
      </w:r>
    </w:p>
    <w:p>
      <w:pPr>
        <w:snapToGrid w:val="0"/>
        <w:spacing w:line="360" w:lineRule="auto"/>
        <w:ind w:firstLine="480" w:firstLineChars="200"/>
        <w:rPr>
          <w:rFonts w:ascii="宋体" w:hAnsi="宋体" w:cs="宋体"/>
          <w:sz w:val="24"/>
          <w:lang w:val="zh-CN"/>
        </w:rPr>
      </w:pPr>
      <w:r>
        <w:rPr>
          <w:rFonts w:ascii="宋体" w:hAnsi="宋体" w:cs="宋体"/>
          <w:sz w:val="24"/>
        </w:rPr>
        <w:t>6</w:t>
      </w:r>
      <w:r>
        <w:rPr>
          <w:rFonts w:hint="eastAsia" w:ascii="宋体" w:hAnsi="宋体" w:cs="宋体"/>
          <w:sz w:val="24"/>
        </w:rPr>
        <w:t>.</w:t>
      </w:r>
      <w:r>
        <w:rPr>
          <w:rFonts w:ascii="宋体" w:hAnsi="宋体" w:cs="宋体"/>
          <w:sz w:val="24"/>
        </w:rPr>
        <w:t>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w:t>
      </w:r>
      <w:r>
        <w:rPr>
          <w:rFonts w:ascii="宋体" w:hAnsi="宋体" w:cs="宋体"/>
          <w:sz w:val="24"/>
        </w:rPr>
        <w:t>评标结束后，主持人公布投标</w:t>
      </w:r>
      <w:r>
        <w:rPr>
          <w:rFonts w:hint="eastAsia" w:ascii="宋体" w:hAnsi="宋体" w:cs="宋体"/>
          <w:sz w:val="24"/>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w:t>
      </w:r>
      <w:r>
        <w:rPr>
          <w:rFonts w:hint="eastAsia" w:ascii="宋体" w:hAnsi="宋体" w:cs="宋体"/>
          <w:sz w:val="24"/>
        </w:rPr>
        <w:t>.</w:t>
      </w:r>
      <w:r>
        <w:rPr>
          <w:rFonts w:ascii="宋体" w:hAnsi="宋体" w:cs="宋体"/>
          <w:sz w:val="24"/>
        </w:rPr>
        <w:t>开标会议结束。</w:t>
      </w:r>
    </w:p>
    <w:p>
      <w:pPr>
        <w:snapToGrid w:val="0"/>
        <w:spacing w:line="360" w:lineRule="auto"/>
        <w:ind w:firstLine="480" w:firstLineChars="200"/>
        <w:rPr>
          <w:rFonts w:ascii="宋体" w:hAnsi="宋体" w:cs="宋体"/>
          <w:sz w:val="24"/>
        </w:rPr>
      </w:pPr>
      <w:r>
        <w:rPr>
          <w:rFonts w:ascii="宋体" w:hAnsi="宋体" w:cs="宋体"/>
          <w:sz w:val="24"/>
        </w:rPr>
        <w:t>9</w:t>
      </w:r>
      <w:r>
        <w:rPr>
          <w:rFonts w:hint="eastAsia" w:ascii="宋体" w:hAnsi="宋体" w:cs="宋体"/>
          <w:sz w:val="24"/>
        </w:rPr>
        <w:t>.</w:t>
      </w:r>
      <w:r>
        <w:rPr>
          <w:rFonts w:ascii="宋体" w:hAnsi="宋体" w:cs="宋体"/>
          <w:sz w:val="24"/>
        </w:rPr>
        <w:t>其他注意事项：</w:t>
      </w:r>
    </w:p>
    <w:p>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482" w:firstLineChars="200"/>
        <w:jc w:val="left"/>
        <w:rPr>
          <w:rFonts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pStyle w:val="6"/>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6"/>
        <w:spacing w:line="360" w:lineRule="auto"/>
        <w:ind w:firstLine="723" w:firstLineChars="300"/>
        <w:rPr>
          <w:b/>
          <w:bCs/>
          <w:sz w:val="24"/>
          <w:szCs w:val="22"/>
        </w:rPr>
      </w:pPr>
      <w:r>
        <w:rPr>
          <w:rFonts w:hint="eastAsia"/>
          <w:b/>
          <w:bCs/>
          <w:sz w:val="24"/>
          <w:szCs w:val="22"/>
        </w:rPr>
        <w:t>（四）开标异议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419" w:firstLineChars="174"/>
        <w:rPr>
          <w:sz w:val="24"/>
          <w:szCs w:val="22"/>
        </w:rPr>
      </w:pPr>
      <w:r>
        <w:rPr>
          <w:rFonts w:hint="eastAsia"/>
          <w:b/>
          <w:bCs/>
          <w:sz w:val="24"/>
          <w:szCs w:val="22"/>
        </w:rPr>
        <w:t>（五）</w:t>
      </w:r>
      <w:r>
        <w:rPr>
          <w:rFonts w:hint="eastAsia"/>
          <w:sz w:val="24"/>
          <w:szCs w:val="22"/>
        </w:rPr>
        <w:t>投标人不足三家，不得开标。</w:t>
      </w:r>
    </w:p>
    <w:p>
      <w:pPr>
        <w:pStyle w:val="16"/>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24"/>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pPr>
        <w:spacing w:line="360" w:lineRule="auto"/>
        <w:ind w:firstLine="480" w:firstLineChars="200"/>
        <w:rPr>
          <w:rFonts w:ascii="宋体" w:hAnsi="宋体"/>
          <w:kern w:val="0"/>
          <w:sz w:val="24"/>
        </w:rPr>
      </w:pPr>
      <w:r>
        <w:rPr>
          <w:rFonts w:hint="eastAsia" w:ascii="宋体" w:hAnsi="宋体"/>
          <w:kern w:val="0"/>
          <w:sz w:val="24"/>
        </w:rPr>
        <w:t>评标委员会推荐综合得分从高到低排名第一的为第一中标候选人，综合得分从高到低排名第二的为第二中标候选人，如综合得分相同的，则现场抽签确定名次。</w:t>
      </w:r>
    </w:p>
    <w:p>
      <w:pPr>
        <w:pStyle w:val="24"/>
        <w:spacing w:before="0" w:beforeAutospacing="0" w:after="0" w:afterAutospacing="0" w:line="360" w:lineRule="auto"/>
        <w:ind w:firstLine="480" w:firstLineChars="200"/>
        <w:jc w:val="both"/>
        <w:rPr>
          <w:rFonts w:hint="default"/>
        </w:rPr>
      </w:pPr>
      <w:r>
        <w:t>采购组织机构自中标候选人确定之日起3个工作日内，在浙江省政府采购网和</w:t>
      </w:r>
      <w:r>
        <w:rPr>
          <w:rFonts w:cs="宋体"/>
        </w:rPr>
        <w:t>台州湾新区小额工程电子交易平台</w:t>
      </w:r>
      <w:r>
        <w:t>公告中标结果。</w:t>
      </w:r>
    </w:p>
    <w:p>
      <w:pPr>
        <w:pStyle w:val="24"/>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（二）</w:t>
      </w:r>
      <w:r>
        <w:rPr>
          <w:b/>
          <w:bCs/>
        </w:rPr>
        <w:t>确定中标人</w:t>
      </w:r>
    </w:p>
    <w:p>
      <w:pPr>
        <w:spacing w:line="360" w:lineRule="auto"/>
        <w:ind w:firstLine="480" w:firstLineChars="200"/>
        <w:rPr>
          <w:rFonts w:ascii="宋体" w:hAnsi="宋体"/>
          <w:kern w:val="0"/>
          <w:sz w:val="24"/>
        </w:rPr>
      </w:pPr>
      <w:r>
        <w:rPr>
          <w:rFonts w:hint="eastAsia" w:ascii="宋体" w:hAnsi="宋体"/>
          <w:kern w:val="0"/>
          <w:sz w:val="24"/>
        </w:rPr>
        <w:t>公示结束后，采购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如第二中标候选人存在上述同样情形的，本次招标失败，重新组织招标。</w:t>
      </w:r>
    </w:p>
    <w:p>
      <w:pPr>
        <w:pStyle w:val="11"/>
        <w:spacing w:line="360" w:lineRule="auto"/>
        <w:ind w:left="630"/>
        <w:jc w:val="both"/>
        <w:rPr>
          <w:b/>
          <w:bCs/>
          <w:sz w:val="24"/>
        </w:rPr>
      </w:pPr>
      <w:r>
        <w:rPr>
          <w:rFonts w:hint="eastAsia"/>
          <w:b/>
          <w:bCs/>
          <w:sz w:val="24"/>
        </w:rPr>
        <w:t>（三）发放中标通知书</w:t>
      </w:r>
    </w:p>
    <w:p>
      <w:pPr>
        <w:pStyle w:val="12"/>
        <w:tabs>
          <w:tab w:val="left" w:pos="574"/>
        </w:tabs>
        <w:spacing w:line="400" w:lineRule="exact"/>
        <w:ind w:firstLine="480" w:firstLineChars="200"/>
      </w:pPr>
      <w:r>
        <w:rPr>
          <w:rFonts w:hint="eastAsia"/>
          <w:szCs w:val="32"/>
        </w:rPr>
        <w:t>中标人确定后，采购人应当向中标人发出《中标通知书》。</w:t>
      </w:r>
    </w:p>
    <w:p>
      <w:pPr>
        <w:pStyle w:val="12"/>
        <w:tabs>
          <w:tab w:val="left" w:pos="574"/>
        </w:tabs>
        <w:spacing w:line="400" w:lineRule="exact"/>
        <w:ind w:firstLine="480" w:firstLineChars="200"/>
        <w:rPr>
          <w:szCs w:val="32"/>
        </w:rPr>
      </w:pPr>
      <w:r>
        <w:rPr>
          <w:rFonts w:hint="eastAsia"/>
          <w:szCs w:val="32"/>
        </w:rPr>
        <w:t>采购人在发出《中标通知书》的同时，应当将中标结果在交易场所（发布招标公告的媒体上）通知所有未中标的投标人。</w:t>
      </w:r>
    </w:p>
    <w:p>
      <w:pPr>
        <w:pStyle w:val="12"/>
        <w:tabs>
          <w:tab w:val="left" w:pos="574"/>
        </w:tabs>
        <w:spacing w:line="400" w:lineRule="exact"/>
        <w:ind w:firstLine="480" w:firstLineChars="200"/>
        <w:rPr>
          <w:szCs w:val="32"/>
        </w:rPr>
      </w:pPr>
      <w:r>
        <w:rPr>
          <w:rFonts w:hint="eastAsia"/>
          <w:szCs w:val="32"/>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4.中标人拒绝与采购人签订合同的，采购人可以按照评标报告推荐的中标候选人名单排序，确定下一候选人为中标人，也可以重新开展招标采购活动。同时，拒绝与采购人签订合同的中标人。</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24"/>
        <w:adjustRightInd w:val="0"/>
        <w:snapToGrid w:val="0"/>
        <w:spacing w:before="0" w:beforeAutospacing="0" w:after="0" w:afterAutospacing="0" w:line="360" w:lineRule="auto"/>
        <w:ind w:firstLine="472" w:firstLineChars="196"/>
        <w:jc w:val="both"/>
        <w:rPr>
          <w:rFonts w:hint="default"/>
          <w:b/>
          <w:sz w:val="28"/>
          <w:szCs w:val="28"/>
        </w:rPr>
      </w:pPr>
      <w:r>
        <w:rPr>
          <w:b/>
          <w:bCs/>
        </w:rPr>
        <w:t>八、</w:t>
      </w:r>
      <w:r>
        <w:rPr>
          <w:b/>
          <w:sz w:val="28"/>
          <w:szCs w:val="28"/>
        </w:rPr>
        <w:t>其他</w:t>
      </w:r>
    </w:p>
    <w:p>
      <w:pPr>
        <w:pStyle w:val="24"/>
        <w:adjustRightInd w:val="0"/>
        <w:snapToGrid w:val="0"/>
        <w:spacing w:before="0" w:beforeAutospacing="0" w:after="0" w:afterAutospacing="0" w:line="360" w:lineRule="auto"/>
        <w:ind w:firstLine="480" w:firstLineChars="200"/>
        <w:jc w:val="both"/>
        <w:rPr>
          <w:rFonts w:hint="default"/>
        </w:rPr>
      </w:pPr>
      <w:r>
        <w:t>1.解释：本招标文件的解释权属于招标采购单位。</w:t>
      </w:r>
    </w:p>
    <w:p>
      <w:pPr>
        <w:pStyle w:val="11"/>
        <w:spacing w:line="360" w:lineRule="auto"/>
        <w:ind w:firstLine="480" w:firstLineChars="200"/>
        <w:jc w:val="both"/>
        <w:rPr>
          <w:rFonts w:ascii="宋体" w:hAnsi="宋体"/>
          <w:sz w:val="24"/>
        </w:rPr>
      </w:pPr>
    </w:p>
    <w:p>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pStyle w:val="3"/>
        <w:numPr>
          <w:ilvl w:val="0"/>
          <w:numId w:val="0"/>
        </w:numPr>
        <w:ind w:left="425"/>
        <w:rPr>
          <w:rStyle w:val="99"/>
          <w:rFonts w:ascii="宋体" w:hAnsi="宋体" w:cs="宋体"/>
          <w:b/>
          <w:bCs w:val="0"/>
          <w:color w:val="000000"/>
        </w:rPr>
      </w:pPr>
      <w:bookmarkStart w:id="36" w:name="_Toc13072_WPSOffice_Level1"/>
      <w:r>
        <w:rPr>
          <w:rStyle w:val="99"/>
          <w:rFonts w:hint="eastAsia" w:ascii="宋体" w:hAnsi="宋体" w:cs="宋体"/>
          <w:b/>
          <w:bCs w:val="0"/>
          <w:color w:val="000000"/>
        </w:rPr>
        <w:t>第三章  招标需求</w:t>
      </w:r>
      <w:bookmarkEnd w:id="36"/>
    </w:p>
    <w:p>
      <w:pPr>
        <w:tabs>
          <w:tab w:val="left" w:pos="8280"/>
        </w:tabs>
        <w:autoSpaceDE w:val="0"/>
        <w:autoSpaceDN w:val="0"/>
        <w:adjustRightInd w:val="0"/>
        <w:spacing w:line="360" w:lineRule="auto"/>
        <w:ind w:right="25"/>
        <w:rPr>
          <w:sz w:val="24"/>
        </w:rPr>
      </w:pPr>
      <w:r>
        <w:rPr>
          <w:rFonts w:hint="eastAsia"/>
          <w:b/>
          <w:sz w:val="24"/>
        </w:rPr>
        <w:t>一、招标项目一览表</w:t>
      </w:r>
    </w:p>
    <w:p>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9"/>
        <w:tblpPr w:leftFromText="181" w:rightFromText="181" w:bottomFromText="170" w:vertAnchor="text" w:tblpXSpec="center" w:tblpY="1"/>
        <w:tblOverlap w:val="never"/>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256"/>
        <w:gridCol w:w="1088"/>
        <w:gridCol w:w="836"/>
        <w:gridCol w:w="124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77"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sz w:val="24"/>
              </w:rPr>
              <w:t>标项号</w:t>
            </w:r>
          </w:p>
        </w:tc>
        <w:tc>
          <w:tcPr>
            <w:tcW w:w="3256" w:type="dxa"/>
            <w:vAlign w:val="center"/>
          </w:tcPr>
          <w:p>
            <w:pPr>
              <w:tabs>
                <w:tab w:val="left" w:pos="8280"/>
              </w:tabs>
              <w:autoSpaceDE w:val="0"/>
              <w:autoSpaceDN w:val="0"/>
              <w:adjustRightInd w:val="0"/>
              <w:ind w:firstLine="120" w:firstLineChars="50"/>
              <w:jc w:val="center"/>
              <w:rPr>
                <w:rFonts w:ascii="宋体" w:hAnsi="宋体" w:cs="宋体"/>
                <w:b/>
                <w:sz w:val="24"/>
              </w:rPr>
            </w:pPr>
            <w:r>
              <w:rPr>
                <w:rFonts w:hint="eastAsia" w:ascii="宋体" w:hAnsi="宋体" w:cs="宋体"/>
                <w:b/>
                <w:sz w:val="24"/>
              </w:rPr>
              <w:t>标项名称</w:t>
            </w:r>
          </w:p>
        </w:tc>
        <w:tc>
          <w:tcPr>
            <w:tcW w:w="1088"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kern w:val="0"/>
                <w:sz w:val="24"/>
              </w:rPr>
              <w:t>数量</w:t>
            </w:r>
          </w:p>
        </w:tc>
        <w:tc>
          <w:tcPr>
            <w:tcW w:w="836"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sz w:val="24"/>
              </w:rPr>
              <w:t>单位</w:t>
            </w:r>
          </w:p>
        </w:tc>
        <w:tc>
          <w:tcPr>
            <w:tcW w:w="1245"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sz w:val="24"/>
              </w:rPr>
              <w:t>预算</w:t>
            </w:r>
          </w:p>
          <w:p>
            <w:pPr>
              <w:tabs>
                <w:tab w:val="left" w:pos="8280"/>
              </w:tabs>
              <w:autoSpaceDE w:val="0"/>
              <w:autoSpaceDN w:val="0"/>
              <w:adjustRightInd w:val="0"/>
              <w:jc w:val="center"/>
              <w:rPr>
                <w:rFonts w:ascii="宋体" w:hAnsi="宋体" w:cs="宋体"/>
                <w:b/>
                <w:sz w:val="24"/>
              </w:rPr>
            </w:pPr>
            <w:r>
              <w:rPr>
                <w:rFonts w:hint="eastAsia" w:ascii="宋体" w:hAnsi="宋体" w:cs="宋体"/>
                <w:b/>
                <w:sz w:val="24"/>
              </w:rPr>
              <w:t>（万元）</w:t>
            </w:r>
          </w:p>
        </w:tc>
        <w:tc>
          <w:tcPr>
            <w:tcW w:w="1435" w:type="dxa"/>
            <w:vAlign w:val="center"/>
          </w:tcPr>
          <w:p>
            <w:pPr>
              <w:jc w:val="center"/>
              <w:rPr>
                <w:rFonts w:ascii="宋体" w:hAnsi="宋体" w:cs="宋体"/>
                <w:b/>
                <w:sz w:val="24"/>
              </w:rPr>
            </w:pPr>
            <w:r>
              <w:rPr>
                <w:rFonts w:hint="eastAsia" w:ascii="宋体" w:hAnsi="宋体" w:cs="宋体"/>
                <w:b/>
                <w:sz w:val="24"/>
              </w:rPr>
              <w:t>最高限价</w:t>
            </w:r>
          </w:p>
          <w:p>
            <w:pPr>
              <w:jc w:val="center"/>
              <w:rPr>
                <w:rFonts w:ascii="宋体" w:hAnsi="宋体" w:cs="宋体"/>
                <w:b/>
                <w:sz w:val="24"/>
              </w:rPr>
            </w:pPr>
            <w:r>
              <w:rPr>
                <w:rFonts w:hint="eastAsia" w:ascii="宋体" w:hAnsi="宋体" w:cs="宋体"/>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77"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b/>
                <w:sz w:val="24"/>
              </w:rPr>
              <w:t>1</w:t>
            </w:r>
          </w:p>
        </w:tc>
        <w:tc>
          <w:tcPr>
            <w:tcW w:w="3256" w:type="dxa"/>
            <w:vAlign w:val="center"/>
          </w:tcPr>
          <w:p>
            <w:pPr>
              <w:tabs>
                <w:tab w:val="left" w:pos="8280"/>
              </w:tabs>
              <w:autoSpaceDE w:val="0"/>
              <w:autoSpaceDN w:val="0"/>
              <w:adjustRightInd w:val="0"/>
              <w:rPr>
                <w:rFonts w:hint="eastAsia" w:ascii="宋体" w:hAnsi="宋体" w:eastAsia="宋体" w:cs="宋体"/>
                <w:b/>
                <w:sz w:val="24"/>
                <w:lang w:eastAsia="zh-CN"/>
              </w:rPr>
            </w:pPr>
            <w:r>
              <w:rPr>
                <w:rFonts w:hint="eastAsia" w:ascii="宋体" w:hAnsi="宋体" w:cs="宋体"/>
                <w:b/>
                <w:sz w:val="24"/>
                <w:lang w:eastAsia="zh-CN"/>
              </w:rPr>
              <w:t>2024年台州湾新区取水管理服务（重新招标）</w:t>
            </w:r>
          </w:p>
        </w:tc>
        <w:tc>
          <w:tcPr>
            <w:tcW w:w="1088" w:type="dxa"/>
            <w:vAlign w:val="center"/>
          </w:tcPr>
          <w:p>
            <w:pPr>
              <w:tabs>
                <w:tab w:val="left" w:pos="8280"/>
              </w:tabs>
              <w:autoSpaceDE w:val="0"/>
              <w:autoSpaceDN w:val="0"/>
              <w:adjustRightInd w:val="0"/>
              <w:jc w:val="center"/>
              <w:rPr>
                <w:rFonts w:ascii="宋体" w:hAnsi="宋体" w:cs="宋体"/>
                <w:bCs/>
                <w:sz w:val="24"/>
              </w:rPr>
            </w:pPr>
            <w:r>
              <w:rPr>
                <w:rFonts w:hint="eastAsia" w:ascii="宋体" w:hAnsi="宋体" w:cs="宋体"/>
                <w:bCs/>
                <w:sz w:val="24"/>
              </w:rPr>
              <w:t>1</w:t>
            </w:r>
          </w:p>
        </w:tc>
        <w:tc>
          <w:tcPr>
            <w:tcW w:w="836" w:type="dxa"/>
            <w:vAlign w:val="center"/>
          </w:tcPr>
          <w:p>
            <w:pPr>
              <w:tabs>
                <w:tab w:val="left" w:pos="8280"/>
              </w:tabs>
              <w:autoSpaceDE w:val="0"/>
              <w:autoSpaceDN w:val="0"/>
              <w:adjustRightInd w:val="0"/>
              <w:jc w:val="center"/>
              <w:rPr>
                <w:rFonts w:ascii="宋体" w:hAnsi="宋体" w:cs="宋体"/>
                <w:bCs/>
                <w:sz w:val="24"/>
              </w:rPr>
            </w:pPr>
            <w:r>
              <w:rPr>
                <w:rFonts w:hint="eastAsia" w:ascii="宋体" w:hAnsi="宋体" w:cs="宋体"/>
                <w:bCs/>
                <w:sz w:val="24"/>
              </w:rPr>
              <w:t>项</w:t>
            </w:r>
          </w:p>
        </w:tc>
        <w:tc>
          <w:tcPr>
            <w:tcW w:w="1245" w:type="dxa"/>
            <w:vAlign w:val="center"/>
          </w:tcPr>
          <w:p>
            <w:pPr>
              <w:tabs>
                <w:tab w:val="left" w:pos="8280"/>
              </w:tabs>
              <w:autoSpaceDE w:val="0"/>
              <w:autoSpaceDN w:val="0"/>
              <w:adjustRightInd w:val="0"/>
              <w:jc w:val="center"/>
              <w:rPr>
                <w:rFonts w:ascii="宋体" w:hAnsi="宋体" w:cs="宋体"/>
                <w:bCs/>
                <w:sz w:val="24"/>
              </w:rPr>
            </w:pPr>
            <w:r>
              <w:rPr>
                <w:rFonts w:hint="eastAsia" w:ascii="宋体" w:hAnsi="宋体" w:cs="宋体"/>
                <w:bCs/>
                <w:sz w:val="24"/>
              </w:rPr>
              <w:t>8</w:t>
            </w:r>
          </w:p>
        </w:tc>
        <w:tc>
          <w:tcPr>
            <w:tcW w:w="1435" w:type="dxa"/>
            <w:vAlign w:val="center"/>
          </w:tcPr>
          <w:p>
            <w:pPr>
              <w:tabs>
                <w:tab w:val="left" w:pos="8280"/>
              </w:tabs>
              <w:autoSpaceDE w:val="0"/>
              <w:autoSpaceDN w:val="0"/>
              <w:adjustRightInd w:val="0"/>
              <w:jc w:val="center"/>
              <w:rPr>
                <w:rStyle w:val="77"/>
                <w:rFonts w:ascii="宋体" w:hAnsi="宋体"/>
                <w:sz w:val="24"/>
              </w:rPr>
            </w:pPr>
            <w:r>
              <w:rPr>
                <w:rStyle w:val="77"/>
                <w:rFonts w:hint="eastAsia" w:ascii="宋体" w:hAnsi="宋体"/>
                <w:sz w:val="24"/>
              </w:rPr>
              <w:t>8</w:t>
            </w:r>
          </w:p>
        </w:tc>
      </w:tr>
    </w:tbl>
    <w:p>
      <w:pPr>
        <w:tabs>
          <w:tab w:val="left" w:pos="8280"/>
        </w:tabs>
        <w:autoSpaceDE w:val="0"/>
        <w:autoSpaceDN w:val="0"/>
        <w:adjustRightInd w:val="0"/>
        <w:spacing w:line="360" w:lineRule="auto"/>
        <w:ind w:right="25"/>
        <w:rPr>
          <w:b/>
          <w:sz w:val="24"/>
        </w:rPr>
      </w:pPr>
      <w:r>
        <w:rPr>
          <w:rFonts w:hint="eastAsia"/>
          <w:b/>
          <w:sz w:val="24"/>
        </w:rPr>
        <w:t>二、服务需求</w:t>
      </w: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1.取水计量监测点率定工作</w:t>
      </w:r>
    </w:p>
    <w:p>
      <w:pPr>
        <w:spacing w:line="520" w:lineRule="exact"/>
        <w:ind w:firstLine="420"/>
        <w:rPr>
          <w:rFonts w:ascii="宋体" w:hAnsi="宋体" w:cs="宋体"/>
          <w:sz w:val="24"/>
        </w:rPr>
      </w:pPr>
      <w:r>
        <w:rPr>
          <w:rFonts w:hint="eastAsia" w:ascii="宋体" w:hAnsi="宋体" w:cs="宋体"/>
          <w:sz w:val="24"/>
        </w:rPr>
        <w:t>目前台州湾新区管委会取水计量监测点一共14个，其中有10个电磁流量计需要率定，率定完成后，需出具权威机构出具的率定校准报告。</w:t>
      </w:r>
    </w:p>
    <w:p>
      <w:pPr>
        <w:spacing w:line="520" w:lineRule="exact"/>
        <w:ind w:firstLine="420"/>
        <w:rPr>
          <w:rFonts w:ascii="宋体" w:hAnsi="宋体" w:cs="宋体"/>
          <w:sz w:val="24"/>
        </w:rPr>
      </w:pPr>
      <w:r>
        <w:rPr>
          <w:rFonts w:hint="eastAsia" w:ascii="宋体" w:hAnsi="宋体" w:cs="宋体"/>
          <w:sz w:val="24"/>
        </w:rPr>
        <w:t>具体清单如下：</w:t>
      </w:r>
    </w:p>
    <w:p>
      <w:pPr>
        <w:widowControl/>
        <w:spacing w:after="62" w:afterLines="20" w:line="520" w:lineRule="exact"/>
        <w:jc w:val="center"/>
      </w:pPr>
      <w:r>
        <w:rPr>
          <w:rFonts w:hint="eastAsia" w:ascii="宋体" w:hAnsi="宋体" w:cs="宋体"/>
          <w:b/>
          <w:color w:val="000000"/>
          <w:kern w:val="0"/>
          <w:sz w:val="28"/>
          <w:szCs w:val="28"/>
        </w:rPr>
        <w:t>取水在线实时监控系统率定比测清单</w:t>
      </w:r>
    </w:p>
    <w:tbl>
      <w:tblPr>
        <w:tblStyle w:val="29"/>
        <w:tblW w:w="8549" w:type="dxa"/>
        <w:jc w:val="center"/>
        <w:tblLayout w:type="fixed"/>
        <w:tblCellMar>
          <w:top w:w="0" w:type="dxa"/>
          <w:left w:w="108" w:type="dxa"/>
          <w:bottom w:w="0" w:type="dxa"/>
          <w:right w:w="108" w:type="dxa"/>
        </w:tblCellMar>
      </w:tblPr>
      <w:tblGrid>
        <w:gridCol w:w="588"/>
        <w:gridCol w:w="1575"/>
        <w:gridCol w:w="975"/>
        <w:gridCol w:w="855"/>
        <w:gridCol w:w="744"/>
        <w:gridCol w:w="999"/>
        <w:gridCol w:w="999"/>
        <w:gridCol w:w="898"/>
        <w:gridCol w:w="916"/>
      </w:tblGrid>
      <w:tr>
        <w:tblPrEx>
          <w:tblCellMar>
            <w:top w:w="0" w:type="dxa"/>
            <w:left w:w="108" w:type="dxa"/>
            <w:bottom w:w="0" w:type="dxa"/>
            <w:right w:w="108" w:type="dxa"/>
          </w:tblCellMar>
        </w:tblPrEx>
        <w:trPr>
          <w:trHeight w:val="495"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Style w:val="102"/>
                <w:rFonts w:hint="default"/>
                <w:b w:val="0"/>
                <w:bCs w:val="0"/>
              </w:rPr>
              <w:t>序号</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Style w:val="102"/>
                <w:rFonts w:hint="default"/>
                <w:b w:val="0"/>
                <w:bCs w:val="0"/>
              </w:rPr>
              <w:t>取水单位</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Style w:val="59"/>
                <w:rFonts w:hint="eastAsia" w:ascii="宋体" w:hAnsi="宋体" w:cs="宋体"/>
                <w:sz w:val="21"/>
                <w:szCs w:val="21"/>
              </w:rPr>
              <w:t>取水水源</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Style w:val="102"/>
                <w:rFonts w:hint="default"/>
                <w:b w:val="0"/>
                <w:bCs w:val="0"/>
              </w:rPr>
              <w:t>计量设备类型</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Style w:val="102"/>
                <w:rFonts w:hint="default"/>
                <w:b w:val="0"/>
                <w:bCs w:val="0"/>
              </w:rPr>
              <w:t>管径</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流量计出厂日期</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Style w:val="59"/>
                <w:rFonts w:hint="eastAsia" w:ascii="宋体" w:hAnsi="宋体" w:cs="宋体"/>
                <w:sz w:val="21"/>
                <w:szCs w:val="21"/>
              </w:rPr>
              <w:t>下次检定时间</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Style w:val="102"/>
                <w:rFonts w:hint="default"/>
                <w:b w:val="0"/>
                <w:bCs w:val="0"/>
              </w:rPr>
              <w:t>采集信号</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70"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浙江哥伦布纺织股份有限公司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八条河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DN80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2022.3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2024.3</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需率定</w:t>
            </w:r>
          </w:p>
        </w:tc>
      </w:tr>
      <w:tr>
        <w:tblPrEx>
          <w:tblCellMar>
            <w:top w:w="0" w:type="dxa"/>
            <w:left w:w="108" w:type="dxa"/>
            <w:bottom w:w="0" w:type="dxa"/>
            <w:right w:w="108" w:type="dxa"/>
          </w:tblCellMar>
        </w:tblPrEx>
        <w:trPr>
          <w:trHeight w:val="315"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浙江同康酒业有限公司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高闸浦河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DN50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2021.12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2023.12</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需率定</w:t>
            </w:r>
          </w:p>
        </w:tc>
      </w:tr>
      <w:tr>
        <w:tblPrEx>
          <w:tblCellMar>
            <w:top w:w="0" w:type="dxa"/>
            <w:left w:w="108" w:type="dxa"/>
            <w:bottom w:w="0" w:type="dxa"/>
            <w:right w:w="108" w:type="dxa"/>
          </w:tblCellMar>
        </w:tblPrEx>
        <w:trPr>
          <w:trHeight w:val="570"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3</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台州市凯达利塑纺有限公司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八条河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DN100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2021.12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2023.12</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需率定</w:t>
            </w:r>
          </w:p>
        </w:tc>
      </w:tr>
      <w:tr>
        <w:tblPrEx>
          <w:tblCellMar>
            <w:top w:w="0" w:type="dxa"/>
            <w:left w:w="108" w:type="dxa"/>
            <w:bottom w:w="0" w:type="dxa"/>
            <w:right w:w="108" w:type="dxa"/>
          </w:tblCellMar>
        </w:tblPrEx>
        <w:trPr>
          <w:trHeight w:val="570"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4</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台州振业纺织有限公司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鲍浦河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DN100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2021.12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2023.12</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需率定</w:t>
            </w:r>
          </w:p>
        </w:tc>
      </w:tr>
      <w:tr>
        <w:tblPrEx>
          <w:tblCellMar>
            <w:top w:w="0" w:type="dxa"/>
            <w:left w:w="108" w:type="dxa"/>
            <w:bottom w:w="0" w:type="dxa"/>
            <w:right w:w="108" w:type="dxa"/>
          </w:tblCellMar>
        </w:tblPrEx>
        <w:trPr>
          <w:trHeight w:val="570"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5</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台州市裕富隆布业有限公司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八条河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DN50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2021.12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2023.12</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需率定</w:t>
            </w:r>
          </w:p>
        </w:tc>
      </w:tr>
      <w:tr>
        <w:tblPrEx>
          <w:tblCellMar>
            <w:top w:w="0" w:type="dxa"/>
            <w:left w:w="108" w:type="dxa"/>
            <w:bottom w:w="0" w:type="dxa"/>
            <w:right w:w="108" w:type="dxa"/>
          </w:tblCellMar>
        </w:tblPrEx>
        <w:trPr>
          <w:trHeight w:val="510"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6</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Style w:val="105"/>
                <w:rFonts w:hint="default"/>
              </w:rPr>
              <w:t>台州市恒胜环保科技有限公司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Style w:val="105"/>
                <w:rFonts w:hint="default"/>
              </w:rPr>
              <w:t>七条河</w:t>
            </w:r>
            <w:r>
              <w:rPr>
                <w:rStyle w:val="106"/>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Style w:val="106"/>
                <w:rFonts w:hint="eastAsia" w:ascii="宋体" w:hAnsi="宋体" w:cs="宋体"/>
              </w:rPr>
              <w:t>DN150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2014.3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2023.9</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需率定</w:t>
            </w:r>
          </w:p>
        </w:tc>
      </w:tr>
      <w:tr>
        <w:tblPrEx>
          <w:tblCellMar>
            <w:top w:w="0" w:type="dxa"/>
            <w:left w:w="108" w:type="dxa"/>
            <w:bottom w:w="0" w:type="dxa"/>
            <w:right w:w="108" w:type="dxa"/>
          </w:tblCellMar>
        </w:tblPrEx>
        <w:trPr>
          <w:trHeight w:val="570"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7</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浙江方远新材料股份有限公司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九条河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DN150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2014.3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2023.9</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需率定</w:t>
            </w:r>
          </w:p>
        </w:tc>
      </w:tr>
      <w:tr>
        <w:tblPrEx>
          <w:tblCellMar>
            <w:top w:w="0" w:type="dxa"/>
            <w:left w:w="108" w:type="dxa"/>
            <w:bottom w:w="0" w:type="dxa"/>
            <w:right w:w="108" w:type="dxa"/>
          </w:tblCellMar>
        </w:tblPrEx>
        <w:trPr>
          <w:trHeight w:val="570"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8</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浙江宏港工贸有限公司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九条河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DN50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2021.12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2023.12</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需率定</w:t>
            </w:r>
          </w:p>
        </w:tc>
      </w:tr>
      <w:tr>
        <w:tblPrEx>
          <w:tblCellMar>
            <w:top w:w="0" w:type="dxa"/>
            <w:left w:w="108" w:type="dxa"/>
            <w:bottom w:w="0" w:type="dxa"/>
            <w:right w:w="108" w:type="dxa"/>
          </w:tblCellMar>
        </w:tblPrEx>
        <w:trPr>
          <w:trHeight w:val="570"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9</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浙江通力新材料科技股份有限公司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九条河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DN100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2021.12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2023.12</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需率定</w:t>
            </w:r>
          </w:p>
        </w:tc>
      </w:tr>
      <w:tr>
        <w:tblPrEx>
          <w:tblCellMar>
            <w:top w:w="0" w:type="dxa"/>
            <w:left w:w="108" w:type="dxa"/>
            <w:bottom w:w="0" w:type="dxa"/>
            <w:right w:w="108" w:type="dxa"/>
          </w:tblCellMar>
        </w:tblPrEx>
        <w:trPr>
          <w:trHeight w:val="495" w:hRule="atLeast"/>
          <w:jc w:val="center"/>
        </w:trPr>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10</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台州市皓强建材有限公司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九条河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DN100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2022.11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2024.11</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需率定</w:t>
            </w:r>
          </w:p>
        </w:tc>
      </w:tr>
      <w:tr>
        <w:tblPrEx>
          <w:tblCellMar>
            <w:top w:w="0" w:type="dxa"/>
            <w:left w:w="108" w:type="dxa"/>
            <w:bottom w:w="0" w:type="dxa"/>
            <w:right w:w="108" w:type="dxa"/>
          </w:tblCellMar>
        </w:tblPrEx>
        <w:trPr>
          <w:trHeight w:val="51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11</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台州宏建水泥构件有限公司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九条河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DN80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2023.5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2025.5</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无需率定</w:t>
            </w:r>
          </w:p>
        </w:tc>
      </w:tr>
      <w:tr>
        <w:tblPrEx>
          <w:tblCellMar>
            <w:top w:w="0" w:type="dxa"/>
            <w:left w:w="108" w:type="dxa"/>
            <w:bottom w:w="0" w:type="dxa"/>
            <w:right w:w="108" w:type="dxa"/>
          </w:tblCellMar>
        </w:tblPrEx>
        <w:trPr>
          <w:trHeight w:val="51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12</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浙江竞宏环保科技股份有限公司</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3"/>
                <w:rFonts w:hint="default"/>
              </w:rPr>
              <w:t>七条河</w:t>
            </w:r>
            <w:r>
              <w:rPr>
                <w:rStyle w:val="104"/>
                <w:rFonts w:hint="eastAsia" w:ascii="宋体" w:hAnsi="宋体" w:cs="宋体"/>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DN200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2014.5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2023.9</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szCs w:val="21"/>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待注销，无需率定</w:t>
            </w:r>
          </w:p>
        </w:tc>
      </w:tr>
      <w:tr>
        <w:tblPrEx>
          <w:tblCellMar>
            <w:top w:w="0" w:type="dxa"/>
            <w:left w:w="108" w:type="dxa"/>
            <w:bottom w:w="0" w:type="dxa"/>
            <w:right w:w="108" w:type="dxa"/>
          </w:tblCellMar>
        </w:tblPrEx>
        <w:trPr>
          <w:trHeight w:val="51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13</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台州市唐颂方远置业有限公司1#</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03"/>
                <w:rFonts w:hint="default"/>
              </w:rPr>
            </w:pPr>
            <w:r>
              <w:rPr>
                <w:rFonts w:hint="eastAsia" w:ascii="宋体" w:hAnsi="宋体" w:cs="宋体"/>
                <w:szCs w:val="21"/>
              </w:rPr>
              <w:t>区一条河、高闸浦</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04"/>
                <w:rFonts w:ascii="宋体" w:hAnsi="宋体" w:cs="宋体"/>
              </w:rPr>
            </w:pPr>
            <w:r>
              <w:rPr>
                <w:rStyle w:val="104"/>
                <w:rFonts w:hint="eastAsia" w:ascii="宋体" w:hAnsi="宋体" w:cs="宋体"/>
              </w:rPr>
              <w:t>DN100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2023.8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2025.8</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04"/>
                <w:rFonts w:ascii="宋体" w:hAnsi="宋体" w:cs="宋体"/>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333333"/>
                <w:kern w:val="0"/>
                <w:szCs w:val="21"/>
              </w:rPr>
              <w:t>无需率定</w:t>
            </w:r>
          </w:p>
        </w:tc>
      </w:tr>
      <w:tr>
        <w:tblPrEx>
          <w:tblCellMar>
            <w:top w:w="0" w:type="dxa"/>
            <w:left w:w="108" w:type="dxa"/>
            <w:bottom w:w="0" w:type="dxa"/>
            <w:right w:w="108" w:type="dxa"/>
          </w:tblCellMar>
        </w:tblPrEx>
        <w:trPr>
          <w:trHeight w:val="51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14</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台州市唐颂方远置业有限公司2#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03"/>
                <w:rFonts w:hint="default"/>
              </w:rPr>
            </w:pPr>
            <w:r>
              <w:rPr>
                <w:rFonts w:hint="eastAsia" w:ascii="宋体" w:hAnsi="宋体" w:cs="宋体"/>
                <w:szCs w:val="21"/>
              </w:rPr>
              <w:t>区一条河、高闸浦</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管段式电磁流量计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04"/>
                <w:rFonts w:ascii="宋体" w:hAnsi="宋体" w:cs="宋体"/>
              </w:rPr>
            </w:pPr>
            <w:r>
              <w:rPr>
                <w:rStyle w:val="104"/>
                <w:rFonts w:hint="eastAsia" w:ascii="宋体" w:hAnsi="宋体" w:cs="宋体"/>
              </w:rPr>
              <w:t>DN100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2023.8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2025.8</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04"/>
                <w:rFonts w:ascii="宋体" w:hAnsi="宋体" w:cs="宋体"/>
              </w:rPr>
            </w:pPr>
            <w:r>
              <w:rPr>
                <w:rStyle w:val="104"/>
                <w:rFonts w:hint="eastAsia" w:ascii="宋体" w:hAnsi="宋体" w:cs="宋体"/>
              </w:rPr>
              <w:t>RS485</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333333"/>
                <w:kern w:val="0"/>
                <w:szCs w:val="21"/>
              </w:rPr>
              <w:t>无需率定</w:t>
            </w:r>
          </w:p>
        </w:tc>
      </w:tr>
    </w:tbl>
    <w:p>
      <w:pPr>
        <w:spacing w:line="312" w:lineRule="auto"/>
        <w:ind w:firstLine="480"/>
        <w:rPr>
          <w:sz w:val="24"/>
        </w:rPr>
      </w:pP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2取水计量监测点运维工作</w:t>
      </w:r>
    </w:p>
    <w:p>
      <w:pPr>
        <w:spacing w:line="520" w:lineRule="exact"/>
        <w:ind w:firstLine="420"/>
        <w:rPr>
          <w:rFonts w:ascii="宋体" w:hAnsi="宋体" w:cs="宋体"/>
          <w:sz w:val="24"/>
        </w:rPr>
      </w:pPr>
      <w:r>
        <w:rPr>
          <w:rFonts w:hint="eastAsia" w:ascii="宋体" w:hAnsi="宋体" w:cs="宋体"/>
          <w:sz w:val="24"/>
        </w:rPr>
        <w:t>根据省市相关部门及规范要求负责做好2024年度台州湾新区管委会15个监测站点的取水实时监测设施的运行维护工作，但其中浙江竞宏新材料有限公司因为企业破产清算，不纳入本年运维工作，2024年度运维总计14个点位，运维期为2024年一整年。具体维保站点名称详见清单。</w:t>
      </w:r>
    </w:p>
    <w:p>
      <w:pPr>
        <w:widowControl/>
        <w:spacing w:after="62" w:afterLines="20" w:line="520" w:lineRule="exact"/>
        <w:jc w:val="center"/>
        <w:rPr>
          <w:rFonts w:ascii="宋体" w:hAnsi="宋体" w:cs="宋体"/>
          <w:b/>
          <w:color w:val="000000"/>
          <w:kern w:val="0"/>
          <w:sz w:val="28"/>
          <w:szCs w:val="28"/>
        </w:rPr>
      </w:pPr>
      <w:r>
        <w:rPr>
          <w:rFonts w:hint="eastAsia" w:ascii="宋体" w:hAnsi="宋体" w:cs="宋体"/>
          <w:b/>
          <w:color w:val="000000"/>
          <w:kern w:val="0"/>
          <w:sz w:val="28"/>
          <w:szCs w:val="28"/>
        </w:rPr>
        <w:t>取水在线实时监控系统维保站点清单</w:t>
      </w:r>
    </w:p>
    <w:tbl>
      <w:tblPr>
        <w:tblStyle w:val="29"/>
        <w:tblW w:w="8437" w:type="dxa"/>
        <w:jc w:val="center"/>
        <w:tblLayout w:type="fixed"/>
        <w:tblCellMar>
          <w:top w:w="0" w:type="dxa"/>
          <w:left w:w="108" w:type="dxa"/>
          <w:bottom w:w="0" w:type="dxa"/>
          <w:right w:w="108" w:type="dxa"/>
        </w:tblCellMar>
      </w:tblPr>
      <w:tblGrid>
        <w:gridCol w:w="504"/>
        <w:gridCol w:w="2036"/>
        <w:gridCol w:w="922"/>
        <w:gridCol w:w="408"/>
        <w:gridCol w:w="1518"/>
        <w:gridCol w:w="800"/>
        <w:gridCol w:w="748"/>
        <w:gridCol w:w="1501"/>
      </w:tblGrid>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监测点名称</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sim卡</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表具号</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计量设备类型</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管径</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采集信号</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许可证</w:t>
            </w:r>
          </w:p>
        </w:tc>
      </w:tr>
      <w:tr>
        <w:tblPrEx>
          <w:tblCellMar>
            <w:top w:w="0" w:type="dxa"/>
            <w:left w:w="108" w:type="dxa"/>
            <w:bottom w:w="0" w:type="dxa"/>
            <w:right w:w="108" w:type="dxa"/>
          </w:tblCellMar>
        </w:tblPrEx>
        <w:trPr>
          <w:trHeight w:val="60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（椒江）哥伦布纺织印染公司1#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13655272907</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DN125</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D331099S2022-0003</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台州市恒胜环保科技有限公司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13655272903</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DN200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D331099S2023-0002</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浙江方远新材料股份有限公司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13655272904</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DN150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D331099S2022-0002</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台州宏建水泥构件有限公司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13655539362</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DN80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D331099S2023-0007</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台州市凯达利塑纺有限公司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13655839472</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DN50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D331099S2022-0001</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台州市唐颂方远置业有限公司1#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13655547095</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DN100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D331099S2023-0006</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台州市唐颂方远置业有限公司2#</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13655548209</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DN100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D331099S2023-0006</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台州市裕富隆布业有限公司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13655839504</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DN50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D331099S2022-0004</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台州市皓强建材有限公司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13655539300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DN100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D331099S2023-0005</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台州振业纺织有限公司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13655839501</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DN50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D331099S2022-0005</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浙江宏港工贸有限公司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13655839505</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DN100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D331099S2022-0006</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浙江通力新材料科技股份有限公司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13655839506</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DN100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D331099S2023-0004</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浙江同康酒业有限公司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13655839502</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DN50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D331099S2023-0003</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14</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浙江方远新强低碳建材有限公司</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13655546584</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DN100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RS485</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D331099S2024-0001</w:t>
            </w:r>
          </w:p>
        </w:tc>
      </w:tr>
      <w:tr>
        <w:tblPrEx>
          <w:tblCellMar>
            <w:top w:w="0" w:type="dxa"/>
            <w:left w:w="108" w:type="dxa"/>
            <w:bottom w:w="0" w:type="dxa"/>
            <w:right w:w="108" w:type="dxa"/>
          </w:tblCellMar>
        </w:tblPrEx>
        <w:trPr>
          <w:trHeight w:val="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2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浙江竞宏新材料有限公司（此点位待注销，本年不在运维）</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13655209475</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电磁流量计</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DN200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RS485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D331099S2023-0001</w:t>
            </w:r>
          </w:p>
        </w:tc>
      </w:tr>
    </w:tbl>
    <w:p>
      <w:pPr>
        <w:spacing w:line="360" w:lineRule="auto"/>
        <w:ind w:firstLine="480" w:firstLineChars="200"/>
        <w:jc w:val="left"/>
        <w:rPr>
          <w:rFonts w:ascii="宋体" w:hAnsi="宋体" w:cs="宋体"/>
          <w:sz w:val="24"/>
        </w:rPr>
      </w:pPr>
      <w:r>
        <w:rPr>
          <w:rFonts w:hint="eastAsia" w:cs="宋体"/>
          <w:sz w:val="24"/>
        </w:rPr>
        <w:t>台州湾新区取水实时监控系统运行维护</w:t>
      </w:r>
      <w:r>
        <w:rPr>
          <w:rFonts w:hint="eastAsia" w:ascii="宋体" w:hAnsi="宋体" w:cs="宋体"/>
          <w:sz w:val="24"/>
        </w:rPr>
        <w:t>工作需按照省水利厅关于印发《浙江省取水实时监控系统运行维护实施细则（试行）的通知》（浙水保〔2018〕26号）执行要求，系统的正常运行维护，包括监控软件平台技术服务及用水户现场数据通讯站点维护服务，保障各站点数据的准确采集，整个运行技术服务工作系统化、规范化、档案化，使整个系统正常运行，以达到用户实际使用要求。</w:t>
      </w:r>
    </w:p>
    <w:p>
      <w:pPr>
        <w:adjustRightInd w:val="0"/>
        <w:snapToGrid w:val="0"/>
        <w:spacing w:line="360" w:lineRule="auto"/>
        <w:ind w:firstLine="482" w:firstLineChars="200"/>
        <w:rPr>
          <w:b/>
          <w:bCs/>
          <w:sz w:val="24"/>
          <w:szCs w:val="28"/>
        </w:rPr>
      </w:pPr>
      <w:r>
        <w:rPr>
          <w:rFonts w:hint="eastAsia"/>
          <w:b/>
          <w:bCs/>
          <w:sz w:val="24"/>
          <w:szCs w:val="28"/>
        </w:rPr>
        <w:t>（1）维护服务内容：</w:t>
      </w:r>
    </w:p>
    <w:p>
      <w:pPr>
        <w:adjustRightInd w:val="0"/>
        <w:snapToGrid w:val="0"/>
        <w:spacing w:line="360" w:lineRule="auto"/>
        <w:ind w:firstLine="482" w:firstLineChars="200"/>
        <w:rPr>
          <w:rFonts w:ascii="宋体" w:hAnsi="宋体" w:cs="宋体"/>
          <w:b/>
          <w:bCs/>
          <w:sz w:val="24"/>
        </w:rPr>
      </w:pPr>
      <w:r>
        <w:rPr>
          <w:rFonts w:hint="eastAsia" w:ascii="宋体" w:hAnsi="宋体"/>
          <w:b/>
          <w:bCs/>
          <w:sz w:val="24"/>
          <w:szCs w:val="28"/>
        </w:rPr>
        <w:t>①</w:t>
      </w:r>
      <w:r>
        <w:rPr>
          <w:rFonts w:hint="eastAsia" w:ascii="宋体" w:hAnsi="宋体" w:cs="宋体"/>
          <w:b/>
          <w:bCs/>
          <w:sz w:val="24"/>
        </w:rPr>
        <w:t>监控软件平台技术服务</w:t>
      </w:r>
    </w:p>
    <w:p>
      <w:pPr>
        <w:adjustRightInd w:val="0"/>
        <w:snapToGrid w:val="0"/>
        <w:spacing w:line="360" w:lineRule="auto"/>
        <w:ind w:firstLine="480" w:firstLineChars="200"/>
        <w:rPr>
          <w:sz w:val="24"/>
          <w:szCs w:val="28"/>
        </w:rPr>
      </w:pPr>
      <w:r>
        <w:rPr>
          <w:rFonts w:hint="eastAsia"/>
          <w:sz w:val="24"/>
          <w:szCs w:val="28"/>
        </w:rPr>
        <w:t>监控软件平台日常故障检查和维护，软件功能检测，技术支持（远程或现场）等，采用包年技术服务。每年度对服务器开展2次网络安全检测，做好防病毒系统病毒库升级维护工作，确保病毒防护及服务器系统稳定运行。每年进行1次取水实时监控系统平台更新服务（服务器系统软件和取水实时监控系统软件重装或升级），每年进行1次数据备份。</w:t>
      </w:r>
    </w:p>
    <w:p>
      <w:pPr>
        <w:adjustRightInd w:val="0"/>
        <w:snapToGrid w:val="0"/>
        <w:spacing w:line="360" w:lineRule="auto"/>
        <w:ind w:firstLine="482" w:firstLineChars="200"/>
      </w:pPr>
      <w:r>
        <w:rPr>
          <w:rFonts w:hint="eastAsia"/>
          <w:b/>
          <w:bCs/>
          <w:sz w:val="24"/>
          <w:szCs w:val="28"/>
        </w:rPr>
        <w:t>每月对所有纳入监控的站点数据进行水量核查，每月对纳入省级监控平台的监控水量核对，按季度或年度对因监测故障、计量异常或者其他原因造成数据偏差异常的站点数据经相关管理单位核准进行平台数据人工复核填报。</w:t>
      </w:r>
    </w:p>
    <w:p>
      <w:pPr>
        <w:adjustRightInd w:val="0"/>
        <w:snapToGrid w:val="0"/>
        <w:spacing w:line="360" w:lineRule="auto"/>
        <w:ind w:firstLine="480" w:firstLineChars="200"/>
        <w:rPr>
          <w:sz w:val="24"/>
          <w:szCs w:val="28"/>
        </w:rPr>
      </w:pPr>
      <w:r>
        <w:rPr>
          <w:rFonts w:hint="eastAsia"/>
          <w:sz w:val="24"/>
          <w:szCs w:val="28"/>
        </w:rPr>
        <w:t>对实时取水信息进行在线统计分析、可以进行分时段查询、报表打印等功能；提供业主所需的各类报表。确保GPRS数据监听通畅，进行日常的管理、日志检查。系统的核心数据中心库进行软件维护，提高中心数据传输的时效性。取水实时监控点信息进行日常维护，确保计量数据准确、无线通讯畅通。</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②站点故障维护</w:t>
      </w:r>
    </w:p>
    <w:p>
      <w:pPr>
        <w:adjustRightInd w:val="0"/>
        <w:snapToGrid w:val="0"/>
        <w:spacing w:line="360" w:lineRule="auto"/>
        <w:ind w:firstLine="480" w:firstLineChars="200"/>
        <w:rPr>
          <w:sz w:val="24"/>
          <w:szCs w:val="28"/>
        </w:rPr>
      </w:pPr>
      <w:r>
        <w:rPr>
          <w:rFonts w:hint="eastAsia" w:ascii="宋体" w:hAnsi="宋体" w:cs="宋体"/>
          <w:kern w:val="0"/>
          <w:sz w:val="24"/>
        </w:rPr>
        <w:t>站点故障根据实际发生情况，运维单位在规定响应时间内，到现场进行维修。</w:t>
      </w:r>
    </w:p>
    <w:p>
      <w:pPr>
        <w:spacing w:line="360" w:lineRule="auto"/>
        <w:ind w:firstLine="482" w:firstLineChars="200"/>
        <w:rPr>
          <w:b/>
          <w:bCs/>
          <w:sz w:val="24"/>
          <w:szCs w:val="28"/>
        </w:rPr>
      </w:pPr>
      <w:r>
        <w:rPr>
          <w:rFonts w:hint="eastAsia"/>
          <w:b/>
          <w:bCs/>
          <w:sz w:val="24"/>
          <w:szCs w:val="28"/>
        </w:rPr>
        <w:t>（2）运维服务要求：</w:t>
      </w:r>
    </w:p>
    <w:p>
      <w:pPr>
        <w:spacing w:line="360" w:lineRule="auto"/>
        <w:ind w:firstLine="482" w:firstLineChars="200"/>
        <w:rPr>
          <w:rFonts w:ascii="宋体" w:hAnsi="宋体" w:cs="宋体"/>
          <w:b/>
          <w:bCs/>
          <w:sz w:val="24"/>
          <w:szCs w:val="28"/>
        </w:rPr>
      </w:pPr>
      <w:r>
        <w:rPr>
          <w:rFonts w:hint="eastAsia" w:ascii="宋体" w:hAnsi="宋体" w:cs="宋体"/>
          <w:b/>
          <w:bCs/>
          <w:sz w:val="24"/>
          <w:szCs w:val="28"/>
        </w:rPr>
        <w:t xml:space="preserve">①电话支持响应 </w:t>
      </w:r>
    </w:p>
    <w:p>
      <w:pPr>
        <w:spacing w:line="360" w:lineRule="auto"/>
        <w:ind w:firstLine="480" w:firstLineChars="200"/>
        <w:rPr>
          <w:rFonts w:ascii="宋体" w:hAnsi="宋体" w:cs="宋体"/>
          <w:sz w:val="24"/>
          <w:szCs w:val="28"/>
        </w:rPr>
      </w:pPr>
      <w:r>
        <w:rPr>
          <w:rFonts w:hint="eastAsia" w:ascii="宋体" w:hAnsi="宋体" w:cs="宋体"/>
          <w:sz w:val="24"/>
          <w:szCs w:val="28"/>
        </w:rPr>
        <w:t>要求提供7*24小时内不间断的电话服务支持，不限次。招标人在使用维保范围内所有设备时，如遇到问题,无论是软件、 硬件或是其他相关联系统设备,都随时可以从中标人得到电话支持与帮助。中标人需指定一名主要联系人及两名替补联系人与采购人联系。一旦接到采购人请求电话,中标人的技术人员将在规定时间内通过电话解决或回答采购人所提出的问题。若中标人指定工程师如果因特殊原因离职或更换电话，及时通知采购人，并指定合格的接替人员。</w:t>
      </w:r>
    </w:p>
    <w:p>
      <w:pPr>
        <w:spacing w:line="360" w:lineRule="auto"/>
        <w:ind w:firstLine="482" w:firstLineChars="200"/>
        <w:rPr>
          <w:rFonts w:ascii="宋体" w:hAnsi="宋体" w:cs="宋体"/>
          <w:b/>
          <w:bCs/>
          <w:sz w:val="24"/>
          <w:szCs w:val="28"/>
        </w:rPr>
      </w:pPr>
      <w:r>
        <w:rPr>
          <w:rFonts w:hint="eastAsia" w:ascii="宋体" w:hAnsi="宋体" w:cs="宋体"/>
          <w:b/>
          <w:bCs/>
          <w:sz w:val="24"/>
          <w:szCs w:val="28"/>
        </w:rPr>
        <w:t>②现场支持响应</w:t>
      </w:r>
    </w:p>
    <w:p>
      <w:pPr>
        <w:spacing w:line="360" w:lineRule="auto"/>
        <w:ind w:firstLine="480" w:firstLineChars="200"/>
        <w:rPr>
          <w:rFonts w:ascii="宋体" w:hAnsi="宋体" w:cs="宋体"/>
          <w:sz w:val="24"/>
          <w:szCs w:val="28"/>
        </w:rPr>
      </w:pPr>
      <w:r>
        <w:rPr>
          <w:rFonts w:hint="eastAsia" w:ascii="宋体" w:hAnsi="宋体" w:cs="宋体"/>
          <w:sz w:val="24"/>
          <w:szCs w:val="28"/>
        </w:rPr>
        <w:t xml:space="preserve">对于关键性问题（影响采购人业务正常运作的故障） </w:t>
      </w:r>
    </w:p>
    <w:p>
      <w:pPr>
        <w:spacing w:line="360" w:lineRule="auto"/>
        <w:ind w:firstLine="480" w:firstLineChars="200"/>
        <w:rPr>
          <w:rFonts w:ascii="宋体" w:hAnsi="宋体" w:cs="宋体"/>
          <w:sz w:val="24"/>
          <w:szCs w:val="28"/>
        </w:rPr>
      </w:pPr>
      <w:r>
        <w:rPr>
          <w:rFonts w:hint="eastAsia" w:ascii="宋体" w:hAnsi="宋体" w:cs="宋体"/>
          <w:sz w:val="24"/>
          <w:szCs w:val="28"/>
        </w:rPr>
        <w:t>响应时间：1小时内；</w:t>
      </w:r>
    </w:p>
    <w:p>
      <w:pPr>
        <w:spacing w:line="360" w:lineRule="auto"/>
        <w:ind w:firstLine="480" w:firstLineChars="200"/>
        <w:rPr>
          <w:rFonts w:ascii="宋体" w:hAnsi="宋体" w:cs="宋体"/>
          <w:sz w:val="24"/>
          <w:szCs w:val="28"/>
        </w:rPr>
      </w:pPr>
      <w:r>
        <w:rPr>
          <w:rFonts w:hint="eastAsia" w:ascii="宋体" w:hAnsi="宋体" w:cs="宋体"/>
          <w:sz w:val="24"/>
          <w:szCs w:val="28"/>
        </w:rPr>
        <w:t>到场时间：4小时内到达现场；</w:t>
      </w:r>
    </w:p>
    <w:p>
      <w:pPr>
        <w:spacing w:line="360" w:lineRule="auto"/>
        <w:ind w:firstLine="480" w:firstLineChars="200"/>
        <w:rPr>
          <w:rFonts w:ascii="宋体" w:hAnsi="宋体" w:cs="宋体"/>
          <w:sz w:val="24"/>
          <w:szCs w:val="28"/>
        </w:rPr>
      </w:pPr>
      <w:r>
        <w:rPr>
          <w:rFonts w:hint="eastAsia" w:ascii="宋体" w:hAnsi="宋体" w:cs="宋体"/>
          <w:sz w:val="24"/>
          <w:szCs w:val="28"/>
        </w:rPr>
        <w:t>修复时间：12小时内修复。</w:t>
      </w:r>
    </w:p>
    <w:p>
      <w:pPr>
        <w:spacing w:line="360" w:lineRule="auto"/>
        <w:ind w:firstLine="480" w:firstLineChars="200"/>
        <w:rPr>
          <w:rFonts w:ascii="宋体" w:hAnsi="宋体" w:cs="宋体"/>
          <w:sz w:val="24"/>
          <w:szCs w:val="28"/>
        </w:rPr>
      </w:pPr>
      <w:r>
        <w:rPr>
          <w:rFonts w:hint="eastAsia" w:ascii="宋体" w:hAnsi="宋体" w:cs="宋体"/>
          <w:sz w:val="24"/>
          <w:szCs w:val="28"/>
        </w:rPr>
        <w:t>对于一般问题（不影响采购人业务正常运作的故障）</w:t>
      </w:r>
    </w:p>
    <w:p>
      <w:pPr>
        <w:spacing w:line="360" w:lineRule="auto"/>
        <w:ind w:firstLine="480" w:firstLineChars="200"/>
        <w:rPr>
          <w:rFonts w:ascii="宋体" w:hAnsi="宋体" w:cs="宋体"/>
          <w:sz w:val="24"/>
          <w:szCs w:val="28"/>
        </w:rPr>
      </w:pPr>
      <w:r>
        <w:rPr>
          <w:rFonts w:hint="eastAsia" w:ascii="宋体" w:hAnsi="宋体" w:cs="宋体"/>
          <w:sz w:val="24"/>
          <w:szCs w:val="28"/>
        </w:rPr>
        <w:t>响应时间：1小时内；</w:t>
      </w:r>
    </w:p>
    <w:p>
      <w:pPr>
        <w:spacing w:line="360" w:lineRule="auto"/>
        <w:ind w:firstLine="480" w:firstLineChars="200"/>
        <w:rPr>
          <w:rFonts w:ascii="宋体" w:hAnsi="宋体" w:cs="宋体"/>
          <w:sz w:val="24"/>
          <w:szCs w:val="28"/>
        </w:rPr>
      </w:pPr>
      <w:r>
        <w:rPr>
          <w:rFonts w:hint="eastAsia" w:ascii="宋体" w:hAnsi="宋体" w:cs="宋体"/>
          <w:sz w:val="24"/>
          <w:szCs w:val="28"/>
        </w:rPr>
        <w:t>到场时间：12小时内到达现场;</w:t>
      </w:r>
    </w:p>
    <w:p>
      <w:pPr>
        <w:spacing w:line="360" w:lineRule="auto"/>
        <w:ind w:firstLine="480" w:firstLineChars="200"/>
        <w:rPr>
          <w:rFonts w:ascii="宋体" w:hAnsi="宋体" w:cs="宋体"/>
          <w:sz w:val="24"/>
          <w:szCs w:val="28"/>
        </w:rPr>
      </w:pPr>
      <w:r>
        <w:rPr>
          <w:rFonts w:hint="eastAsia" w:ascii="宋体" w:hAnsi="宋体" w:cs="宋体"/>
          <w:sz w:val="24"/>
          <w:szCs w:val="28"/>
        </w:rPr>
        <w:t>修复时间：24小时内修复。</w:t>
      </w:r>
    </w:p>
    <w:p>
      <w:pPr>
        <w:spacing w:line="360" w:lineRule="auto"/>
        <w:ind w:firstLine="480" w:firstLineChars="200"/>
        <w:rPr>
          <w:rFonts w:ascii="宋体" w:hAnsi="宋体" w:cs="宋体"/>
          <w:sz w:val="24"/>
          <w:szCs w:val="28"/>
        </w:rPr>
      </w:pPr>
      <w:r>
        <w:rPr>
          <w:rFonts w:hint="eastAsia" w:ascii="宋体" w:hAnsi="宋体" w:cs="宋体"/>
          <w:sz w:val="24"/>
          <w:szCs w:val="28"/>
        </w:rPr>
        <w:t>中标人接到采购人故障呼叫后，要及时派其他相关技术服务人员做现场服务，现场服务次数和时间不限定。</w:t>
      </w:r>
    </w:p>
    <w:p>
      <w:pPr>
        <w:pStyle w:val="107"/>
        <w:spacing w:line="360" w:lineRule="auto"/>
        <w:ind w:firstLine="482" w:firstLineChars="200"/>
        <w:rPr>
          <w:rFonts w:cs="宋体"/>
          <w:b/>
          <w:bCs/>
          <w:kern w:val="2"/>
          <w:szCs w:val="28"/>
          <w:lang w:eastAsia="zh-CN"/>
        </w:rPr>
      </w:pPr>
      <w:r>
        <w:rPr>
          <w:rFonts w:hint="eastAsia" w:cs="宋体"/>
          <w:b/>
          <w:bCs/>
          <w:kern w:val="2"/>
          <w:szCs w:val="28"/>
          <w:lang w:eastAsia="zh-CN"/>
        </w:rPr>
        <w:t>③现场维修标准</w:t>
      </w:r>
    </w:p>
    <w:p>
      <w:pPr>
        <w:pStyle w:val="107"/>
        <w:spacing w:line="360" w:lineRule="auto"/>
        <w:ind w:firstLine="480" w:firstLineChars="200"/>
        <w:rPr>
          <w:rFonts w:cs="宋体"/>
          <w:lang w:eastAsia="zh-CN"/>
        </w:rPr>
      </w:pPr>
      <w:r>
        <w:rPr>
          <w:rFonts w:hint="eastAsia" w:cs="宋体"/>
          <w:szCs w:val="28"/>
          <w:lang w:eastAsia="zh-CN"/>
        </w:rPr>
        <w:t>对</w:t>
      </w:r>
      <w:r>
        <w:rPr>
          <w:rFonts w:hint="eastAsia" w:cs="宋体"/>
          <w:lang w:eastAsia="zh-CN"/>
        </w:rPr>
        <w:t>用水户现场数据通讯站点</w:t>
      </w:r>
      <w:r>
        <w:rPr>
          <w:rFonts w:hint="eastAsia" w:cs="宋体"/>
          <w:szCs w:val="28"/>
          <w:lang w:eastAsia="zh-CN"/>
        </w:rPr>
        <w:t>进行日常维护，确保计量数据准确、无线通讯畅通。当有紧急故障发生时，</w:t>
      </w:r>
      <w:r>
        <w:rPr>
          <w:rFonts w:hint="eastAsia" w:cs="宋体"/>
          <w:szCs w:val="24"/>
          <w:lang w:eastAsia="zh-CN"/>
        </w:rPr>
        <w:t>在接到故障通知后，应在24小时内响应答复，确定维护方案和时间安排，尽快组织专业技术人员到现场处理。除特殊配件需订货等原因外，要求7日内解决所有问题，确保整个系统和各站点正常运行</w:t>
      </w:r>
      <w:r>
        <w:rPr>
          <w:rFonts w:hint="eastAsia" w:cs="宋体"/>
          <w:szCs w:val="28"/>
          <w:lang w:eastAsia="zh-CN"/>
        </w:rPr>
        <w:t>。并且在修复故障后，应继续留在现场、分析检查故障原因、解答采购人有关技术咨询，直到征得采购人同意并确认系统完全没有问题时，方可离开。</w:t>
      </w:r>
    </w:p>
    <w:p>
      <w:pPr>
        <w:pStyle w:val="107"/>
        <w:spacing w:line="360" w:lineRule="auto"/>
        <w:ind w:firstLine="482" w:firstLineChars="200"/>
        <w:rPr>
          <w:rFonts w:cs="宋体"/>
          <w:b/>
          <w:bCs/>
          <w:kern w:val="2"/>
          <w:szCs w:val="28"/>
          <w:lang w:eastAsia="zh-CN"/>
        </w:rPr>
      </w:pPr>
      <w:r>
        <w:rPr>
          <w:rFonts w:hint="eastAsia" w:cs="宋体"/>
          <w:b/>
          <w:bCs/>
          <w:kern w:val="2"/>
          <w:szCs w:val="28"/>
          <w:lang w:eastAsia="zh-CN"/>
        </w:rPr>
        <w:t>（3）运维服务记录要求</w:t>
      </w:r>
    </w:p>
    <w:p>
      <w:pPr>
        <w:spacing w:line="360" w:lineRule="auto"/>
        <w:ind w:firstLine="480" w:firstLineChars="200"/>
        <w:jc w:val="left"/>
        <w:rPr>
          <w:rFonts w:ascii="宋体" w:hAnsi="宋体" w:cs="宋体"/>
          <w:sz w:val="24"/>
        </w:rPr>
      </w:pPr>
      <w:r>
        <w:rPr>
          <w:rFonts w:hint="eastAsia" w:ascii="宋体" w:hAnsi="宋体" w:cs="宋体"/>
          <w:sz w:val="24"/>
        </w:rPr>
        <w:t>中标人须做好服务记录，包括站点名称、时间、具体问题、处理方法、更换设备以及重要参数等。记录资料应按统一表式制作，字迹清楚，按年汇总台账后送采购人备案一份。</w:t>
      </w: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3.2024年取水企业延续评估</w:t>
      </w:r>
    </w:p>
    <w:p>
      <w:pPr>
        <w:spacing w:line="520" w:lineRule="exact"/>
        <w:ind w:firstLine="420"/>
        <w:rPr>
          <w:rFonts w:ascii="宋体" w:hAnsi="宋体" w:cs="宋体"/>
          <w:sz w:val="24"/>
        </w:rPr>
      </w:pPr>
      <w:r>
        <w:rPr>
          <w:rFonts w:hint="eastAsia" w:ascii="宋体" w:hAnsi="宋体" w:cs="宋体"/>
          <w:sz w:val="24"/>
        </w:rPr>
        <w:t>对台州湾新区一家到期换证自备取水户的实际取用水量，节水水平和水资源供需情况进行评估，出具符合规范的延续评估报告查。</w:t>
      </w:r>
    </w:p>
    <w:p>
      <w:pPr>
        <w:pStyle w:val="41"/>
        <w:ind w:firstLine="0" w:firstLineChars="0"/>
        <w:rPr>
          <w:b/>
          <w:bCs/>
        </w:rPr>
      </w:pPr>
      <w:r>
        <w:rPr>
          <w:rFonts w:hint="eastAsia"/>
          <w:b/>
          <w:bCs/>
        </w:rPr>
        <w:t>三、商务需求</w:t>
      </w:r>
    </w:p>
    <w:p>
      <w:pPr>
        <w:adjustRightInd w:val="0"/>
        <w:spacing w:line="360" w:lineRule="auto"/>
        <w:ind w:firstLine="542" w:firstLineChars="225"/>
        <w:rPr>
          <w:rFonts w:asciiTheme="minorEastAsia" w:hAnsiTheme="minorEastAsia" w:eastAsiaTheme="minorEastAsia"/>
          <w:b/>
          <w:sz w:val="24"/>
        </w:rPr>
      </w:pPr>
      <w:r>
        <w:rPr>
          <w:rFonts w:hint="eastAsia" w:asciiTheme="minorEastAsia" w:hAnsiTheme="minorEastAsia" w:eastAsiaTheme="minorEastAsia"/>
          <w:b/>
          <w:sz w:val="24"/>
        </w:rPr>
        <w:t>（一）报价要求：</w:t>
      </w:r>
    </w:p>
    <w:p>
      <w:pPr>
        <w:widowControl/>
        <w:shd w:val="clear" w:color="auto" w:fill="FFFFFF"/>
        <w:snapToGrid w:val="0"/>
        <w:spacing w:line="360" w:lineRule="auto"/>
        <w:ind w:firstLine="422" w:firstLineChars="176"/>
        <w:jc w:val="left"/>
        <w:rPr>
          <w:rFonts w:ascii="宋体" w:hAnsi="宋体" w:cs="宋体"/>
          <w:kern w:val="0"/>
          <w:sz w:val="24"/>
          <w:lang w:bidi="en-US"/>
        </w:rPr>
      </w:pPr>
      <w:r>
        <w:rPr>
          <w:rFonts w:hint="eastAsia" w:ascii="宋体" w:hAnsi="宋体" w:cs="宋体"/>
          <w:kern w:val="0"/>
          <w:sz w:val="24"/>
          <w:lang w:bidi="en-US"/>
        </w:rPr>
        <w:t>1）本招标文件中的服务需求不得被认为是详尽无遗的，无论规定与否，供应商都应提供所有采购人没有规定但供应商认为完成本项目操作和使用，必要或必须的服务内容。投标供应商应对招标工作范围内容进行报价，不允许只对部分内容进行报价。</w:t>
      </w:r>
    </w:p>
    <w:p>
      <w:pPr>
        <w:adjustRightInd w:val="0"/>
        <w:snapToGrid w:val="0"/>
        <w:spacing w:line="360" w:lineRule="auto"/>
        <w:ind w:firstLine="420"/>
        <w:rPr>
          <w:rFonts w:ascii="宋体" w:hAnsi="宋体" w:cs="宋体"/>
          <w:kern w:val="0"/>
          <w:sz w:val="24"/>
          <w:lang w:bidi="en-US"/>
        </w:rPr>
      </w:pPr>
      <w:r>
        <w:rPr>
          <w:rFonts w:hint="eastAsia" w:ascii="宋体" w:hAnsi="宋体" w:cs="宋体"/>
          <w:kern w:val="0"/>
          <w:sz w:val="24"/>
          <w:lang w:bidi="en-US"/>
        </w:rPr>
        <w:t>2）供应商报价应包括取水点位现场踏勘、取水户资料收集整理、组织评审费、餐费、住宿费、目评审验收后如需对方案进行部分调整、修改、报相关主管部门审批、张贴公示、咨询费、风险费、保险、利润、规费、税金、政策性文件规定及合同包含的所有风险、责任等完成本项目所有费用。投标供应商的报价应为承包完成本次招标需完成全部工作所发生的所有费用，并承担一切风险责任。投标供应商应结合项目特点，市场行情及投标供应商自身的技术，管理水平，竞争能力，确定最终报价。</w:t>
      </w:r>
    </w:p>
    <w:p>
      <w:pPr>
        <w:adjustRightInd w:val="0"/>
        <w:spacing w:line="360" w:lineRule="auto"/>
        <w:ind w:firstLine="482" w:firstLineChars="200"/>
        <w:rPr>
          <w:rFonts w:ascii="宋体" w:hAnsi="宋体" w:cs="宋体" w:eastAsiaTheme="minorEastAsia"/>
          <w:sz w:val="24"/>
        </w:rPr>
      </w:pPr>
      <w:r>
        <w:rPr>
          <w:rFonts w:hint="eastAsia" w:asciiTheme="minorEastAsia" w:hAnsiTheme="minorEastAsia" w:eastAsiaTheme="minorEastAsia"/>
          <w:b/>
          <w:sz w:val="24"/>
        </w:rPr>
        <w:t>（二）服务期：</w:t>
      </w:r>
      <w:r>
        <w:rPr>
          <w:rFonts w:hint="eastAsia" w:ascii="宋体" w:hAnsi="宋体" w:cs="宋体" w:eastAsiaTheme="minorEastAsia"/>
          <w:sz w:val="24"/>
        </w:rPr>
        <w:t>一年</w:t>
      </w:r>
    </w:p>
    <w:p>
      <w:pPr>
        <w:adjustRightInd w:val="0"/>
        <w:snapToGrid w:val="0"/>
        <w:spacing w:line="360" w:lineRule="auto"/>
        <w:ind w:firstLine="420"/>
        <w:rPr>
          <w:rFonts w:ascii="宋体" w:hAnsi="宋体" w:cs="宋体"/>
          <w:b/>
          <w:sz w:val="24"/>
        </w:rPr>
      </w:pPr>
      <w:r>
        <w:rPr>
          <w:rFonts w:hint="eastAsia" w:ascii="宋体" w:hAnsi="宋体" w:cs="宋体"/>
          <w:b/>
          <w:sz w:val="24"/>
        </w:rPr>
        <w:t>（三）付款条件：</w:t>
      </w:r>
    </w:p>
    <w:p>
      <w:pPr>
        <w:adjustRightInd w:val="0"/>
        <w:snapToGrid w:val="0"/>
        <w:spacing w:line="360" w:lineRule="auto"/>
        <w:ind w:firstLine="420"/>
        <w:rPr>
          <w:rFonts w:ascii="宋体" w:hAnsi="宋体" w:cs="宋体"/>
          <w:sz w:val="24"/>
        </w:rPr>
      </w:pPr>
      <w:r>
        <w:rPr>
          <w:rFonts w:hint="eastAsia" w:ascii="宋体" w:hAnsi="宋体"/>
          <w:sz w:val="24"/>
        </w:rPr>
        <w:t>合同签订后支付合同总额的50%的预付款，项目维护期到后，采购人支付至合同总额的100%。</w:t>
      </w:r>
      <w:r>
        <w:rPr>
          <w:rFonts w:hint="eastAsia"/>
          <w:sz w:val="24"/>
        </w:rPr>
        <w:t>中标人应当在付款前，向采购人提交等额的发票，采购人应在收到中标人开具的发票后3个月内支付。</w:t>
      </w:r>
    </w:p>
    <w:p>
      <w:pPr>
        <w:adjustRightInd w:val="0"/>
        <w:spacing w:line="360" w:lineRule="auto"/>
        <w:ind w:firstLine="542" w:firstLineChars="225"/>
        <w:rPr>
          <w:rFonts w:ascii="宋体" w:hAnsi="宋体" w:cs="宋体"/>
          <w:b/>
          <w:sz w:val="24"/>
        </w:rPr>
      </w:pPr>
      <w:r>
        <w:rPr>
          <w:rFonts w:hint="eastAsia" w:ascii="宋体" w:hAnsi="宋体" w:cs="宋体"/>
          <w:b/>
          <w:sz w:val="24"/>
        </w:rPr>
        <w:t>（四）履约保证金：</w:t>
      </w:r>
      <w:r>
        <w:rPr>
          <w:rFonts w:hint="eastAsia" w:ascii="宋体" w:hAnsi="宋体" w:cs="宋体"/>
          <w:sz w:val="24"/>
        </w:rPr>
        <w:t>无。</w:t>
      </w: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pStyle w:val="41"/>
        <w:ind w:firstLine="0" w:firstLineChars="0"/>
      </w:pPr>
    </w:p>
    <w:p>
      <w:pPr>
        <w:rPr>
          <w:rStyle w:val="99"/>
          <w:rFonts w:ascii="宋体" w:hAnsi="宋体" w:cs="宋体"/>
          <w:bCs w:val="0"/>
          <w:color w:val="000000"/>
        </w:rPr>
      </w:pPr>
      <w:bookmarkStart w:id="37" w:name="_Toc31173_WPSOffice_Level1"/>
      <w:r>
        <w:rPr>
          <w:rStyle w:val="99"/>
          <w:rFonts w:hint="eastAsia" w:ascii="宋体" w:hAnsi="宋体" w:cs="宋体"/>
          <w:bCs w:val="0"/>
          <w:color w:val="000000"/>
        </w:rPr>
        <w:br w:type="page"/>
      </w:r>
    </w:p>
    <w:p>
      <w:pPr>
        <w:pStyle w:val="3"/>
        <w:numPr>
          <w:ilvl w:val="0"/>
          <w:numId w:val="0"/>
        </w:numPr>
        <w:ind w:left="425"/>
        <w:rPr>
          <w:rStyle w:val="99"/>
          <w:rFonts w:ascii="宋体" w:hAnsi="宋体" w:cs="宋体"/>
          <w:b/>
          <w:bCs w:val="0"/>
          <w:color w:val="000000"/>
        </w:rPr>
      </w:pPr>
      <w:r>
        <w:rPr>
          <w:rStyle w:val="99"/>
          <w:rFonts w:hint="eastAsia" w:ascii="宋体" w:hAnsi="宋体" w:cs="宋体"/>
          <w:b/>
          <w:bCs w:val="0"/>
          <w:color w:val="000000"/>
        </w:rPr>
        <w:t>第四章  评标</w:t>
      </w:r>
      <w:bookmarkEnd w:id="37"/>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8"/>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4.确定中标候选人名单或根据采购人委托直接确定中标人；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4"/>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pStyle w:val="24"/>
        <w:spacing w:before="0" w:beforeAutospacing="0" w:after="0" w:afterAutospacing="0" w:line="360" w:lineRule="auto"/>
        <w:ind w:firstLine="465"/>
        <w:jc w:val="both"/>
        <w:rPr>
          <w:rFonts w:hint="default"/>
        </w:rPr>
      </w:pPr>
    </w:p>
    <w:p>
      <w:pPr>
        <w:pStyle w:val="6"/>
        <w:spacing w:line="360" w:lineRule="auto"/>
        <w:ind w:firstLine="480" w:firstLineChars="200"/>
        <w:rPr>
          <w:rFonts w:ascii="宋体" w:hAnsi="宋体" w:cs="宋体"/>
          <w:sz w:val="24"/>
          <w:szCs w:val="24"/>
        </w:rPr>
      </w:pPr>
      <w:r>
        <w:rPr>
          <w:rFonts w:hint="eastAsia" w:ascii="宋体" w:hAnsi="宋体" w:cs="宋体"/>
          <w:sz w:val="24"/>
          <w:szCs w:val="24"/>
        </w:rPr>
        <w:t>投标文件存在以下情形之一的，由评标委员会审核并经过询问核对程序，其投标文件将被否决：</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（1）资格标评审内容：</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①投标人不满足招标文件载明的企业资质、人员资格、业绩条件（如有）的；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②投标人被有关行政监管部门依法限制投标且在限制期内的；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③委托代理人未提供有效的授权委托书的；法定代表人未提供有效的法定代表人身份证；</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④投标文件中要求投标人单位盖章，未经投标人盖章的；投标文件中要求法定代表人签字或盖章，既未经法定代表人签字也未盖章的；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⑤组成联合体投标的，投标文件未附联合体各方共同投标协议的；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⑥投标文件组成不符合招标文件资格标组成条款的；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⑦存在法律、法规、规章规定的其他否决投标的情形。</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（2）技术标评审内容：</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①投标文件组成不符合招标文件技术标组成条款的；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②存在法律、法规、规章规定的其它否决投标情形的。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（3）商务标评审内容：</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①投标报价高于最高限价的；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②投标文件组成不符合招标文件商务标组成条款的；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③投标文件中要求投标人单位盖章，未经投标人盖章的；投标文件中要求法定代表人签字或盖章，既未经法定代表人签字也未盖章的；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④评标委员会认为投标人的报价明显低于其他通过符合性审查投标人的报价，有可能影响服务质量或者不能诚信履约的，应当要求其在评标合理的时间内提供书面说明，必要时提交相关证明材料；投标人不能证明其报价合理性的，评标委员会应当将其作为无效投标处理</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⑤存在法律、法规、规章规定的其它否决投标情况的。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（4）其他：</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①投标人及其拟派项目负责人在本招标文件（招标公告）规定时间范围内有行贿犯罪记录的；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②投标人存在以下串通投标行为的：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a.不同投标人委托同一单位或者个人办理投标事宜；</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b.不同投标人的投标文件载明的项目管理成员为同一人；</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c.不同投标人的投标文件异常一致或者投标报价呈规律性差异；</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d.不同投标人的投标文件相互混装。</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③法律、法规、规章及招标文件规定其它应否决投标的情形。</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4"/>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4"/>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4"/>
        <w:spacing w:before="0" w:beforeAutospacing="0" w:after="0" w:afterAutospacing="0" w:line="360" w:lineRule="auto"/>
        <w:ind w:firstLine="480" w:firstLineChars="200"/>
        <w:jc w:val="both"/>
        <w:rPr>
          <w:rFonts w:hint="default"/>
        </w:rPr>
      </w:pPr>
      <w:r>
        <w:rPr>
          <w:rFonts w:asciiTheme="minorEastAsia" w:hAnsiTheme="minorEastAsia" w:eastAsiaTheme="minorEastAsia"/>
        </w:rPr>
        <w:t>（三）</w:t>
      </w:r>
      <w:r>
        <w:t>符合专业条件的供应商或者对招标文件作实质响应的供应商不足三家，评标委员会认定投标明显缺乏竞争的。</w:t>
      </w:r>
    </w:p>
    <w:p>
      <w:pPr>
        <w:pStyle w:val="24"/>
        <w:spacing w:before="0" w:beforeAutospacing="0" w:after="0" w:afterAutospacing="0" w:line="360" w:lineRule="auto"/>
        <w:ind w:firstLine="480" w:firstLineChars="200"/>
        <w:jc w:val="both"/>
        <w:rPr>
          <w:rFonts w:hint="default" w:cs="宋体"/>
        </w:rPr>
      </w:pPr>
      <w:r>
        <w:t>（四）</w:t>
      </w:r>
      <w:r>
        <w:rPr>
          <w:rFonts w:cs="宋体"/>
        </w:rPr>
        <w:t>因重大变故，采购任务取消的；</w:t>
      </w:r>
    </w:p>
    <w:p>
      <w:pPr>
        <w:pStyle w:val="24"/>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（五）</w:t>
      </w:r>
      <w:r>
        <w:rPr>
          <w:rFonts w:cs="宋体"/>
        </w:rPr>
        <w:t>法律、法规和招标文件规定的其他导致评标结果无效的。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六、评标过程的监控</w:t>
      </w:r>
    </w:p>
    <w:p>
      <w:pPr>
        <w:pStyle w:val="24"/>
        <w:spacing w:before="0" w:beforeAutospacing="0" w:after="0" w:afterAutospacing="0" w:line="360" w:lineRule="auto"/>
        <w:ind w:firstLine="480" w:firstLineChars="200"/>
        <w:jc w:val="both"/>
        <w:rPr>
          <w:rFonts w:hint="default"/>
        </w:rPr>
      </w:pPr>
      <w:r>
        <w:t>本项目评标过程实行全程录音、录像监控，投标人在评标过程中所进行的试图影响评标结果的不公正活动，可能导致其投标被拒绝。</w:t>
      </w:r>
    </w:p>
    <w:p>
      <w:pPr>
        <w:pStyle w:val="16"/>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七、</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（一）资格标</w:t>
      </w:r>
      <w:r>
        <w:rPr>
          <w:rFonts w:asciiTheme="minorEastAsia" w:hAnsiTheme="minorEastAsia" w:eastAsiaTheme="minorEastAsia"/>
          <w:b/>
          <w:bCs/>
          <w:sz w:val="24"/>
        </w:rPr>
        <w:t>审查</w:t>
      </w:r>
    </w:p>
    <w:p>
      <w:pPr>
        <w:pStyle w:val="11"/>
        <w:spacing w:line="360" w:lineRule="auto"/>
        <w:ind w:firstLine="480" w:firstLineChars="200"/>
        <w:jc w:val="both"/>
        <w:rPr>
          <w:rFonts w:asciiTheme="minorEastAsia" w:hAnsiTheme="minorEastAsia" w:eastAsiaTheme="minorEastAsia"/>
          <w:sz w:val="24"/>
        </w:rPr>
      </w:pPr>
      <w:r>
        <w:rPr>
          <w:rFonts w:hint="eastAsia" w:cs="宋体"/>
          <w:sz w:val="24"/>
        </w:rPr>
        <w:t>投标文件解密后</w:t>
      </w:r>
      <w:r>
        <w:rPr>
          <w:rFonts w:cs="宋体"/>
          <w:sz w:val="24"/>
        </w:rPr>
        <w:t>，</w:t>
      </w:r>
      <w:r>
        <w:rPr>
          <w:rFonts w:hint="eastAsia" w:cs="宋体"/>
          <w:sz w:val="24"/>
        </w:rPr>
        <w:t>评标委员会</w:t>
      </w:r>
      <w:r>
        <w:rPr>
          <w:rFonts w:cs="宋体"/>
          <w:sz w:val="24"/>
        </w:rPr>
        <w:t>依法对投标人的资格进行审查，</w:t>
      </w:r>
      <w:r>
        <w:rPr>
          <w:rFonts w:hint="eastAsia" w:cs="宋体"/>
          <w:sz w:val="24"/>
        </w:rPr>
        <w:t>评标委员会发现投标人投标文件资格标存在招标文件规定应当否决投标情形的，应先对投标人进行书面询问核对，情况属实的，否决其投标</w:t>
      </w:r>
      <w:r>
        <w:rPr>
          <w:rFonts w:cs="宋体"/>
          <w:sz w:val="24"/>
        </w:rPr>
        <w:t>。</w:t>
      </w:r>
    </w:p>
    <w:p>
      <w:pPr>
        <w:pStyle w:val="11"/>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（二）技术标评审</w:t>
      </w:r>
    </w:p>
    <w:p>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技术标总分80分，评标按以下标准及要求进行：</w:t>
      </w:r>
    </w:p>
    <w:tbl>
      <w:tblPr>
        <w:tblStyle w:val="29"/>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6663"/>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blHeader/>
          <w:jc w:val="center"/>
        </w:trPr>
        <w:tc>
          <w:tcPr>
            <w:tcW w:w="1295" w:type="dxa"/>
            <w:noWrap/>
            <w:vAlign w:val="center"/>
          </w:tcPr>
          <w:p>
            <w:pPr>
              <w:snapToGrid w:val="0"/>
              <w:jc w:val="center"/>
              <w:rPr>
                <w:rFonts w:ascii="宋体" w:hAnsi="宋体" w:cs="宋体"/>
                <w:b/>
                <w:bCs/>
                <w:kern w:val="0"/>
                <w:szCs w:val="21"/>
              </w:rPr>
            </w:pPr>
            <w:r>
              <w:rPr>
                <w:rFonts w:hint="eastAsia" w:ascii="宋体" w:hAnsi="宋体" w:cs="宋体"/>
                <w:b/>
                <w:bCs/>
                <w:kern w:val="0"/>
                <w:szCs w:val="21"/>
              </w:rPr>
              <w:t>评分</w:t>
            </w:r>
          </w:p>
        </w:tc>
        <w:tc>
          <w:tcPr>
            <w:tcW w:w="6663" w:type="dxa"/>
            <w:noWrap/>
            <w:vAlign w:val="center"/>
          </w:tcPr>
          <w:p>
            <w:pPr>
              <w:snapToGrid w:val="0"/>
              <w:jc w:val="center"/>
              <w:rPr>
                <w:rFonts w:ascii="宋体" w:hAnsi="宋体" w:cs="宋体"/>
                <w:b/>
                <w:bCs/>
                <w:kern w:val="0"/>
                <w:szCs w:val="21"/>
              </w:rPr>
            </w:pPr>
            <w:r>
              <w:rPr>
                <w:rFonts w:hint="eastAsia" w:ascii="宋体" w:hAnsi="宋体" w:cs="宋体"/>
                <w:b/>
                <w:bCs/>
                <w:kern w:val="0"/>
                <w:szCs w:val="21"/>
              </w:rPr>
              <w:t>评分细则</w:t>
            </w:r>
          </w:p>
        </w:tc>
        <w:tc>
          <w:tcPr>
            <w:tcW w:w="841" w:type="dxa"/>
            <w:noWrap/>
            <w:vAlign w:val="center"/>
          </w:tcPr>
          <w:p>
            <w:pPr>
              <w:snapToGrid w:val="0"/>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95" w:type="dxa"/>
            <w:noWrap/>
            <w:vAlign w:val="center"/>
          </w:tcPr>
          <w:p>
            <w:pPr>
              <w:snapToGrid w:val="0"/>
              <w:jc w:val="center"/>
              <w:rPr>
                <w:rFonts w:ascii="宋体" w:hAnsi="宋体" w:cs="宋体"/>
                <w:szCs w:val="21"/>
              </w:rPr>
            </w:pPr>
            <w:r>
              <w:rPr>
                <w:rFonts w:hint="eastAsia" w:ascii="宋体" w:hAnsi="宋体" w:cs="宋体"/>
                <w:szCs w:val="21"/>
              </w:rPr>
              <w:t>企业业绩</w:t>
            </w:r>
          </w:p>
        </w:tc>
        <w:tc>
          <w:tcPr>
            <w:tcW w:w="6663" w:type="dxa"/>
            <w:noWrap/>
            <w:vAlign w:val="center"/>
          </w:tcPr>
          <w:p>
            <w:pPr>
              <w:snapToGrid w:val="0"/>
              <w:jc w:val="left"/>
              <w:rPr>
                <w:rFonts w:ascii="宋体" w:hAnsi="宋体" w:cs="宋体"/>
                <w:szCs w:val="21"/>
              </w:rPr>
            </w:pPr>
            <w:r>
              <w:rPr>
                <w:rFonts w:hint="eastAsia" w:ascii="宋体" w:hAnsi="宋体" w:cs="宋体"/>
                <w:szCs w:val="21"/>
              </w:rPr>
              <w:t>客观分：</w:t>
            </w:r>
          </w:p>
          <w:p>
            <w:pPr>
              <w:snapToGrid w:val="0"/>
              <w:jc w:val="left"/>
              <w:rPr>
                <w:rFonts w:ascii="宋体" w:hAnsi="宋体" w:cs="宋体"/>
                <w:szCs w:val="21"/>
              </w:rPr>
            </w:pPr>
            <w:r>
              <w:rPr>
                <w:rFonts w:hint="eastAsia" w:ascii="宋体" w:hAnsi="宋体" w:cs="宋体"/>
                <w:szCs w:val="21"/>
              </w:rPr>
              <w:t>投标人提供</w:t>
            </w:r>
            <w:r>
              <w:rPr>
                <w:rFonts w:ascii="宋体" w:hAnsi="宋体" w:cs="宋体"/>
                <w:szCs w:val="21"/>
              </w:rPr>
              <w:t>20</w:t>
            </w:r>
            <w:r>
              <w:rPr>
                <w:rFonts w:hint="eastAsia" w:ascii="宋体" w:hAnsi="宋体" w:cs="宋体"/>
                <w:szCs w:val="21"/>
              </w:rPr>
              <w:t>20年1月</w:t>
            </w:r>
            <w:r>
              <w:rPr>
                <w:rFonts w:ascii="宋体" w:hAnsi="宋体" w:cs="宋体"/>
                <w:szCs w:val="21"/>
              </w:rPr>
              <w:t>1</w:t>
            </w:r>
            <w:r>
              <w:rPr>
                <w:rFonts w:hint="eastAsia" w:ascii="宋体" w:hAnsi="宋体" w:cs="宋体"/>
                <w:szCs w:val="21"/>
              </w:rPr>
              <w:t>日起至今完成过的同类业绩（做过类似取水实时监控、取水实时监控运行维护技术服务）成功案例的有效业绩证明，有效业绩须提供盖章的有效合同。每个得0.5分，最高得1分。</w:t>
            </w:r>
          </w:p>
          <w:p>
            <w:pPr>
              <w:snapToGrid w:val="0"/>
              <w:jc w:val="left"/>
            </w:pPr>
            <w:r>
              <w:rPr>
                <w:rFonts w:hint="eastAsia" w:ascii="宋体" w:hAnsi="宋体" w:cs="宋体"/>
                <w:szCs w:val="21"/>
              </w:rPr>
              <w:t>投标人提供</w:t>
            </w:r>
            <w:r>
              <w:rPr>
                <w:rFonts w:ascii="宋体" w:hAnsi="宋体" w:cs="宋体"/>
                <w:szCs w:val="21"/>
              </w:rPr>
              <w:t>20</w:t>
            </w:r>
            <w:r>
              <w:rPr>
                <w:rFonts w:hint="eastAsia" w:ascii="宋体" w:hAnsi="宋体" w:cs="宋体"/>
                <w:szCs w:val="21"/>
              </w:rPr>
              <w:t>20年1月</w:t>
            </w:r>
            <w:r>
              <w:rPr>
                <w:rFonts w:ascii="宋体" w:hAnsi="宋体" w:cs="宋体"/>
                <w:szCs w:val="21"/>
              </w:rPr>
              <w:t>1</w:t>
            </w:r>
            <w:r>
              <w:rPr>
                <w:rFonts w:hint="eastAsia" w:ascii="宋体" w:hAnsi="宋体" w:cs="宋体"/>
                <w:szCs w:val="21"/>
              </w:rPr>
              <w:t>日起至今完成过的同类业绩（做过类似水资源延续评估技术服务）成功案例的有效业绩证明，有效业绩须提供盖章的有效合同。每个得0.5分，最高得1分。</w:t>
            </w:r>
          </w:p>
          <w:p>
            <w:pPr>
              <w:pStyle w:val="42"/>
              <w:rPr>
                <w:rFonts w:ascii="宋体" w:hAnsi="宋体" w:cs="宋体"/>
                <w:b/>
                <w:kern w:val="0"/>
                <w:sz w:val="21"/>
                <w:szCs w:val="21"/>
              </w:rPr>
            </w:pPr>
            <w:r>
              <w:rPr>
                <w:rFonts w:hint="eastAsia" w:ascii="宋体" w:hAnsi="宋体" w:cs="宋体"/>
                <w:bCs/>
                <w:kern w:val="0"/>
                <w:sz w:val="21"/>
                <w:szCs w:val="21"/>
              </w:rPr>
              <w:t>注：须提供合同复印件，否则不得分。</w:t>
            </w:r>
          </w:p>
        </w:tc>
        <w:tc>
          <w:tcPr>
            <w:tcW w:w="841" w:type="dxa"/>
            <w:noWrap/>
            <w:vAlign w:val="center"/>
          </w:tcPr>
          <w:p>
            <w:pPr>
              <w:pStyle w:val="42"/>
              <w:jc w:val="center"/>
              <w:rPr>
                <w:rFonts w:ascii="宋体" w:hAnsi="宋体" w:cs="宋体"/>
                <w:bCs/>
                <w:kern w:val="0"/>
                <w:sz w:val="21"/>
                <w:szCs w:val="21"/>
              </w:rPr>
            </w:pPr>
            <w:r>
              <w:rPr>
                <w:rFonts w:hint="eastAsia" w:ascii="宋体" w:hAnsi="宋体" w:cs="宋体"/>
                <w:bCs/>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295" w:type="dxa"/>
            <w:noWrap/>
            <w:vAlign w:val="center"/>
          </w:tcPr>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企业认证</w:t>
            </w:r>
          </w:p>
        </w:tc>
        <w:tc>
          <w:tcPr>
            <w:tcW w:w="6663" w:type="dxa"/>
            <w:noWrap/>
            <w:vAlign w:val="center"/>
          </w:tcPr>
          <w:p>
            <w:pPr>
              <w:snapToGrid w:val="0"/>
              <w:jc w:val="left"/>
              <w:rPr>
                <w:rFonts w:ascii="宋体" w:hAnsi="宋体" w:cs="宋体"/>
                <w:szCs w:val="21"/>
              </w:rPr>
            </w:pPr>
            <w:r>
              <w:rPr>
                <w:rFonts w:hint="eastAsia" w:ascii="宋体" w:hAnsi="宋体" w:cs="宋体"/>
                <w:szCs w:val="21"/>
              </w:rPr>
              <w:t>客观分：</w:t>
            </w:r>
          </w:p>
          <w:p>
            <w:pPr>
              <w:snapToGrid w:val="0"/>
              <w:jc w:val="left"/>
              <w:rPr>
                <w:rFonts w:ascii="宋体" w:hAnsi="宋体" w:cs="宋体"/>
                <w:szCs w:val="21"/>
              </w:rPr>
            </w:pPr>
            <w:r>
              <w:rPr>
                <w:rFonts w:hint="eastAsia" w:ascii="宋体" w:hAnsi="宋体" w:cs="宋体"/>
                <w:szCs w:val="21"/>
              </w:rPr>
              <w:t>投标人通过ISO9001质量管理体系认证证书、ISO14001环境管理体系认证证书，OHSAS18001职业健康安全管理体系认证，每项得2分，最高得6分。</w:t>
            </w:r>
            <w:r>
              <w:rPr>
                <w:rFonts w:hint="eastAsia" w:ascii="宋体" w:hAnsi="宋体" w:cs="宋体"/>
                <w:kern w:val="0"/>
                <w:szCs w:val="21"/>
              </w:rPr>
              <w:t>（证书在有效期内，提供证书复印件及全国认证认可信息公共服务平台查询截图）</w:t>
            </w:r>
          </w:p>
          <w:p>
            <w:pPr>
              <w:pStyle w:val="42"/>
              <w:rPr>
                <w:sz w:val="21"/>
                <w:szCs w:val="21"/>
              </w:rPr>
            </w:pPr>
            <w:r>
              <w:rPr>
                <w:rFonts w:hint="eastAsia" w:ascii="宋体" w:hAnsi="宋体" w:cs="宋体"/>
                <w:bCs/>
                <w:kern w:val="0"/>
                <w:sz w:val="21"/>
                <w:szCs w:val="21"/>
              </w:rPr>
              <w:t>注：须提供有效期内证书复印件及截图，否则不得分。</w:t>
            </w:r>
          </w:p>
        </w:tc>
        <w:tc>
          <w:tcPr>
            <w:tcW w:w="841" w:type="dxa"/>
            <w:noWrap/>
            <w:vAlign w:val="center"/>
          </w:tcPr>
          <w:p>
            <w:pPr>
              <w:pStyle w:val="42"/>
              <w:jc w:val="center"/>
              <w:rPr>
                <w:rFonts w:ascii="宋体" w:hAnsi="宋体" w:cs="宋体"/>
                <w:bCs/>
                <w:kern w:val="0"/>
                <w:sz w:val="21"/>
                <w:szCs w:val="21"/>
              </w:rPr>
            </w:pPr>
            <w:r>
              <w:rPr>
                <w:rFonts w:hint="eastAsia" w:ascii="宋体" w:hAnsi="宋体" w:cs="宋体"/>
                <w:bCs/>
                <w:kern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1295" w:type="dxa"/>
            <w:noWrap/>
            <w:vAlign w:val="center"/>
          </w:tcPr>
          <w:p>
            <w:pPr>
              <w:snapToGrid w:val="0"/>
              <w:jc w:val="center"/>
              <w:rPr>
                <w:rFonts w:ascii="宋体" w:hAnsi="宋体" w:cs="宋体"/>
                <w:szCs w:val="21"/>
              </w:rPr>
            </w:pPr>
            <w:r>
              <w:rPr>
                <w:rFonts w:hint="eastAsia" w:ascii="宋体" w:hAnsi="宋体" w:cs="宋体"/>
                <w:bCs/>
                <w:kern w:val="0"/>
                <w:szCs w:val="21"/>
              </w:rPr>
              <w:t>项目负责人</w:t>
            </w:r>
          </w:p>
        </w:tc>
        <w:tc>
          <w:tcPr>
            <w:tcW w:w="6663" w:type="dxa"/>
            <w:noWrap/>
            <w:vAlign w:val="center"/>
          </w:tcPr>
          <w:p>
            <w:pPr>
              <w:snapToGrid w:val="0"/>
              <w:jc w:val="left"/>
              <w:rPr>
                <w:rFonts w:ascii="宋体" w:hAnsi="宋体" w:cs="宋体"/>
                <w:szCs w:val="21"/>
              </w:rPr>
            </w:pPr>
            <w:r>
              <w:rPr>
                <w:rFonts w:hint="eastAsia" w:ascii="宋体" w:hAnsi="宋体" w:cs="宋体"/>
                <w:szCs w:val="21"/>
              </w:rPr>
              <w:t>客观分：</w:t>
            </w:r>
          </w:p>
          <w:p>
            <w:pPr>
              <w:snapToGrid w:val="0"/>
              <w:jc w:val="left"/>
              <w:rPr>
                <w:rFonts w:ascii="宋体" w:hAnsi="宋体" w:cs="宋体"/>
                <w:kern w:val="0"/>
                <w:szCs w:val="21"/>
              </w:rPr>
            </w:pPr>
            <w:r>
              <w:rPr>
                <w:rFonts w:hint="eastAsia" w:ascii="宋体" w:hAnsi="宋体" w:cs="宋体"/>
                <w:kern w:val="0"/>
                <w:szCs w:val="21"/>
              </w:rPr>
              <w:t>拟派项目负责人：</w:t>
            </w:r>
          </w:p>
          <w:p>
            <w:pPr>
              <w:snapToGrid w:val="0"/>
              <w:jc w:val="left"/>
              <w:rPr>
                <w:rFonts w:ascii="宋体" w:hAnsi="宋体" w:cs="宋体"/>
                <w:kern w:val="0"/>
                <w:szCs w:val="21"/>
              </w:rPr>
            </w:pPr>
            <w:r>
              <w:rPr>
                <w:rFonts w:hint="eastAsia" w:ascii="宋体" w:hAnsi="宋体" w:cs="宋体"/>
                <w:kern w:val="0"/>
                <w:szCs w:val="21"/>
              </w:rPr>
              <w:t>（1）具有水利工程或水资源或自动化专业高级技术职称的得3分；具有水利工程或水资源或自动化专业中级职称的得1.5分，最高得3分。</w:t>
            </w:r>
          </w:p>
          <w:p>
            <w:pPr>
              <w:snapToGrid w:val="0"/>
              <w:jc w:val="left"/>
              <w:rPr>
                <w:rFonts w:ascii="宋体" w:hAnsi="宋体" w:cs="宋体"/>
                <w:kern w:val="0"/>
                <w:szCs w:val="21"/>
              </w:rPr>
            </w:pPr>
            <w:r>
              <w:rPr>
                <w:rFonts w:hint="eastAsia" w:ascii="宋体" w:hAnsi="宋体" w:cs="宋体"/>
                <w:kern w:val="0"/>
                <w:szCs w:val="21"/>
              </w:rPr>
              <w:t>（2）具有一级建造师（机电工程）注册证书的得2分，具有二级建造师（机电工程）注册证书的得1分，最高得2分。</w:t>
            </w:r>
          </w:p>
          <w:p>
            <w:pPr>
              <w:pStyle w:val="35"/>
              <w:jc w:val="both"/>
              <w:rPr>
                <w:szCs w:val="21"/>
              </w:rPr>
            </w:pPr>
            <w:r>
              <w:rPr>
                <w:rFonts w:hint="eastAsia" w:ascii="宋体" w:hAnsi="宋体" w:cs="宋体"/>
                <w:color w:val="000000"/>
                <w:szCs w:val="21"/>
              </w:rPr>
              <w:t>（3）具有注册咨询工程师（水利水电或水利工程或电子工程或机械（含智能制造）类）证书得2分，最高得2分。</w:t>
            </w:r>
          </w:p>
          <w:p>
            <w:pPr>
              <w:snapToGrid w:val="0"/>
              <w:jc w:val="left"/>
              <w:rPr>
                <w:rFonts w:ascii="宋体" w:hAnsi="宋体" w:cs="宋体"/>
                <w:bCs/>
                <w:kern w:val="0"/>
                <w:szCs w:val="21"/>
              </w:rPr>
            </w:pPr>
            <w:r>
              <w:rPr>
                <w:rFonts w:hint="eastAsia" w:ascii="宋体" w:hAnsi="宋体" w:cs="宋体"/>
                <w:bCs/>
                <w:kern w:val="0"/>
                <w:szCs w:val="21"/>
              </w:rPr>
              <w:t>注：</w:t>
            </w:r>
            <w:r>
              <w:rPr>
                <w:rFonts w:hint="eastAsia" w:ascii="宋体" w:hAnsi="宋体" w:cs="宋体"/>
                <w:kern w:val="0"/>
                <w:szCs w:val="21"/>
              </w:rPr>
              <w:t>须提供证书证明材料及投标人为其缴纳的近3个月的社保证明等相关证明材料扫描件，未提供的或提供不全的不得分。</w:t>
            </w:r>
          </w:p>
        </w:tc>
        <w:tc>
          <w:tcPr>
            <w:tcW w:w="841" w:type="dxa"/>
            <w:noWrap/>
            <w:vAlign w:val="center"/>
          </w:tcPr>
          <w:p>
            <w:pPr>
              <w:snapToGrid w:val="0"/>
              <w:jc w:val="center"/>
              <w:rPr>
                <w:rFonts w:ascii="宋体" w:hAnsi="宋体" w:cs="宋体"/>
                <w:kern w:val="0"/>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295" w:type="dxa"/>
            <w:noWrap/>
            <w:vAlign w:val="center"/>
          </w:tcPr>
          <w:p>
            <w:pPr>
              <w:snapToGrid w:val="0"/>
              <w:jc w:val="center"/>
              <w:rPr>
                <w:rFonts w:ascii="宋体" w:hAnsi="宋体" w:cs="宋体"/>
                <w:szCs w:val="21"/>
              </w:rPr>
            </w:pPr>
            <w:r>
              <w:rPr>
                <w:rFonts w:hint="eastAsia" w:ascii="宋体" w:hAnsi="宋体" w:cs="宋体"/>
                <w:bCs/>
                <w:kern w:val="0"/>
                <w:szCs w:val="21"/>
              </w:rPr>
              <w:t>技术负责人</w:t>
            </w:r>
          </w:p>
        </w:tc>
        <w:tc>
          <w:tcPr>
            <w:tcW w:w="6663" w:type="dxa"/>
            <w:noWrap/>
            <w:vAlign w:val="center"/>
          </w:tcPr>
          <w:p>
            <w:pPr>
              <w:snapToGrid w:val="0"/>
              <w:jc w:val="left"/>
              <w:rPr>
                <w:rFonts w:ascii="宋体" w:hAnsi="宋体" w:cs="宋体"/>
                <w:szCs w:val="21"/>
              </w:rPr>
            </w:pPr>
            <w:r>
              <w:rPr>
                <w:rFonts w:hint="eastAsia" w:ascii="宋体" w:hAnsi="宋体" w:cs="宋体"/>
                <w:szCs w:val="21"/>
              </w:rPr>
              <w:t>客观分：</w:t>
            </w:r>
          </w:p>
          <w:p>
            <w:pPr>
              <w:snapToGrid w:val="0"/>
              <w:jc w:val="left"/>
              <w:rPr>
                <w:rFonts w:ascii="宋体" w:hAnsi="宋体" w:cs="宋体"/>
                <w:kern w:val="0"/>
                <w:szCs w:val="21"/>
              </w:rPr>
            </w:pPr>
            <w:r>
              <w:rPr>
                <w:rFonts w:hint="eastAsia" w:ascii="宋体" w:hAnsi="宋体" w:cs="宋体"/>
                <w:kern w:val="0"/>
                <w:szCs w:val="21"/>
              </w:rPr>
              <w:t>拟派技术负责人：</w:t>
            </w:r>
          </w:p>
          <w:p>
            <w:pPr>
              <w:snapToGrid w:val="0"/>
              <w:jc w:val="left"/>
              <w:rPr>
                <w:rFonts w:ascii="宋体" w:hAnsi="宋体" w:cs="宋体"/>
                <w:kern w:val="0"/>
                <w:szCs w:val="21"/>
              </w:rPr>
            </w:pPr>
            <w:r>
              <w:rPr>
                <w:rFonts w:hint="eastAsia" w:ascii="宋体" w:hAnsi="宋体" w:cs="宋体"/>
                <w:kern w:val="0"/>
                <w:szCs w:val="21"/>
              </w:rPr>
              <w:t>（1）具有水利工程或水资源或自动化专业高级技术职称的得2分；具有水利工程或水资源或自动化专业中级职称的得1分，最高得2分。</w:t>
            </w:r>
          </w:p>
          <w:p>
            <w:pPr>
              <w:snapToGrid w:val="0"/>
              <w:jc w:val="left"/>
              <w:rPr>
                <w:rFonts w:ascii="宋体" w:hAnsi="宋体" w:cs="宋体"/>
                <w:kern w:val="0"/>
                <w:szCs w:val="21"/>
              </w:rPr>
            </w:pPr>
            <w:r>
              <w:rPr>
                <w:rFonts w:hint="eastAsia" w:ascii="宋体" w:hAnsi="宋体" w:cs="宋体"/>
                <w:kern w:val="0"/>
                <w:szCs w:val="21"/>
              </w:rPr>
              <w:t>（2）具有二级建造师（机电工程）注册证书的得1分。</w:t>
            </w:r>
          </w:p>
          <w:p>
            <w:pPr>
              <w:pStyle w:val="108"/>
              <w:jc w:val="left"/>
              <w:rPr>
                <w:rFonts w:eastAsia="宋体"/>
                <w:sz w:val="21"/>
                <w:szCs w:val="21"/>
              </w:rPr>
            </w:pPr>
            <w:r>
              <w:rPr>
                <w:rFonts w:hint="eastAsia" w:ascii="宋体" w:hAnsi="宋体" w:eastAsia="宋体" w:cs="宋体"/>
                <w:kern w:val="0"/>
                <w:sz w:val="21"/>
                <w:szCs w:val="21"/>
              </w:rPr>
              <w:t>（3）</w:t>
            </w:r>
            <w:r>
              <w:rPr>
                <w:rFonts w:hint="eastAsia" w:ascii="宋体" w:hAnsi="宋体" w:eastAsia="宋体" w:cs="宋体"/>
                <w:bCs/>
                <w:sz w:val="21"/>
                <w:szCs w:val="21"/>
              </w:rPr>
              <w:t>参加过省级取水计量管理培训（提供相关的培训证明）得1分。</w:t>
            </w:r>
          </w:p>
          <w:p>
            <w:pPr>
              <w:snapToGrid w:val="0"/>
              <w:jc w:val="left"/>
              <w:rPr>
                <w:rFonts w:ascii="宋体" w:hAnsi="宋体" w:cs="宋体"/>
                <w:bCs/>
                <w:kern w:val="0"/>
                <w:szCs w:val="21"/>
              </w:rPr>
            </w:pPr>
            <w:r>
              <w:rPr>
                <w:rFonts w:hint="eastAsia" w:ascii="宋体" w:hAnsi="宋体" w:cs="宋体"/>
                <w:bCs/>
                <w:kern w:val="0"/>
                <w:szCs w:val="21"/>
              </w:rPr>
              <w:t>注：</w:t>
            </w:r>
            <w:r>
              <w:rPr>
                <w:rFonts w:hint="eastAsia" w:ascii="宋体" w:hAnsi="宋体" w:cs="宋体"/>
                <w:kern w:val="0"/>
                <w:szCs w:val="21"/>
              </w:rPr>
              <w:t>须提供证书证明材料及投标人为其缴纳的近3个月的社保证明等相关证明材料扫描件，未提供的或提供不全的不得分。</w:t>
            </w:r>
          </w:p>
        </w:tc>
        <w:tc>
          <w:tcPr>
            <w:tcW w:w="841" w:type="dxa"/>
            <w:noWrap/>
            <w:vAlign w:val="center"/>
          </w:tcPr>
          <w:p>
            <w:pPr>
              <w:snapToGrid w:val="0"/>
              <w:jc w:val="center"/>
              <w:rPr>
                <w:rFonts w:ascii="宋体" w:hAnsi="宋体" w:cs="宋体"/>
                <w:kern w:val="0"/>
                <w:szCs w:val="21"/>
              </w:rPr>
            </w:pPr>
            <w:r>
              <w:rPr>
                <w:rFonts w:hint="eastAsia" w:ascii="宋体" w:hAnsi="宋体" w:cs="宋体"/>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295" w:type="dxa"/>
            <w:noWrap/>
            <w:vAlign w:val="center"/>
          </w:tcPr>
          <w:p>
            <w:pPr>
              <w:snapToGrid w:val="0"/>
              <w:jc w:val="center"/>
              <w:rPr>
                <w:rFonts w:ascii="宋体" w:hAnsi="宋体" w:cs="宋体"/>
                <w:bCs/>
                <w:kern w:val="0"/>
                <w:szCs w:val="21"/>
              </w:rPr>
            </w:pPr>
            <w:r>
              <w:rPr>
                <w:rFonts w:hint="eastAsia" w:ascii="宋体" w:hAnsi="宋体" w:cs="宋体"/>
                <w:bCs/>
                <w:kern w:val="0"/>
                <w:szCs w:val="21"/>
              </w:rPr>
              <w:t>项目</w:t>
            </w:r>
          </w:p>
          <w:p>
            <w:pPr>
              <w:snapToGrid w:val="0"/>
              <w:jc w:val="center"/>
              <w:rPr>
                <w:rFonts w:ascii="宋体" w:hAnsi="宋体" w:cs="宋体"/>
                <w:szCs w:val="21"/>
              </w:rPr>
            </w:pPr>
            <w:r>
              <w:rPr>
                <w:rFonts w:hint="eastAsia" w:ascii="宋体" w:hAnsi="宋体" w:cs="宋体"/>
                <w:bCs/>
                <w:kern w:val="0"/>
                <w:szCs w:val="21"/>
              </w:rPr>
              <w:t>组人员</w:t>
            </w:r>
          </w:p>
        </w:tc>
        <w:tc>
          <w:tcPr>
            <w:tcW w:w="6663" w:type="dxa"/>
            <w:noWrap/>
            <w:vAlign w:val="center"/>
          </w:tcPr>
          <w:p>
            <w:pPr>
              <w:snapToGrid w:val="0"/>
              <w:jc w:val="left"/>
              <w:rPr>
                <w:rFonts w:ascii="宋体" w:hAnsi="宋体" w:cs="宋体"/>
                <w:szCs w:val="21"/>
              </w:rPr>
            </w:pPr>
            <w:r>
              <w:rPr>
                <w:rFonts w:hint="eastAsia" w:ascii="宋体" w:hAnsi="宋体" w:cs="宋体"/>
                <w:szCs w:val="21"/>
              </w:rPr>
              <w:t>客观分：</w:t>
            </w:r>
          </w:p>
          <w:p>
            <w:pPr>
              <w:snapToGrid w:val="0"/>
              <w:jc w:val="left"/>
              <w:rPr>
                <w:rFonts w:ascii="宋体" w:hAnsi="宋体" w:cs="宋体"/>
                <w:szCs w:val="21"/>
              </w:rPr>
            </w:pPr>
            <w:r>
              <w:rPr>
                <w:rFonts w:hint="eastAsia" w:ascii="宋体" w:hAnsi="宋体" w:cs="宋体"/>
                <w:szCs w:val="21"/>
              </w:rPr>
              <w:t>项目负责人、技术负责人除外：</w:t>
            </w:r>
          </w:p>
          <w:p>
            <w:pPr>
              <w:snapToGrid w:val="0"/>
              <w:jc w:val="left"/>
              <w:rPr>
                <w:rFonts w:ascii="宋体" w:hAnsi="宋体" w:cs="宋体"/>
                <w:szCs w:val="21"/>
              </w:rPr>
            </w:pPr>
            <w:r>
              <w:rPr>
                <w:rFonts w:hint="eastAsia" w:ascii="宋体" w:hAnsi="宋体" w:cs="宋体"/>
                <w:szCs w:val="21"/>
              </w:rPr>
              <w:t>项目组成员中具备软件设计师（中级及以上）证书、机电专业毕业证书、水利水电工程毕业证书、水利相关专业中级工程师及以上职称证书，最高得4分；（多个人员同一个专业或同一个人多个专业，不重复得分，本项最高得4分）。</w:t>
            </w:r>
          </w:p>
          <w:p>
            <w:pPr>
              <w:snapToGrid w:val="0"/>
              <w:jc w:val="left"/>
              <w:rPr>
                <w:rFonts w:ascii="宋体" w:hAnsi="宋体" w:cs="宋体"/>
                <w:bCs/>
                <w:kern w:val="0"/>
                <w:szCs w:val="21"/>
              </w:rPr>
            </w:pPr>
            <w:r>
              <w:rPr>
                <w:rFonts w:hint="eastAsia" w:ascii="宋体" w:hAnsi="宋体" w:cs="宋体"/>
                <w:kern w:val="0"/>
                <w:szCs w:val="21"/>
              </w:rPr>
              <w:t>须提供证明材料及投标人为其缴纳的近3个月的社保证明等相关证明材料扫描件，未提供的或提供不全的不得分。</w:t>
            </w:r>
          </w:p>
        </w:tc>
        <w:tc>
          <w:tcPr>
            <w:tcW w:w="841" w:type="dxa"/>
            <w:noWrap/>
            <w:vAlign w:val="center"/>
          </w:tcPr>
          <w:p>
            <w:pPr>
              <w:snapToGrid w:val="0"/>
              <w:jc w:val="center"/>
              <w:rPr>
                <w:rFonts w:ascii="宋体" w:hAnsi="宋体" w:cs="宋体"/>
                <w:bCs/>
                <w:kern w:val="0"/>
                <w:szCs w:val="21"/>
              </w:rPr>
            </w:pPr>
            <w:r>
              <w:rPr>
                <w:rFonts w:hint="eastAsia" w:ascii="宋体" w:hAnsi="宋体" w:cs="宋体"/>
                <w:bCs/>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295" w:type="dxa"/>
            <w:noWrap/>
            <w:vAlign w:val="center"/>
          </w:tcPr>
          <w:p>
            <w:pPr>
              <w:snapToGrid w:val="0"/>
              <w:jc w:val="center"/>
              <w:rPr>
                <w:rFonts w:ascii="宋体" w:hAnsi="宋体" w:cs="宋体"/>
                <w:szCs w:val="21"/>
              </w:rPr>
            </w:pPr>
            <w:r>
              <w:rPr>
                <w:rFonts w:hint="eastAsia" w:ascii="宋体" w:hAnsi="宋体" w:cs="宋体"/>
                <w:szCs w:val="21"/>
              </w:rPr>
              <w:t>企业承担本项目的能力</w:t>
            </w:r>
          </w:p>
        </w:tc>
        <w:tc>
          <w:tcPr>
            <w:tcW w:w="6663" w:type="dxa"/>
            <w:noWrap/>
            <w:vAlign w:val="center"/>
          </w:tcPr>
          <w:p>
            <w:pPr>
              <w:snapToGrid w:val="0"/>
              <w:jc w:val="left"/>
              <w:rPr>
                <w:rFonts w:ascii="宋体" w:hAnsi="宋体" w:cs="宋体"/>
                <w:szCs w:val="21"/>
              </w:rPr>
            </w:pPr>
            <w:r>
              <w:rPr>
                <w:rFonts w:hint="eastAsia" w:ascii="宋体" w:hAnsi="宋体" w:cs="宋体"/>
                <w:szCs w:val="21"/>
              </w:rPr>
              <w:t>客观分：</w:t>
            </w:r>
          </w:p>
          <w:p>
            <w:pPr>
              <w:pStyle w:val="42"/>
              <w:rPr>
                <w:rFonts w:ascii="宋体" w:hAnsi="宋体" w:cs="宋体"/>
                <w:sz w:val="21"/>
                <w:szCs w:val="21"/>
              </w:rPr>
            </w:pPr>
            <w:r>
              <w:rPr>
                <w:rFonts w:hint="eastAsia" w:ascii="宋体" w:hAnsi="宋体" w:cs="宋体"/>
                <w:sz w:val="21"/>
                <w:szCs w:val="21"/>
              </w:rPr>
              <w:t>根据企业取得水资源或取水实时监测相关技术成果情况（技术成果是指软著、实用新型、软著及技术推广等）进行综合打分，每项得1分，最高得3分。</w:t>
            </w:r>
          </w:p>
          <w:p>
            <w:pPr>
              <w:pStyle w:val="42"/>
              <w:rPr>
                <w:rFonts w:ascii="宋体" w:hAnsi="宋体" w:cs="宋体"/>
                <w:bCs/>
                <w:kern w:val="0"/>
                <w:sz w:val="21"/>
                <w:szCs w:val="21"/>
              </w:rPr>
            </w:pPr>
            <w:r>
              <w:rPr>
                <w:rFonts w:hint="eastAsia" w:ascii="宋体" w:hAnsi="宋体" w:cs="宋体"/>
                <w:bCs/>
                <w:kern w:val="0"/>
                <w:sz w:val="21"/>
                <w:szCs w:val="21"/>
              </w:rPr>
              <w:t>注：须提供有效期内证书复印件，否则不得分。</w:t>
            </w:r>
          </w:p>
        </w:tc>
        <w:tc>
          <w:tcPr>
            <w:tcW w:w="841" w:type="dxa"/>
            <w:noWrap/>
            <w:vAlign w:val="center"/>
          </w:tcPr>
          <w:p>
            <w:pPr>
              <w:pStyle w:val="42"/>
              <w:jc w:val="center"/>
              <w:rPr>
                <w:rFonts w:ascii="宋体" w:hAnsi="宋体" w:cs="宋体"/>
                <w:bCs/>
                <w:kern w:val="0"/>
                <w:sz w:val="21"/>
                <w:szCs w:val="21"/>
              </w:rPr>
            </w:pPr>
            <w:r>
              <w:rPr>
                <w:rFonts w:hint="eastAsia" w:ascii="宋体" w:hAnsi="宋体" w:cs="宋体"/>
                <w:bCs/>
                <w:kern w:val="0"/>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295" w:type="dxa"/>
            <w:noWrap/>
            <w:vAlign w:val="center"/>
          </w:tcPr>
          <w:p>
            <w:pPr>
              <w:pStyle w:val="3"/>
              <w:numPr>
                <w:ilvl w:val="0"/>
                <w:numId w:val="0"/>
              </w:numPr>
              <w:tabs>
                <w:tab w:val="left" w:pos="432"/>
              </w:tabs>
              <w:spacing w:before="0" w:after="0" w:line="288" w:lineRule="auto"/>
              <w:rPr>
                <w:rFonts w:ascii="宋体" w:hAnsi="宋体" w:cs="宋体"/>
                <w:b w:val="0"/>
                <w:kern w:val="0"/>
                <w:sz w:val="21"/>
                <w:szCs w:val="21"/>
              </w:rPr>
            </w:pPr>
            <w:r>
              <w:rPr>
                <w:rFonts w:hint="eastAsia" w:ascii="宋体" w:hAnsi="宋体" w:cs="宋体"/>
                <w:b w:val="0"/>
                <w:bCs w:val="0"/>
                <w:sz w:val="21"/>
                <w:szCs w:val="21"/>
              </w:rPr>
              <w:t>总体方案</w:t>
            </w:r>
          </w:p>
        </w:tc>
        <w:tc>
          <w:tcPr>
            <w:tcW w:w="6663"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spacing w:before="0" w:after="0" w:line="288" w:lineRule="auto"/>
              <w:jc w:val="left"/>
              <w:rPr>
                <w:rFonts w:ascii="宋体" w:hAnsi="宋体" w:cs="宋体"/>
                <w:b w:val="0"/>
                <w:kern w:val="0"/>
                <w:sz w:val="21"/>
                <w:szCs w:val="21"/>
              </w:rPr>
            </w:pPr>
            <w:r>
              <w:rPr>
                <w:rFonts w:hint="eastAsia" w:ascii="宋体" w:hAnsi="宋体" w:cs="宋体"/>
                <w:b w:val="0"/>
                <w:bCs w:val="0"/>
                <w:sz w:val="21"/>
                <w:szCs w:val="21"/>
              </w:rPr>
              <w:t>根据投标人对本项目取水实时监控点熟悉程度综合评分，针对项目需求理解和解决方案有独到的优势进行综合打分（0-4分），保证实施监控点的维护管理及其他服务工作的正常情况进行综合评分（0-4分）。</w:t>
            </w:r>
          </w:p>
        </w:tc>
        <w:tc>
          <w:tcPr>
            <w:tcW w:w="841"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295"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服务方案</w:t>
            </w:r>
          </w:p>
        </w:tc>
        <w:tc>
          <w:tcPr>
            <w:tcW w:w="6663"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根据投标人维护服务方案的详细维护计划（0-4分）、取水实时监控点的维护管理（0-4分）、发现异常的跟踪处置响应流程（0-4分）等进行综合评分。</w:t>
            </w:r>
          </w:p>
        </w:tc>
        <w:tc>
          <w:tcPr>
            <w:tcW w:w="841"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295"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巡检方案</w:t>
            </w:r>
          </w:p>
        </w:tc>
        <w:tc>
          <w:tcPr>
            <w:tcW w:w="6663"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根据投标人的系统运行检查方案（0-2分）、设施设备定期巡查方案（0-2分）、技术支持服务方案（0-2分）、设备维修方案（0-2分）等进行综合评分。</w:t>
            </w:r>
          </w:p>
        </w:tc>
        <w:tc>
          <w:tcPr>
            <w:tcW w:w="841"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95"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率定比测方案</w:t>
            </w:r>
          </w:p>
        </w:tc>
        <w:tc>
          <w:tcPr>
            <w:tcW w:w="6663"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根据投标人的针对取水计量点率定的比测方案进行综合评分（0-6）。</w:t>
            </w:r>
          </w:p>
        </w:tc>
        <w:tc>
          <w:tcPr>
            <w:tcW w:w="841"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295" w:type="dxa"/>
            <w:noWrap/>
            <w:vAlign w:val="center"/>
          </w:tcPr>
          <w:p>
            <w:pPr>
              <w:pStyle w:val="3"/>
              <w:numPr>
                <w:ilvl w:val="0"/>
                <w:numId w:val="0"/>
              </w:numPr>
              <w:tabs>
                <w:tab w:val="left" w:pos="432"/>
              </w:tabs>
              <w:spacing w:before="0" w:after="0" w:line="288" w:lineRule="auto"/>
              <w:rPr>
                <w:rFonts w:ascii="宋体" w:hAnsi="宋体" w:cs="宋体"/>
                <w:b w:val="0"/>
                <w:kern w:val="0"/>
                <w:sz w:val="21"/>
                <w:szCs w:val="21"/>
              </w:rPr>
            </w:pPr>
            <w:r>
              <w:rPr>
                <w:rFonts w:hint="eastAsia" w:ascii="宋体" w:hAnsi="宋体" w:cs="宋体"/>
                <w:b w:val="0"/>
                <w:bCs w:val="0"/>
                <w:sz w:val="21"/>
                <w:szCs w:val="21"/>
              </w:rPr>
              <w:t>应急预案</w:t>
            </w:r>
          </w:p>
        </w:tc>
        <w:tc>
          <w:tcPr>
            <w:tcW w:w="6663"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spacing w:before="0" w:after="0" w:line="288" w:lineRule="auto"/>
              <w:jc w:val="left"/>
              <w:rPr>
                <w:rFonts w:ascii="宋体" w:hAnsi="宋体" w:cs="宋体"/>
                <w:b w:val="0"/>
                <w:kern w:val="0"/>
                <w:sz w:val="21"/>
                <w:szCs w:val="21"/>
              </w:rPr>
            </w:pPr>
            <w:r>
              <w:rPr>
                <w:rFonts w:hint="eastAsia" w:ascii="宋体" w:hAnsi="宋体" w:cs="宋体"/>
                <w:b w:val="0"/>
                <w:bCs w:val="0"/>
                <w:sz w:val="21"/>
                <w:szCs w:val="21"/>
              </w:rPr>
              <w:t>根据投标人运行服务保障应急预案，方案针对招标人现有实时监控点的实际情况可能遇到的问题及其应对措施的考虑情况进行综合评分：具有应急预案的针对性、合理性的进行综合评分（0-3分）。具有可行性、详细程度的进行综合评分（0-3分）。</w:t>
            </w:r>
          </w:p>
        </w:tc>
        <w:tc>
          <w:tcPr>
            <w:tcW w:w="841"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1295"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重难点分析及解决方案</w:t>
            </w:r>
          </w:p>
          <w:p>
            <w:pPr>
              <w:pStyle w:val="3"/>
              <w:numPr>
                <w:ilvl w:val="0"/>
                <w:numId w:val="0"/>
              </w:numPr>
              <w:tabs>
                <w:tab w:val="left" w:pos="432"/>
              </w:tabs>
              <w:spacing w:before="0" w:after="0" w:line="288" w:lineRule="auto"/>
              <w:rPr>
                <w:rFonts w:ascii="宋体" w:hAnsi="宋体" w:cs="宋体"/>
                <w:b w:val="0"/>
                <w:bCs w:val="0"/>
                <w:sz w:val="21"/>
                <w:szCs w:val="21"/>
              </w:rPr>
            </w:pPr>
          </w:p>
        </w:tc>
        <w:tc>
          <w:tcPr>
            <w:tcW w:w="6663"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1.根据投标人对采购需求进行理解，对服务过程中会遇到的重难点进行调查分析，采购小组对重难点有效情况进行判断，对重难点的有效性、质量等综合情况进行评分（0-2分）。</w:t>
            </w:r>
          </w:p>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2.根据投标人结合取水实时监测点及软件平台年度维护工作开展情况，对项目的技术关键点、难点进行分析，并提出具有切实可行的解决措施，根据其完整性等综合情况进行评分（0-2分）。</w:t>
            </w:r>
          </w:p>
        </w:tc>
        <w:tc>
          <w:tcPr>
            <w:tcW w:w="841"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295" w:type="dxa"/>
            <w:noWrap/>
            <w:vAlign w:val="center"/>
          </w:tcPr>
          <w:p>
            <w:pPr>
              <w:pStyle w:val="3"/>
              <w:numPr>
                <w:ilvl w:val="0"/>
                <w:numId w:val="0"/>
              </w:numPr>
              <w:tabs>
                <w:tab w:val="left" w:pos="432"/>
              </w:tabs>
              <w:spacing w:before="0" w:after="0" w:line="288" w:lineRule="auto"/>
              <w:rPr>
                <w:rFonts w:ascii="宋体" w:hAnsi="宋体" w:cs="宋体"/>
                <w:b w:val="0"/>
                <w:kern w:val="0"/>
                <w:sz w:val="21"/>
                <w:szCs w:val="21"/>
              </w:rPr>
            </w:pPr>
            <w:r>
              <w:rPr>
                <w:rFonts w:hint="eastAsia" w:ascii="宋体" w:hAnsi="宋体" w:cs="宋体"/>
                <w:b w:val="0"/>
                <w:bCs w:val="0"/>
                <w:sz w:val="21"/>
                <w:szCs w:val="21"/>
              </w:rPr>
              <w:t>技术服务支撑</w:t>
            </w:r>
          </w:p>
        </w:tc>
        <w:tc>
          <w:tcPr>
            <w:tcW w:w="6663"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spacing w:before="0" w:after="0" w:line="288" w:lineRule="auto"/>
              <w:jc w:val="left"/>
              <w:rPr>
                <w:rFonts w:ascii="宋体" w:hAnsi="宋体" w:cs="宋体"/>
                <w:b w:val="0"/>
                <w:kern w:val="0"/>
                <w:sz w:val="21"/>
                <w:szCs w:val="21"/>
              </w:rPr>
            </w:pPr>
            <w:r>
              <w:rPr>
                <w:rFonts w:hint="eastAsia" w:ascii="宋体" w:hAnsi="宋体" w:cs="宋体"/>
                <w:b w:val="0"/>
                <w:bCs w:val="0"/>
                <w:sz w:val="21"/>
                <w:szCs w:val="21"/>
              </w:rPr>
              <w:t>根据投标人拟投入本项目提供应用维护软件监控系统技术支撑服务情况进行综合评分（0-4分）。</w:t>
            </w:r>
          </w:p>
        </w:tc>
        <w:tc>
          <w:tcPr>
            <w:tcW w:w="841"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295"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技术培训方案</w:t>
            </w:r>
          </w:p>
        </w:tc>
        <w:tc>
          <w:tcPr>
            <w:tcW w:w="6663"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根据投标人项目实施的培训课程内容设计合理性、实用性和操作性等进行综合评分（0-2分）。</w:t>
            </w:r>
          </w:p>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根据投标人项目培训计划、选择对象、安排时间等方案的有合理性和针对性等进行综合评分（0-2分）。</w:t>
            </w:r>
          </w:p>
        </w:tc>
        <w:tc>
          <w:tcPr>
            <w:tcW w:w="841" w:type="dxa"/>
            <w:noWrap/>
            <w:vAlign w:val="center"/>
          </w:tcPr>
          <w:p>
            <w:pPr>
              <w:pStyle w:val="3"/>
              <w:numPr>
                <w:ilvl w:val="0"/>
                <w:numId w:val="0"/>
              </w:numPr>
              <w:tabs>
                <w:tab w:val="left" w:pos="432"/>
              </w:tabs>
              <w:spacing w:before="0" w:after="0" w:line="288" w:lineRule="auto"/>
              <w:rPr>
                <w:rFonts w:ascii="宋体" w:hAnsi="宋体" w:cs="宋体"/>
                <w:b w:val="0"/>
                <w:bCs w:val="0"/>
                <w:sz w:val="21"/>
                <w:szCs w:val="21"/>
              </w:rPr>
            </w:pPr>
            <w:r>
              <w:rPr>
                <w:rFonts w:hint="eastAsia" w:ascii="宋体" w:hAnsi="宋体" w:cs="宋体"/>
                <w:b w:val="0"/>
                <w:bCs w:val="0"/>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95" w:type="dxa"/>
            <w:noWrap/>
            <w:vAlign w:val="center"/>
          </w:tcPr>
          <w:p>
            <w:pPr>
              <w:snapToGrid w:val="0"/>
              <w:jc w:val="left"/>
              <w:rPr>
                <w:rFonts w:ascii="宋体" w:hAnsi="宋体" w:cs="宋体"/>
                <w:szCs w:val="21"/>
              </w:rPr>
            </w:pPr>
            <w:r>
              <w:rPr>
                <w:rFonts w:hint="eastAsia" w:ascii="宋体" w:hAnsi="宋体" w:cs="宋体"/>
                <w:szCs w:val="21"/>
              </w:rPr>
              <w:t>服务承诺</w:t>
            </w:r>
          </w:p>
        </w:tc>
        <w:tc>
          <w:tcPr>
            <w:tcW w:w="6663"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snapToGrid w:val="0"/>
              <w:jc w:val="left"/>
              <w:rPr>
                <w:rFonts w:ascii="宋体" w:hAnsi="宋体" w:cs="宋体"/>
                <w:szCs w:val="21"/>
              </w:rPr>
            </w:pPr>
            <w:r>
              <w:rPr>
                <w:rFonts w:hint="eastAsia" w:ascii="宋体" w:hAnsi="宋体" w:cs="宋体"/>
                <w:szCs w:val="21"/>
              </w:rPr>
              <w:t>根据投标人提供的服务承诺的可行性、完整性以及服务承诺落实的保障措施进行打分（0-2分）。</w:t>
            </w:r>
          </w:p>
        </w:tc>
        <w:tc>
          <w:tcPr>
            <w:tcW w:w="841" w:type="dxa"/>
            <w:noWrap/>
            <w:vAlign w:val="center"/>
          </w:tcPr>
          <w:p>
            <w:pPr>
              <w:snapToGrid w:val="0"/>
              <w:jc w:val="center"/>
              <w:rPr>
                <w:rFonts w:ascii="宋体" w:hAnsi="宋体" w:cs="宋体"/>
                <w:szCs w:val="21"/>
              </w:rPr>
            </w:pPr>
            <w:r>
              <w:rPr>
                <w:rFonts w:hint="eastAsia" w:ascii="宋体" w:hAnsi="宋体" w:cs="宋体"/>
                <w:szCs w:val="21"/>
              </w:rPr>
              <w:t>0-2</w:t>
            </w:r>
          </w:p>
        </w:tc>
      </w:tr>
    </w:tbl>
    <w:p>
      <w:pPr>
        <w:spacing w:line="360" w:lineRule="auto"/>
      </w:pPr>
      <w:r>
        <w:rPr>
          <w:rFonts w:hint="eastAsia"/>
          <w:b/>
          <w:bCs/>
        </w:rPr>
        <w:t>注</w:t>
      </w:r>
      <w:r>
        <w:rPr>
          <w:rFonts w:hint="eastAsia"/>
        </w:rPr>
        <w:t>：请扫描上传合同、证书、报告及其他相关证明材料的原件至投标文件，并加盖电子印章，否则不得分。供应商提供的复印件、打印件应清晰、完整并加盖供应商公章。如复印件存在不清晰或不完整等情况，评标委员会可要求供应商提供原件(或与原件相符的公证原件)查验，如供应商不能在规定时内提供原件(或与原件相符的公证原件)，则由此造成评标委员会扣分直至认定为响应无效都将是供应商的责任。</w:t>
      </w:r>
    </w:p>
    <w:p>
      <w:pPr>
        <w:pStyle w:val="11"/>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（三）商务标评审</w:t>
      </w:r>
    </w:p>
    <w:p>
      <w:pPr>
        <w:autoSpaceDE w:val="0"/>
        <w:autoSpaceDN w:val="0"/>
        <w:adjustRightInd w:val="0"/>
        <w:spacing w:line="360" w:lineRule="auto"/>
        <w:ind w:right="85"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在商务标初步评审通过的有效投标文件中，以投标报价最低的价格为评标基准价，其价格分为满分（20分）；其他投标人报价得分＝（评标基准价/投标报价）×20%×100。</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投标文件满足招标文件全部实质性要求，且按照评审因素的量化指标评审得分最高的投标人为排名第一的为第一中标候选人，排名第二的为第二中标候选人。</w:t>
      </w:r>
      <w:r>
        <w:rPr>
          <w:rFonts w:hint="eastAsia" w:ascii="宋体" w:hAnsi="宋体"/>
          <w:bCs/>
          <w:sz w:val="24"/>
        </w:rPr>
        <w:t>若出现总得分相同时，按技术标得分由高到低顺序排列；若以上均相同的，则抽签确定。</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pStyle w:val="16"/>
        <w:snapToGrid w:val="0"/>
        <w:spacing w:line="360" w:lineRule="auto"/>
        <w:ind w:left="210" w:leftChars="100" w:firstLine="240" w:firstLineChars="100"/>
        <w:rPr>
          <w:rFonts w:hAnsi="宋体" w:cs="宋体"/>
          <w:sz w:val="24"/>
        </w:rPr>
      </w:pPr>
      <w:r>
        <w:rPr>
          <w:rFonts w:hint="eastAsia" w:hAnsi="宋体" w:cs="宋体"/>
          <w:sz w:val="24"/>
        </w:rPr>
        <w:t>评标委员会根据全体评标成员签字的原始评标记录和评标结果编写评标报告。</w:t>
      </w:r>
    </w:p>
    <w:p>
      <w:pPr>
        <w:pStyle w:val="16"/>
        <w:snapToGrid w:val="0"/>
        <w:spacing w:line="360" w:lineRule="auto"/>
        <w:ind w:left="210" w:leftChars="100" w:firstLine="241" w:firstLineChars="100"/>
        <w:rPr>
          <w:rFonts w:asciiTheme="minorEastAsia" w:hAnsiTheme="minorEastAsia" w:eastAsiaTheme="minorEastAsia"/>
          <w:b/>
          <w:sz w:val="24"/>
        </w:rPr>
      </w:pPr>
      <w:r>
        <w:rPr>
          <w:rFonts w:hint="eastAsia" w:asciiTheme="minorEastAsia" w:hAnsiTheme="minorEastAsia" w:eastAsiaTheme="minorEastAsia"/>
          <w:b/>
          <w:sz w:val="24"/>
        </w:rPr>
        <w:t>（六）其他</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pStyle w:val="27"/>
        <w:ind w:firstLine="480"/>
      </w:pPr>
      <w:bookmarkStart w:id="38" w:name="_Toc27944_WPSOffice_Level1"/>
    </w:p>
    <w:bookmarkEnd w:id="38"/>
    <w:p>
      <w:pPr>
        <w:pStyle w:val="27"/>
        <w:ind w:firstLine="480"/>
        <w:rPr>
          <w:rFonts w:ascii="仿宋" w:hAnsi="仿宋" w:eastAsia="仿宋" w:cs="仿宋"/>
        </w:rPr>
      </w:pPr>
    </w:p>
    <w:p>
      <w:pPr>
        <w:spacing w:line="360" w:lineRule="auto"/>
        <w:jc w:val="center"/>
        <w:rPr>
          <w:rFonts w:ascii="仿宋" w:hAnsi="仿宋" w:eastAsia="仿宋" w:cs="仿宋"/>
          <w:b/>
          <w:sz w:val="36"/>
          <w:szCs w:val="36"/>
        </w:rPr>
      </w:pPr>
    </w:p>
    <w:p>
      <w:pPr>
        <w:spacing w:line="360" w:lineRule="auto"/>
        <w:jc w:val="center"/>
        <w:rPr>
          <w:rFonts w:ascii="仿宋" w:hAnsi="仿宋" w:eastAsia="仿宋" w:cs="仿宋"/>
          <w:b/>
          <w:sz w:val="36"/>
          <w:szCs w:val="36"/>
        </w:rPr>
      </w:pPr>
    </w:p>
    <w:p>
      <w:pPr>
        <w:pStyle w:val="17"/>
        <w:ind w:left="5250"/>
      </w:pPr>
    </w:p>
    <w:p>
      <w:pPr>
        <w:pStyle w:val="27"/>
        <w:ind w:firstLine="480"/>
      </w:pPr>
    </w:p>
    <w:p>
      <w:pPr>
        <w:rPr>
          <w:rStyle w:val="99"/>
          <w:rFonts w:ascii="宋体" w:hAnsi="宋体" w:cs="宋体"/>
          <w:bCs w:val="0"/>
          <w:color w:val="000000"/>
        </w:rPr>
      </w:pPr>
      <w:r>
        <w:rPr>
          <w:rStyle w:val="99"/>
          <w:rFonts w:hint="eastAsia" w:ascii="宋体" w:hAnsi="宋体" w:cs="宋体"/>
          <w:bCs w:val="0"/>
          <w:color w:val="000000"/>
        </w:rPr>
        <w:br w:type="page"/>
      </w:r>
    </w:p>
    <w:p>
      <w:pPr>
        <w:pStyle w:val="3"/>
        <w:numPr>
          <w:ilvl w:val="0"/>
          <w:numId w:val="0"/>
        </w:numPr>
        <w:ind w:left="425"/>
        <w:rPr>
          <w:rStyle w:val="99"/>
          <w:rFonts w:ascii="宋体" w:hAnsi="宋体" w:cs="宋体"/>
          <w:b/>
          <w:bCs w:val="0"/>
          <w:color w:val="000000"/>
        </w:rPr>
      </w:pPr>
      <w:r>
        <w:rPr>
          <w:rStyle w:val="99"/>
          <w:rFonts w:hint="eastAsia" w:ascii="宋体" w:hAnsi="宋体" w:cs="宋体"/>
          <w:b/>
          <w:bCs w:val="0"/>
          <w:color w:val="000000"/>
        </w:rPr>
        <w:t>第五章  拟签订的合同文本</w:t>
      </w:r>
    </w:p>
    <w:p/>
    <w:p>
      <w:pPr>
        <w:pStyle w:val="2"/>
      </w:pPr>
    </w:p>
    <w:p>
      <w:pPr>
        <w:pStyle w:val="2"/>
      </w:pPr>
    </w:p>
    <w:p>
      <w:pPr>
        <w:pStyle w:val="2"/>
      </w:pPr>
    </w:p>
    <w:p>
      <w:pPr>
        <w:jc w:val="center"/>
        <w:rPr>
          <w:b/>
          <w:bCs/>
          <w:sz w:val="52"/>
          <w:szCs w:val="52"/>
        </w:rPr>
      </w:pPr>
      <w:r>
        <w:rPr>
          <w:rFonts w:hint="eastAsia"/>
          <w:b/>
          <w:bCs/>
          <w:sz w:val="52"/>
          <w:szCs w:val="52"/>
          <w:lang w:eastAsia="zh-CN"/>
        </w:rPr>
        <w:t>2024年台州湾新区取水管理服务（重新招标）</w:t>
      </w:r>
      <w:r>
        <w:rPr>
          <w:rFonts w:hint="eastAsia"/>
          <w:b/>
          <w:bCs/>
          <w:sz w:val="52"/>
          <w:szCs w:val="52"/>
        </w:rPr>
        <w:t>合同</w:t>
      </w:r>
    </w:p>
    <w:p>
      <w:pPr>
        <w:rPr>
          <w:b/>
          <w:bCs/>
        </w:rPr>
      </w:pPr>
    </w:p>
    <w:p>
      <w:pPr>
        <w:rPr>
          <w:b/>
          <w:bCs/>
        </w:rPr>
      </w:pPr>
    </w:p>
    <w:p>
      <w:pPr>
        <w:rPr>
          <w:b/>
          <w:bCs/>
        </w:rPr>
      </w:pPr>
    </w:p>
    <w:p>
      <w:pPr>
        <w:rPr>
          <w:b/>
          <w:bCs/>
        </w:rPr>
      </w:pPr>
    </w:p>
    <w:p>
      <w:pPr>
        <w:rPr>
          <w:b/>
          <w:bCs/>
        </w:rPr>
      </w:pPr>
    </w:p>
    <w:p>
      <w:pPr>
        <w:rPr>
          <w:b/>
          <w:bCs/>
        </w:rPr>
      </w:pPr>
    </w:p>
    <w:p>
      <w:pPr>
        <w:rPr>
          <w:b/>
          <w:bCs/>
        </w:rPr>
      </w:pPr>
    </w:p>
    <w:p>
      <w:pPr>
        <w:ind w:firstLine="1807" w:firstLineChars="600"/>
        <w:rPr>
          <w:b/>
          <w:bCs/>
          <w:sz w:val="30"/>
          <w:szCs w:val="30"/>
        </w:rPr>
      </w:pPr>
    </w:p>
    <w:p>
      <w:pPr>
        <w:pStyle w:val="8"/>
        <w:rPr>
          <w:sz w:val="30"/>
          <w:szCs w:val="30"/>
        </w:rPr>
      </w:pPr>
    </w:p>
    <w:p/>
    <w:p>
      <w:pPr>
        <w:widowControl/>
        <w:snapToGrid w:val="0"/>
        <w:spacing w:before="100" w:beforeAutospacing="1" w:after="100" w:afterAutospacing="1" w:line="320" w:lineRule="atLeast"/>
        <w:jc w:val="left"/>
        <w:rPr>
          <w:rFonts w:hint="eastAsia" w:ascii="宋体" w:hAnsi="宋体" w:eastAsia="宋体" w:cs="宋体"/>
          <w:kern w:val="0"/>
          <w:sz w:val="28"/>
          <w:szCs w:val="28"/>
          <w:u w:val="single"/>
          <w:lang w:eastAsia="zh-CN"/>
        </w:rPr>
      </w:pPr>
      <w:r>
        <w:rPr>
          <w:rFonts w:hint="eastAsia" w:ascii="宋体" w:hAnsi="宋体" w:cs="宋体"/>
          <w:kern w:val="0"/>
          <w:sz w:val="28"/>
          <w:szCs w:val="28"/>
        </w:rPr>
        <w:t>项目名称：</w:t>
      </w:r>
      <w:r>
        <w:rPr>
          <w:rFonts w:hint="eastAsia" w:ascii="宋体" w:hAnsi="宋体" w:cs="宋体"/>
          <w:kern w:val="0"/>
          <w:sz w:val="28"/>
          <w:szCs w:val="28"/>
          <w:u w:val="single"/>
          <w:lang w:eastAsia="zh-CN"/>
        </w:rPr>
        <w:t>2024年台州湾新区取水管理服务（重新招标）</w:t>
      </w:r>
    </w:p>
    <w:p>
      <w:pPr>
        <w:widowControl/>
        <w:tabs>
          <w:tab w:val="left" w:pos="1442"/>
        </w:tabs>
        <w:snapToGrid w:val="0"/>
        <w:spacing w:before="100" w:beforeAutospacing="1" w:after="100" w:afterAutospacing="1" w:line="320" w:lineRule="atLeast"/>
        <w:jc w:val="left"/>
        <w:rPr>
          <w:rFonts w:ascii="宋体" w:hAnsi="宋体" w:cs="宋体"/>
          <w:kern w:val="0"/>
          <w:sz w:val="28"/>
          <w:szCs w:val="28"/>
        </w:rPr>
      </w:pPr>
      <w:r>
        <w:rPr>
          <w:rFonts w:hint="eastAsia" w:ascii="宋体" w:hAnsi="宋体" w:cs="宋体"/>
          <w:kern w:val="0"/>
          <w:sz w:val="28"/>
          <w:szCs w:val="28"/>
        </w:rPr>
        <w:t>项  目 地  点：</w:t>
      </w:r>
      <w:r>
        <w:rPr>
          <w:rFonts w:hint="eastAsia" w:ascii="宋体" w:hAnsi="宋体" w:cs="宋体"/>
          <w:kern w:val="0"/>
          <w:sz w:val="28"/>
          <w:szCs w:val="28"/>
          <w:u w:val="single"/>
        </w:rPr>
        <w:t>台州湾新区</w:t>
      </w:r>
    </w:p>
    <w:p>
      <w:pPr>
        <w:widowControl/>
        <w:snapToGrid w:val="0"/>
        <w:spacing w:before="100" w:beforeAutospacing="1" w:after="100" w:afterAutospacing="1" w:line="320" w:lineRule="atLeast"/>
        <w:jc w:val="left"/>
        <w:rPr>
          <w:rFonts w:ascii="宋体" w:hAnsi="宋体" w:cs="宋体"/>
          <w:kern w:val="0"/>
          <w:sz w:val="28"/>
          <w:szCs w:val="28"/>
          <w:u w:val="single"/>
        </w:rPr>
      </w:pPr>
      <w:r>
        <w:rPr>
          <w:rFonts w:hint="eastAsia" w:ascii="宋体" w:hAnsi="宋体" w:cs="宋体"/>
          <w:kern w:val="0"/>
          <w:sz w:val="28"/>
          <w:szCs w:val="28"/>
        </w:rPr>
        <w:t>发  包  人：</w:t>
      </w:r>
      <w:r>
        <w:rPr>
          <w:rFonts w:hint="eastAsia" w:ascii="宋体" w:hAnsi="宋体"/>
          <w:sz w:val="28"/>
          <w:u w:val="single"/>
        </w:rPr>
        <w:t>台州湾新区管理委员会</w:t>
      </w:r>
    </w:p>
    <w:p>
      <w:pPr>
        <w:widowControl/>
        <w:snapToGrid w:val="0"/>
        <w:spacing w:before="100" w:beforeAutospacing="1" w:after="100" w:afterAutospacing="1" w:line="320" w:lineRule="atLeast"/>
        <w:jc w:val="left"/>
        <w:rPr>
          <w:rFonts w:ascii="宋体" w:hAnsi="宋体" w:cs="宋体"/>
          <w:kern w:val="0"/>
          <w:sz w:val="28"/>
          <w:szCs w:val="28"/>
        </w:rPr>
      </w:pPr>
      <w:r>
        <w:rPr>
          <w:rFonts w:hint="eastAsia" w:ascii="宋体" w:hAnsi="宋体" w:cs="宋体"/>
          <w:kern w:val="0"/>
          <w:sz w:val="28"/>
          <w:szCs w:val="28"/>
        </w:rPr>
        <w:t>承  包  人：</w:t>
      </w:r>
      <w:r>
        <w:rPr>
          <w:rFonts w:hint="eastAsia" w:ascii="宋体" w:hAnsi="宋体" w:cs="宋体"/>
          <w:kern w:val="0"/>
          <w:sz w:val="28"/>
          <w:szCs w:val="28"/>
          <w:u w:val="single"/>
        </w:rPr>
        <w:t xml:space="preserve">                                         </w:t>
      </w:r>
    </w:p>
    <w:p>
      <w:pPr>
        <w:widowControl/>
        <w:snapToGrid w:val="0"/>
        <w:spacing w:before="100" w:beforeAutospacing="1" w:after="100" w:afterAutospacing="1" w:line="320" w:lineRule="atLeast"/>
        <w:jc w:val="left"/>
        <w:rPr>
          <w:b/>
          <w:bCs/>
        </w:rPr>
      </w:pPr>
      <w:r>
        <w:rPr>
          <w:rFonts w:hint="eastAsia" w:ascii="宋体" w:hAnsi="宋体" w:cs="宋体"/>
          <w:kern w:val="0"/>
          <w:sz w:val="28"/>
          <w:szCs w:val="28"/>
        </w:rPr>
        <w:t>签  订  日  期：</w:t>
      </w:r>
      <w:r>
        <w:rPr>
          <w:rFonts w:hint="eastAsia" w:ascii="宋体" w:hAnsi="宋体" w:cs="宋体"/>
          <w:kern w:val="0"/>
          <w:sz w:val="28"/>
          <w:szCs w:val="28"/>
          <w:u w:val="single"/>
        </w:rPr>
        <w:t xml:space="preserve">                                     </w:t>
      </w:r>
    </w:p>
    <w:p>
      <w:pPr>
        <w:rPr>
          <w:rFonts w:hAnsi="宋体"/>
          <w:b/>
          <w:sz w:val="28"/>
          <w:szCs w:val="28"/>
        </w:rPr>
      </w:pPr>
      <w:bookmarkStart w:id="39" w:name="_Toc5481_WPSOffice_Level1"/>
      <w:r>
        <w:rPr>
          <w:rFonts w:hint="eastAsia" w:hAnsi="宋体"/>
          <w:b/>
          <w:sz w:val="28"/>
          <w:szCs w:val="28"/>
        </w:rPr>
        <w:br w:type="page"/>
      </w:r>
    </w:p>
    <w:p>
      <w:pPr>
        <w:spacing w:before="156" w:beforeLines="50" w:after="156" w:afterLines="50" w:line="400" w:lineRule="exact"/>
        <w:ind w:left="141" w:hanging="141" w:hangingChars="50"/>
        <w:jc w:val="center"/>
        <w:rPr>
          <w:rFonts w:hAnsi="宋体"/>
          <w:b/>
          <w:sz w:val="28"/>
          <w:szCs w:val="28"/>
        </w:rPr>
      </w:pPr>
      <w:r>
        <w:rPr>
          <w:rFonts w:hint="eastAsia" w:hAnsi="宋体"/>
          <w:b/>
          <w:sz w:val="28"/>
          <w:szCs w:val="28"/>
        </w:rPr>
        <w:t>合同条款</w:t>
      </w:r>
    </w:p>
    <w:p>
      <w:pPr>
        <w:spacing w:line="360" w:lineRule="auto"/>
        <w:jc w:val="center"/>
        <w:rPr>
          <w:rFonts w:ascii="宋体" w:hAnsi="宋体"/>
          <w:sz w:val="24"/>
        </w:rPr>
      </w:pPr>
      <w:r>
        <w:rPr>
          <w:rFonts w:hint="eastAsia" w:ascii="宋体" w:hAnsi="宋体"/>
          <w:sz w:val="24"/>
        </w:rPr>
        <w:t>（本合同为参考，具体结合招标需求及成交人的承诺，以实际签署为准）</w:t>
      </w:r>
    </w:p>
    <w:p>
      <w:pPr>
        <w:pStyle w:val="16"/>
        <w:adjustRightInd w:val="0"/>
        <w:snapToGrid w:val="0"/>
        <w:spacing w:line="360" w:lineRule="auto"/>
        <w:rPr>
          <w:rFonts w:hAnsi="宋体" w:cs="宋体"/>
          <w:sz w:val="24"/>
        </w:rPr>
      </w:pPr>
      <w:r>
        <w:rPr>
          <w:rFonts w:hint="eastAsia" w:hAnsi="宋体" w:cs="宋体"/>
          <w:sz w:val="24"/>
        </w:rPr>
        <w:t>项目名称：</w:t>
      </w:r>
      <w:r>
        <w:rPr>
          <w:rFonts w:hint="eastAsia" w:hAnsi="宋体" w:cs="宋体"/>
          <w:sz w:val="24"/>
          <w:lang w:eastAsia="zh-CN"/>
        </w:rPr>
        <w:t>2024年台州湾新区取水管理服务（重新招标）</w:t>
      </w:r>
      <w:r>
        <w:rPr>
          <w:rFonts w:hint="eastAsia" w:hAnsi="宋体" w:cs="宋体"/>
          <w:sz w:val="24"/>
        </w:rPr>
        <w:t xml:space="preserve">           </w:t>
      </w:r>
    </w:p>
    <w:p>
      <w:pPr>
        <w:pStyle w:val="16"/>
        <w:adjustRightInd w:val="0"/>
        <w:snapToGrid w:val="0"/>
        <w:spacing w:line="360" w:lineRule="auto"/>
        <w:rPr>
          <w:rFonts w:hAnsi="宋体" w:cs="宋体"/>
          <w:sz w:val="24"/>
        </w:rPr>
      </w:pPr>
      <w:r>
        <w:rPr>
          <w:rFonts w:hint="eastAsia" w:hAnsi="宋体" w:cs="宋体"/>
          <w:sz w:val="24"/>
        </w:rPr>
        <w:t>项目编号：</w:t>
      </w:r>
    </w:p>
    <w:p>
      <w:pPr>
        <w:pStyle w:val="16"/>
        <w:adjustRightInd w:val="0"/>
        <w:snapToGrid w:val="0"/>
        <w:spacing w:line="360" w:lineRule="auto"/>
        <w:rPr>
          <w:rFonts w:hAnsi="宋体" w:cs="宋体"/>
          <w:sz w:val="24"/>
        </w:rPr>
      </w:pPr>
      <w:r>
        <w:rPr>
          <w:rFonts w:hint="eastAsia" w:hAnsi="宋体" w:cs="宋体"/>
          <w:sz w:val="24"/>
        </w:rPr>
        <w:t xml:space="preserve">甲方：（采购单位）                            所在地：                              </w:t>
      </w:r>
    </w:p>
    <w:p>
      <w:pPr>
        <w:pStyle w:val="16"/>
        <w:adjustRightInd w:val="0"/>
        <w:snapToGrid w:val="0"/>
        <w:spacing w:line="360" w:lineRule="auto"/>
        <w:rPr>
          <w:rFonts w:hAnsi="宋体" w:cs="宋体"/>
          <w:sz w:val="24"/>
        </w:rPr>
      </w:pPr>
      <w:r>
        <w:rPr>
          <w:rFonts w:hint="eastAsia" w:hAnsi="宋体" w:cs="宋体"/>
          <w:sz w:val="24"/>
        </w:rPr>
        <w:t>乙方：（成交供应商）                          所在地：</w:t>
      </w:r>
    </w:p>
    <w:p>
      <w:pPr>
        <w:pStyle w:val="16"/>
        <w:adjustRightInd w:val="0"/>
        <w:snapToGrid w:val="0"/>
        <w:spacing w:line="360" w:lineRule="auto"/>
        <w:ind w:firstLine="480" w:firstLineChars="200"/>
        <w:rPr>
          <w:rFonts w:hAnsi="宋体" w:cs="宋体"/>
          <w:sz w:val="24"/>
        </w:rPr>
      </w:pPr>
      <w:r>
        <w:rPr>
          <w:rFonts w:hint="eastAsia" w:hAnsi="宋体" w:cs="宋体"/>
          <w:sz w:val="24"/>
        </w:rPr>
        <w:t>甲、乙双方关于</w:t>
      </w:r>
      <w:r>
        <w:rPr>
          <w:rFonts w:hint="eastAsia" w:hAnsi="宋体" w:cs="宋体"/>
          <w:sz w:val="24"/>
          <w:lang w:eastAsia="zh-CN"/>
        </w:rPr>
        <w:t>2024年台州湾新区取水管理服务（重新招标）</w:t>
      </w:r>
      <w:r>
        <w:rPr>
          <w:rFonts w:hint="eastAsia" w:hAnsi="宋体" w:cs="宋体"/>
          <w:sz w:val="24"/>
        </w:rPr>
        <w:t xml:space="preserve">  公开招标的结果，签署本合同。</w:t>
      </w:r>
    </w:p>
    <w:p>
      <w:pPr>
        <w:adjustRightInd w:val="0"/>
        <w:snapToGrid w:val="0"/>
        <w:spacing w:line="360" w:lineRule="auto"/>
        <w:jc w:val="left"/>
        <w:rPr>
          <w:rFonts w:ascii="宋体" w:hAnsi="宋体" w:cs="宋体"/>
          <w:sz w:val="24"/>
          <w:lang w:val="zh-CN"/>
        </w:rPr>
      </w:pPr>
      <w:r>
        <w:rPr>
          <w:rFonts w:hint="eastAsia" w:ascii="宋体" w:hAnsi="宋体" w:cs="宋体"/>
          <w:sz w:val="24"/>
          <w:lang w:val="zh-CN"/>
        </w:rPr>
        <w:t xml:space="preserve">一、合同文件： </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1.合同条款。</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2.成交通知书。</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3.更正补充文件（</w:t>
      </w:r>
      <w:r>
        <w:rPr>
          <w:rFonts w:hint="eastAsia" w:ascii="宋体" w:hAnsi="宋体" w:cs="宋体"/>
          <w:sz w:val="24"/>
        </w:rPr>
        <w:t>如有）</w:t>
      </w:r>
      <w:r>
        <w:rPr>
          <w:rFonts w:hint="eastAsia" w:ascii="宋体" w:hAnsi="宋体" w:cs="宋体"/>
          <w:sz w:val="24"/>
          <w:lang w:val="zh-CN"/>
        </w:rPr>
        <w:t>。</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4.招标文件、成交供应商投标文件。</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5.其他。</w:t>
      </w:r>
    </w:p>
    <w:p>
      <w:pPr>
        <w:pStyle w:val="16"/>
        <w:adjustRightInd w:val="0"/>
        <w:snapToGrid w:val="0"/>
        <w:spacing w:line="360" w:lineRule="auto"/>
        <w:ind w:firstLine="480" w:firstLineChars="200"/>
        <w:rPr>
          <w:rFonts w:hAnsi="宋体" w:cs="宋体"/>
          <w:sz w:val="24"/>
          <w:lang w:val="zh-CN"/>
        </w:rPr>
      </w:pPr>
      <w:r>
        <w:rPr>
          <w:rFonts w:hint="eastAsia" w:hAnsi="宋体" w:cs="宋体"/>
          <w:sz w:val="24"/>
          <w:lang w:val="zh-CN"/>
        </w:rPr>
        <w:t>上述所指合同文件应认为是互相补充和解释的，但是有模棱两可或互相矛盾之处，以其所列内容顺序为准。</w:t>
      </w:r>
    </w:p>
    <w:p>
      <w:pPr>
        <w:pStyle w:val="16"/>
        <w:adjustRightInd w:val="0"/>
        <w:snapToGrid w:val="0"/>
        <w:spacing w:line="360" w:lineRule="auto"/>
        <w:rPr>
          <w:rFonts w:hAnsi="宋体" w:cs="宋体"/>
          <w:sz w:val="24"/>
          <w:lang w:val="zh-CN"/>
        </w:rPr>
      </w:pPr>
      <w:r>
        <w:rPr>
          <w:rFonts w:hint="eastAsia" w:hAnsi="宋体" w:cs="宋体"/>
          <w:sz w:val="24"/>
          <w:lang w:val="zh-CN"/>
        </w:rPr>
        <w:t>二、合同内容及服务标准</w:t>
      </w:r>
    </w:p>
    <w:p>
      <w:pPr>
        <w:pStyle w:val="16"/>
        <w:adjustRightInd w:val="0"/>
        <w:snapToGrid w:val="0"/>
        <w:spacing w:line="360" w:lineRule="auto"/>
        <w:ind w:firstLine="480" w:firstLineChars="200"/>
        <w:rPr>
          <w:rFonts w:hAnsi="宋体" w:cs="宋体"/>
          <w:sz w:val="24"/>
        </w:rPr>
      </w:pPr>
      <w:r>
        <w:rPr>
          <w:rFonts w:hint="eastAsia" w:hAnsi="宋体" w:cs="宋体"/>
          <w:sz w:val="24"/>
        </w:rPr>
        <w:t>以招标需求及成交响应文件为准。</w:t>
      </w:r>
    </w:p>
    <w:p>
      <w:pPr>
        <w:pStyle w:val="16"/>
        <w:adjustRightInd w:val="0"/>
        <w:snapToGrid w:val="0"/>
        <w:spacing w:line="360" w:lineRule="auto"/>
        <w:rPr>
          <w:rFonts w:hAnsi="宋体" w:cs="宋体"/>
          <w:sz w:val="24"/>
          <w:lang w:val="zh-CN"/>
        </w:rPr>
      </w:pPr>
      <w:r>
        <w:rPr>
          <w:rFonts w:hint="eastAsia" w:hAnsi="宋体" w:cs="宋体"/>
          <w:sz w:val="24"/>
          <w:lang w:val="zh-CN"/>
        </w:rPr>
        <w:t>三、合同金额</w:t>
      </w:r>
    </w:p>
    <w:p>
      <w:pPr>
        <w:pStyle w:val="16"/>
        <w:adjustRightInd w:val="0"/>
        <w:snapToGrid w:val="0"/>
        <w:spacing w:line="360" w:lineRule="auto"/>
        <w:ind w:firstLine="480" w:firstLineChars="200"/>
        <w:rPr>
          <w:rFonts w:hAnsi="宋体" w:cs="宋体"/>
          <w:sz w:val="24"/>
          <w:lang w:val="zh-CN"/>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adjustRightInd w:val="0"/>
        <w:snapToGrid w:val="0"/>
        <w:spacing w:line="360" w:lineRule="auto"/>
        <w:rPr>
          <w:rFonts w:ascii="宋体" w:hAnsi="宋体" w:cs="宋体"/>
          <w:b/>
          <w:sz w:val="24"/>
        </w:rPr>
      </w:pPr>
      <w:r>
        <w:rPr>
          <w:rFonts w:hint="eastAsia" w:ascii="宋体" w:hAnsi="宋体" w:cs="宋体"/>
          <w:b/>
          <w:bCs/>
          <w:sz w:val="24"/>
          <w:lang w:val="zh-CN"/>
        </w:rPr>
        <w:t>四</w:t>
      </w:r>
      <w:r>
        <w:rPr>
          <w:rFonts w:hint="eastAsia" w:ascii="宋体" w:hAnsi="宋体" w:cs="宋体"/>
          <w:b/>
          <w:sz w:val="24"/>
        </w:rPr>
        <w:t>、技术资料</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1.乙方应按招标文件规定的时间向甲方提供有关技术资料、服务成果及资料台账（含电子文档）。</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2.未经甲方书面同意，乙方不得将甲方提供的有关项目资料提供给与履行本合同无关的任何其他人，使用范围仅限于履行本合同所需的必要范围，应严格遵守保密规定。</w:t>
      </w:r>
    </w:p>
    <w:p>
      <w:pPr>
        <w:pStyle w:val="16"/>
        <w:adjustRightInd w:val="0"/>
        <w:snapToGrid w:val="0"/>
        <w:spacing w:line="360" w:lineRule="auto"/>
        <w:rPr>
          <w:rFonts w:hAnsi="宋体" w:cs="宋体"/>
          <w:b/>
          <w:sz w:val="24"/>
        </w:rPr>
      </w:pPr>
      <w:r>
        <w:rPr>
          <w:rFonts w:hint="eastAsia" w:hAnsi="宋体" w:cs="宋体"/>
          <w:b/>
          <w:sz w:val="24"/>
        </w:rPr>
        <w:t>五、知识产权</w:t>
      </w:r>
    </w:p>
    <w:p>
      <w:pPr>
        <w:pStyle w:val="16"/>
        <w:adjustRightInd w:val="0"/>
        <w:snapToGrid w:val="0"/>
        <w:spacing w:line="360" w:lineRule="auto"/>
        <w:ind w:firstLine="480" w:firstLineChars="200"/>
        <w:rPr>
          <w:rFonts w:hAnsi="宋体" w:cs="宋体"/>
          <w:sz w:val="24"/>
        </w:rPr>
      </w:pPr>
      <w:r>
        <w:rPr>
          <w:rFonts w:hint="eastAsia" w:hAnsi="宋体" w:cs="宋体"/>
          <w:sz w:val="24"/>
        </w:rPr>
        <w:t>1.乙方应保证提供服务过程中不会侵犯任何第三方的知识产权。</w:t>
      </w:r>
    </w:p>
    <w:p>
      <w:pPr>
        <w:pStyle w:val="16"/>
        <w:adjustRightInd w:val="0"/>
        <w:snapToGrid w:val="0"/>
        <w:spacing w:line="360" w:lineRule="auto"/>
        <w:ind w:firstLine="480" w:firstLineChars="200"/>
        <w:rPr>
          <w:rFonts w:hAnsi="宋体" w:cs="宋体"/>
          <w:sz w:val="24"/>
        </w:rPr>
      </w:pPr>
      <w:r>
        <w:rPr>
          <w:rFonts w:hint="eastAsia" w:hAnsi="宋体" w:cs="宋体"/>
          <w:sz w:val="24"/>
        </w:rPr>
        <w:t>2.若侵犯,由乙方赔偿甲方因此遭受的损失（包括但不限于应对及追偿过程中所支付的律师费、差旅费、诉讼费、保全费、鉴定费、评估费等）。</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3.乙方服务过程中所产生服务成果的知识产权及其他权利均归属于甲方。</w:t>
      </w:r>
    </w:p>
    <w:p>
      <w:pPr>
        <w:widowControl/>
        <w:snapToGrid w:val="0"/>
        <w:spacing w:line="360" w:lineRule="auto"/>
        <w:jc w:val="left"/>
        <w:rPr>
          <w:rFonts w:ascii="宋体" w:hAnsi="宋体" w:cs="宋体"/>
          <w:sz w:val="24"/>
          <w:lang w:bidi="en-US"/>
        </w:rPr>
      </w:pPr>
      <w:r>
        <w:rPr>
          <w:rFonts w:hint="eastAsia" w:ascii="宋体" w:hAnsi="宋体" w:cs="宋体"/>
          <w:b/>
          <w:sz w:val="24"/>
        </w:rPr>
        <w:t>六、履约保证金：无</w:t>
      </w:r>
    </w:p>
    <w:p>
      <w:pPr>
        <w:pStyle w:val="16"/>
        <w:adjustRightInd w:val="0"/>
        <w:snapToGrid w:val="0"/>
        <w:spacing w:line="360" w:lineRule="auto"/>
        <w:rPr>
          <w:rFonts w:hAnsi="宋体" w:cs="宋体"/>
          <w:b/>
          <w:sz w:val="24"/>
        </w:rPr>
      </w:pPr>
      <w:r>
        <w:rPr>
          <w:rFonts w:hint="eastAsia" w:hAnsi="宋体" w:cs="宋体"/>
          <w:b/>
          <w:sz w:val="24"/>
        </w:rPr>
        <w:t>七、转包或分包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1.本合同范围的服务，应由乙方直接供应，不得转让他人供应；</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2.除非得到甲方的书面同意，乙方不得将本合同范围的服务部分分包给他人供应；</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w:t>
      </w:r>
      <w:r>
        <w:rPr>
          <w:rFonts w:hint="eastAsia" w:hAnsi="宋体"/>
          <w:sz w:val="24"/>
        </w:rPr>
        <w:t>并按本合同第十一条第3款规定追究乙方的违约责任。</w:t>
      </w:r>
    </w:p>
    <w:p>
      <w:pPr>
        <w:adjustRightInd w:val="0"/>
        <w:snapToGrid w:val="0"/>
        <w:spacing w:line="360" w:lineRule="auto"/>
        <w:rPr>
          <w:rFonts w:ascii="宋体" w:hAnsi="宋体" w:cs="宋体"/>
          <w:b/>
          <w:sz w:val="24"/>
        </w:rPr>
      </w:pPr>
      <w:r>
        <w:rPr>
          <w:rFonts w:hint="eastAsia" w:ascii="宋体" w:hAnsi="宋体" w:cs="宋体"/>
          <w:b/>
          <w:sz w:val="24"/>
        </w:rPr>
        <w:t>八、合同履行时间：</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本项目服务期限为一年，服务期限开始时间具体在合同签订时约定。</w:t>
      </w:r>
    </w:p>
    <w:p>
      <w:pPr>
        <w:widowControl/>
        <w:snapToGrid w:val="0"/>
        <w:spacing w:line="360" w:lineRule="auto"/>
        <w:jc w:val="left"/>
        <w:rPr>
          <w:rFonts w:hAnsi="宋体" w:cs="宋体"/>
          <w:sz w:val="24"/>
        </w:rPr>
      </w:pPr>
      <w:r>
        <w:rPr>
          <w:rFonts w:hint="eastAsia" w:hAnsi="宋体" w:cs="宋体"/>
          <w:b/>
          <w:sz w:val="24"/>
        </w:rPr>
        <w:t>九、款项支付</w:t>
      </w:r>
      <w:r>
        <w:rPr>
          <w:rFonts w:hint="eastAsia" w:hAnsi="宋体" w:cs="宋体"/>
          <w:sz w:val="24"/>
        </w:rPr>
        <w:t>：</w:t>
      </w:r>
    </w:p>
    <w:p>
      <w:pPr>
        <w:pStyle w:val="16"/>
        <w:adjustRightInd w:val="0"/>
        <w:snapToGrid w:val="0"/>
        <w:spacing w:line="360" w:lineRule="auto"/>
        <w:ind w:firstLine="480" w:firstLineChars="200"/>
        <w:rPr>
          <w:sz w:val="24"/>
        </w:rPr>
      </w:pPr>
      <w:r>
        <w:rPr>
          <w:rFonts w:hint="eastAsia" w:hAnsi="宋体" w:cs="Times New Roman"/>
          <w:sz w:val="24"/>
        </w:rPr>
        <w:t>合同签订后支付合同总额的50%的预付款，项目维护期到后，采购人支付至合同总额的100%。</w:t>
      </w:r>
      <w:r>
        <w:rPr>
          <w:rFonts w:hint="eastAsia"/>
          <w:sz w:val="24"/>
        </w:rPr>
        <w:t>中标人应当在付款前，向采购人提交等额的发票，采购人应在收到中标人开具的发票后3个月内支付。</w:t>
      </w:r>
    </w:p>
    <w:p>
      <w:pPr>
        <w:pStyle w:val="16"/>
        <w:adjustRightInd w:val="0"/>
        <w:snapToGrid w:val="0"/>
        <w:spacing w:line="360" w:lineRule="auto"/>
        <w:rPr>
          <w:rFonts w:hAnsi="宋体" w:cs="宋体"/>
          <w:sz w:val="24"/>
        </w:rPr>
      </w:pPr>
      <w:r>
        <w:rPr>
          <w:rFonts w:hint="eastAsia" w:hAnsi="宋体" w:cs="宋体"/>
          <w:b/>
          <w:sz w:val="24"/>
        </w:rPr>
        <w:t>十、质量保证及后续服务</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1.乙方应按招标文件规定向甲方提供服务。</w:t>
      </w:r>
    </w:p>
    <w:p>
      <w:pPr>
        <w:pStyle w:val="16"/>
        <w:adjustRightInd w:val="0"/>
        <w:snapToGrid w:val="0"/>
        <w:spacing w:line="360" w:lineRule="auto"/>
        <w:ind w:firstLine="480" w:firstLineChars="200"/>
        <w:rPr>
          <w:rFonts w:hAnsi="宋体" w:cs="宋体"/>
          <w:sz w:val="24"/>
        </w:rPr>
      </w:pPr>
      <w:r>
        <w:rPr>
          <w:rFonts w:hint="eastAsia" w:hAnsi="宋体" w:cs="宋体"/>
          <w:sz w:val="24"/>
        </w:rPr>
        <w:t>2.乙方从事本项目服务期间，应满足并达到本合同“项目需求”及响应文件所作的承诺。</w:t>
      </w:r>
    </w:p>
    <w:p>
      <w:pPr>
        <w:pStyle w:val="16"/>
        <w:adjustRightInd w:val="0"/>
        <w:snapToGrid w:val="0"/>
        <w:spacing w:line="360" w:lineRule="auto"/>
        <w:rPr>
          <w:rFonts w:hAnsi="宋体" w:cs="宋体"/>
          <w:b/>
          <w:sz w:val="24"/>
        </w:rPr>
      </w:pPr>
      <w:r>
        <w:rPr>
          <w:rFonts w:hint="eastAsia" w:hAnsi="宋体" w:cs="宋体"/>
          <w:b/>
          <w:sz w:val="24"/>
        </w:rPr>
        <w:t>十一、违约责任</w:t>
      </w:r>
    </w:p>
    <w:p>
      <w:pPr>
        <w:pStyle w:val="16"/>
        <w:adjustRightInd w:val="0"/>
        <w:snapToGrid w:val="0"/>
        <w:spacing w:line="360" w:lineRule="auto"/>
        <w:ind w:firstLine="480" w:firstLineChars="200"/>
        <w:rPr>
          <w:rFonts w:hAnsi="宋体" w:cs="宋体"/>
          <w:sz w:val="24"/>
        </w:rPr>
      </w:pPr>
      <w:r>
        <w:rPr>
          <w:rFonts w:hint="eastAsia" w:hAnsi="宋体" w:cs="宋体"/>
          <w:sz w:val="24"/>
        </w:rPr>
        <w:t>1.合同签订后，甲方无正当理由拒绝接受服务的，甲方应向乙方偿付合同价款的</w:t>
      </w:r>
      <w:r>
        <w:rPr>
          <w:rFonts w:hint="eastAsia" w:hAnsi="宋体" w:cs="宋体"/>
          <w:sz w:val="24"/>
          <w:u w:val="single"/>
        </w:rPr>
        <w:t>百分之五</w:t>
      </w:r>
      <w:r>
        <w:rPr>
          <w:rFonts w:hint="eastAsia" w:hAnsi="宋体" w:cs="宋体"/>
          <w:sz w:val="24"/>
        </w:rPr>
        <w:t>作为违约金。</w:t>
      </w:r>
    </w:p>
    <w:p>
      <w:pPr>
        <w:pStyle w:val="16"/>
        <w:adjustRightInd w:val="0"/>
        <w:snapToGrid w:val="0"/>
        <w:spacing w:line="360" w:lineRule="auto"/>
        <w:ind w:firstLine="480" w:firstLineChars="200"/>
        <w:rPr>
          <w:rFonts w:hAnsi="宋体" w:cs="宋体"/>
          <w:sz w:val="24"/>
        </w:rPr>
      </w:pPr>
      <w:r>
        <w:rPr>
          <w:rFonts w:hint="eastAsia" w:hAnsi="宋体" w:cs="宋体"/>
          <w:sz w:val="24"/>
        </w:rPr>
        <w:t>2.乙方未能按采购人实际需求如期完成服务内容的，每日向甲方支付合同价款的千分之一作为违约金。乙方超过约定时间10日仍不能完成服务的，甲方可解除本合同。</w:t>
      </w:r>
    </w:p>
    <w:p>
      <w:pPr>
        <w:pStyle w:val="16"/>
        <w:adjustRightInd w:val="0"/>
        <w:snapToGrid w:val="0"/>
        <w:spacing w:line="360" w:lineRule="auto"/>
        <w:ind w:firstLine="480" w:firstLineChars="200"/>
        <w:rPr>
          <w:rFonts w:hAnsi="宋体" w:cs="宋体"/>
          <w:sz w:val="24"/>
        </w:rPr>
      </w:pPr>
      <w:r>
        <w:rPr>
          <w:rFonts w:hint="eastAsia" w:hAnsi="宋体" w:cs="宋体"/>
          <w:sz w:val="24"/>
        </w:rPr>
        <w:t>3. 乙方因未能如期完成约定的服务内容、转包或因其他违约行为导致甲方解除合同的，乙方应向甲方支付合同总价款的百分之三十作为违约金，如造成甲方损失超过违约金的，超出部分由乙方继续承担赔偿责任。</w:t>
      </w:r>
    </w:p>
    <w:p>
      <w:pPr>
        <w:pStyle w:val="16"/>
        <w:adjustRightInd w:val="0"/>
        <w:snapToGrid w:val="0"/>
        <w:spacing w:line="360" w:lineRule="auto"/>
        <w:rPr>
          <w:rFonts w:hAnsi="宋体" w:cs="宋体"/>
          <w:b/>
          <w:sz w:val="24"/>
        </w:rPr>
      </w:pPr>
      <w:r>
        <w:rPr>
          <w:rFonts w:hint="eastAsia" w:hAnsi="宋体" w:cs="宋体"/>
          <w:b/>
          <w:sz w:val="24"/>
        </w:rPr>
        <w:t>十二、不可抗力事件处理</w:t>
      </w:r>
    </w:p>
    <w:p>
      <w:pPr>
        <w:pStyle w:val="16"/>
        <w:adjustRightInd w:val="0"/>
        <w:snapToGrid w:val="0"/>
        <w:spacing w:line="360" w:lineRule="auto"/>
        <w:ind w:firstLine="480" w:firstLineChars="200"/>
        <w:rPr>
          <w:rFonts w:hAnsi="宋体" w:cs="宋体"/>
          <w:sz w:val="24"/>
        </w:rPr>
      </w:pPr>
      <w:r>
        <w:rPr>
          <w:rFonts w:hint="eastAsia" w:hAnsi="宋体" w:cs="宋体"/>
          <w:sz w:val="24"/>
        </w:rPr>
        <w:t>1．在合同有效期内，任何一方因不可抗力事件导致不能履行合同，则合同履行期可延长，其延长期与不可抗力影响期相同。</w:t>
      </w:r>
    </w:p>
    <w:p>
      <w:pPr>
        <w:pStyle w:val="16"/>
        <w:adjustRightInd w:val="0"/>
        <w:snapToGrid w:val="0"/>
        <w:spacing w:line="360" w:lineRule="auto"/>
        <w:ind w:firstLine="480" w:firstLineChars="200"/>
        <w:rPr>
          <w:rFonts w:hAnsi="宋体" w:cs="宋体"/>
          <w:sz w:val="24"/>
        </w:rPr>
      </w:pPr>
      <w:r>
        <w:rPr>
          <w:rFonts w:hint="eastAsia" w:hAnsi="宋体" w:cs="宋体"/>
          <w:sz w:val="24"/>
        </w:rPr>
        <w:t>2．不可抗力事件发生后，应立即通知对方，并寄送有关权威机构出具的证明。</w:t>
      </w:r>
    </w:p>
    <w:p>
      <w:pPr>
        <w:pStyle w:val="16"/>
        <w:adjustRightInd w:val="0"/>
        <w:snapToGrid w:val="0"/>
        <w:spacing w:line="360" w:lineRule="auto"/>
        <w:ind w:firstLine="480" w:firstLineChars="200"/>
        <w:rPr>
          <w:rFonts w:hAnsi="宋体" w:cs="宋体"/>
          <w:sz w:val="24"/>
        </w:rPr>
      </w:pPr>
      <w:r>
        <w:rPr>
          <w:rFonts w:hint="eastAsia" w:hAnsi="宋体" w:cs="宋体"/>
          <w:sz w:val="24"/>
        </w:rPr>
        <w:t>3.不可抗力事件延续120天以上，双方应通过友好协商，确定是否继续履行合同。</w:t>
      </w:r>
    </w:p>
    <w:p>
      <w:pPr>
        <w:pStyle w:val="16"/>
        <w:adjustRightInd w:val="0"/>
        <w:snapToGrid w:val="0"/>
        <w:spacing w:line="360" w:lineRule="auto"/>
        <w:rPr>
          <w:rFonts w:hAnsi="宋体" w:cs="宋体"/>
          <w:b/>
          <w:sz w:val="24"/>
        </w:rPr>
      </w:pPr>
      <w:r>
        <w:rPr>
          <w:rFonts w:hint="eastAsia" w:hAnsi="宋体" w:cs="宋体"/>
          <w:b/>
          <w:sz w:val="24"/>
        </w:rPr>
        <w:t>十三、解决争议的方法</w:t>
      </w:r>
    </w:p>
    <w:p>
      <w:pPr>
        <w:pStyle w:val="16"/>
        <w:adjustRightInd w:val="0"/>
        <w:snapToGrid w:val="0"/>
        <w:spacing w:line="360" w:lineRule="auto"/>
        <w:ind w:firstLine="480" w:firstLineChars="200"/>
        <w:rPr>
          <w:rFonts w:hAnsi="宋体" w:cs="宋体"/>
          <w:sz w:val="24"/>
        </w:rPr>
      </w:pPr>
      <w:r>
        <w:rPr>
          <w:rFonts w:hint="eastAsia" w:hAnsi="宋体" w:cs="宋体"/>
          <w:sz w:val="24"/>
        </w:rPr>
        <w:t>如双方在履行合同时发生纠纷，应协商解决；协商不成时，可提请相关部门调解；调解不成的通过下述方式</w:t>
      </w:r>
      <w:r>
        <w:rPr>
          <w:rFonts w:hint="eastAsia" w:hAnsi="宋体" w:cs="宋体"/>
          <w:sz w:val="24"/>
          <w:u w:val="single"/>
        </w:rPr>
        <w:t>（2）</w:t>
      </w:r>
      <w:r>
        <w:rPr>
          <w:rFonts w:hint="eastAsia" w:hAnsi="宋体" w:cs="宋体"/>
          <w:sz w:val="24"/>
        </w:rPr>
        <w:t>解决：</w:t>
      </w:r>
    </w:p>
    <w:p>
      <w:pPr>
        <w:pStyle w:val="16"/>
        <w:adjustRightInd w:val="0"/>
        <w:snapToGrid w:val="0"/>
        <w:spacing w:line="360" w:lineRule="auto"/>
        <w:ind w:firstLine="480" w:firstLineChars="200"/>
        <w:rPr>
          <w:rFonts w:hAnsi="宋体" w:cs="宋体"/>
          <w:sz w:val="24"/>
        </w:rPr>
      </w:pPr>
      <w:r>
        <w:rPr>
          <w:rFonts w:hint="eastAsia" w:hAnsi="宋体" w:cs="宋体"/>
          <w:sz w:val="24"/>
        </w:rPr>
        <w:t>（1） 提交</w:t>
      </w:r>
      <w:r>
        <w:rPr>
          <w:rFonts w:hint="eastAsia" w:hAnsi="宋体" w:cs="宋体"/>
          <w:sz w:val="24"/>
          <w:u w:val="single"/>
        </w:rPr>
        <w:t>台州</w:t>
      </w:r>
      <w:r>
        <w:rPr>
          <w:rFonts w:hint="eastAsia" w:hAnsi="宋体" w:cs="宋体"/>
          <w:sz w:val="24"/>
        </w:rPr>
        <w:t>仲裁委员会仲裁。</w:t>
      </w:r>
    </w:p>
    <w:p>
      <w:pPr>
        <w:pStyle w:val="16"/>
        <w:adjustRightInd w:val="0"/>
        <w:snapToGrid w:val="0"/>
        <w:spacing w:line="360" w:lineRule="auto"/>
        <w:ind w:firstLine="480" w:firstLineChars="200"/>
        <w:rPr>
          <w:rFonts w:hAnsi="宋体" w:cs="宋体"/>
          <w:sz w:val="24"/>
        </w:rPr>
      </w:pPr>
      <w:r>
        <w:rPr>
          <w:rFonts w:hint="eastAsia" w:hAnsi="宋体" w:cs="宋体"/>
          <w:sz w:val="24"/>
        </w:rPr>
        <w:t>（2） 依法向甲方住所地人民法院提起诉讼。</w:t>
      </w:r>
    </w:p>
    <w:p>
      <w:pPr>
        <w:pStyle w:val="16"/>
        <w:adjustRightInd w:val="0"/>
        <w:snapToGrid w:val="0"/>
        <w:spacing w:line="360" w:lineRule="auto"/>
        <w:rPr>
          <w:rFonts w:hAnsi="宋体" w:cs="宋体"/>
          <w:b/>
          <w:sz w:val="24"/>
        </w:rPr>
      </w:pPr>
      <w:r>
        <w:rPr>
          <w:rFonts w:hint="eastAsia" w:hAnsi="宋体" w:cs="宋体"/>
          <w:b/>
          <w:sz w:val="24"/>
        </w:rPr>
        <w:t>十四、合同生效及其它</w:t>
      </w:r>
    </w:p>
    <w:p>
      <w:pPr>
        <w:pStyle w:val="16"/>
        <w:adjustRightInd w:val="0"/>
        <w:snapToGrid w:val="0"/>
        <w:spacing w:line="360" w:lineRule="auto"/>
        <w:ind w:firstLine="480" w:firstLineChars="200"/>
        <w:rPr>
          <w:rFonts w:hAnsi="宋体" w:cs="宋体"/>
          <w:sz w:val="24"/>
        </w:rPr>
      </w:pPr>
      <w:r>
        <w:rPr>
          <w:rFonts w:hint="eastAsia" w:hAnsi="宋体" w:cs="宋体"/>
          <w:sz w:val="24"/>
        </w:rPr>
        <w:t>1.合同经双方法定代表人或授权代表签字并加盖单位公章后生效。</w:t>
      </w:r>
    </w:p>
    <w:p>
      <w:pPr>
        <w:widowControl/>
        <w:adjustRightInd w:val="0"/>
        <w:snapToGrid w:val="0"/>
        <w:spacing w:line="360" w:lineRule="auto"/>
        <w:ind w:firstLine="480" w:firstLineChars="200"/>
        <w:jc w:val="left"/>
        <w:rPr>
          <w:rFonts w:ascii="宋体" w:hAnsi="宋体" w:cs="宋体"/>
          <w:sz w:val="24"/>
        </w:rPr>
      </w:pPr>
      <w:r>
        <w:rPr>
          <w:rFonts w:hint="eastAsia" w:hAnsi="宋体" w:cs="宋体"/>
          <w:sz w:val="24"/>
        </w:rPr>
        <w:t>2. 本合同未尽事宜，</w:t>
      </w:r>
      <w:r>
        <w:rPr>
          <w:rFonts w:hint="eastAsia" w:ascii="宋体" w:hAnsi="宋体" w:cs="宋体"/>
          <w:sz w:val="24"/>
        </w:rPr>
        <w:t>以招标文件、响应文件及澄清文件等内容为准，甲乙</w:t>
      </w:r>
      <w:r>
        <w:rPr>
          <w:rFonts w:hint="eastAsia" w:hAnsi="宋体" w:cs="宋体"/>
          <w:sz w:val="24"/>
        </w:rPr>
        <w:t>双方协商解决后可签订补充合同。</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3.本合同一式捌份。甲、乙双方各执肆份。</w:t>
      </w:r>
    </w:p>
    <w:p>
      <w:pPr>
        <w:widowControl/>
        <w:spacing w:line="360" w:lineRule="auto"/>
        <w:ind w:firstLine="315"/>
        <w:rPr>
          <w:rFonts w:ascii="宋体" w:hAnsi="宋体" w:cs="宋体"/>
          <w:kern w:val="0"/>
          <w:szCs w:val="21"/>
        </w:rPr>
      </w:pPr>
    </w:p>
    <w:p>
      <w:pPr>
        <w:spacing w:line="360" w:lineRule="auto"/>
        <w:ind w:firstLine="480" w:firstLineChars="200"/>
        <w:rPr>
          <w:rFonts w:ascii="宋体" w:hAnsi="宋体"/>
          <w:sz w:val="24"/>
        </w:rPr>
      </w:pPr>
    </w:p>
    <w:p>
      <w:pPr>
        <w:spacing w:line="360" w:lineRule="auto"/>
        <w:jc w:val="left"/>
        <w:rPr>
          <w:rFonts w:ascii="宋体" w:hAnsi="宋体"/>
          <w:sz w:val="24"/>
        </w:rPr>
      </w:pPr>
      <w:r>
        <w:rPr>
          <w:rFonts w:hint="eastAsia" w:ascii="宋体" w:hAnsi="宋体"/>
          <w:sz w:val="24"/>
        </w:rPr>
        <w:t>甲方（盖章）</w:t>
      </w:r>
      <w:r>
        <w:rPr>
          <w:rFonts w:ascii="宋体" w:hAnsi="宋体"/>
          <w:sz w:val="24"/>
        </w:rPr>
        <w:t xml:space="preserve">                             </w:t>
      </w:r>
      <w:r>
        <w:rPr>
          <w:rFonts w:hint="eastAsia" w:ascii="宋体" w:hAnsi="宋体"/>
          <w:sz w:val="24"/>
        </w:rPr>
        <w:t>乙方（盖章）</w:t>
      </w:r>
    </w:p>
    <w:p>
      <w:pPr>
        <w:spacing w:line="360" w:lineRule="auto"/>
        <w:jc w:val="left"/>
        <w:rPr>
          <w:rFonts w:ascii="宋体" w:hAnsi="宋体"/>
          <w:b/>
          <w:bCs/>
          <w:sz w:val="24"/>
        </w:rPr>
      </w:pPr>
      <w:r>
        <w:rPr>
          <w:rFonts w:hint="eastAsia" w:ascii="宋体" w:hAnsi="宋体"/>
          <w:sz w:val="24"/>
        </w:rPr>
        <w:t>法定代表人或其委托代理人：               法定代表人或其委托代理人：</w:t>
      </w:r>
      <w:r>
        <w:rPr>
          <w:rFonts w:ascii="宋体" w:hAnsi="宋体"/>
          <w:sz w:val="24"/>
        </w:rPr>
        <w:t xml:space="preserve">                         </w:t>
      </w:r>
      <w:r>
        <w:rPr>
          <w:rFonts w:hint="eastAsia" w:ascii="宋体" w:hAnsi="宋体"/>
          <w:sz w:val="24"/>
        </w:rPr>
        <w:t>（签字或盖章）                          （签字或盖章）</w:t>
      </w:r>
    </w:p>
    <w:p>
      <w:pPr>
        <w:spacing w:line="360" w:lineRule="auto"/>
        <w:rPr>
          <w:rFonts w:ascii="宋体" w:hAnsi="宋体"/>
          <w:sz w:val="24"/>
        </w:rPr>
      </w:pPr>
      <w:r>
        <w:rPr>
          <w:rFonts w:hint="eastAsia" w:ascii="宋体" w:hAnsi="宋体"/>
          <w:sz w:val="24"/>
        </w:rPr>
        <w:t>联系电话：</w:t>
      </w:r>
      <w:r>
        <w:rPr>
          <w:rFonts w:ascii="宋体" w:hAnsi="宋体"/>
          <w:sz w:val="24"/>
        </w:rPr>
        <w:t xml:space="preserve">                               </w:t>
      </w:r>
      <w:r>
        <w:rPr>
          <w:rFonts w:hint="eastAsia" w:ascii="宋体" w:hAnsi="宋体"/>
          <w:sz w:val="24"/>
        </w:rPr>
        <w:t>联系电话：</w:t>
      </w:r>
    </w:p>
    <w:p>
      <w:pPr>
        <w:spacing w:line="360" w:lineRule="auto"/>
        <w:rPr>
          <w:rFonts w:ascii="宋体" w:hAns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pacing w:line="360" w:lineRule="auto"/>
        <w:rPr>
          <w:rFonts w:ascii="宋体" w:hAnsi="宋体"/>
          <w:sz w:val="24"/>
        </w:rPr>
      </w:pPr>
      <w:r>
        <w:rPr>
          <w:rFonts w:hint="eastAsia" w:ascii="宋体" w:hAnsi="宋体"/>
          <w:sz w:val="24"/>
        </w:rPr>
        <w:t>账号：</w:t>
      </w:r>
      <w:r>
        <w:rPr>
          <w:rFonts w:ascii="宋体" w:hAnsi="宋体"/>
          <w:sz w:val="24"/>
        </w:rPr>
        <w:t xml:space="preserve">                                   </w:t>
      </w:r>
      <w:r>
        <w:rPr>
          <w:rFonts w:hint="eastAsia" w:ascii="宋体" w:hAnsi="宋体"/>
          <w:sz w:val="24"/>
        </w:rPr>
        <w:t>账号：</w:t>
      </w:r>
    </w:p>
    <w:p>
      <w:pPr>
        <w:spacing w:line="360" w:lineRule="auto"/>
        <w:rPr>
          <w:rFonts w:ascii="宋体" w:hAnsi="宋体"/>
          <w:sz w:val="24"/>
        </w:rPr>
      </w:pPr>
      <w:r>
        <w:rPr>
          <w:rFonts w:hint="eastAsia" w:ascii="宋体" w:hAnsi="宋体"/>
          <w:sz w:val="24"/>
        </w:rPr>
        <w:t>地址及邮编：</w:t>
      </w:r>
      <w:r>
        <w:rPr>
          <w:rFonts w:ascii="宋体" w:hAnsi="宋体"/>
          <w:sz w:val="24"/>
        </w:rPr>
        <w:t xml:space="preserve">                             </w:t>
      </w:r>
      <w:r>
        <w:rPr>
          <w:rFonts w:hint="eastAsia" w:ascii="宋体" w:hAnsi="宋体"/>
          <w:sz w:val="24"/>
        </w:rPr>
        <w:t>地址及邮编：</w:t>
      </w:r>
    </w:p>
    <w:p>
      <w:pPr>
        <w:spacing w:line="360" w:lineRule="auto"/>
        <w:jc w:val="right"/>
        <w:rPr>
          <w:rFonts w:ascii="宋体" w:hAnsi="宋体"/>
          <w:sz w:val="24"/>
        </w:rPr>
      </w:pPr>
      <w:r>
        <w:rPr>
          <w:rFonts w:hint="eastAsia" w:ascii="宋体" w:hAnsi="宋体"/>
          <w:sz w:val="24"/>
        </w:rPr>
        <w:t xml:space="preserve"> 签订时间：    年   月   日</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jc w:val="center"/>
        <w:rPr>
          <w:rStyle w:val="99"/>
          <w:rFonts w:ascii="宋体" w:hAnsi="宋体" w:cs="宋体"/>
          <w:bCs w:val="0"/>
          <w:color w:val="000000"/>
        </w:rPr>
      </w:pPr>
      <w:r>
        <w:rPr>
          <w:rStyle w:val="99"/>
          <w:rFonts w:hint="eastAsia" w:ascii="宋体" w:hAnsi="宋体" w:cs="宋体"/>
          <w:bCs w:val="0"/>
          <w:color w:val="000000"/>
        </w:rPr>
        <w:t>第六章 投标文件格式</w:t>
      </w:r>
      <w:bookmarkEnd w:id="39"/>
    </w:p>
    <w:p>
      <w:pPr>
        <w:rPr>
          <w:rFonts w:ascii="宋体" w:hAnsi="宋体"/>
          <w:b/>
          <w:sz w:val="28"/>
        </w:rPr>
      </w:pPr>
      <w:r>
        <w:rPr>
          <w:rFonts w:hint="eastAsia"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40" w:name="_Toc30723_WPSOffice_Level1"/>
      <w:bookmarkStart w:id="41" w:name="_Toc31708_WPSOffice_Level1"/>
      <w:r>
        <w:rPr>
          <w:rFonts w:hint="eastAsia" w:ascii="宋体" w:hAnsi="宋体"/>
          <w:b/>
          <w:kern w:val="0"/>
          <w:sz w:val="32"/>
          <w:szCs w:val="32"/>
          <w:lang w:val="zh-CN"/>
        </w:rPr>
        <w:t>投标声明书</w:t>
      </w:r>
      <w:bookmarkEnd w:id="40"/>
      <w:bookmarkEnd w:id="41"/>
    </w:p>
    <w:p>
      <w:pPr>
        <w:snapToGrid w:val="0"/>
        <w:spacing w:before="156" w:beforeLines="50" w:after="50" w:line="312" w:lineRule="auto"/>
        <w:rPr>
          <w:rFonts w:ascii="宋体" w:hAnsi="宋体" w:cs="宋体"/>
          <w:kern w:val="0"/>
          <w:sz w:val="24"/>
        </w:rPr>
      </w:pPr>
      <w:r>
        <w:rPr>
          <w:rFonts w:hint="eastAsia" w:ascii="宋体" w:hAnsi="宋体" w:cs="宋体"/>
          <w:kern w:val="0"/>
          <w:sz w:val="24"/>
          <w:u w:val="single"/>
        </w:rPr>
        <w:t>台州湾新区管理委员会（采购人）</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b/>
          <w:kern w:val="0"/>
          <w:sz w:val="24"/>
        </w:rPr>
        <w:t xml:space="preserve">.我公司声明截止投标时间近三年以来，在项目招标、投标和合同履约期间无任何不良行为记录和违法、违规行为。 </w:t>
      </w:r>
      <w:r>
        <w:rPr>
          <w:rFonts w:hint="eastAsia" w:ascii="宋体" w:hAnsi="宋体" w:cs="宋体"/>
          <w:kern w:val="0"/>
          <w:sz w:val="24"/>
        </w:rPr>
        <w:t xml:space="preserve">                       </w:t>
      </w:r>
    </w:p>
    <w:p>
      <w:pPr>
        <w:snapToGrid w:val="0"/>
        <w:spacing w:line="360" w:lineRule="auto"/>
        <w:ind w:firstLine="480" w:firstLineChars="200"/>
        <w:rPr>
          <w:rFonts w:ascii="宋体" w:hAnsi="宋体"/>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不是采购人的附属机构；在获知本项目招标采购信息后，与采购人聘请的为此项目提供咨询服务的公司及其附属机构没有任何联系。</w:t>
      </w:r>
    </w:p>
    <w:p>
      <w:pPr>
        <w:snapToGrid w:val="0"/>
        <w:spacing w:line="360" w:lineRule="auto"/>
        <w:ind w:firstLine="480" w:firstLineChars="200"/>
        <w:rPr>
          <w:rFonts w:ascii="宋体" w:hAnsi="宋体"/>
          <w:sz w:val="24"/>
        </w:rPr>
      </w:pPr>
      <w:r>
        <w:rPr>
          <w:rFonts w:hint="eastAsia" w:ascii="宋体" w:hAnsi="宋体"/>
          <w:sz w:val="24"/>
        </w:rPr>
        <w:t>4.我</w:t>
      </w:r>
      <w:r>
        <w:rPr>
          <w:rFonts w:hint="eastAsia" w:ascii="宋体" w:hAnsi="宋体" w:cs="仿宋_GB2312"/>
          <w:kern w:val="0"/>
          <w:sz w:val="24"/>
          <w:lang w:val="zh-CN"/>
        </w:rPr>
        <w:t>公司</w:t>
      </w:r>
      <w:r>
        <w:rPr>
          <w:rFonts w:hint="eastAsia" w:ascii="宋体" w:hAnsi="宋体"/>
          <w:sz w:val="24"/>
        </w:rPr>
        <w:t>向贵方提交的所有投标文件、资料都是准确、真实、</w:t>
      </w:r>
      <w:r>
        <w:rPr>
          <w:rFonts w:hint="eastAsia" w:ascii="宋体" w:hAnsi="宋体" w:cs="仿宋_GB2312"/>
          <w:kern w:val="0"/>
          <w:sz w:val="24"/>
          <w:lang w:val="zh-CN"/>
        </w:rPr>
        <w:t>合法</w:t>
      </w:r>
      <w:r>
        <w:rPr>
          <w:rFonts w:hint="eastAsia" w:ascii="宋体" w:hAnsi="宋体"/>
          <w:sz w:val="24"/>
        </w:rPr>
        <w:t>的。</w:t>
      </w:r>
    </w:p>
    <w:p>
      <w:pPr>
        <w:snapToGrid w:val="0"/>
        <w:spacing w:line="360" w:lineRule="auto"/>
        <w:ind w:firstLine="480" w:firstLineChars="200"/>
        <w:rPr>
          <w:rFonts w:ascii="宋体" w:hAnsi="宋体"/>
          <w:sz w:val="24"/>
        </w:rPr>
      </w:pPr>
      <w:r>
        <w:rPr>
          <w:rFonts w:hint="eastAsia" w:ascii="宋体" w:hAnsi="宋体"/>
          <w:sz w:val="24"/>
        </w:rPr>
        <w:t>5.若中标，我</w:t>
      </w:r>
      <w:r>
        <w:rPr>
          <w:rFonts w:hint="eastAsia" w:ascii="宋体" w:hAnsi="宋体" w:cs="仿宋_GB2312"/>
          <w:kern w:val="0"/>
          <w:sz w:val="24"/>
          <w:lang w:val="zh-CN"/>
        </w:rPr>
        <w:t>公司</w:t>
      </w:r>
      <w:r>
        <w:rPr>
          <w:rFonts w:hint="eastAsia" w:ascii="宋体" w:hAnsi="宋体"/>
          <w:sz w:val="24"/>
        </w:rPr>
        <w:t>将按招标文件规定履行合同责任和义务。</w:t>
      </w:r>
    </w:p>
    <w:p>
      <w:pPr>
        <w:snapToGrid w:val="0"/>
        <w:spacing w:line="360" w:lineRule="auto"/>
        <w:ind w:firstLine="480" w:firstLineChars="200"/>
        <w:rPr>
          <w:rFonts w:ascii="宋体" w:hAnsi="宋体"/>
          <w:sz w:val="24"/>
        </w:rPr>
      </w:pPr>
      <w:r>
        <w:rPr>
          <w:rFonts w:hint="eastAsia" w:ascii="宋体" w:hAnsi="宋体"/>
          <w:sz w:val="24"/>
        </w:rPr>
        <w:t>6.</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宋体" w:hAnsi="宋体"/>
          <w:sz w:val="24"/>
        </w:rPr>
      </w:pPr>
      <w:r>
        <w:rPr>
          <w:rFonts w:hint="eastAsia" w:ascii="宋体" w:hAnsi="宋体"/>
          <w:sz w:val="24"/>
        </w:rPr>
        <w:t>7.以上事项如有虚假或隐瞒，我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
      </w:pPr>
    </w:p>
    <w:p>
      <w:pPr>
        <w:adjustRightInd w:val="0"/>
        <w:snapToGrid w:val="0"/>
        <w:spacing w:line="360" w:lineRule="auto"/>
        <w:ind w:firstLine="2400" w:firstLineChars="1000"/>
        <w:rPr>
          <w:rFonts w:ascii="宋体" w:hAnsi="宋体" w:cs="仿宋_GB2312"/>
          <w:kern w:val="0"/>
          <w:sz w:val="24"/>
          <w:lang w:val="zh-CN"/>
        </w:rPr>
      </w:pPr>
      <w:r>
        <w:rPr>
          <w:rFonts w:hint="eastAsia" w:ascii="宋体" w:hAnsi="宋体" w:cs="仿宋_GB2312"/>
          <w:kern w:val="0"/>
          <w:sz w:val="24"/>
          <w:lang w:val="zh-CN"/>
        </w:rPr>
        <w:t>投标人名称（</w:t>
      </w:r>
      <w:r>
        <w:rPr>
          <w:rFonts w:hint="eastAsia" w:ascii="宋体" w:hAnsi="宋体" w:cs="仿宋_GB2312"/>
          <w:kern w:val="0"/>
          <w:sz w:val="24"/>
        </w:rPr>
        <w:t>电子印章</w:t>
      </w:r>
      <w:r>
        <w:rPr>
          <w:rFonts w:hint="eastAsia" w:ascii="宋体" w:hAnsi="宋体" w:cs="仿宋_GB2312"/>
          <w:kern w:val="0"/>
          <w:sz w:val="24"/>
          <w:lang w:val="zh-CN"/>
        </w:rPr>
        <w:t>）：</w:t>
      </w:r>
    </w:p>
    <w:p>
      <w:pPr>
        <w:adjustRightInd w:val="0"/>
        <w:snapToGrid w:val="0"/>
        <w:spacing w:line="360" w:lineRule="auto"/>
        <w:ind w:firstLine="2400" w:firstLineChars="1000"/>
        <w:rPr>
          <w:rFonts w:ascii="宋体" w:hAnsi="宋体" w:cs="仿宋_GB2312"/>
          <w:kern w:val="0"/>
          <w:sz w:val="24"/>
          <w:lang w:val="zh-CN"/>
        </w:rPr>
      </w:pPr>
      <w:r>
        <w:rPr>
          <w:rFonts w:hint="eastAsia" w:ascii="宋体" w:hAnsi="宋体" w:cs="仿宋_GB2312"/>
          <w:kern w:val="0"/>
          <w:sz w:val="24"/>
          <w:lang w:val="zh-CN"/>
        </w:rPr>
        <w:t>法定代表人或授权委托人签字</w:t>
      </w:r>
      <w:r>
        <w:rPr>
          <w:rFonts w:hint="eastAsia" w:ascii="宋体" w:hAnsi="宋体" w:cs="仿宋_GB2312"/>
          <w:kern w:val="0"/>
          <w:sz w:val="24"/>
        </w:rPr>
        <w:t>或电子印章</w:t>
      </w:r>
      <w:r>
        <w:rPr>
          <w:rFonts w:hint="eastAsia" w:ascii="宋体" w:hAnsi="宋体" w:cs="仿宋_GB2312"/>
          <w:kern w:val="0"/>
          <w:sz w:val="24"/>
          <w:lang w:val="zh-CN"/>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pStyle w:val="2"/>
        <w:rPr>
          <w:lang w:val="zh-CN"/>
        </w:rPr>
      </w:pP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42" w:name="_Toc6870_WPSOffice_Level1"/>
      <w:bookmarkStart w:id="43" w:name="_Toc24373_WPSOffice_Level1"/>
      <w:bookmarkStart w:id="44" w:name="_Toc12331_WPSOffice_Level1"/>
      <w:bookmarkStart w:id="45" w:name="_Toc16825_WPSOffice_Level1"/>
      <w:bookmarkStart w:id="46" w:name="_Toc26389_WPSOffice_Level1"/>
      <w:r>
        <w:rPr>
          <w:b/>
          <w:sz w:val="32"/>
          <w:szCs w:val="32"/>
        </w:rPr>
        <w:t>授权</w:t>
      </w:r>
      <w:r>
        <w:rPr>
          <w:rFonts w:hint="eastAsia"/>
          <w:b/>
          <w:sz w:val="32"/>
          <w:szCs w:val="32"/>
        </w:rPr>
        <w:t>委托</w:t>
      </w:r>
      <w:r>
        <w:rPr>
          <w:b/>
          <w:sz w:val="32"/>
          <w:szCs w:val="32"/>
        </w:rPr>
        <w:t>书</w:t>
      </w:r>
      <w:bookmarkEnd w:id="42"/>
      <w:bookmarkEnd w:id="43"/>
    </w:p>
    <w:p>
      <w:pPr>
        <w:snapToGrid w:val="0"/>
        <w:spacing w:before="156" w:beforeLines="50" w:after="50" w:line="360" w:lineRule="auto"/>
        <w:rPr>
          <w:rFonts w:ascii="宋体" w:hAnsi="宋体" w:cs="宋体"/>
          <w:kern w:val="0"/>
          <w:sz w:val="24"/>
        </w:rPr>
      </w:pPr>
      <w:r>
        <w:rPr>
          <w:rFonts w:hint="eastAsia" w:ascii="宋体" w:hAnsi="宋体"/>
          <w:sz w:val="24"/>
          <w:u w:val="single"/>
        </w:rPr>
        <w:t>××</w:t>
      </w:r>
      <w:r>
        <w:rPr>
          <w:rFonts w:hint="eastAsia" w:ascii="宋体" w:hAnsi="宋体" w:cs="宋体"/>
          <w:kern w:val="0"/>
          <w:sz w:val="24"/>
        </w:rPr>
        <w:t>（采购人）：</w:t>
      </w:r>
    </w:p>
    <w:p>
      <w:pPr>
        <w:pStyle w:val="16"/>
        <w:spacing w:line="360" w:lineRule="auto"/>
        <w:ind w:firstLine="480" w:firstLineChars="200"/>
        <w:rPr>
          <w:rFonts w:hAnsi="宋体"/>
          <w:sz w:val="24"/>
        </w:rPr>
      </w:pPr>
      <w:r>
        <w:rPr>
          <w:rFonts w:hAnsi="宋体"/>
          <w:sz w:val="24"/>
          <w:u w:val="single"/>
        </w:rPr>
        <w:t xml:space="preserve">  （投标供应商全称）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6"/>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6"/>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投标供应商全称（电子印章）：                              日期：</w:t>
      </w:r>
    </w:p>
    <w:p>
      <w:pPr>
        <w:spacing w:line="360" w:lineRule="auto"/>
        <w:rPr>
          <w:sz w:val="24"/>
        </w:rPr>
      </w:pPr>
    </w:p>
    <w:p>
      <w:pPr>
        <w:spacing w:line="360" w:lineRule="auto"/>
        <w:rPr>
          <w:b/>
          <w:sz w:val="24"/>
        </w:rPr>
      </w:pPr>
      <w:r>
        <w:rPr>
          <w:rFonts w:hint="eastAsia" w:ascii="宋体"/>
          <w:b/>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法定代表身份证扫描件或影印件粘贴处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全权代表身份证扫描件或影印件粘贴处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ascii="宋体" w:hAnsi="宋体"/>
          <w:b/>
          <w:sz w:val="28"/>
        </w:rPr>
        <w:br w:type="page"/>
      </w:r>
      <w:r>
        <w:rPr>
          <w:rFonts w:hint="eastAsia" w:ascii="宋体" w:hAnsi="宋体"/>
          <w:b/>
          <w:sz w:val="28"/>
        </w:rPr>
        <w:t>附件3</w:t>
      </w:r>
    </w:p>
    <w:p>
      <w:pPr>
        <w:spacing w:line="360" w:lineRule="auto"/>
        <w:ind w:firstLine="321" w:firstLineChars="100"/>
        <w:jc w:val="center"/>
        <w:rPr>
          <w:b/>
          <w:sz w:val="32"/>
          <w:szCs w:val="32"/>
          <w:lang w:val="zh-CN"/>
        </w:rPr>
      </w:pPr>
      <w:r>
        <w:rPr>
          <w:rFonts w:hint="eastAsia"/>
          <w:b/>
          <w:sz w:val="32"/>
          <w:szCs w:val="32"/>
          <w:lang w:val="zh-CN"/>
        </w:rPr>
        <w:t>符合参与采购活动的资格条件、具备良好的商业信誉和健全的财务会计制度并且没有税收缴纳、社会保障等书面方面的失信记录的承诺函</w:t>
      </w:r>
    </w:p>
    <w:p>
      <w:pPr>
        <w:spacing w:after="312" w:afterLines="100" w:line="360" w:lineRule="auto"/>
        <w:jc w:val="left"/>
        <w:rPr>
          <w:rFonts w:ascii="宋体" w:hAnsi="宋体" w:cs="仿宋_GB2312"/>
          <w:bCs/>
          <w:kern w:val="0"/>
          <w:sz w:val="24"/>
          <w:lang w:val="zh-CN"/>
        </w:rPr>
      </w:pPr>
    </w:p>
    <w:p>
      <w:pPr>
        <w:spacing w:after="312" w:afterLines="100" w:line="360" w:lineRule="auto"/>
        <w:jc w:val="left"/>
        <w:rPr>
          <w:rFonts w:ascii="宋体" w:hAnsi="宋体" w:cs="仿宋_GB2312"/>
          <w:bCs/>
          <w:kern w:val="0"/>
          <w:sz w:val="24"/>
          <w:lang w:val="zh-CN"/>
        </w:rPr>
      </w:pPr>
      <w:r>
        <w:rPr>
          <w:rFonts w:hint="eastAsia" w:ascii="宋体" w:hAnsi="宋体" w:cs="仿宋_GB2312"/>
          <w:bCs/>
          <w:kern w:val="0"/>
          <w:sz w:val="24"/>
          <w:lang w:val="zh-CN"/>
        </w:rPr>
        <w:t>致：</w:t>
      </w:r>
      <w:r>
        <w:rPr>
          <w:rFonts w:hint="eastAsia" w:ascii="宋体" w:hAnsi="宋体" w:cs="仿宋_GB2312"/>
          <w:bCs/>
          <w:kern w:val="0"/>
          <w:sz w:val="24"/>
          <w:u w:val="single"/>
        </w:rPr>
        <w:t xml:space="preserve">      </w:t>
      </w:r>
      <w:r>
        <w:rPr>
          <w:rFonts w:hint="eastAsia" w:ascii="宋体" w:hAnsi="宋体" w:cs="仿宋_GB2312"/>
          <w:bCs/>
          <w:kern w:val="0"/>
          <w:sz w:val="24"/>
          <w:lang w:val="zh-CN"/>
        </w:rPr>
        <w:t>（采购人）</w:t>
      </w:r>
    </w:p>
    <w:p>
      <w:pPr>
        <w:snapToGrid w:val="0"/>
        <w:spacing w:line="480" w:lineRule="auto"/>
        <w:ind w:firstLine="480" w:firstLineChars="200"/>
        <w:jc w:val="left"/>
        <w:rPr>
          <w:rFonts w:ascii="宋体" w:hAnsi="宋体" w:cs="宋体"/>
          <w:sz w:val="24"/>
        </w:rPr>
      </w:pPr>
      <w:r>
        <w:rPr>
          <w:rFonts w:hint="eastAsia" w:ascii="宋体" w:hAnsi="宋体" w:cs="宋体"/>
          <w:sz w:val="24"/>
        </w:rPr>
        <w:t>我公司作为本次采购项目的供应商，参加</w:t>
      </w:r>
      <w:r>
        <w:rPr>
          <w:rFonts w:hint="eastAsia" w:ascii="宋体" w:hAnsi="宋体" w:cs="宋体"/>
          <w:kern w:val="0"/>
          <w:sz w:val="24"/>
          <w:u w:val="single"/>
        </w:rPr>
        <w:t xml:space="preserve">      </w:t>
      </w:r>
      <w:r>
        <w:rPr>
          <w:rFonts w:hint="eastAsia" w:ascii="宋体" w:hAnsi="宋体" w:cs="仿宋_GB2312"/>
          <w:bCs/>
          <w:kern w:val="0"/>
          <w:sz w:val="24"/>
          <w:lang w:val="zh-CN"/>
        </w:rPr>
        <w:t>（项目编号：</w:t>
      </w:r>
      <w:r>
        <w:rPr>
          <w:rFonts w:hint="eastAsia" w:ascii="宋体" w:hAnsi="宋体" w:cs="仿宋_GB2312"/>
          <w:bCs/>
          <w:kern w:val="0"/>
          <w:sz w:val="24"/>
          <w:u w:val="single"/>
        </w:rPr>
        <w:t xml:space="preserve">     </w:t>
      </w:r>
      <w:r>
        <w:rPr>
          <w:rFonts w:hint="eastAsia" w:ascii="宋体" w:hAnsi="宋体" w:cs="仿宋_GB2312"/>
          <w:bCs/>
          <w:kern w:val="0"/>
          <w:sz w:val="24"/>
          <w:lang w:val="zh-CN"/>
        </w:rPr>
        <w:t>）</w:t>
      </w:r>
      <w:r>
        <w:rPr>
          <w:rFonts w:hint="eastAsia" w:ascii="宋体" w:hAnsi="宋体" w:cs="宋体"/>
          <w:sz w:val="24"/>
        </w:rPr>
        <w:t>采购活动，根据招标文件要求，现郑重承诺：</w:t>
      </w:r>
    </w:p>
    <w:p>
      <w:pPr>
        <w:snapToGrid w:val="0"/>
        <w:spacing w:line="480" w:lineRule="auto"/>
        <w:ind w:firstLine="480" w:firstLineChars="200"/>
        <w:jc w:val="left"/>
        <w:rPr>
          <w:rFonts w:ascii="宋体" w:hAnsi="宋体" w:cs="宋体"/>
          <w:sz w:val="24"/>
        </w:rPr>
      </w:pPr>
      <w:r>
        <w:rPr>
          <w:rFonts w:hint="eastAsia" w:ascii="宋体" w:hAnsi="宋体" w:cs="宋体"/>
          <w:sz w:val="24"/>
        </w:rPr>
        <w:t>1.我公司符合参与采购活动的资格条件，不存在税收缴纳、社会保障等方面的失信记录。</w:t>
      </w:r>
    </w:p>
    <w:p>
      <w:pPr>
        <w:snapToGrid w:val="0"/>
        <w:spacing w:line="480" w:lineRule="auto"/>
        <w:ind w:firstLine="480" w:firstLineChars="200"/>
        <w:jc w:val="left"/>
        <w:rPr>
          <w:rFonts w:ascii="宋体" w:hAnsi="宋体" w:cs="宋体"/>
          <w:sz w:val="24"/>
        </w:rPr>
      </w:pPr>
      <w:r>
        <w:rPr>
          <w:rFonts w:hint="eastAsia" w:ascii="宋体" w:hAnsi="宋体" w:cs="宋体"/>
          <w:sz w:val="24"/>
        </w:rPr>
        <w:t>2.我公司具有良好的商业信誉和健全的财务会计制度。</w:t>
      </w:r>
    </w:p>
    <w:p>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如本公司对以上条款提供虚假承诺，采购组织机构可取消我方任何资格（投标/中标/签订合同），我方对此无任何异议。</w:t>
      </w:r>
    </w:p>
    <w:p>
      <w:pPr>
        <w:snapToGrid w:val="0"/>
        <w:spacing w:line="480" w:lineRule="auto"/>
        <w:jc w:val="left"/>
        <w:rPr>
          <w:rFonts w:ascii="宋体" w:hAnsi="宋体" w:cs="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pPr>
        <w:spacing w:line="360" w:lineRule="auto"/>
        <w:rPr>
          <w:rFonts w:ascii="宋体" w:hAnsi="宋体"/>
          <w:sz w:val="24"/>
        </w:rPr>
      </w:pPr>
    </w:p>
    <w:p>
      <w:pPr>
        <w:pStyle w:val="47"/>
        <w:shd w:val="clear" w:color="auto" w:fill="FFFFFF"/>
        <w:spacing w:before="0" w:beforeAutospacing="0" w:after="0" w:afterAutospacing="0" w:line="360" w:lineRule="auto"/>
        <w:ind w:firstLine="424" w:firstLineChars="177"/>
        <w:rPr>
          <w:b/>
          <w:bCs/>
          <w:spacing w:val="11"/>
        </w:rPr>
      </w:pPr>
      <w:r>
        <w:rPr>
          <w:rFonts w:hint="eastAsia"/>
        </w:rPr>
        <w:t>日        期：</w:t>
      </w:r>
    </w:p>
    <w:p>
      <w:pPr>
        <w:rPr>
          <w:rFonts w:ascii="宋体" w:hAnsi="宋体"/>
          <w:b/>
          <w:sz w:val="28"/>
        </w:rPr>
      </w:pPr>
      <w:r>
        <w:rPr>
          <w:rFonts w:hint="eastAsia" w:ascii="宋体" w:hAnsi="宋体"/>
          <w:b/>
          <w:sz w:val="28"/>
        </w:rPr>
        <w:br w:type="page"/>
      </w:r>
    </w:p>
    <w:p>
      <w:pPr>
        <w:rPr>
          <w:rFonts w:ascii="宋体" w:hAnsi="宋体"/>
          <w:b/>
          <w:sz w:val="28"/>
        </w:rPr>
      </w:pPr>
      <w:r>
        <w:rPr>
          <w:rFonts w:hint="eastAsia" w:ascii="宋体" w:hAnsi="宋体"/>
          <w:b/>
          <w:sz w:val="28"/>
        </w:rPr>
        <w:t>附件4</w:t>
      </w:r>
    </w:p>
    <w:p>
      <w:pPr>
        <w:spacing w:line="360" w:lineRule="auto"/>
        <w:ind w:firstLine="321" w:firstLineChars="100"/>
        <w:jc w:val="center"/>
        <w:rPr>
          <w:b/>
          <w:sz w:val="32"/>
          <w:szCs w:val="32"/>
          <w:lang w:val="zh-CN"/>
        </w:rPr>
      </w:pPr>
      <w:r>
        <w:rPr>
          <w:rFonts w:hint="eastAsia"/>
          <w:b/>
          <w:sz w:val="32"/>
          <w:szCs w:val="32"/>
          <w:lang w:val="zh-CN"/>
        </w:rPr>
        <w:t>具有履行合同所必须的设备和专业技术能力的承诺函</w:t>
      </w:r>
    </w:p>
    <w:p>
      <w:pPr>
        <w:spacing w:after="312" w:afterLines="100" w:line="360" w:lineRule="auto"/>
        <w:jc w:val="left"/>
        <w:rPr>
          <w:rFonts w:ascii="宋体" w:hAnsi="宋体" w:cs="仿宋_GB2312"/>
          <w:bCs/>
          <w:kern w:val="0"/>
          <w:sz w:val="24"/>
          <w:lang w:val="zh-CN"/>
        </w:rPr>
      </w:pPr>
    </w:p>
    <w:p>
      <w:pPr>
        <w:spacing w:after="312" w:afterLines="100" w:line="360" w:lineRule="auto"/>
        <w:jc w:val="left"/>
        <w:rPr>
          <w:rFonts w:ascii="宋体" w:hAnsi="宋体" w:cs="仿宋_GB2312"/>
          <w:bCs/>
          <w:kern w:val="0"/>
          <w:sz w:val="24"/>
          <w:lang w:val="zh-CN"/>
        </w:rPr>
      </w:pPr>
      <w:r>
        <w:rPr>
          <w:rFonts w:hint="eastAsia" w:ascii="宋体" w:hAnsi="宋体" w:cs="仿宋_GB2312"/>
          <w:bCs/>
          <w:kern w:val="0"/>
          <w:sz w:val="24"/>
          <w:lang w:val="zh-CN"/>
        </w:rPr>
        <w:t>致：</w:t>
      </w:r>
      <w:r>
        <w:rPr>
          <w:rFonts w:hint="eastAsia" w:ascii="宋体" w:hAnsi="宋体" w:cs="仿宋_GB2312"/>
          <w:bCs/>
          <w:kern w:val="0"/>
          <w:sz w:val="24"/>
          <w:u w:val="single"/>
        </w:rPr>
        <w:t xml:space="preserve">          </w:t>
      </w:r>
      <w:r>
        <w:rPr>
          <w:rFonts w:hint="eastAsia" w:ascii="宋体" w:hAnsi="宋体" w:cs="仿宋_GB2312"/>
          <w:bCs/>
          <w:kern w:val="0"/>
          <w:sz w:val="24"/>
          <w:lang w:val="zh-CN"/>
        </w:rPr>
        <w:t>（采购人）</w:t>
      </w:r>
    </w:p>
    <w:p>
      <w:pPr>
        <w:spacing w:line="360" w:lineRule="auto"/>
        <w:ind w:firstLine="424" w:firstLineChars="177"/>
        <w:rPr>
          <w:rFonts w:ascii="宋体" w:hAnsi="宋体"/>
          <w:sz w:val="24"/>
        </w:rPr>
      </w:pPr>
      <w:r>
        <w:rPr>
          <w:rFonts w:hint="eastAsia" w:ascii="宋体" w:hAnsi="宋体" w:cs="仿宋_GB2312"/>
          <w:bCs/>
          <w:kern w:val="0"/>
          <w:sz w:val="24"/>
          <w:lang w:val="zh-CN"/>
        </w:rPr>
        <w:t>在贵方组织的</w:t>
      </w:r>
      <w:r>
        <w:rPr>
          <w:rFonts w:hint="eastAsia" w:ascii="宋体" w:hAnsi="宋体" w:cs="宋体"/>
          <w:kern w:val="0"/>
          <w:sz w:val="24"/>
          <w:u w:val="single"/>
        </w:rPr>
        <w:t xml:space="preserve">        </w:t>
      </w:r>
      <w:r>
        <w:rPr>
          <w:rFonts w:hint="eastAsia" w:ascii="宋体" w:hAnsi="宋体" w:cs="仿宋_GB2312"/>
          <w:bCs/>
          <w:kern w:val="0"/>
          <w:sz w:val="24"/>
          <w:lang w:val="zh-CN"/>
        </w:rPr>
        <w:t>（项目编号：</w:t>
      </w:r>
      <w:r>
        <w:rPr>
          <w:rFonts w:hint="eastAsia" w:ascii="宋体" w:hAnsi="宋体" w:cs="仿宋_GB2312"/>
          <w:bCs/>
          <w:kern w:val="0"/>
          <w:sz w:val="24"/>
          <w:u w:val="single"/>
        </w:rPr>
        <w:t xml:space="preserve">       </w:t>
      </w:r>
      <w:r>
        <w:rPr>
          <w:rFonts w:hint="eastAsia" w:ascii="宋体" w:hAnsi="宋体" w:cs="仿宋_GB2312"/>
          <w:bCs/>
          <w:kern w:val="0"/>
          <w:sz w:val="24"/>
          <w:lang w:val="zh-CN"/>
        </w:rPr>
        <w:t>）公开招标，我方在完全理解本项目采购的技术要求、商务条款及其他内容后，决定参与该项目</w:t>
      </w:r>
      <w:r>
        <w:rPr>
          <w:rFonts w:hint="eastAsia" w:ascii="宋体" w:hAnsi="宋体"/>
          <w:sz w:val="24"/>
        </w:rPr>
        <w:t>的响应活动。并承诺，如成交，我方将提供足够的设备和专业技术能力保证本合同履行。</w:t>
      </w:r>
    </w:p>
    <w:p>
      <w:pPr>
        <w:spacing w:line="360" w:lineRule="auto"/>
        <w:ind w:firstLine="424" w:firstLineChars="177"/>
        <w:rPr>
          <w:rFonts w:ascii="宋体" w:hAnsi="宋体"/>
          <w:sz w:val="24"/>
        </w:rPr>
      </w:pPr>
      <w:r>
        <w:rPr>
          <w:rFonts w:hint="eastAsia" w:ascii="宋体" w:hAnsi="宋体"/>
          <w:sz w:val="24"/>
        </w:rPr>
        <w:t>我方对上述承诺的真实性负责。如有虚假，我方同意按我方合同违约处理，并依法承担相应法律责任。</w:t>
      </w: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pPr>
        <w:spacing w:line="360" w:lineRule="auto"/>
        <w:rPr>
          <w:rFonts w:ascii="宋体" w:hAnsi="宋体"/>
          <w:sz w:val="24"/>
        </w:rPr>
      </w:pPr>
    </w:p>
    <w:p>
      <w:pPr>
        <w:pStyle w:val="47"/>
        <w:shd w:val="clear" w:color="auto" w:fill="FFFFFF"/>
        <w:spacing w:before="0" w:beforeAutospacing="0" w:after="0" w:afterAutospacing="0" w:line="360" w:lineRule="auto"/>
        <w:ind w:firstLine="424" w:firstLineChars="177"/>
        <w:rPr>
          <w:b/>
          <w:bCs/>
          <w:spacing w:val="11"/>
        </w:rPr>
      </w:pPr>
      <w:r>
        <w:rPr>
          <w:rFonts w:hint="eastAsia"/>
        </w:rPr>
        <w:t>日        期：</w:t>
      </w:r>
    </w:p>
    <w:p>
      <w:pPr>
        <w:widowControl/>
        <w:jc w:val="left"/>
        <w:rPr>
          <w:b/>
          <w:bCs/>
          <w:sz w:val="32"/>
          <w:szCs w:val="32"/>
          <w:lang w:val="zh-CN"/>
        </w:rPr>
      </w:pPr>
    </w:p>
    <w:p>
      <w:pPr>
        <w:pStyle w:val="28"/>
        <w:rPr>
          <w:lang w:val="zh-CN"/>
        </w:rPr>
      </w:pPr>
      <w:r>
        <w:rPr>
          <w:lang w:val="zh-CN"/>
        </w:rPr>
        <w:br w:type="page"/>
      </w:r>
    </w:p>
    <w:p>
      <w:pPr>
        <w:jc w:val="left"/>
        <w:rPr>
          <w:rFonts w:ascii="宋体" w:hAnsi="宋体"/>
          <w:b/>
          <w:kern w:val="0"/>
          <w:sz w:val="32"/>
          <w:szCs w:val="32"/>
        </w:rPr>
      </w:pPr>
      <w:r>
        <w:rPr>
          <w:rFonts w:hint="eastAsia" w:ascii="宋体" w:hAnsi="宋体"/>
          <w:b/>
          <w:kern w:val="0"/>
          <w:sz w:val="32"/>
          <w:szCs w:val="32"/>
        </w:rPr>
        <w:t>附件5</w:t>
      </w:r>
    </w:p>
    <w:bookmarkEnd w:id="44"/>
    <w:bookmarkEnd w:id="45"/>
    <w:bookmarkEnd w:id="46"/>
    <w:p>
      <w:pPr>
        <w:spacing w:line="360" w:lineRule="auto"/>
        <w:jc w:val="center"/>
        <w:rPr>
          <w:sz w:val="24"/>
        </w:rPr>
      </w:pPr>
      <w:r>
        <w:rPr>
          <w:rFonts w:hint="eastAsia"/>
          <w:b/>
          <w:bCs/>
          <w:sz w:val="36"/>
          <w:szCs w:val="36"/>
        </w:rPr>
        <w:t>评分索引表</w:t>
      </w:r>
    </w:p>
    <w:tbl>
      <w:tblPr>
        <w:tblStyle w:val="29"/>
        <w:tblpPr w:leftFromText="180" w:rightFromText="180" w:vertAnchor="text" w:tblpXSpec="center" w:tblpY="1"/>
        <w:tblOverlap w:val="never"/>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6738"/>
        <w:gridCol w:w="736"/>
        <w:gridCol w:w="91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blHeader/>
        </w:trPr>
        <w:tc>
          <w:tcPr>
            <w:tcW w:w="908" w:type="dxa"/>
            <w:noWrap/>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评分</w:t>
            </w:r>
          </w:p>
        </w:tc>
        <w:tc>
          <w:tcPr>
            <w:tcW w:w="6738" w:type="dxa"/>
            <w:noWrap/>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评分细则</w:t>
            </w:r>
          </w:p>
        </w:tc>
        <w:tc>
          <w:tcPr>
            <w:tcW w:w="736" w:type="dxa"/>
            <w:noWrap/>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分值</w:t>
            </w:r>
          </w:p>
        </w:tc>
        <w:tc>
          <w:tcPr>
            <w:tcW w:w="915" w:type="dxa"/>
            <w:noWrap/>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自评分</w:t>
            </w:r>
          </w:p>
        </w:tc>
        <w:tc>
          <w:tcPr>
            <w:tcW w:w="758" w:type="dxa"/>
            <w:noWrap/>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908" w:type="dxa"/>
            <w:noWrap/>
            <w:vAlign w:val="center"/>
          </w:tcPr>
          <w:p>
            <w:pPr>
              <w:adjustRightInd w:val="0"/>
              <w:snapToGrid w:val="0"/>
              <w:jc w:val="center"/>
              <w:rPr>
                <w:rFonts w:ascii="宋体" w:hAnsi="宋体" w:cs="宋体"/>
                <w:szCs w:val="21"/>
              </w:rPr>
            </w:pPr>
            <w:r>
              <w:rPr>
                <w:rFonts w:hint="eastAsia" w:ascii="宋体" w:hAnsi="宋体" w:cs="宋体"/>
                <w:szCs w:val="21"/>
              </w:rPr>
              <w:t>企业业绩</w:t>
            </w:r>
          </w:p>
        </w:tc>
        <w:tc>
          <w:tcPr>
            <w:tcW w:w="6738" w:type="dxa"/>
            <w:noWrap/>
            <w:vAlign w:val="center"/>
          </w:tcPr>
          <w:p>
            <w:pPr>
              <w:snapToGrid w:val="0"/>
              <w:jc w:val="left"/>
              <w:rPr>
                <w:rFonts w:ascii="宋体" w:hAnsi="宋体" w:cs="宋体"/>
                <w:szCs w:val="21"/>
              </w:rPr>
            </w:pPr>
            <w:r>
              <w:rPr>
                <w:rFonts w:hint="eastAsia" w:ascii="宋体" w:hAnsi="宋体" w:cs="宋体"/>
                <w:szCs w:val="21"/>
              </w:rPr>
              <w:t>客观分：</w:t>
            </w:r>
          </w:p>
          <w:p>
            <w:pPr>
              <w:snapToGrid w:val="0"/>
              <w:jc w:val="left"/>
              <w:rPr>
                <w:rFonts w:ascii="宋体" w:hAnsi="宋体" w:cs="宋体"/>
                <w:szCs w:val="21"/>
              </w:rPr>
            </w:pPr>
            <w:r>
              <w:rPr>
                <w:rFonts w:hint="eastAsia" w:ascii="宋体" w:hAnsi="宋体" w:cs="宋体"/>
                <w:szCs w:val="21"/>
              </w:rPr>
              <w:t>投标人提供</w:t>
            </w:r>
            <w:r>
              <w:rPr>
                <w:rFonts w:ascii="宋体" w:hAnsi="宋体" w:cs="宋体"/>
                <w:szCs w:val="21"/>
              </w:rPr>
              <w:t>20</w:t>
            </w:r>
            <w:r>
              <w:rPr>
                <w:rFonts w:hint="eastAsia" w:ascii="宋体" w:hAnsi="宋体" w:cs="宋体"/>
                <w:szCs w:val="21"/>
              </w:rPr>
              <w:t>20年1月</w:t>
            </w:r>
            <w:r>
              <w:rPr>
                <w:rFonts w:ascii="宋体" w:hAnsi="宋体" w:cs="宋体"/>
                <w:szCs w:val="21"/>
              </w:rPr>
              <w:t>1</w:t>
            </w:r>
            <w:r>
              <w:rPr>
                <w:rFonts w:hint="eastAsia" w:ascii="宋体" w:hAnsi="宋体" w:cs="宋体"/>
                <w:szCs w:val="21"/>
              </w:rPr>
              <w:t>日起至今完成过的同类业绩（做过类似取水实时监控、取水实时监控运行维护技术服务）成功案例的有效业绩证明，有效业绩须提供盖章的有效合同。每个得0.5分，最高得1分。</w:t>
            </w:r>
          </w:p>
          <w:p>
            <w:pPr>
              <w:snapToGrid w:val="0"/>
              <w:jc w:val="left"/>
            </w:pPr>
            <w:r>
              <w:rPr>
                <w:rFonts w:hint="eastAsia" w:ascii="宋体" w:hAnsi="宋体" w:cs="宋体"/>
                <w:szCs w:val="21"/>
              </w:rPr>
              <w:t>投标人提供</w:t>
            </w:r>
            <w:r>
              <w:rPr>
                <w:rFonts w:ascii="宋体" w:hAnsi="宋体" w:cs="宋体"/>
                <w:szCs w:val="21"/>
              </w:rPr>
              <w:t>20</w:t>
            </w:r>
            <w:r>
              <w:rPr>
                <w:rFonts w:hint="eastAsia" w:ascii="宋体" w:hAnsi="宋体" w:cs="宋体"/>
                <w:szCs w:val="21"/>
              </w:rPr>
              <w:t>20年1月</w:t>
            </w:r>
            <w:r>
              <w:rPr>
                <w:rFonts w:ascii="宋体" w:hAnsi="宋体" w:cs="宋体"/>
                <w:szCs w:val="21"/>
              </w:rPr>
              <w:t>1</w:t>
            </w:r>
            <w:r>
              <w:rPr>
                <w:rFonts w:hint="eastAsia" w:ascii="宋体" w:hAnsi="宋体" w:cs="宋体"/>
                <w:szCs w:val="21"/>
              </w:rPr>
              <w:t>日起至今完成过的同类业绩（做过类似水资源延续评估技术服务）成功案例的有效业绩证明，有效业绩须提供盖章的有效合同。每个得0.5分，最高得1分。</w:t>
            </w:r>
          </w:p>
          <w:p>
            <w:pPr>
              <w:pStyle w:val="42"/>
              <w:rPr>
                <w:rFonts w:ascii="宋体" w:hAnsi="宋体" w:cs="宋体"/>
                <w:b/>
                <w:kern w:val="0"/>
                <w:sz w:val="21"/>
                <w:szCs w:val="21"/>
              </w:rPr>
            </w:pPr>
            <w:r>
              <w:rPr>
                <w:rFonts w:hint="eastAsia" w:ascii="宋体" w:hAnsi="宋体" w:cs="宋体"/>
                <w:bCs/>
                <w:kern w:val="0"/>
                <w:sz w:val="21"/>
                <w:szCs w:val="21"/>
              </w:rPr>
              <w:t>注：须提供合同复印件，否则不得分。</w:t>
            </w:r>
          </w:p>
        </w:tc>
        <w:tc>
          <w:tcPr>
            <w:tcW w:w="736" w:type="dxa"/>
            <w:noWrap/>
            <w:vAlign w:val="center"/>
          </w:tcPr>
          <w:p>
            <w:pPr>
              <w:pStyle w:val="42"/>
              <w:adjustRightInd w:val="0"/>
              <w:snapToGrid w:val="0"/>
              <w:jc w:val="center"/>
              <w:rPr>
                <w:rFonts w:ascii="宋体" w:hAnsi="宋体" w:cs="宋体"/>
                <w:bCs/>
                <w:kern w:val="0"/>
                <w:sz w:val="21"/>
                <w:szCs w:val="21"/>
              </w:rPr>
            </w:pPr>
            <w:r>
              <w:rPr>
                <w:rFonts w:hint="eastAsia" w:ascii="宋体" w:hAnsi="宋体" w:cs="宋体"/>
                <w:bCs/>
                <w:kern w:val="0"/>
                <w:sz w:val="21"/>
                <w:szCs w:val="21"/>
              </w:rPr>
              <w:t>0-2</w:t>
            </w:r>
          </w:p>
        </w:tc>
        <w:tc>
          <w:tcPr>
            <w:tcW w:w="915" w:type="dxa"/>
            <w:noWrap/>
            <w:vAlign w:val="center"/>
          </w:tcPr>
          <w:p>
            <w:pPr>
              <w:pStyle w:val="42"/>
              <w:adjustRightInd w:val="0"/>
              <w:snapToGrid w:val="0"/>
              <w:jc w:val="center"/>
              <w:rPr>
                <w:rFonts w:ascii="宋体" w:hAnsi="宋体" w:cs="宋体"/>
                <w:bCs/>
                <w:kern w:val="0"/>
                <w:sz w:val="21"/>
                <w:szCs w:val="21"/>
              </w:rPr>
            </w:pPr>
          </w:p>
        </w:tc>
        <w:tc>
          <w:tcPr>
            <w:tcW w:w="758" w:type="dxa"/>
            <w:noWrap/>
            <w:vAlign w:val="center"/>
          </w:tcPr>
          <w:p>
            <w:pPr>
              <w:pStyle w:val="42"/>
              <w:adjustRightInd w:val="0"/>
              <w:snapToGrid w:val="0"/>
              <w:jc w:val="center"/>
              <w:rPr>
                <w:rFonts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908" w:type="dxa"/>
            <w:noWrap/>
            <w:vAlign w:val="center"/>
          </w:tcPr>
          <w:p>
            <w:pPr>
              <w:adjustRightInd w:val="0"/>
              <w:snapToGrid w:val="0"/>
              <w:jc w:val="center"/>
              <w:rPr>
                <w:rFonts w:ascii="宋体" w:hAnsi="宋体" w:cs="宋体"/>
                <w:szCs w:val="21"/>
              </w:rPr>
            </w:pPr>
          </w:p>
          <w:p>
            <w:pPr>
              <w:adjustRightInd w:val="0"/>
              <w:snapToGrid w:val="0"/>
              <w:jc w:val="center"/>
              <w:rPr>
                <w:rFonts w:ascii="宋体" w:hAnsi="宋体" w:cs="宋体"/>
                <w:szCs w:val="21"/>
              </w:rPr>
            </w:pPr>
            <w:r>
              <w:rPr>
                <w:rFonts w:hint="eastAsia" w:ascii="宋体" w:hAnsi="宋体" w:cs="宋体"/>
                <w:szCs w:val="21"/>
              </w:rPr>
              <w:t>企业认证</w:t>
            </w:r>
          </w:p>
        </w:tc>
        <w:tc>
          <w:tcPr>
            <w:tcW w:w="6738" w:type="dxa"/>
            <w:noWrap/>
            <w:vAlign w:val="center"/>
          </w:tcPr>
          <w:p>
            <w:pPr>
              <w:snapToGrid w:val="0"/>
              <w:jc w:val="left"/>
              <w:rPr>
                <w:rFonts w:ascii="宋体" w:hAnsi="宋体" w:cs="宋体"/>
                <w:szCs w:val="21"/>
              </w:rPr>
            </w:pPr>
            <w:r>
              <w:rPr>
                <w:rFonts w:hint="eastAsia" w:ascii="宋体" w:hAnsi="宋体" w:cs="宋体"/>
                <w:szCs w:val="21"/>
              </w:rPr>
              <w:t>客观分：</w:t>
            </w:r>
          </w:p>
          <w:p>
            <w:pPr>
              <w:snapToGrid w:val="0"/>
              <w:jc w:val="left"/>
              <w:rPr>
                <w:rFonts w:ascii="宋体" w:hAnsi="宋体" w:cs="宋体"/>
                <w:szCs w:val="21"/>
              </w:rPr>
            </w:pPr>
            <w:r>
              <w:rPr>
                <w:rFonts w:hint="eastAsia" w:ascii="宋体" w:hAnsi="宋体" w:cs="宋体"/>
                <w:szCs w:val="21"/>
              </w:rPr>
              <w:t>投标人通过ISO9001质量管理体系认证证书、ISO14001环境管理体系认证证书，OHSAS18001职业健康安全管理体系认证，每项得2分，最高得6分。</w:t>
            </w:r>
            <w:r>
              <w:rPr>
                <w:rFonts w:hint="eastAsia" w:ascii="宋体" w:hAnsi="宋体" w:cs="宋体"/>
                <w:kern w:val="0"/>
                <w:szCs w:val="21"/>
              </w:rPr>
              <w:t>（证书在有效期内，提供证书复印件及全国认证认可信息公共服务平台查询截图）</w:t>
            </w:r>
          </w:p>
          <w:p>
            <w:pPr>
              <w:pStyle w:val="42"/>
              <w:adjustRightInd w:val="0"/>
              <w:snapToGrid w:val="0"/>
              <w:rPr>
                <w:sz w:val="21"/>
                <w:szCs w:val="21"/>
              </w:rPr>
            </w:pPr>
            <w:r>
              <w:rPr>
                <w:rFonts w:hint="eastAsia" w:ascii="宋体" w:hAnsi="宋体" w:cs="宋体"/>
                <w:bCs/>
                <w:kern w:val="0"/>
                <w:sz w:val="21"/>
                <w:szCs w:val="21"/>
              </w:rPr>
              <w:t>注：须提供有效期内证书复印件及截图，否则不得分。</w:t>
            </w:r>
          </w:p>
        </w:tc>
        <w:tc>
          <w:tcPr>
            <w:tcW w:w="736" w:type="dxa"/>
            <w:noWrap/>
            <w:vAlign w:val="center"/>
          </w:tcPr>
          <w:p>
            <w:pPr>
              <w:pStyle w:val="42"/>
              <w:adjustRightInd w:val="0"/>
              <w:snapToGrid w:val="0"/>
              <w:jc w:val="center"/>
              <w:rPr>
                <w:rFonts w:ascii="宋体" w:hAnsi="宋体" w:cs="宋体"/>
                <w:bCs/>
                <w:kern w:val="0"/>
                <w:sz w:val="21"/>
                <w:szCs w:val="21"/>
              </w:rPr>
            </w:pPr>
            <w:r>
              <w:rPr>
                <w:rFonts w:hint="eastAsia" w:ascii="宋体" w:hAnsi="宋体" w:cs="宋体"/>
                <w:bCs/>
                <w:kern w:val="0"/>
                <w:sz w:val="21"/>
                <w:szCs w:val="21"/>
              </w:rPr>
              <w:t>0-6</w:t>
            </w:r>
          </w:p>
        </w:tc>
        <w:tc>
          <w:tcPr>
            <w:tcW w:w="915" w:type="dxa"/>
            <w:noWrap/>
            <w:vAlign w:val="center"/>
          </w:tcPr>
          <w:p>
            <w:pPr>
              <w:pStyle w:val="42"/>
              <w:adjustRightInd w:val="0"/>
              <w:snapToGrid w:val="0"/>
              <w:jc w:val="center"/>
              <w:rPr>
                <w:rFonts w:ascii="宋体" w:hAnsi="宋体" w:cs="宋体"/>
                <w:bCs/>
                <w:kern w:val="0"/>
                <w:sz w:val="21"/>
                <w:szCs w:val="21"/>
              </w:rPr>
            </w:pPr>
          </w:p>
        </w:tc>
        <w:tc>
          <w:tcPr>
            <w:tcW w:w="758" w:type="dxa"/>
            <w:noWrap/>
            <w:vAlign w:val="center"/>
          </w:tcPr>
          <w:p>
            <w:pPr>
              <w:pStyle w:val="42"/>
              <w:adjustRightInd w:val="0"/>
              <w:snapToGrid w:val="0"/>
              <w:jc w:val="center"/>
              <w:rPr>
                <w:rFonts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908" w:type="dxa"/>
            <w:noWrap/>
            <w:vAlign w:val="center"/>
          </w:tcPr>
          <w:p>
            <w:pPr>
              <w:adjustRightInd w:val="0"/>
              <w:snapToGrid w:val="0"/>
              <w:jc w:val="center"/>
              <w:rPr>
                <w:rFonts w:ascii="宋体" w:hAnsi="宋体" w:cs="宋体"/>
                <w:szCs w:val="21"/>
              </w:rPr>
            </w:pPr>
            <w:r>
              <w:rPr>
                <w:rFonts w:hint="eastAsia" w:ascii="宋体" w:hAnsi="宋体" w:cs="宋体"/>
                <w:bCs/>
                <w:kern w:val="0"/>
                <w:szCs w:val="21"/>
              </w:rPr>
              <w:t>项目负责人</w:t>
            </w:r>
          </w:p>
        </w:tc>
        <w:tc>
          <w:tcPr>
            <w:tcW w:w="6738" w:type="dxa"/>
            <w:noWrap/>
            <w:vAlign w:val="center"/>
          </w:tcPr>
          <w:p>
            <w:pPr>
              <w:adjustRightInd w:val="0"/>
              <w:snapToGrid w:val="0"/>
              <w:jc w:val="left"/>
              <w:rPr>
                <w:rFonts w:ascii="宋体" w:hAnsi="宋体" w:cs="宋体"/>
                <w:szCs w:val="21"/>
              </w:rPr>
            </w:pPr>
            <w:r>
              <w:rPr>
                <w:rFonts w:hint="eastAsia" w:ascii="宋体" w:hAnsi="宋体" w:cs="宋体"/>
                <w:szCs w:val="21"/>
              </w:rPr>
              <w:t>客观分：</w:t>
            </w:r>
          </w:p>
          <w:p>
            <w:pPr>
              <w:adjustRightInd w:val="0"/>
              <w:snapToGrid w:val="0"/>
              <w:jc w:val="left"/>
              <w:rPr>
                <w:rFonts w:ascii="宋体" w:hAnsi="宋体" w:cs="宋体"/>
                <w:kern w:val="0"/>
                <w:szCs w:val="21"/>
              </w:rPr>
            </w:pPr>
            <w:r>
              <w:rPr>
                <w:rFonts w:hint="eastAsia" w:ascii="宋体" w:hAnsi="宋体" w:cs="宋体"/>
                <w:kern w:val="0"/>
                <w:szCs w:val="21"/>
              </w:rPr>
              <w:t>拟派项目负责人：</w:t>
            </w:r>
          </w:p>
          <w:p>
            <w:pPr>
              <w:adjustRightInd w:val="0"/>
              <w:snapToGrid w:val="0"/>
              <w:jc w:val="left"/>
              <w:rPr>
                <w:rFonts w:ascii="宋体" w:hAnsi="宋体" w:cs="宋体"/>
                <w:kern w:val="0"/>
                <w:szCs w:val="21"/>
              </w:rPr>
            </w:pPr>
            <w:r>
              <w:rPr>
                <w:rFonts w:hint="eastAsia" w:ascii="宋体" w:hAnsi="宋体" w:cs="宋体"/>
                <w:kern w:val="0"/>
                <w:szCs w:val="21"/>
              </w:rPr>
              <w:t>（1）具有水利工程或水资源或自动化专业高级技术职称的得3分；具有水利工程或水资源或自动化专业中级职称的得1.5分，最高得3分。</w:t>
            </w:r>
          </w:p>
          <w:p>
            <w:pPr>
              <w:adjustRightInd w:val="0"/>
              <w:snapToGrid w:val="0"/>
              <w:jc w:val="left"/>
              <w:rPr>
                <w:rFonts w:ascii="宋体" w:hAnsi="宋体" w:cs="宋体"/>
                <w:kern w:val="0"/>
                <w:szCs w:val="21"/>
              </w:rPr>
            </w:pPr>
            <w:r>
              <w:rPr>
                <w:rFonts w:hint="eastAsia" w:ascii="宋体" w:hAnsi="宋体" w:cs="宋体"/>
                <w:kern w:val="0"/>
                <w:szCs w:val="21"/>
              </w:rPr>
              <w:t>（2）具有一级建造师（机电工程）注册证书的得2分，具有二级建造师（机电工程）注册证书的得1分，最高得2分。</w:t>
            </w:r>
          </w:p>
          <w:p>
            <w:pPr>
              <w:pStyle w:val="35"/>
              <w:adjustRightInd w:val="0"/>
              <w:jc w:val="both"/>
              <w:rPr>
                <w:szCs w:val="21"/>
              </w:rPr>
            </w:pPr>
            <w:r>
              <w:rPr>
                <w:rFonts w:hint="eastAsia" w:ascii="宋体" w:hAnsi="宋体" w:cs="宋体"/>
                <w:color w:val="000000"/>
                <w:szCs w:val="21"/>
              </w:rPr>
              <w:t>（3）具有注册咨询工程师（水利水电或水利工程或电子工程或机械（含智能制造）类）证书得2分，最高得2分。</w:t>
            </w:r>
          </w:p>
          <w:p>
            <w:pPr>
              <w:adjustRightInd w:val="0"/>
              <w:snapToGrid w:val="0"/>
              <w:jc w:val="left"/>
              <w:rPr>
                <w:rFonts w:ascii="宋体" w:hAnsi="宋体" w:cs="宋体"/>
                <w:bCs/>
                <w:kern w:val="0"/>
                <w:szCs w:val="21"/>
              </w:rPr>
            </w:pPr>
            <w:r>
              <w:rPr>
                <w:rFonts w:hint="eastAsia" w:ascii="宋体" w:hAnsi="宋体" w:cs="宋体"/>
                <w:bCs/>
                <w:kern w:val="0"/>
                <w:szCs w:val="21"/>
              </w:rPr>
              <w:t>注：</w:t>
            </w:r>
            <w:r>
              <w:rPr>
                <w:rFonts w:hint="eastAsia" w:ascii="宋体" w:hAnsi="宋体" w:cs="宋体"/>
                <w:kern w:val="0"/>
                <w:szCs w:val="21"/>
              </w:rPr>
              <w:t>须提供证书证明材料及投标人为其缴纳的近3个月的社保证明等相关证明材料扫描件，未提供的或提供不全的不得分。</w:t>
            </w:r>
          </w:p>
        </w:tc>
        <w:tc>
          <w:tcPr>
            <w:tcW w:w="736" w:type="dxa"/>
            <w:noWrap/>
            <w:vAlign w:val="center"/>
          </w:tcPr>
          <w:p>
            <w:pPr>
              <w:adjustRightInd w:val="0"/>
              <w:snapToGrid w:val="0"/>
              <w:jc w:val="center"/>
              <w:rPr>
                <w:rFonts w:ascii="宋体" w:hAnsi="宋体" w:cs="宋体"/>
                <w:kern w:val="0"/>
                <w:szCs w:val="21"/>
              </w:rPr>
            </w:pPr>
            <w:r>
              <w:rPr>
                <w:rFonts w:hint="eastAsia" w:ascii="宋体" w:hAnsi="宋体" w:cs="宋体"/>
                <w:kern w:val="0"/>
                <w:szCs w:val="21"/>
              </w:rPr>
              <w:t>0-7</w:t>
            </w:r>
          </w:p>
        </w:tc>
        <w:tc>
          <w:tcPr>
            <w:tcW w:w="915" w:type="dxa"/>
            <w:noWrap/>
            <w:vAlign w:val="center"/>
          </w:tcPr>
          <w:p>
            <w:pPr>
              <w:adjustRightInd w:val="0"/>
              <w:snapToGrid w:val="0"/>
              <w:jc w:val="center"/>
              <w:rPr>
                <w:rFonts w:ascii="宋体" w:hAnsi="宋体" w:cs="宋体"/>
                <w:kern w:val="0"/>
                <w:szCs w:val="21"/>
              </w:rPr>
            </w:pPr>
          </w:p>
        </w:tc>
        <w:tc>
          <w:tcPr>
            <w:tcW w:w="758" w:type="dxa"/>
            <w:noWrap/>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908" w:type="dxa"/>
            <w:noWrap/>
            <w:vAlign w:val="center"/>
          </w:tcPr>
          <w:p>
            <w:pPr>
              <w:adjustRightInd w:val="0"/>
              <w:snapToGrid w:val="0"/>
              <w:jc w:val="center"/>
              <w:rPr>
                <w:rFonts w:ascii="宋体" w:hAnsi="宋体" w:cs="宋体"/>
                <w:szCs w:val="21"/>
              </w:rPr>
            </w:pPr>
            <w:r>
              <w:rPr>
                <w:rFonts w:hint="eastAsia" w:ascii="宋体" w:hAnsi="宋体" w:cs="宋体"/>
                <w:bCs/>
                <w:kern w:val="0"/>
                <w:szCs w:val="21"/>
              </w:rPr>
              <w:t>技术负责人</w:t>
            </w:r>
          </w:p>
        </w:tc>
        <w:tc>
          <w:tcPr>
            <w:tcW w:w="6738" w:type="dxa"/>
            <w:noWrap/>
            <w:vAlign w:val="center"/>
          </w:tcPr>
          <w:p>
            <w:pPr>
              <w:adjustRightInd w:val="0"/>
              <w:snapToGrid w:val="0"/>
              <w:jc w:val="left"/>
              <w:rPr>
                <w:rFonts w:ascii="宋体" w:hAnsi="宋体" w:cs="宋体"/>
                <w:szCs w:val="21"/>
              </w:rPr>
            </w:pPr>
            <w:r>
              <w:rPr>
                <w:rFonts w:hint="eastAsia" w:ascii="宋体" w:hAnsi="宋体" w:cs="宋体"/>
                <w:szCs w:val="21"/>
              </w:rPr>
              <w:t>客观分：</w:t>
            </w:r>
          </w:p>
          <w:p>
            <w:pPr>
              <w:adjustRightInd w:val="0"/>
              <w:snapToGrid w:val="0"/>
              <w:jc w:val="left"/>
              <w:rPr>
                <w:rFonts w:ascii="宋体" w:hAnsi="宋体" w:cs="宋体"/>
                <w:kern w:val="0"/>
                <w:szCs w:val="21"/>
              </w:rPr>
            </w:pPr>
            <w:r>
              <w:rPr>
                <w:rFonts w:hint="eastAsia" w:ascii="宋体" w:hAnsi="宋体" w:cs="宋体"/>
                <w:kern w:val="0"/>
                <w:szCs w:val="21"/>
              </w:rPr>
              <w:t>拟派技术负责人：</w:t>
            </w:r>
          </w:p>
          <w:p>
            <w:pPr>
              <w:adjustRightInd w:val="0"/>
              <w:snapToGrid w:val="0"/>
              <w:jc w:val="left"/>
              <w:rPr>
                <w:rFonts w:ascii="宋体" w:hAnsi="宋体" w:cs="宋体"/>
                <w:kern w:val="0"/>
                <w:szCs w:val="21"/>
              </w:rPr>
            </w:pPr>
            <w:r>
              <w:rPr>
                <w:rFonts w:hint="eastAsia" w:ascii="宋体" w:hAnsi="宋体" w:cs="宋体"/>
                <w:kern w:val="0"/>
                <w:szCs w:val="21"/>
              </w:rPr>
              <w:t>（1）具有水利工程或水资源或自动化专业高级技术职称的得2分；具有水利工程或水资源或自动化专业中级职称的得1分，最高得2分。</w:t>
            </w:r>
          </w:p>
          <w:p>
            <w:pPr>
              <w:adjustRightInd w:val="0"/>
              <w:snapToGrid w:val="0"/>
              <w:jc w:val="left"/>
              <w:rPr>
                <w:rFonts w:ascii="宋体" w:hAnsi="宋体" w:cs="宋体"/>
                <w:kern w:val="0"/>
                <w:szCs w:val="21"/>
              </w:rPr>
            </w:pPr>
            <w:r>
              <w:rPr>
                <w:rFonts w:hint="eastAsia" w:ascii="宋体" w:hAnsi="宋体" w:cs="宋体"/>
                <w:kern w:val="0"/>
                <w:szCs w:val="21"/>
              </w:rPr>
              <w:t>（2）具有二级建造师（机电工程）注册证书的得1分。</w:t>
            </w:r>
          </w:p>
          <w:p>
            <w:pPr>
              <w:pStyle w:val="108"/>
              <w:adjustRightInd w:val="0"/>
              <w:snapToGrid w:val="0"/>
              <w:jc w:val="left"/>
              <w:rPr>
                <w:rFonts w:eastAsia="宋体"/>
                <w:sz w:val="21"/>
                <w:szCs w:val="21"/>
              </w:rPr>
            </w:pPr>
            <w:r>
              <w:rPr>
                <w:rFonts w:hint="eastAsia" w:ascii="宋体" w:hAnsi="宋体" w:eastAsia="宋体" w:cs="宋体"/>
                <w:kern w:val="0"/>
                <w:sz w:val="21"/>
                <w:szCs w:val="21"/>
              </w:rPr>
              <w:t>（3）</w:t>
            </w:r>
            <w:r>
              <w:rPr>
                <w:rFonts w:hint="eastAsia" w:ascii="宋体" w:hAnsi="宋体" w:eastAsia="宋体" w:cs="宋体"/>
                <w:bCs/>
                <w:sz w:val="21"/>
                <w:szCs w:val="21"/>
              </w:rPr>
              <w:t>参加过省级取水计量管理培训（提供相关的培训证明）得1分。</w:t>
            </w:r>
          </w:p>
          <w:p>
            <w:pPr>
              <w:adjustRightInd w:val="0"/>
              <w:snapToGrid w:val="0"/>
              <w:jc w:val="left"/>
              <w:rPr>
                <w:rFonts w:ascii="宋体" w:hAnsi="宋体" w:cs="宋体"/>
                <w:bCs/>
                <w:kern w:val="0"/>
                <w:szCs w:val="21"/>
              </w:rPr>
            </w:pPr>
            <w:r>
              <w:rPr>
                <w:rFonts w:hint="eastAsia" w:ascii="宋体" w:hAnsi="宋体" w:cs="宋体"/>
                <w:bCs/>
                <w:kern w:val="0"/>
                <w:szCs w:val="21"/>
              </w:rPr>
              <w:t>注：</w:t>
            </w:r>
            <w:r>
              <w:rPr>
                <w:rFonts w:hint="eastAsia" w:ascii="宋体" w:hAnsi="宋体" w:cs="宋体"/>
                <w:kern w:val="0"/>
                <w:szCs w:val="21"/>
              </w:rPr>
              <w:t>须提供证书证明材料及投标人为其缴纳的近3个月的社保证明等相关证明材料扫描件，未提供的或提供不全的不得分。</w:t>
            </w:r>
          </w:p>
        </w:tc>
        <w:tc>
          <w:tcPr>
            <w:tcW w:w="736" w:type="dxa"/>
            <w:noWrap/>
            <w:vAlign w:val="center"/>
          </w:tcPr>
          <w:p>
            <w:pPr>
              <w:adjustRightInd w:val="0"/>
              <w:snapToGrid w:val="0"/>
              <w:jc w:val="center"/>
              <w:rPr>
                <w:rFonts w:ascii="宋体" w:hAnsi="宋体" w:cs="宋体"/>
                <w:kern w:val="0"/>
                <w:szCs w:val="21"/>
              </w:rPr>
            </w:pPr>
            <w:r>
              <w:rPr>
                <w:rFonts w:hint="eastAsia" w:ascii="宋体" w:hAnsi="宋体" w:cs="宋体"/>
                <w:kern w:val="0"/>
                <w:szCs w:val="21"/>
              </w:rPr>
              <w:t>0-4</w:t>
            </w:r>
          </w:p>
        </w:tc>
        <w:tc>
          <w:tcPr>
            <w:tcW w:w="915" w:type="dxa"/>
            <w:noWrap/>
            <w:vAlign w:val="center"/>
          </w:tcPr>
          <w:p>
            <w:pPr>
              <w:adjustRightInd w:val="0"/>
              <w:snapToGrid w:val="0"/>
              <w:jc w:val="center"/>
              <w:rPr>
                <w:rFonts w:ascii="宋体" w:hAnsi="宋体" w:cs="宋体"/>
                <w:kern w:val="0"/>
                <w:szCs w:val="21"/>
              </w:rPr>
            </w:pPr>
          </w:p>
        </w:tc>
        <w:tc>
          <w:tcPr>
            <w:tcW w:w="758" w:type="dxa"/>
            <w:noWrap/>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908" w:type="dxa"/>
            <w:noWrap/>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项目</w:t>
            </w:r>
          </w:p>
          <w:p>
            <w:pPr>
              <w:adjustRightInd w:val="0"/>
              <w:snapToGrid w:val="0"/>
              <w:jc w:val="center"/>
              <w:rPr>
                <w:rFonts w:ascii="宋体" w:hAnsi="宋体" w:cs="宋体"/>
                <w:szCs w:val="21"/>
              </w:rPr>
            </w:pPr>
            <w:r>
              <w:rPr>
                <w:rFonts w:hint="eastAsia" w:ascii="宋体" w:hAnsi="宋体" w:cs="宋体"/>
                <w:bCs/>
                <w:kern w:val="0"/>
                <w:szCs w:val="21"/>
              </w:rPr>
              <w:t>组人员</w:t>
            </w:r>
          </w:p>
        </w:tc>
        <w:tc>
          <w:tcPr>
            <w:tcW w:w="6738" w:type="dxa"/>
            <w:noWrap/>
            <w:vAlign w:val="center"/>
          </w:tcPr>
          <w:p>
            <w:pPr>
              <w:adjustRightInd w:val="0"/>
              <w:snapToGrid w:val="0"/>
              <w:jc w:val="left"/>
              <w:rPr>
                <w:rFonts w:ascii="宋体" w:hAnsi="宋体" w:cs="宋体"/>
                <w:szCs w:val="21"/>
              </w:rPr>
            </w:pPr>
            <w:r>
              <w:rPr>
                <w:rFonts w:hint="eastAsia" w:ascii="宋体" w:hAnsi="宋体" w:cs="宋体"/>
                <w:szCs w:val="21"/>
              </w:rPr>
              <w:t>客观分：</w:t>
            </w:r>
          </w:p>
          <w:p>
            <w:pPr>
              <w:adjustRightInd w:val="0"/>
              <w:snapToGrid w:val="0"/>
              <w:jc w:val="left"/>
              <w:rPr>
                <w:rFonts w:ascii="宋体" w:hAnsi="宋体" w:cs="宋体"/>
                <w:szCs w:val="21"/>
              </w:rPr>
            </w:pPr>
            <w:r>
              <w:rPr>
                <w:rFonts w:hint="eastAsia" w:ascii="宋体" w:hAnsi="宋体" w:cs="宋体"/>
                <w:szCs w:val="21"/>
              </w:rPr>
              <w:t>项目负责人、技术负责人除外：</w:t>
            </w:r>
          </w:p>
          <w:p>
            <w:pPr>
              <w:adjustRightInd w:val="0"/>
              <w:snapToGrid w:val="0"/>
              <w:jc w:val="left"/>
              <w:rPr>
                <w:rFonts w:ascii="宋体" w:hAnsi="宋体" w:cs="宋体"/>
                <w:szCs w:val="21"/>
              </w:rPr>
            </w:pPr>
            <w:r>
              <w:rPr>
                <w:rFonts w:hint="eastAsia" w:ascii="宋体" w:hAnsi="宋体" w:cs="宋体"/>
                <w:szCs w:val="21"/>
              </w:rPr>
              <w:t>项目组成员中具备软件设计师（中级及以上）证书、机电专业毕业证书、水利水电工程毕业证书、水利相关专业中级工程师及以上职称证书，最高得4分；（多个人员同一个专业或同一个人多个专业，不重复得分，本项最高得4分）。</w:t>
            </w:r>
          </w:p>
          <w:p>
            <w:pPr>
              <w:adjustRightInd w:val="0"/>
              <w:snapToGrid w:val="0"/>
              <w:jc w:val="left"/>
              <w:rPr>
                <w:rFonts w:ascii="宋体" w:hAnsi="宋体" w:cs="宋体"/>
                <w:bCs/>
                <w:kern w:val="0"/>
                <w:szCs w:val="21"/>
              </w:rPr>
            </w:pPr>
            <w:r>
              <w:rPr>
                <w:rFonts w:hint="eastAsia" w:ascii="宋体" w:hAnsi="宋体" w:cs="宋体"/>
                <w:kern w:val="0"/>
                <w:szCs w:val="21"/>
              </w:rPr>
              <w:t>须提供证明材料及投标人为其缴纳的近3个月的社保证明等相关证明材料扫描件，未提供的或提供不全的不得分。</w:t>
            </w:r>
          </w:p>
        </w:tc>
        <w:tc>
          <w:tcPr>
            <w:tcW w:w="736" w:type="dxa"/>
            <w:noWrap/>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0-4</w:t>
            </w:r>
          </w:p>
        </w:tc>
        <w:tc>
          <w:tcPr>
            <w:tcW w:w="915" w:type="dxa"/>
            <w:noWrap/>
            <w:vAlign w:val="center"/>
          </w:tcPr>
          <w:p>
            <w:pPr>
              <w:adjustRightInd w:val="0"/>
              <w:snapToGrid w:val="0"/>
              <w:jc w:val="center"/>
              <w:rPr>
                <w:rFonts w:ascii="宋体" w:hAnsi="宋体" w:cs="宋体"/>
                <w:bCs/>
                <w:kern w:val="0"/>
                <w:szCs w:val="21"/>
              </w:rPr>
            </w:pPr>
          </w:p>
        </w:tc>
        <w:tc>
          <w:tcPr>
            <w:tcW w:w="758" w:type="dxa"/>
            <w:noWrap/>
            <w:vAlign w:val="center"/>
          </w:tcPr>
          <w:p>
            <w:pPr>
              <w:adjustRightInd w:val="0"/>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08" w:type="dxa"/>
            <w:noWrap/>
            <w:vAlign w:val="center"/>
          </w:tcPr>
          <w:p>
            <w:pPr>
              <w:adjustRightInd w:val="0"/>
              <w:snapToGrid w:val="0"/>
              <w:jc w:val="center"/>
              <w:rPr>
                <w:rFonts w:ascii="宋体" w:hAnsi="宋体" w:cs="宋体"/>
                <w:szCs w:val="21"/>
              </w:rPr>
            </w:pPr>
            <w:r>
              <w:rPr>
                <w:rFonts w:hint="eastAsia" w:ascii="宋体" w:hAnsi="宋体" w:cs="宋体"/>
                <w:szCs w:val="21"/>
              </w:rPr>
              <w:t>企业承担本项目的能力</w:t>
            </w:r>
          </w:p>
        </w:tc>
        <w:tc>
          <w:tcPr>
            <w:tcW w:w="6738" w:type="dxa"/>
            <w:noWrap/>
            <w:vAlign w:val="center"/>
          </w:tcPr>
          <w:p>
            <w:pPr>
              <w:adjustRightInd w:val="0"/>
              <w:snapToGrid w:val="0"/>
              <w:jc w:val="left"/>
              <w:rPr>
                <w:rFonts w:ascii="宋体" w:hAnsi="宋体" w:cs="宋体"/>
                <w:szCs w:val="21"/>
              </w:rPr>
            </w:pPr>
            <w:r>
              <w:rPr>
                <w:rFonts w:hint="eastAsia" w:ascii="宋体" w:hAnsi="宋体" w:cs="宋体"/>
                <w:szCs w:val="21"/>
              </w:rPr>
              <w:t>客观分：</w:t>
            </w:r>
          </w:p>
          <w:p>
            <w:pPr>
              <w:pStyle w:val="42"/>
              <w:adjustRightInd w:val="0"/>
              <w:snapToGrid w:val="0"/>
              <w:rPr>
                <w:rFonts w:ascii="宋体" w:hAnsi="宋体" w:cs="宋体"/>
                <w:sz w:val="21"/>
                <w:szCs w:val="21"/>
              </w:rPr>
            </w:pPr>
            <w:r>
              <w:rPr>
                <w:rFonts w:hint="eastAsia" w:ascii="宋体" w:hAnsi="宋体" w:cs="宋体"/>
                <w:sz w:val="21"/>
                <w:szCs w:val="21"/>
              </w:rPr>
              <w:t>根据企业取得水资源或取水实时监测相关技术成果情况（技术成果是指软著、实用新型、软著及技术推广等）进行综合打分，每项得1分，最高得3分。</w:t>
            </w:r>
          </w:p>
          <w:p>
            <w:pPr>
              <w:pStyle w:val="42"/>
              <w:adjustRightInd w:val="0"/>
              <w:snapToGrid w:val="0"/>
              <w:rPr>
                <w:rFonts w:ascii="宋体" w:hAnsi="宋体" w:cs="宋体"/>
                <w:bCs/>
                <w:kern w:val="0"/>
                <w:sz w:val="21"/>
                <w:szCs w:val="21"/>
              </w:rPr>
            </w:pPr>
            <w:r>
              <w:rPr>
                <w:rFonts w:hint="eastAsia" w:ascii="宋体" w:hAnsi="宋体" w:cs="宋体"/>
                <w:bCs/>
                <w:kern w:val="0"/>
                <w:sz w:val="21"/>
                <w:szCs w:val="21"/>
              </w:rPr>
              <w:t>注：须提供有效期内证书复印件，否则不得分。</w:t>
            </w:r>
          </w:p>
        </w:tc>
        <w:tc>
          <w:tcPr>
            <w:tcW w:w="736" w:type="dxa"/>
            <w:noWrap/>
            <w:vAlign w:val="center"/>
          </w:tcPr>
          <w:p>
            <w:pPr>
              <w:pStyle w:val="42"/>
              <w:adjustRightInd w:val="0"/>
              <w:snapToGrid w:val="0"/>
              <w:jc w:val="center"/>
              <w:rPr>
                <w:rFonts w:ascii="宋体" w:hAnsi="宋体" w:cs="宋体"/>
                <w:bCs/>
                <w:kern w:val="0"/>
                <w:sz w:val="21"/>
                <w:szCs w:val="21"/>
              </w:rPr>
            </w:pPr>
            <w:r>
              <w:rPr>
                <w:rFonts w:hint="eastAsia" w:ascii="宋体" w:hAnsi="宋体" w:cs="宋体"/>
                <w:bCs/>
                <w:kern w:val="0"/>
                <w:sz w:val="21"/>
                <w:szCs w:val="21"/>
              </w:rPr>
              <w:t>0-3</w:t>
            </w:r>
          </w:p>
        </w:tc>
        <w:tc>
          <w:tcPr>
            <w:tcW w:w="915" w:type="dxa"/>
            <w:noWrap/>
            <w:vAlign w:val="center"/>
          </w:tcPr>
          <w:p>
            <w:pPr>
              <w:pStyle w:val="42"/>
              <w:adjustRightInd w:val="0"/>
              <w:snapToGrid w:val="0"/>
              <w:jc w:val="center"/>
              <w:rPr>
                <w:rFonts w:ascii="宋体" w:hAnsi="宋体" w:cs="宋体"/>
                <w:bCs/>
                <w:kern w:val="0"/>
                <w:sz w:val="21"/>
                <w:szCs w:val="21"/>
              </w:rPr>
            </w:pPr>
          </w:p>
        </w:tc>
        <w:tc>
          <w:tcPr>
            <w:tcW w:w="758" w:type="dxa"/>
            <w:noWrap/>
            <w:vAlign w:val="center"/>
          </w:tcPr>
          <w:p>
            <w:pPr>
              <w:pStyle w:val="42"/>
              <w:adjustRightInd w:val="0"/>
              <w:snapToGrid w:val="0"/>
              <w:jc w:val="center"/>
              <w:rPr>
                <w:rFonts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0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kern w:val="0"/>
                <w:sz w:val="21"/>
                <w:szCs w:val="21"/>
              </w:rPr>
            </w:pPr>
            <w:r>
              <w:rPr>
                <w:rFonts w:hint="eastAsia" w:ascii="宋体" w:hAnsi="宋体" w:cs="宋体"/>
                <w:b w:val="0"/>
                <w:bCs w:val="0"/>
                <w:sz w:val="21"/>
                <w:szCs w:val="21"/>
              </w:rPr>
              <w:t>总体方案</w:t>
            </w:r>
          </w:p>
        </w:tc>
        <w:tc>
          <w:tcPr>
            <w:tcW w:w="6738" w:type="dxa"/>
            <w:noWrap/>
            <w:vAlign w:val="center"/>
          </w:tcPr>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adjustRightInd w:val="0"/>
              <w:snapToGrid w:val="0"/>
              <w:spacing w:before="0" w:after="0" w:line="288" w:lineRule="auto"/>
              <w:jc w:val="left"/>
              <w:rPr>
                <w:rFonts w:ascii="宋体" w:hAnsi="宋体" w:cs="宋体"/>
                <w:b w:val="0"/>
                <w:kern w:val="0"/>
                <w:sz w:val="21"/>
                <w:szCs w:val="21"/>
              </w:rPr>
            </w:pPr>
            <w:r>
              <w:rPr>
                <w:rFonts w:hint="eastAsia" w:ascii="宋体" w:hAnsi="宋体" w:cs="宋体"/>
                <w:b w:val="0"/>
                <w:bCs w:val="0"/>
                <w:sz w:val="21"/>
                <w:szCs w:val="21"/>
              </w:rPr>
              <w:t>根据投标人对本项目取水实时监控点熟悉程度综合评分，针对项目需求理解和解决方案有独到的优势进行综合打分（0-4分），保证实施监控点的维护管理及其他服务工作的正常情况进行综合评分（0-4分）。</w:t>
            </w:r>
          </w:p>
        </w:tc>
        <w:tc>
          <w:tcPr>
            <w:tcW w:w="736"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0-8</w:t>
            </w:r>
          </w:p>
        </w:tc>
        <w:tc>
          <w:tcPr>
            <w:tcW w:w="915"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w:t>
            </w:r>
          </w:p>
        </w:tc>
        <w:tc>
          <w:tcPr>
            <w:tcW w:w="75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90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服务方案</w:t>
            </w:r>
          </w:p>
        </w:tc>
        <w:tc>
          <w:tcPr>
            <w:tcW w:w="6738" w:type="dxa"/>
            <w:noWrap/>
            <w:vAlign w:val="center"/>
          </w:tcPr>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根据投标人维护服务方案的详细维护计划（0-4分）、取水实时监控点的维护管理（0-4分）、发现异常的跟踪处置响应流程（0-4分）等进行综合评分。</w:t>
            </w:r>
          </w:p>
        </w:tc>
        <w:tc>
          <w:tcPr>
            <w:tcW w:w="736"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0-12</w:t>
            </w:r>
          </w:p>
        </w:tc>
        <w:tc>
          <w:tcPr>
            <w:tcW w:w="915"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w:t>
            </w:r>
          </w:p>
        </w:tc>
        <w:tc>
          <w:tcPr>
            <w:tcW w:w="75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0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巡检方案</w:t>
            </w:r>
          </w:p>
        </w:tc>
        <w:tc>
          <w:tcPr>
            <w:tcW w:w="6738" w:type="dxa"/>
            <w:noWrap/>
            <w:vAlign w:val="center"/>
          </w:tcPr>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根据投标人的系统运行检查方案（0-2分）、设施设备定期巡查方案（0-2分）、技术支持服务方案（0-2分）、设备维修方案（0-2分）等进行综合评分。</w:t>
            </w:r>
          </w:p>
        </w:tc>
        <w:tc>
          <w:tcPr>
            <w:tcW w:w="736"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0-8</w:t>
            </w:r>
          </w:p>
        </w:tc>
        <w:tc>
          <w:tcPr>
            <w:tcW w:w="915"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w:t>
            </w:r>
          </w:p>
        </w:tc>
        <w:tc>
          <w:tcPr>
            <w:tcW w:w="75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0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率定比测方案</w:t>
            </w:r>
          </w:p>
        </w:tc>
        <w:tc>
          <w:tcPr>
            <w:tcW w:w="6738" w:type="dxa"/>
            <w:noWrap/>
            <w:vAlign w:val="center"/>
          </w:tcPr>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根据投标人的针对取水计量点率定的比测方案进行综合评分（0-6）。</w:t>
            </w:r>
          </w:p>
        </w:tc>
        <w:tc>
          <w:tcPr>
            <w:tcW w:w="736"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0-6</w:t>
            </w:r>
          </w:p>
        </w:tc>
        <w:tc>
          <w:tcPr>
            <w:tcW w:w="915"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w:t>
            </w:r>
          </w:p>
        </w:tc>
        <w:tc>
          <w:tcPr>
            <w:tcW w:w="75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90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kern w:val="0"/>
                <w:sz w:val="21"/>
                <w:szCs w:val="21"/>
              </w:rPr>
            </w:pPr>
            <w:r>
              <w:rPr>
                <w:rFonts w:hint="eastAsia" w:ascii="宋体" w:hAnsi="宋体" w:cs="宋体"/>
                <w:b w:val="0"/>
                <w:bCs w:val="0"/>
                <w:sz w:val="21"/>
                <w:szCs w:val="21"/>
              </w:rPr>
              <w:t>应急预案</w:t>
            </w:r>
          </w:p>
        </w:tc>
        <w:tc>
          <w:tcPr>
            <w:tcW w:w="6738" w:type="dxa"/>
            <w:noWrap/>
            <w:vAlign w:val="center"/>
          </w:tcPr>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adjustRightInd w:val="0"/>
              <w:snapToGrid w:val="0"/>
              <w:spacing w:before="0" w:after="0" w:line="288" w:lineRule="auto"/>
              <w:jc w:val="left"/>
              <w:rPr>
                <w:rFonts w:ascii="宋体" w:hAnsi="宋体" w:cs="宋体"/>
                <w:b w:val="0"/>
                <w:kern w:val="0"/>
                <w:sz w:val="21"/>
                <w:szCs w:val="21"/>
              </w:rPr>
            </w:pPr>
            <w:r>
              <w:rPr>
                <w:rFonts w:hint="eastAsia" w:ascii="宋体" w:hAnsi="宋体" w:cs="宋体"/>
                <w:b w:val="0"/>
                <w:bCs w:val="0"/>
                <w:sz w:val="21"/>
                <w:szCs w:val="21"/>
              </w:rPr>
              <w:t>根据投标人运行服务保障应急预案，方案针对招标人现有实时监控点的实际情况可能遇到的问题及其应对措施的考虑情况进行综合评分：具有应急预案的针对性、合理性的进行综合评分（0-3分）。具有可行性、详细程度的进行综合评分（0-3分）。</w:t>
            </w:r>
          </w:p>
        </w:tc>
        <w:tc>
          <w:tcPr>
            <w:tcW w:w="736"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0-6</w:t>
            </w:r>
          </w:p>
        </w:tc>
        <w:tc>
          <w:tcPr>
            <w:tcW w:w="915"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w:t>
            </w:r>
          </w:p>
        </w:tc>
        <w:tc>
          <w:tcPr>
            <w:tcW w:w="75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90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重难点分析及解决方案</w:t>
            </w:r>
          </w:p>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p>
        </w:tc>
        <w:tc>
          <w:tcPr>
            <w:tcW w:w="6738" w:type="dxa"/>
            <w:noWrap/>
            <w:vAlign w:val="center"/>
          </w:tcPr>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1.根据投标人对采购需求进行理解，对服务过程中会遇到的重难点进行调查分析，采购小组对重难点有效情况进行判断，对重难点的有效性、质量等综合情况进行评分（0-2分）。</w:t>
            </w:r>
          </w:p>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2.根据投标人结合取水实时监测点及软件平台年度维护工作开展情况，对项目的技术关键点、难点进行分析，并提出具有切实可行的解决措施，根据其完整性等综合情况进行评分（0-2分）。</w:t>
            </w:r>
          </w:p>
        </w:tc>
        <w:tc>
          <w:tcPr>
            <w:tcW w:w="736"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0-4</w:t>
            </w:r>
          </w:p>
        </w:tc>
        <w:tc>
          <w:tcPr>
            <w:tcW w:w="915"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w:t>
            </w:r>
          </w:p>
        </w:tc>
        <w:tc>
          <w:tcPr>
            <w:tcW w:w="75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0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kern w:val="0"/>
                <w:sz w:val="21"/>
                <w:szCs w:val="21"/>
              </w:rPr>
            </w:pPr>
            <w:r>
              <w:rPr>
                <w:rFonts w:hint="eastAsia" w:ascii="宋体" w:hAnsi="宋体" w:cs="宋体"/>
                <w:b w:val="0"/>
                <w:bCs w:val="0"/>
                <w:sz w:val="21"/>
                <w:szCs w:val="21"/>
              </w:rPr>
              <w:t>技术服务支撑</w:t>
            </w:r>
          </w:p>
        </w:tc>
        <w:tc>
          <w:tcPr>
            <w:tcW w:w="6738" w:type="dxa"/>
            <w:noWrap/>
            <w:vAlign w:val="center"/>
          </w:tcPr>
          <w:p>
            <w:pPr>
              <w:pStyle w:val="3"/>
              <w:numPr>
                <w:ilvl w:val="0"/>
                <w:numId w:val="0"/>
              </w:numPr>
              <w:tabs>
                <w:tab w:val="left" w:pos="432"/>
              </w:tabs>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adjustRightInd w:val="0"/>
              <w:snapToGrid w:val="0"/>
              <w:spacing w:before="0" w:after="0" w:line="288" w:lineRule="auto"/>
              <w:jc w:val="left"/>
              <w:rPr>
                <w:rFonts w:ascii="宋体" w:hAnsi="宋体" w:cs="宋体"/>
                <w:b w:val="0"/>
                <w:kern w:val="0"/>
                <w:sz w:val="21"/>
                <w:szCs w:val="21"/>
              </w:rPr>
            </w:pPr>
            <w:r>
              <w:rPr>
                <w:rFonts w:hint="eastAsia" w:ascii="宋体" w:hAnsi="宋体" w:cs="宋体"/>
                <w:b w:val="0"/>
                <w:bCs w:val="0"/>
                <w:sz w:val="21"/>
                <w:szCs w:val="21"/>
              </w:rPr>
              <w:t>根据投标人拟投入本项目提供应用维护软件监控系统技术支撑服务情况进行综合评分（0-4分）。</w:t>
            </w:r>
          </w:p>
        </w:tc>
        <w:tc>
          <w:tcPr>
            <w:tcW w:w="736"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0-4</w:t>
            </w:r>
          </w:p>
        </w:tc>
        <w:tc>
          <w:tcPr>
            <w:tcW w:w="915"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w:t>
            </w:r>
          </w:p>
        </w:tc>
        <w:tc>
          <w:tcPr>
            <w:tcW w:w="75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技术培训方案</w:t>
            </w:r>
          </w:p>
        </w:tc>
        <w:tc>
          <w:tcPr>
            <w:tcW w:w="6738" w:type="dxa"/>
            <w:noWrap/>
            <w:vAlign w:val="center"/>
          </w:tcPr>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根据投标人项目实施的培训课程内容设计合理性、实用性和操作性等进行综合评分（0-2分）。</w:t>
            </w:r>
          </w:p>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根据投标人项目培训计划、选择对象、安排时间等方案的有合理性和针对性等进行综合评分（0-2分）。</w:t>
            </w:r>
          </w:p>
        </w:tc>
        <w:tc>
          <w:tcPr>
            <w:tcW w:w="736"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0-4</w:t>
            </w:r>
          </w:p>
        </w:tc>
        <w:tc>
          <w:tcPr>
            <w:tcW w:w="915"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r>
              <w:rPr>
                <w:rFonts w:hint="eastAsia" w:ascii="宋体" w:hAnsi="宋体" w:cs="宋体"/>
                <w:b w:val="0"/>
                <w:bCs w:val="0"/>
                <w:sz w:val="21"/>
                <w:szCs w:val="21"/>
              </w:rPr>
              <w:t>/</w:t>
            </w:r>
          </w:p>
        </w:tc>
        <w:tc>
          <w:tcPr>
            <w:tcW w:w="758" w:type="dxa"/>
            <w:noWrap/>
            <w:vAlign w:val="center"/>
          </w:tcPr>
          <w:p>
            <w:pPr>
              <w:pStyle w:val="3"/>
              <w:numPr>
                <w:ilvl w:val="0"/>
                <w:numId w:val="0"/>
              </w:numPr>
              <w:tabs>
                <w:tab w:val="left" w:pos="432"/>
              </w:tabs>
              <w:adjustRightInd w:val="0"/>
              <w:snapToGrid w:val="0"/>
              <w:spacing w:before="0" w:after="0" w:line="288" w:lineRule="auto"/>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8" w:type="dxa"/>
            <w:noWrap/>
            <w:vAlign w:val="center"/>
          </w:tcPr>
          <w:p>
            <w:pPr>
              <w:adjustRightInd w:val="0"/>
              <w:snapToGrid w:val="0"/>
              <w:jc w:val="left"/>
              <w:rPr>
                <w:rFonts w:ascii="宋体" w:hAnsi="宋体" w:cs="宋体"/>
                <w:szCs w:val="21"/>
              </w:rPr>
            </w:pPr>
            <w:r>
              <w:rPr>
                <w:rFonts w:hint="eastAsia" w:ascii="宋体" w:hAnsi="宋体" w:cs="宋体"/>
                <w:szCs w:val="21"/>
              </w:rPr>
              <w:t>服务承诺</w:t>
            </w:r>
          </w:p>
        </w:tc>
        <w:tc>
          <w:tcPr>
            <w:tcW w:w="6738" w:type="dxa"/>
            <w:noWrap/>
            <w:vAlign w:val="center"/>
          </w:tcPr>
          <w:p>
            <w:pPr>
              <w:pStyle w:val="3"/>
              <w:numPr>
                <w:ilvl w:val="0"/>
                <w:numId w:val="0"/>
              </w:numPr>
              <w:tabs>
                <w:tab w:val="left" w:pos="432"/>
              </w:tabs>
              <w:adjustRightInd w:val="0"/>
              <w:snapToGrid w:val="0"/>
              <w:spacing w:before="0" w:after="0" w:line="288" w:lineRule="auto"/>
              <w:jc w:val="left"/>
              <w:rPr>
                <w:rFonts w:ascii="宋体" w:hAnsi="宋体" w:cs="宋体"/>
                <w:b w:val="0"/>
                <w:bCs w:val="0"/>
                <w:sz w:val="21"/>
                <w:szCs w:val="21"/>
              </w:rPr>
            </w:pPr>
            <w:r>
              <w:rPr>
                <w:rFonts w:hint="eastAsia" w:ascii="宋体" w:hAnsi="宋体" w:cs="宋体"/>
                <w:b w:val="0"/>
                <w:bCs w:val="0"/>
                <w:sz w:val="21"/>
                <w:szCs w:val="21"/>
              </w:rPr>
              <w:t>主观分：</w:t>
            </w:r>
          </w:p>
          <w:p>
            <w:pPr>
              <w:adjustRightInd w:val="0"/>
              <w:snapToGrid w:val="0"/>
              <w:jc w:val="left"/>
              <w:rPr>
                <w:rFonts w:ascii="宋体" w:hAnsi="宋体" w:cs="宋体"/>
                <w:szCs w:val="21"/>
              </w:rPr>
            </w:pPr>
            <w:r>
              <w:rPr>
                <w:rFonts w:hint="eastAsia" w:ascii="宋体" w:hAnsi="宋体" w:cs="宋体"/>
                <w:szCs w:val="21"/>
              </w:rPr>
              <w:t>根据投标人提供的服务承诺的可行性、完整性以及服务承诺落实的保障措施进行打分（0-2分）。</w:t>
            </w:r>
          </w:p>
        </w:tc>
        <w:tc>
          <w:tcPr>
            <w:tcW w:w="736" w:type="dxa"/>
            <w:noWrap/>
            <w:vAlign w:val="center"/>
          </w:tcPr>
          <w:p>
            <w:pPr>
              <w:adjustRightInd w:val="0"/>
              <w:snapToGrid w:val="0"/>
              <w:jc w:val="center"/>
              <w:rPr>
                <w:rFonts w:ascii="宋体" w:hAnsi="宋体" w:cs="宋体"/>
                <w:szCs w:val="21"/>
              </w:rPr>
            </w:pPr>
            <w:r>
              <w:rPr>
                <w:rFonts w:hint="eastAsia" w:ascii="宋体" w:hAnsi="宋体" w:cs="宋体"/>
                <w:szCs w:val="21"/>
              </w:rPr>
              <w:t>0-2</w:t>
            </w:r>
          </w:p>
        </w:tc>
        <w:tc>
          <w:tcPr>
            <w:tcW w:w="915" w:type="dxa"/>
            <w:noWrap/>
            <w:vAlign w:val="center"/>
          </w:tcPr>
          <w:p>
            <w:pPr>
              <w:adjustRightInd w:val="0"/>
              <w:snapToGrid w:val="0"/>
              <w:jc w:val="center"/>
              <w:rPr>
                <w:rFonts w:ascii="宋体" w:hAnsi="宋体" w:cs="宋体"/>
                <w:szCs w:val="21"/>
              </w:rPr>
            </w:pPr>
            <w:r>
              <w:rPr>
                <w:rFonts w:hint="eastAsia" w:ascii="宋体" w:hAnsi="宋体" w:cs="宋体"/>
                <w:szCs w:val="21"/>
              </w:rPr>
              <w:t>/</w:t>
            </w:r>
          </w:p>
        </w:tc>
        <w:tc>
          <w:tcPr>
            <w:tcW w:w="758" w:type="dxa"/>
            <w:noWrap/>
            <w:vAlign w:val="center"/>
          </w:tcPr>
          <w:p>
            <w:pPr>
              <w:adjustRightInd w:val="0"/>
              <w:snapToGrid w:val="0"/>
              <w:jc w:val="center"/>
              <w:rPr>
                <w:rFonts w:ascii="宋体" w:hAnsi="宋体" w:cs="宋体"/>
                <w:szCs w:val="21"/>
              </w:rPr>
            </w:pPr>
          </w:p>
        </w:tc>
      </w:tr>
    </w:tbl>
    <w:p>
      <w:pPr>
        <w:pStyle w:val="47"/>
        <w:shd w:val="clear" w:color="auto" w:fill="FFFFFF"/>
        <w:spacing w:before="0" w:beforeAutospacing="0" w:after="0" w:afterAutospacing="0" w:line="360" w:lineRule="auto"/>
        <w:rPr>
          <w:b/>
          <w:sz w:val="28"/>
        </w:rPr>
      </w:pPr>
      <w:r>
        <w:rPr>
          <w:rFonts w:hint="eastAsia"/>
          <w:b/>
          <w:sz w:val="28"/>
        </w:rPr>
        <w:t>附件6</w:t>
      </w:r>
    </w:p>
    <w:p>
      <w:pPr>
        <w:adjustRightInd w:val="0"/>
        <w:snapToGrid w:val="0"/>
        <w:spacing w:line="312" w:lineRule="auto"/>
        <w:ind w:right="480"/>
        <w:jc w:val="center"/>
        <w:rPr>
          <w:rFonts w:ascii="宋体" w:hAnsi="宋体"/>
          <w:b/>
          <w:kern w:val="0"/>
          <w:sz w:val="32"/>
          <w:szCs w:val="32"/>
        </w:rPr>
      </w:pPr>
      <w:r>
        <w:rPr>
          <w:rFonts w:hint="eastAsia"/>
          <w:b/>
          <w:sz w:val="32"/>
          <w:szCs w:val="32"/>
        </w:rPr>
        <w:t xml:space="preserve"> </w:t>
      </w:r>
      <w:bookmarkStart w:id="47" w:name="_Toc20653"/>
      <w:r>
        <w:rPr>
          <w:rFonts w:hint="eastAsia" w:ascii="宋体" w:hAnsi="宋体"/>
          <w:b/>
          <w:kern w:val="0"/>
          <w:sz w:val="32"/>
          <w:szCs w:val="32"/>
        </w:rPr>
        <w:t>投 标 函</w:t>
      </w:r>
      <w:bookmarkEnd w:id="47"/>
    </w:p>
    <w:p>
      <w:pPr>
        <w:snapToGrid w:val="0"/>
        <w:spacing w:line="380" w:lineRule="exact"/>
        <w:rPr>
          <w:rFonts w:ascii="宋体" w:hAnsi="宋体"/>
          <w:sz w:val="24"/>
          <w:szCs w:val="20"/>
        </w:rPr>
      </w:pPr>
      <w:r>
        <w:rPr>
          <w:rFonts w:hint="eastAsia" w:ascii="宋体" w:hAnsi="宋体"/>
          <w:sz w:val="24"/>
        </w:rPr>
        <w:t>致：</w:t>
      </w:r>
      <w:r>
        <w:rPr>
          <w:rFonts w:hint="eastAsia" w:ascii="宋体" w:hAnsi="宋体" w:cs="宋体"/>
          <w:kern w:val="0"/>
          <w:sz w:val="24"/>
        </w:rPr>
        <w:t>（采购代理机构名称）：</w:t>
      </w:r>
    </w:p>
    <w:p>
      <w:pPr>
        <w:snapToGrid w:val="0"/>
        <w:spacing w:line="380" w:lineRule="exact"/>
        <w:ind w:firstLine="480" w:firstLineChars="200"/>
        <w:rPr>
          <w:rFonts w:ascii="宋体" w:hAnsi="宋体"/>
          <w:sz w:val="24"/>
        </w:rPr>
      </w:pPr>
      <w:r>
        <w:rPr>
          <w:rFonts w:hint="eastAsia" w:ascii="宋体" w:hAnsi="宋体"/>
          <w:sz w:val="24"/>
        </w:rPr>
        <w:t>1.我方自愿参加贵方组织的</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）的投标，并</w:t>
      </w:r>
      <w:r>
        <w:rPr>
          <w:rFonts w:ascii="宋体" w:hAnsi="宋体"/>
          <w:sz w:val="24"/>
        </w:rPr>
        <w:t>按</w:t>
      </w:r>
      <w:r>
        <w:rPr>
          <w:rFonts w:hint="eastAsia" w:ascii="宋体" w:hAnsi="宋体"/>
          <w:sz w:val="24"/>
        </w:rPr>
        <w:t>招标文件</w:t>
      </w:r>
      <w:r>
        <w:rPr>
          <w:rFonts w:ascii="宋体" w:hAnsi="宋体"/>
          <w:sz w:val="24"/>
        </w:rPr>
        <w:t>的要求</w:t>
      </w:r>
      <w:r>
        <w:rPr>
          <w:rFonts w:hint="eastAsia" w:ascii="宋体" w:hAnsi="宋体"/>
          <w:sz w:val="24"/>
        </w:rPr>
        <w:t>提交投标文件。</w:t>
      </w:r>
    </w:p>
    <w:p>
      <w:pPr>
        <w:snapToGrid w:val="0"/>
        <w:spacing w:line="380" w:lineRule="exact"/>
        <w:ind w:firstLine="480" w:firstLineChars="200"/>
        <w:rPr>
          <w:rFonts w:ascii="宋体" w:hAnsi="宋体"/>
          <w:sz w:val="24"/>
        </w:rPr>
      </w:pPr>
      <w:r>
        <w:rPr>
          <w:rFonts w:ascii="宋体" w:hAnsi="宋体"/>
          <w:sz w:val="24"/>
        </w:rPr>
        <w:t>2</w:t>
      </w:r>
      <w:r>
        <w:rPr>
          <w:rFonts w:hint="eastAsia" w:ascii="宋体" w:hAnsi="宋体"/>
          <w:sz w:val="24"/>
        </w:rPr>
        <w:t>.我方完全理解并接受招标文件（包括更正文件）的各项规定和要求</w:t>
      </w:r>
      <w:r>
        <w:rPr>
          <w:rFonts w:ascii="宋体" w:hAnsi="宋体"/>
          <w:sz w:val="24"/>
        </w:rPr>
        <w:t>，</w:t>
      </w:r>
      <w:r>
        <w:rPr>
          <w:rFonts w:hint="eastAsia" w:ascii="宋体" w:hAnsi="宋体"/>
          <w:sz w:val="24"/>
        </w:rPr>
        <w:t>不</w:t>
      </w:r>
      <w:r>
        <w:rPr>
          <w:rFonts w:ascii="宋体" w:hAnsi="宋体"/>
          <w:sz w:val="24"/>
        </w:rPr>
        <w:t>再对招标文件</w:t>
      </w:r>
      <w:r>
        <w:rPr>
          <w:rFonts w:hint="eastAsia" w:ascii="宋体" w:hAnsi="宋体"/>
          <w:sz w:val="24"/>
        </w:rPr>
        <w:t>的合理性、合法性等</w:t>
      </w:r>
      <w:r>
        <w:rPr>
          <w:rFonts w:ascii="宋体" w:hAnsi="宋体"/>
          <w:sz w:val="24"/>
        </w:rPr>
        <w:t>相关内容提出质疑或投诉。</w:t>
      </w:r>
    </w:p>
    <w:p>
      <w:pPr>
        <w:snapToGrid w:val="0"/>
        <w:spacing w:line="380" w:lineRule="exact"/>
        <w:ind w:firstLine="480" w:firstLineChars="200"/>
        <w:rPr>
          <w:rFonts w:ascii="宋体" w:hAnsi="宋体"/>
          <w:sz w:val="24"/>
        </w:rPr>
      </w:pPr>
      <w:r>
        <w:rPr>
          <w:rFonts w:ascii="宋体" w:hAnsi="宋体"/>
          <w:sz w:val="24"/>
        </w:rPr>
        <w:t>3</w:t>
      </w:r>
      <w:r>
        <w:rPr>
          <w:rFonts w:hint="eastAsia" w:ascii="宋体" w:hAnsi="宋体"/>
          <w:sz w:val="24"/>
        </w:rPr>
        <w:t>.我方不是采购单位的附属机构以及</w:t>
      </w:r>
      <w:r>
        <w:rPr>
          <w:rFonts w:ascii="宋体" w:hAnsi="宋体"/>
          <w:sz w:val="24"/>
        </w:rPr>
        <w:t>其它法律法规</w:t>
      </w:r>
      <w:r>
        <w:rPr>
          <w:rFonts w:hint="eastAsia" w:ascii="宋体" w:hAnsi="宋体"/>
          <w:sz w:val="24"/>
        </w:rPr>
        <w:t>所</w:t>
      </w:r>
      <w:r>
        <w:rPr>
          <w:rFonts w:ascii="宋体" w:hAnsi="宋体"/>
          <w:sz w:val="24"/>
        </w:rPr>
        <w:t>规定的限制投标单位</w:t>
      </w:r>
      <w:r>
        <w:rPr>
          <w:rFonts w:hint="eastAsia" w:ascii="宋体" w:hAnsi="宋体"/>
          <w:sz w:val="24"/>
        </w:rPr>
        <w:t>。</w:t>
      </w:r>
    </w:p>
    <w:p>
      <w:pPr>
        <w:snapToGrid w:val="0"/>
        <w:spacing w:line="380" w:lineRule="exact"/>
        <w:ind w:firstLine="482" w:firstLineChars="200"/>
        <w:rPr>
          <w:rFonts w:ascii="宋体" w:hAnsi="宋体"/>
          <w:b/>
          <w:bCs/>
          <w:sz w:val="24"/>
        </w:rPr>
      </w:pPr>
      <w:r>
        <w:rPr>
          <w:rFonts w:hint="eastAsia" w:ascii="宋体" w:hAnsi="宋体"/>
          <w:b/>
          <w:bCs/>
          <w:sz w:val="24"/>
        </w:rPr>
        <w:t>4.我方向贵方提交的所有投标文件、资料（包括所有证明材料等）都是准确、真实、合规的，如有虚假或隐瞒，我方愿意承担一切后果。</w:t>
      </w:r>
    </w:p>
    <w:p>
      <w:pPr>
        <w:snapToGrid w:val="0"/>
        <w:spacing w:line="380" w:lineRule="exact"/>
        <w:ind w:firstLine="480" w:firstLineChars="200"/>
        <w:rPr>
          <w:rFonts w:ascii="宋体" w:hAnsi="宋体"/>
          <w:sz w:val="24"/>
        </w:rPr>
      </w:pPr>
      <w:r>
        <w:rPr>
          <w:rFonts w:ascii="宋体" w:hAnsi="宋体"/>
          <w:sz w:val="24"/>
        </w:rPr>
        <w:t>5</w:t>
      </w:r>
      <w:r>
        <w:rPr>
          <w:rFonts w:hint="eastAsia" w:ascii="宋体" w:hAnsi="宋体"/>
          <w:sz w:val="24"/>
        </w:rPr>
        <w:t>.本次投标有效期自投标截止之日起 90天</w:t>
      </w:r>
      <w:r>
        <w:rPr>
          <w:rFonts w:ascii="宋体" w:hAnsi="宋体"/>
          <w:sz w:val="24"/>
        </w:rPr>
        <w:t>内</w:t>
      </w:r>
      <w:r>
        <w:rPr>
          <w:rFonts w:hint="eastAsia" w:ascii="宋体" w:hAnsi="宋体"/>
          <w:sz w:val="24"/>
        </w:rPr>
        <w:t>有效。</w:t>
      </w:r>
    </w:p>
    <w:p>
      <w:pPr>
        <w:snapToGrid w:val="0"/>
        <w:spacing w:line="380" w:lineRule="exact"/>
        <w:ind w:firstLine="480" w:firstLineChars="200"/>
        <w:rPr>
          <w:rFonts w:ascii="宋体" w:hAnsi="宋体"/>
          <w:sz w:val="24"/>
        </w:rPr>
      </w:pPr>
      <w:r>
        <w:rPr>
          <w:rFonts w:ascii="宋体" w:hAnsi="宋体"/>
          <w:sz w:val="24"/>
        </w:rPr>
        <w:t>6</w:t>
      </w:r>
      <w:r>
        <w:rPr>
          <w:rFonts w:hint="eastAsia" w:ascii="宋体" w:hAnsi="宋体"/>
          <w:sz w:val="24"/>
        </w:rPr>
        <w:t>.如中标，本投标文件至本项目合同履行完毕均保持有效，同意按照贵方要求提供与投标有关的一切数据或资料，并按招标文件及招投标法律、法规的规定履行合同责任和义务。</w:t>
      </w:r>
    </w:p>
    <w:p>
      <w:pPr>
        <w:snapToGrid w:val="0"/>
        <w:spacing w:line="380" w:lineRule="exact"/>
        <w:ind w:firstLine="480" w:firstLineChars="200"/>
        <w:rPr>
          <w:rFonts w:ascii="宋体" w:hAnsi="宋体"/>
          <w:sz w:val="24"/>
        </w:rPr>
      </w:pPr>
      <w:r>
        <w:rPr>
          <w:rFonts w:ascii="宋体" w:hAnsi="宋体"/>
          <w:sz w:val="24"/>
        </w:rPr>
        <w:t>7</w:t>
      </w:r>
      <w:r>
        <w:rPr>
          <w:rFonts w:hint="eastAsia" w:ascii="宋体" w:hAnsi="宋体"/>
          <w:sz w:val="24"/>
        </w:rPr>
        <w:t>.以上事项如有虚假或隐瞒，我方愿意承担一切后果，并不再寻求任何旨在减轻或免除法律责任的辩解，</w:t>
      </w:r>
      <w:r>
        <w:rPr>
          <w:rFonts w:ascii="宋体" w:hAnsi="宋体"/>
          <w:sz w:val="24"/>
        </w:rPr>
        <w:t>同意我方的履约保证金（如有）不予</w:t>
      </w:r>
      <w:r>
        <w:rPr>
          <w:rFonts w:hint="eastAsia" w:ascii="宋体" w:hAnsi="宋体"/>
          <w:sz w:val="24"/>
        </w:rPr>
        <w:t>退</w:t>
      </w:r>
      <w:r>
        <w:rPr>
          <w:rFonts w:ascii="宋体" w:hAnsi="宋体"/>
          <w:sz w:val="24"/>
        </w:rPr>
        <w:t>回</w:t>
      </w:r>
      <w:r>
        <w:rPr>
          <w:rFonts w:hint="eastAsia" w:ascii="宋体" w:hAnsi="宋体"/>
          <w:sz w:val="24"/>
        </w:rPr>
        <w:t>，</w:t>
      </w:r>
      <w:r>
        <w:rPr>
          <w:rFonts w:ascii="宋体" w:hAnsi="宋体"/>
          <w:sz w:val="24"/>
        </w:rPr>
        <w:t>并对采购单位</w:t>
      </w:r>
      <w:r>
        <w:rPr>
          <w:rFonts w:hint="eastAsia" w:ascii="宋体" w:hAnsi="宋体"/>
          <w:sz w:val="24"/>
        </w:rPr>
        <w:t>因</w:t>
      </w:r>
      <w:r>
        <w:rPr>
          <w:rFonts w:ascii="宋体" w:hAnsi="宋体"/>
          <w:sz w:val="24"/>
        </w:rPr>
        <w:t>此引起的损失予以赔偿</w:t>
      </w:r>
      <w:r>
        <w:rPr>
          <w:rFonts w:hint="eastAsia" w:ascii="宋体" w:hAnsi="宋体"/>
          <w:sz w:val="24"/>
        </w:rPr>
        <w:t>。</w:t>
      </w:r>
    </w:p>
    <w:p>
      <w:pPr>
        <w:snapToGrid w:val="0"/>
        <w:spacing w:line="380" w:lineRule="exact"/>
        <w:ind w:firstLine="480" w:firstLineChars="200"/>
        <w:rPr>
          <w:rFonts w:ascii="宋体" w:hAnsi="宋体"/>
          <w:sz w:val="24"/>
        </w:rPr>
      </w:pPr>
      <w:r>
        <w:rPr>
          <w:rFonts w:ascii="宋体" w:hAnsi="宋体"/>
          <w:sz w:val="24"/>
        </w:rPr>
        <w:t>8</w:t>
      </w:r>
      <w:r>
        <w:rPr>
          <w:rFonts w:hint="eastAsia" w:ascii="宋体" w:hAnsi="宋体"/>
          <w:sz w:val="24"/>
        </w:rPr>
        <w:t>.我方全权授</w:t>
      </w:r>
      <w:r>
        <w:rPr>
          <w:rFonts w:ascii="宋体" w:hAnsi="宋体"/>
          <w:sz w:val="24"/>
        </w:rPr>
        <w:t>权被授权人</w:t>
      </w:r>
      <w:r>
        <w:rPr>
          <w:rFonts w:hint="eastAsia" w:ascii="宋体" w:hAnsi="宋体"/>
          <w:sz w:val="24"/>
        </w:rPr>
        <w:t>办理针对上述项目的投标、开标、评标、签约等具体事务和签署相关文件，</w:t>
      </w:r>
      <w:r>
        <w:rPr>
          <w:rFonts w:ascii="宋体" w:hAnsi="宋体"/>
          <w:sz w:val="24"/>
        </w:rPr>
        <w:t>对被授权的</w:t>
      </w:r>
      <w:r>
        <w:rPr>
          <w:rFonts w:hint="eastAsia" w:ascii="宋体" w:hAnsi="宋体"/>
          <w:sz w:val="24"/>
        </w:rPr>
        <w:t>各</w:t>
      </w:r>
      <w:r>
        <w:rPr>
          <w:rFonts w:ascii="宋体" w:hAnsi="宋体"/>
          <w:sz w:val="24"/>
        </w:rPr>
        <w:t>项行为负全部责任</w:t>
      </w:r>
      <w:r>
        <w:rPr>
          <w:rFonts w:hint="eastAsia" w:ascii="宋体" w:hAnsi="宋体"/>
          <w:sz w:val="24"/>
        </w:rPr>
        <w:t>，在撤销授权的书面通知以前，本授权书一直有效，被授权人无转委托权。</w:t>
      </w:r>
    </w:p>
    <w:p>
      <w:pPr>
        <w:snapToGrid w:val="0"/>
        <w:spacing w:line="400" w:lineRule="exact"/>
        <w:ind w:firstLine="361" w:firstLineChars="150"/>
        <w:rPr>
          <w:rFonts w:ascii="宋体" w:hAnsi="宋体"/>
          <w:b/>
          <w:bCs/>
          <w:sz w:val="24"/>
          <w:u w:val="single"/>
          <w:shd w:val="pct10" w:color="auto" w:fill="FFFFFF"/>
        </w:rPr>
      </w:pPr>
      <w:r>
        <w:rPr>
          <w:rFonts w:hint="eastAsia" w:ascii="宋体" w:hAnsi="宋体"/>
          <w:b/>
          <w:bCs/>
          <w:sz w:val="24"/>
        </w:rPr>
        <w:t>与本投标有关的一切正式往来信函、传真或邮件（例如质疑回复函、中标（成交）通知书、合同等）请采用如下联系方式送达，我方确保能够及时、准确收悉。</w:t>
      </w:r>
    </w:p>
    <w:p>
      <w:pPr>
        <w:snapToGrid w:val="0"/>
        <w:spacing w:line="400" w:lineRule="exact"/>
        <w:ind w:firstLine="360" w:firstLineChars="150"/>
        <w:rPr>
          <w:rFonts w:ascii="宋体" w:hAnsi="宋体"/>
          <w:sz w:val="24"/>
        </w:rPr>
      </w:pPr>
      <w:r>
        <w:rPr>
          <w:rFonts w:hint="eastAsia" w:ascii="宋体" w:hAnsi="宋体"/>
          <w:sz w:val="24"/>
        </w:rPr>
        <w:t>邮寄详细地址：</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w:t>
      </w:r>
      <w:r>
        <w:rPr>
          <w:rFonts w:hint="eastAsia" w:ascii="宋体" w:hAnsi="宋体"/>
          <w:sz w:val="24"/>
          <w:u w:val="single"/>
        </w:rPr>
        <w:t xml:space="preserve">             </w:t>
      </w:r>
    </w:p>
    <w:p>
      <w:pPr>
        <w:snapToGrid w:val="0"/>
        <w:spacing w:line="400" w:lineRule="exact"/>
        <w:ind w:firstLine="360" w:firstLineChars="150"/>
        <w:rPr>
          <w:rFonts w:ascii="宋体" w:hAnsi="宋体"/>
          <w:sz w:val="24"/>
        </w:rPr>
      </w:pPr>
      <w:r>
        <w:rPr>
          <w:rFonts w:hint="eastAsia" w:ascii="宋体" w:hAnsi="宋体"/>
          <w:sz w:val="24"/>
        </w:rPr>
        <w:t>收件人姓名：</w:t>
      </w:r>
      <w:r>
        <w:rPr>
          <w:rFonts w:hint="eastAsia" w:ascii="宋体" w:hAnsi="宋体"/>
          <w:sz w:val="24"/>
          <w:u w:val="single"/>
        </w:rPr>
        <w:t xml:space="preserve">            </w:t>
      </w:r>
      <w:r>
        <w:rPr>
          <w:rFonts w:hint="eastAsia" w:ascii="宋体" w:hAnsi="宋体"/>
          <w:sz w:val="24"/>
        </w:rPr>
        <w:t xml:space="preserve"> 联系手机：</w:t>
      </w:r>
      <w:r>
        <w:rPr>
          <w:rFonts w:hint="eastAsia" w:ascii="宋体" w:hAnsi="宋体"/>
          <w:sz w:val="24"/>
          <w:u w:val="single"/>
        </w:rPr>
        <w:t xml:space="preserve">               </w:t>
      </w:r>
      <w:r>
        <w:rPr>
          <w:rFonts w:hint="eastAsia" w:ascii="宋体" w:hAnsi="宋体"/>
          <w:sz w:val="24"/>
        </w:rPr>
        <w:t xml:space="preserve">  </w:t>
      </w:r>
    </w:p>
    <w:p>
      <w:pPr>
        <w:snapToGrid w:val="0"/>
        <w:spacing w:line="400" w:lineRule="exact"/>
        <w:ind w:firstLine="360" w:firstLineChars="150"/>
        <w:rPr>
          <w:rFonts w:ascii="宋体" w:hAnsi="宋体"/>
          <w:sz w:val="24"/>
        </w:rPr>
      </w:pPr>
      <w:r>
        <w:rPr>
          <w:rFonts w:hint="eastAsia" w:ascii="宋体" w:hAnsi="宋体"/>
          <w:sz w:val="24"/>
        </w:rPr>
        <w:t>公司电子邮箱</w:t>
      </w:r>
      <w:r>
        <w:rPr>
          <w:rFonts w:hint="eastAsia" w:ascii="宋体" w:hAnsi="宋体"/>
          <w:b/>
          <w:bCs/>
          <w:sz w:val="24"/>
        </w:rPr>
        <w:t>：</w:t>
      </w:r>
      <w:r>
        <w:rPr>
          <w:rFonts w:hint="eastAsia" w:ascii="宋体" w:hAnsi="宋体"/>
          <w:sz w:val="24"/>
          <w:u w:val="single"/>
        </w:rPr>
        <w:t xml:space="preserve">                      </w:t>
      </w:r>
    </w:p>
    <w:p>
      <w:pPr>
        <w:snapToGrid w:val="0"/>
        <w:spacing w:line="400" w:lineRule="exact"/>
        <w:ind w:firstLine="361" w:firstLineChars="150"/>
        <w:rPr>
          <w:rFonts w:ascii="宋体" w:hAnsi="宋体"/>
          <w:b/>
          <w:bCs/>
          <w:sz w:val="24"/>
        </w:rPr>
      </w:pPr>
      <w:r>
        <w:rPr>
          <w:rFonts w:hint="eastAsia" w:ascii="宋体" w:hAnsi="宋体"/>
          <w:b/>
          <w:bCs/>
          <w:sz w:val="24"/>
        </w:rPr>
        <w:t>为了方便评标委员会在必要时对供应商进行询标，请供应商填写以下响应文件编制人信息，以便及时、准确进行询标，响应文件编制人信息可不限于1人。</w:t>
      </w:r>
    </w:p>
    <w:p>
      <w:pPr>
        <w:snapToGrid w:val="0"/>
        <w:spacing w:line="400" w:lineRule="exact"/>
        <w:ind w:firstLine="361" w:firstLineChars="150"/>
        <w:jc w:val="left"/>
        <w:rPr>
          <w:rFonts w:ascii="宋体" w:hAnsi="宋体"/>
          <w:b/>
          <w:bCs/>
          <w:sz w:val="24"/>
          <w:u w:val="single"/>
        </w:rPr>
      </w:pPr>
      <w:r>
        <w:rPr>
          <w:rFonts w:hint="eastAsia" w:ascii="宋体" w:hAnsi="宋体"/>
          <w:b/>
          <w:bCs/>
          <w:sz w:val="24"/>
        </w:rPr>
        <w:t>响应文件编制人姓名：</w:t>
      </w:r>
      <w:r>
        <w:rPr>
          <w:rFonts w:hint="eastAsia" w:ascii="宋体" w:hAnsi="宋体"/>
          <w:b/>
          <w:bCs/>
          <w:sz w:val="24"/>
          <w:u w:val="single"/>
        </w:rPr>
        <w:t xml:space="preserve">          </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手机号码：</w:t>
      </w:r>
      <w:r>
        <w:rPr>
          <w:rFonts w:hint="eastAsia" w:ascii="宋体" w:hAnsi="宋体"/>
          <w:b/>
          <w:bCs/>
          <w:sz w:val="24"/>
          <w:u w:val="single"/>
        </w:rPr>
        <w:t xml:space="preserve">       </w:t>
      </w:r>
    </w:p>
    <w:p>
      <w:pPr>
        <w:snapToGrid w:val="0"/>
        <w:spacing w:line="400" w:lineRule="exact"/>
        <w:ind w:firstLine="361" w:firstLineChars="150"/>
        <w:jc w:val="left"/>
        <w:rPr>
          <w:rFonts w:ascii="宋体" w:hAnsi="宋体"/>
          <w:b/>
          <w:bCs/>
          <w:sz w:val="24"/>
        </w:rPr>
      </w:pPr>
      <w:r>
        <w:rPr>
          <w:rFonts w:hint="eastAsia" w:ascii="宋体" w:hAnsi="宋体"/>
          <w:b/>
          <w:bCs/>
          <w:sz w:val="24"/>
        </w:rPr>
        <w:t>法定代表人（签字或盖章）：</w:t>
      </w:r>
    </w:p>
    <w:p>
      <w:pPr>
        <w:snapToGrid w:val="0"/>
        <w:spacing w:line="400" w:lineRule="exact"/>
        <w:ind w:firstLine="361" w:firstLineChars="150"/>
        <w:jc w:val="left"/>
        <w:rPr>
          <w:rFonts w:ascii="宋体" w:hAnsi="宋体"/>
          <w:b/>
          <w:bCs/>
          <w:sz w:val="24"/>
        </w:rPr>
      </w:pPr>
      <w:r>
        <w:rPr>
          <w:rFonts w:hint="eastAsia" w:ascii="宋体" w:hAnsi="宋体"/>
          <w:b/>
          <w:bCs/>
          <w:sz w:val="24"/>
        </w:rPr>
        <w:t>被授权人（签字）:</w:t>
      </w:r>
      <w:r>
        <w:rPr>
          <w:rFonts w:hint="eastAsia" w:ascii="宋体" w:hAnsi="宋体"/>
          <w:b/>
          <w:bCs/>
          <w:sz w:val="24"/>
          <w:u w:val="single"/>
        </w:rPr>
        <w:t xml:space="preserve">             </w:t>
      </w:r>
      <w:r>
        <w:rPr>
          <w:rFonts w:hint="eastAsia" w:ascii="宋体" w:hAnsi="宋体"/>
          <w:b/>
          <w:bCs/>
          <w:sz w:val="24"/>
        </w:rPr>
        <w:t xml:space="preserve"> </w:t>
      </w:r>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u w:val="single"/>
        </w:rPr>
        <w:t xml:space="preserve">     </w:t>
      </w:r>
    </w:p>
    <w:p>
      <w:pPr>
        <w:snapToGrid w:val="0"/>
        <w:spacing w:line="380" w:lineRule="exact"/>
        <w:jc w:val="left"/>
        <w:rPr>
          <w:rFonts w:ascii="宋体" w:hAnsi="宋体"/>
          <w:sz w:val="24"/>
        </w:rPr>
      </w:pPr>
    </w:p>
    <w:p>
      <w:pPr>
        <w:snapToGrid w:val="0"/>
        <w:spacing w:line="380" w:lineRule="exact"/>
        <w:ind w:firstLine="5301" w:firstLineChars="2200"/>
        <w:jc w:val="left"/>
        <w:rPr>
          <w:rFonts w:ascii="宋体" w:hAnsi="宋体"/>
          <w:sz w:val="24"/>
        </w:rPr>
      </w:pPr>
      <w:r>
        <w:rPr>
          <w:rFonts w:hint="eastAsia" w:ascii="宋体" w:hAnsi="宋体"/>
          <w:b/>
          <w:bCs/>
          <w:sz w:val="24"/>
        </w:rPr>
        <w:t xml:space="preserve">供应商（电子章）:   </w:t>
      </w:r>
    </w:p>
    <w:p>
      <w:pPr>
        <w:snapToGrid w:val="0"/>
        <w:spacing w:line="380" w:lineRule="exact"/>
        <w:ind w:firstLine="5640" w:firstLineChars="2350"/>
        <w:jc w:val="left"/>
        <w:rPr>
          <w:rFonts w:ascii="宋体" w:hAnsi="宋体"/>
          <w:sz w:val="24"/>
        </w:rPr>
      </w:pPr>
      <w:r>
        <w:rPr>
          <w:rFonts w:hint="eastAsia" w:ascii="宋体" w:hAnsi="宋体"/>
          <w:sz w:val="24"/>
        </w:rPr>
        <w:t>日期:     年   月   日</w:t>
      </w:r>
    </w:p>
    <w:p>
      <w:pPr>
        <w:pStyle w:val="47"/>
        <w:shd w:val="clear" w:color="auto" w:fill="FFFFFF"/>
        <w:spacing w:before="0" w:beforeAutospacing="0" w:after="0" w:afterAutospacing="0" w:line="360" w:lineRule="auto"/>
        <w:ind w:firstLine="371" w:firstLineChars="177"/>
        <w:rPr>
          <w:sz w:val="21"/>
          <w:szCs w:val="21"/>
        </w:rPr>
      </w:pPr>
    </w:p>
    <w:p>
      <w:pPr>
        <w:spacing w:line="360" w:lineRule="auto"/>
        <w:rPr>
          <w:rFonts w:ascii="宋体" w:hAnsi="宋体"/>
          <w:b/>
          <w:sz w:val="28"/>
        </w:rPr>
      </w:pPr>
      <w:r>
        <w:rPr>
          <w:rFonts w:hint="eastAsia" w:ascii="宋体" w:hAnsi="宋体"/>
          <w:b/>
          <w:sz w:val="28"/>
        </w:rPr>
        <w:t>附件7</w:t>
      </w:r>
    </w:p>
    <w:p>
      <w:pPr>
        <w:pStyle w:val="47"/>
        <w:shd w:val="clear" w:color="auto" w:fill="FFFFFF"/>
        <w:spacing w:before="0" w:beforeAutospacing="0" w:after="0" w:afterAutospacing="0"/>
        <w:jc w:val="center"/>
        <w:rPr>
          <w:b/>
          <w:bCs/>
          <w:spacing w:val="21"/>
          <w:sz w:val="32"/>
          <w:szCs w:val="32"/>
        </w:rPr>
      </w:pPr>
      <w:bookmarkStart w:id="48" w:name="_Toc12856_WPSOffice_Level1"/>
      <w:bookmarkStart w:id="49" w:name="_Toc26601_WPSOffice_Level1"/>
      <w:r>
        <w:rPr>
          <w:rFonts w:hint="eastAsia"/>
          <w:b/>
          <w:sz w:val="32"/>
          <w:szCs w:val="32"/>
        </w:rPr>
        <w:t>供应商</w:t>
      </w:r>
      <w:r>
        <w:rPr>
          <w:rFonts w:hint="eastAsia"/>
          <w:b/>
          <w:bCs/>
          <w:spacing w:val="21"/>
          <w:sz w:val="32"/>
          <w:szCs w:val="32"/>
        </w:rPr>
        <w:t>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pPr>
              <w:pStyle w:val="47"/>
              <w:shd w:val="clear" w:color="auto" w:fill="FFFFFF"/>
              <w:adjustRightInd w:val="0"/>
              <w:snapToGrid w:val="0"/>
              <w:ind w:left="-105" w:leftChars="-50" w:right="-105" w:rightChars="-50"/>
              <w:jc w:val="center"/>
              <w:rPr>
                <w:bCs/>
                <w:sz w:val="18"/>
                <w:szCs w:val="18"/>
              </w:rPr>
            </w:pPr>
            <w:r>
              <w:rPr>
                <w:rFonts w:hint="eastAsia"/>
                <w:bCs/>
                <w:spacing w:val="27"/>
                <w:sz w:val="18"/>
                <w:szCs w:val="18"/>
              </w:rPr>
              <w:t>企业名称</w:t>
            </w:r>
          </w:p>
        </w:tc>
        <w:tc>
          <w:tcPr>
            <w:tcW w:w="3979" w:type="dxa"/>
            <w:gridSpan w:val="6"/>
            <w:vAlign w:val="center"/>
          </w:tcPr>
          <w:p>
            <w:pPr>
              <w:pStyle w:val="47"/>
              <w:shd w:val="clear" w:color="auto" w:fill="FFFFFF"/>
              <w:adjustRightInd w:val="0"/>
              <w:snapToGrid w:val="0"/>
              <w:ind w:left="-105" w:leftChars="-50" w:right="-105" w:rightChars="-50"/>
              <w:jc w:val="center"/>
              <w:rPr>
                <w:bCs/>
                <w:sz w:val="18"/>
                <w:szCs w:val="18"/>
              </w:rPr>
            </w:pPr>
          </w:p>
        </w:tc>
        <w:tc>
          <w:tcPr>
            <w:tcW w:w="2001" w:type="dxa"/>
            <w:gridSpan w:val="3"/>
            <w:vAlign w:val="center"/>
          </w:tcPr>
          <w:p>
            <w:pPr>
              <w:pStyle w:val="47"/>
              <w:shd w:val="clear" w:color="auto" w:fill="FFFFFF"/>
              <w:adjustRightInd w:val="0"/>
              <w:snapToGrid w:val="0"/>
              <w:ind w:left="-105" w:leftChars="-50" w:right="-105" w:rightChars="-50"/>
              <w:jc w:val="center"/>
              <w:rPr>
                <w:bCs/>
                <w:sz w:val="18"/>
                <w:szCs w:val="18"/>
              </w:rPr>
            </w:pPr>
            <w:r>
              <w:rPr>
                <w:rFonts w:hint="eastAsia"/>
                <w:bCs/>
                <w:spacing w:val="16"/>
                <w:sz w:val="18"/>
                <w:szCs w:val="18"/>
              </w:rPr>
              <w:t>法人代表</w:t>
            </w:r>
          </w:p>
        </w:tc>
        <w:tc>
          <w:tcPr>
            <w:tcW w:w="2151" w:type="dxa"/>
            <w:gridSpan w:val="2"/>
            <w:vAlign w:val="center"/>
          </w:tcPr>
          <w:p>
            <w:pPr>
              <w:pStyle w:val="47"/>
              <w:shd w:val="clear" w:color="auto" w:fill="FFFFFF"/>
              <w:adjustRightInd w:val="0"/>
              <w:snapToGrid w:val="0"/>
              <w:ind w:left="-105" w:leftChars="-50" w:right="-105" w:rightChars="-5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27"/>
                <w:sz w:val="18"/>
                <w:szCs w:val="18"/>
              </w:rPr>
              <w:t>地址</w:t>
            </w:r>
          </w:p>
        </w:tc>
        <w:tc>
          <w:tcPr>
            <w:tcW w:w="3979" w:type="dxa"/>
            <w:gridSpan w:val="6"/>
            <w:tcBorders>
              <w:bottom w:val="single" w:color="auto" w:sz="4" w:space="0"/>
            </w:tcBorders>
            <w:vAlign w:val="center"/>
          </w:tcPr>
          <w:p>
            <w:pPr>
              <w:pStyle w:val="47"/>
              <w:shd w:val="clear" w:color="auto" w:fill="FFFFFF"/>
              <w:adjustRightInd w:val="0"/>
              <w:snapToGrid w:val="0"/>
              <w:ind w:left="-105" w:leftChars="-50" w:right="-105" w:rightChars="-50"/>
              <w:jc w:val="center"/>
              <w:rPr>
                <w:bCs/>
                <w:spacing w:val="16"/>
                <w:sz w:val="18"/>
                <w:szCs w:val="18"/>
              </w:rPr>
            </w:pPr>
          </w:p>
        </w:tc>
        <w:tc>
          <w:tcPr>
            <w:tcW w:w="2001" w:type="dxa"/>
            <w:gridSpan w:val="3"/>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企业性质</w:t>
            </w:r>
          </w:p>
        </w:tc>
        <w:tc>
          <w:tcPr>
            <w:tcW w:w="2151" w:type="dxa"/>
            <w:gridSpan w:val="2"/>
            <w:vAlign w:val="center"/>
          </w:tcPr>
          <w:p>
            <w:pPr>
              <w:pStyle w:val="47"/>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27"/>
                <w:sz w:val="18"/>
                <w:szCs w:val="18"/>
              </w:rPr>
              <w:t>股东姓名</w:t>
            </w:r>
          </w:p>
        </w:tc>
        <w:tc>
          <w:tcPr>
            <w:tcW w:w="701" w:type="dxa"/>
            <w:tcBorders>
              <w:bottom w:val="single" w:color="auto" w:sz="4" w:space="0"/>
            </w:tcBorders>
            <w:vAlign w:val="center"/>
          </w:tcPr>
          <w:p>
            <w:pPr>
              <w:pStyle w:val="47"/>
              <w:shd w:val="clear" w:color="auto" w:fill="FFFFFF"/>
              <w:adjustRightInd w:val="0"/>
              <w:snapToGrid w:val="0"/>
              <w:spacing w:before="0" w:beforeAutospacing="0" w:after="0" w:afterAutospacing="0"/>
              <w:ind w:left="-105" w:leftChars="-50" w:right="-105" w:rightChars="-50"/>
              <w:jc w:val="center"/>
              <w:rPr>
                <w:bCs/>
                <w:spacing w:val="16"/>
                <w:sz w:val="18"/>
                <w:szCs w:val="18"/>
              </w:rPr>
            </w:pPr>
          </w:p>
        </w:tc>
        <w:tc>
          <w:tcPr>
            <w:tcW w:w="910" w:type="dxa"/>
            <w:gridSpan w:val="2"/>
            <w:tcBorders>
              <w:bottom w:val="single" w:color="auto" w:sz="4" w:space="0"/>
            </w:tcBorders>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 w:val="18"/>
                <w:szCs w:val="18"/>
              </w:rPr>
            </w:pPr>
          </w:p>
          <w:p>
            <w:pPr>
              <w:pStyle w:val="47"/>
              <w:shd w:val="clear" w:color="auto" w:fill="FFFFFF"/>
              <w:adjustRightInd w:val="0"/>
              <w:snapToGrid w:val="0"/>
              <w:ind w:left="-105" w:leftChars="-50" w:right="-105" w:rightChars="-50"/>
              <w:jc w:val="center"/>
              <w:rPr>
                <w:bCs/>
                <w:spacing w:val="16"/>
                <w:sz w:val="18"/>
                <w:szCs w:val="18"/>
              </w:rPr>
            </w:pPr>
          </w:p>
        </w:tc>
        <w:tc>
          <w:tcPr>
            <w:tcW w:w="2001" w:type="dxa"/>
            <w:gridSpan w:val="3"/>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股东关系</w:t>
            </w:r>
          </w:p>
        </w:tc>
        <w:tc>
          <w:tcPr>
            <w:tcW w:w="2151" w:type="dxa"/>
            <w:gridSpan w:val="2"/>
            <w:vAlign w:val="center"/>
          </w:tcPr>
          <w:p>
            <w:pPr>
              <w:pStyle w:val="47"/>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12"/>
                <w:sz w:val="18"/>
                <w:szCs w:val="18"/>
              </w:rPr>
              <w:t>联系人</w:t>
            </w:r>
            <w:r>
              <w:rPr>
                <w:rFonts w:hint="eastAsia"/>
                <w:bCs/>
                <w:spacing w:val="27"/>
                <w:sz w:val="18"/>
                <w:szCs w:val="18"/>
              </w:rPr>
              <w:t>姓名</w:t>
            </w:r>
          </w:p>
        </w:tc>
        <w:tc>
          <w:tcPr>
            <w:tcW w:w="701" w:type="dxa"/>
            <w:vMerge w:val="restart"/>
            <w:tcBorders>
              <w:top w:val="nil"/>
            </w:tcBorders>
            <w:vAlign w:val="center"/>
          </w:tcPr>
          <w:p>
            <w:pPr>
              <w:pStyle w:val="47"/>
              <w:shd w:val="clear" w:color="auto" w:fill="FFFFFF"/>
              <w:adjustRightInd w:val="0"/>
              <w:snapToGrid w:val="0"/>
              <w:ind w:left="-105" w:leftChars="-50" w:right="-105" w:rightChars="-50"/>
              <w:jc w:val="center"/>
              <w:rPr>
                <w:bCs/>
                <w:spacing w:val="16"/>
                <w:sz w:val="18"/>
                <w:szCs w:val="18"/>
              </w:rPr>
            </w:pPr>
          </w:p>
        </w:tc>
        <w:tc>
          <w:tcPr>
            <w:tcW w:w="910" w:type="dxa"/>
            <w:gridSpan w:val="2"/>
            <w:tcBorders>
              <w:top w:val="nil"/>
              <w:bottom w:val="single" w:color="auto" w:sz="4" w:space="0"/>
            </w:tcBorders>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固定电话</w:t>
            </w:r>
          </w:p>
        </w:tc>
        <w:tc>
          <w:tcPr>
            <w:tcW w:w="2368" w:type="dxa"/>
            <w:gridSpan w:val="3"/>
            <w:tcBorders>
              <w:top w:val="nil"/>
              <w:bottom w:val="single" w:color="auto" w:sz="4" w:space="0"/>
            </w:tcBorders>
            <w:vAlign w:val="center"/>
          </w:tcPr>
          <w:p>
            <w:pPr>
              <w:pStyle w:val="47"/>
              <w:shd w:val="clear" w:color="auto" w:fill="FFFFFF"/>
              <w:adjustRightInd w:val="0"/>
              <w:snapToGrid w:val="0"/>
              <w:ind w:right="-105" w:rightChars="-50"/>
              <w:rPr>
                <w:bCs/>
                <w:spacing w:val="16"/>
                <w:sz w:val="18"/>
                <w:szCs w:val="18"/>
              </w:rPr>
            </w:pPr>
          </w:p>
        </w:tc>
        <w:tc>
          <w:tcPr>
            <w:tcW w:w="2001" w:type="dxa"/>
            <w:gridSpan w:val="3"/>
            <w:vMerge w:val="restart"/>
            <w:vAlign w:val="center"/>
          </w:tcPr>
          <w:p>
            <w:pPr>
              <w:pStyle w:val="47"/>
              <w:shd w:val="clear" w:color="auto" w:fill="FFFFFF"/>
              <w:adjustRightInd w:val="0"/>
              <w:snapToGrid w:val="0"/>
              <w:spacing w:before="0" w:beforeAutospacing="0" w:after="0" w:afterAutospacing="0"/>
              <w:ind w:left="-105" w:leftChars="-50" w:right="-105" w:rightChars="-50"/>
              <w:jc w:val="center"/>
              <w:rPr>
                <w:bCs/>
                <w:spacing w:val="16"/>
                <w:sz w:val="18"/>
                <w:szCs w:val="18"/>
              </w:rPr>
            </w:pPr>
            <w:r>
              <w:rPr>
                <w:rFonts w:hint="eastAsia"/>
                <w:bCs/>
                <w:spacing w:val="16"/>
                <w:sz w:val="18"/>
                <w:szCs w:val="18"/>
              </w:rPr>
              <w:t>传真</w:t>
            </w:r>
          </w:p>
        </w:tc>
        <w:tc>
          <w:tcPr>
            <w:tcW w:w="2151" w:type="dxa"/>
            <w:gridSpan w:val="2"/>
            <w:vMerge w:val="restart"/>
            <w:vAlign w:val="center"/>
          </w:tcPr>
          <w:p>
            <w:pPr>
              <w:pStyle w:val="47"/>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pPr>
              <w:pStyle w:val="47"/>
              <w:shd w:val="clear" w:color="auto" w:fill="FFFFFF"/>
              <w:adjustRightInd w:val="0"/>
              <w:snapToGrid w:val="0"/>
              <w:ind w:left="-105" w:leftChars="-50" w:right="-105" w:rightChars="-50"/>
              <w:jc w:val="center"/>
              <w:rPr>
                <w:bCs/>
                <w:sz w:val="18"/>
                <w:szCs w:val="18"/>
              </w:rPr>
            </w:pPr>
          </w:p>
        </w:tc>
        <w:tc>
          <w:tcPr>
            <w:tcW w:w="701" w:type="dxa"/>
            <w:vMerge w:val="continue"/>
            <w:tcBorders>
              <w:bottom w:val="single" w:color="auto" w:sz="4" w:space="0"/>
            </w:tcBorders>
            <w:vAlign w:val="center"/>
          </w:tcPr>
          <w:p>
            <w:pPr>
              <w:pStyle w:val="47"/>
              <w:shd w:val="clear" w:color="auto" w:fill="FFFFFF"/>
              <w:adjustRightInd w:val="0"/>
              <w:snapToGrid w:val="0"/>
              <w:ind w:left="-105" w:leftChars="-50" w:right="-105" w:rightChars="-50"/>
              <w:jc w:val="center"/>
              <w:rPr>
                <w:bCs/>
                <w:spacing w:val="16"/>
                <w:sz w:val="18"/>
                <w:szCs w:val="18"/>
              </w:rPr>
            </w:pPr>
          </w:p>
        </w:tc>
        <w:tc>
          <w:tcPr>
            <w:tcW w:w="910" w:type="dxa"/>
            <w:gridSpan w:val="2"/>
            <w:tcBorders>
              <w:bottom w:val="single" w:color="auto" w:sz="4" w:space="0"/>
            </w:tcBorders>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27"/>
                <w:sz w:val="18"/>
                <w:szCs w:val="18"/>
              </w:rPr>
              <w:t>手机</w:t>
            </w:r>
          </w:p>
        </w:tc>
        <w:tc>
          <w:tcPr>
            <w:tcW w:w="2368" w:type="dxa"/>
            <w:gridSpan w:val="3"/>
            <w:tcBorders>
              <w:bottom w:val="single" w:color="auto" w:sz="4" w:space="0"/>
            </w:tcBorders>
            <w:vAlign w:val="center"/>
          </w:tcPr>
          <w:p>
            <w:pPr>
              <w:pStyle w:val="47"/>
              <w:shd w:val="clear" w:color="auto" w:fill="FFFFFF"/>
              <w:adjustRightInd w:val="0"/>
              <w:snapToGrid w:val="0"/>
              <w:ind w:left="-105" w:leftChars="-50" w:right="-105" w:rightChars="-50"/>
              <w:jc w:val="center"/>
              <w:rPr>
                <w:bCs/>
                <w:spacing w:val="16"/>
                <w:sz w:val="18"/>
                <w:szCs w:val="18"/>
              </w:rPr>
            </w:pPr>
          </w:p>
        </w:tc>
        <w:tc>
          <w:tcPr>
            <w:tcW w:w="2001" w:type="dxa"/>
            <w:gridSpan w:val="3"/>
            <w:vMerge w:val="continue"/>
            <w:vAlign w:val="center"/>
          </w:tcPr>
          <w:p>
            <w:pPr>
              <w:pStyle w:val="47"/>
              <w:shd w:val="clear" w:color="auto" w:fill="FFFFFF"/>
              <w:adjustRightInd w:val="0"/>
              <w:snapToGrid w:val="0"/>
              <w:ind w:left="-105" w:leftChars="-50" w:right="-105" w:rightChars="-50"/>
              <w:jc w:val="center"/>
              <w:rPr>
                <w:bCs/>
                <w:spacing w:val="16"/>
                <w:sz w:val="18"/>
                <w:szCs w:val="18"/>
              </w:rPr>
            </w:pPr>
          </w:p>
        </w:tc>
        <w:tc>
          <w:tcPr>
            <w:tcW w:w="2151" w:type="dxa"/>
            <w:gridSpan w:val="2"/>
            <w:vMerge w:val="continue"/>
            <w:vAlign w:val="center"/>
          </w:tcPr>
          <w:p>
            <w:pPr>
              <w:pStyle w:val="47"/>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pPr>
              <w:pStyle w:val="47"/>
              <w:shd w:val="clear" w:color="auto" w:fill="FFFFFF"/>
              <w:adjustRightInd w:val="0"/>
              <w:snapToGrid w:val="0"/>
              <w:ind w:left="-105" w:leftChars="-50" w:right="-105" w:rightChars="-50"/>
              <w:jc w:val="center"/>
              <w:rPr>
                <w:bCs/>
                <w:sz w:val="18"/>
                <w:szCs w:val="18"/>
              </w:rPr>
            </w:pPr>
            <w:r>
              <w:rPr>
                <w:bCs/>
                <w:sz w:val="18"/>
                <w:szCs w:val="18"/>
              </w:rPr>
              <w:t>1</w:t>
            </w:r>
            <w:r>
              <w:rPr>
                <w:rFonts w:hint="eastAsia"/>
                <w:bCs/>
                <w:sz w:val="18"/>
                <w:szCs w:val="18"/>
              </w:rPr>
              <w:t>.</w:t>
            </w:r>
          </w:p>
          <w:p>
            <w:pPr>
              <w:pStyle w:val="47"/>
              <w:shd w:val="clear" w:color="auto" w:fill="FFFFFF"/>
              <w:adjustRightInd w:val="0"/>
              <w:snapToGrid w:val="0"/>
              <w:ind w:left="-105" w:leftChars="-50" w:right="-105" w:rightChars="-50"/>
              <w:jc w:val="center"/>
              <w:rPr>
                <w:bCs/>
                <w:sz w:val="18"/>
                <w:szCs w:val="18"/>
              </w:rPr>
            </w:pPr>
            <w:r>
              <w:rPr>
                <w:rFonts w:hint="eastAsia"/>
                <w:bCs/>
                <w:sz w:val="18"/>
                <w:szCs w:val="18"/>
              </w:rPr>
              <w:t>企</w:t>
            </w:r>
          </w:p>
          <w:p>
            <w:pPr>
              <w:pStyle w:val="47"/>
              <w:shd w:val="clear" w:color="auto" w:fill="FFFFFF"/>
              <w:adjustRightInd w:val="0"/>
              <w:snapToGrid w:val="0"/>
              <w:ind w:left="-105" w:leftChars="-50" w:right="-105" w:rightChars="-50"/>
              <w:jc w:val="center"/>
              <w:rPr>
                <w:bCs/>
                <w:sz w:val="18"/>
                <w:szCs w:val="18"/>
              </w:rPr>
            </w:pPr>
            <w:r>
              <w:rPr>
                <w:rFonts w:hint="eastAsia"/>
                <w:bCs/>
                <w:sz w:val="18"/>
                <w:szCs w:val="18"/>
              </w:rPr>
              <w:t>业</w:t>
            </w:r>
          </w:p>
          <w:p>
            <w:pPr>
              <w:pStyle w:val="47"/>
              <w:shd w:val="clear" w:color="auto" w:fill="FFFFFF"/>
              <w:adjustRightInd w:val="0"/>
              <w:snapToGrid w:val="0"/>
              <w:ind w:left="-105" w:leftChars="-50" w:right="-105" w:rightChars="-50"/>
              <w:jc w:val="center"/>
              <w:rPr>
                <w:bCs/>
                <w:spacing w:val="27"/>
                <w:sz w:val="18"/>
                <w:szCs w:val="18"/>
              </w:rPr>
            </w:pPr>
            <w:r>
              <w:rPr>
                <w:rFonts w:hint="eastAsia"/>
                <w:bCs/>
                <w:spacing w:val="27"/>
                <w:sz w:val="18"/>
                <w:szCs w:val="18"/>
              </w:rPr>
              <w:t>概</w:t>
            </w:r>
          </w:p>
          <w:p>
            <w:pPr>
              <w:pStyle w:val="47"/>
              <w:shd w:val="clear" w:color="auto" w:fill="FFFFFF"/>
              <w:adjustRightInd w:val="0"/>
              <w:snapToGrid w:val="0"/>
              <w:ind w:left="-105" w:leftChars="-50" w:right="-105" w:rightChars="-50"/>
              <w:jc w:val="center"/>
              <w:rPr>
                <w:bCs/>
                <w:sz w:val="18"/>
                <w:szCs w:val="18"/>
              </w:rPr>
            </w:pPr>
            <w:r>
              <w:rPr>
                <w:rFonts w:hint="eastAsia"/>
                <w:bCs/>
                <w:spacing w:val="27"/>
                <w:sz w:val="18"/>
                <w:szCs w:val="18"/>
              </w:rPr>
              <w:t>况</w:t>
            </w:r>
          </w:p>
        </w:tc>
        <w:tc>
          <w:tcPr>
            <w:tcW w:w="701" w:type="dxa"/>
            <w:tcBorders>
              <w:top w:val="nil"/>
            </w:tcBorders>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职工人数</w:t>
            </w:r>
          </w:p>
        </w:tc>
        <w:tc>
          <w:tcPr>
            <w:tcW w:w="910" w:type="dxa"/>
            <w:gridSpan w:val="2"/>
            <w:tcBorders>
              <w:top w:val="nil"/>
            </w:tcBorders>
            <w:vAlign w:val="center"/>
          </w:tcPr>
          <w:p>
            <w:pPr>
              <w:pStyle w:val="47"/>
              <w:shd w:val="clear" w:color="auto" w:fill="FFFFFF"/>
              <w:adjustRightInd w:val="0"/>
              <w:snapToGrid w:val="0"/>
              <w:ind w:left="-105" w:leftChars="-50" w:right="-105" w:rightChars="-50"/>
              <w:jc w:val="center"/>
              <w:rPr>
                <w:bCs/>
                <w:spacing w:val="16"/>
                <w:sz w:val="18"/>
                <w:szCs w:val="18"/>
              </w:rPr>
            </w:pPr>
          </w:p>
        </w:tc>
        <w:tc>
          <w:tcPr>
            <w:tcW w:w="1163" w:type="dxa"/>
            <w:tcBorders>
              <w:top w:val="nil"/>
            </w:tcBorders>
            <w:vAlign w:val="center"/>
          </w:tcPr>
          <w:p>
            <w:pPr>
              <w:pStyle w:val="47"/>
              <w:shd w:val="clear" w:color="auto" w:fill="FFFFFF"/>
              <w:adjustRightInd w:val="0"/>
              <w:snapToGrid w:val="0"/>
              <w:spacing w:before="0" w:beforeAutospacing="0" w:after="0" w:afterAutospacing="0"/>
              <w:ind w:left="-105" w:leftChars="-50" w:right="-105" w:rightChars="-50"/>
              <w:jc w:val="center"/>
              <w:rPr>
                <w:bCs/>
                <w:sz w:val="18"/>
                <w:szCs w:val="18"/>
              </w:rPr>
            </w:pPr>
            <w:r>
              <w:rPr>
                <w:rFonts w:hint="eastAsia"/>
                <w:bCs/>
                <w:spacing w:val="18"/>
                <w:sz w:val="18"/>
                <w:szCs w:val="18"/>
              </w:rPr>
              <w:t>具备大专以</w:t>
            </w:r>
            <w:r>
              <w:rPr>
                <w:rFonts w:hint="eastAsia"/>
                <w:bCs/>
                <w:spacing w:val="12"/>
                <w:sz w:val="18"/>
                <w:szCs w:val="18"/>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spacing w:val="16"/>
                <w:kern w:val="0"/>
                <w:sz w:val="18"/>
                <w:szCs w:val="18"/>
              </w:rPr>
            </w:pPr>
          </w:p>
          <w:p>
            <w:pPr>
              <w:widowControl/>
              <w:adjustRightInd w:val="0"/>
              <w:snapToGrid w:val="0"/>
              <w:ind w:left="-105" w:leftChars="-50" w:right="-105" w:rightChars="-50"/>
              <w:jc w:val="center"/>
              <w:rPr>
                <w:rFonts w:ascii="宋体" w:hAnsi="宋体" w:cs="宋体"/>
                <w:bCs/>
                <w:spacing w:val="16"/>
                <w:kern w:val="0"/>
                <w:sz w:val="18"/>
                <w:szCs w:val="18"/>
              </w:rPr>
            </w:pPr>
          </w:p>
          <w:p>
            <w:pPr>
              <w:pStyle w:val="47"/>
              <w:shd w:val="clear" w:color="auto" w:fill="FFFFFF"/>
              <w:adjustRightInd w:val="0"/>
              <w:snapToGrid w:val="0"/>
              <w:ind w:left="-105" w:leftChars="-50" w:right="-105" w:rightChars="-50"/>
              <w:jc w:val="center"/>
              <w:rPr>
                <w:bCs/>
                <w:spacing w:val="16"/>
                <w:sz w:val="18"/>
                <w:szCs w:val="18"/>
              </w:rPr>
            </w:pPr>
          </w:p>
        </w:tc>
        <w:tc>
          <w:tcPr>
            <w:tcW w:w="2001" w:type="dxa"/>
            <w:gridSpan w:val="3"/>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65"/>
                <w:sz w:val="18"/>
                <w:szCs w:val="18"/>
              </w:rPr>
              <w:t>国家授予技</w:t>
            </w:r>
            <w:r>
              <w:rPr>
                <w:rFonts w:hint="eastAsia"/>
                <w:bCs/>
                <w:spacing w:val="12"/>
                <w:sz w:val="18"/>
                <w:szCs w:val="18"/>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spacing w:val="16"/>
                <w:kern w:val="0"/>
                <w:sz w:val="18"/>
                <w:szCs w:val="18"/>
              </w:rPr>
            </w:pPr>
          </w:p>
          <w:p>
            <w:pPr>
              <w:pStyle w:val="47"/>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pPr>
              <w:pStyle w:val="47"/>
              <w:shd w:val="clear" w:color="auto" w:fill="FFFFFF"/>
              <w:adjustRightInd w:val="0"/>
              <w:snapToGrid w:val="0"/>
              <w:ind w:left="-105" w:leftChars="-50" w:right="-105" w:rightChars="-50"/>
              <w:jc w:val="center"/>
              <w:rPr>
                <w:bCs/>
                <w:sz w:val="18"/>
                <w:szCs w:val="18"/>
              </w:rPr>
            </w:pPr>
          </w:p>
        </w:tc>
        <w:tc>
          <w:tcPr>
            <w:tcW w:w="701" w:type="dxa"/>
            <w:vAlign w:val="center"/>
          </w:tcPr>
          <w:p>
            <w:pPr>
              <w:pStyle w:val="47"/>
              <w:shd w:val="clear" w:color="auto" w:fill="FFFFFF"/>
              <w:adjustRightInd w:val="0"/>
              <w:snapToGrid w:val="0"/>
              <w:ind w:left="-105" w:leftChars="-50" w:right="-105" w:rightChars="-50"/>
              <w:jc w:val="center"/>
              <w:rPr>
                <w:bCs/>
                <w:sz w:val="18"/>
                <w:szCs w:val="18"/>
              </w:rPr>
            </w:pPr>
            <w:r>
              <w:rPr>
                <w:rFonts w:hint="eastAsia"/>
                <w:bCs/>
                <w:spacing w:val="16"/>
                <w:sz w:val="18"/>
                <w:szCs w:val="18"/>
              </w:rPr>
              <w:t>占地面积</w:t>
            </w:r>
          </w:p>
        </w:tc>
        <w:tc>
          <w:tcPr>
            <w:tcW w:w="910" w:type="dxa"/>
            <w:gridSpan w:val="2"/>
            <w:vAlign w:val="center"/>
          </w:tcPr>
          <w:p>
            <w:pPr>
              <w:pStyle w:val="47"/>
              <w:shd w:val="clear" w:color="auto" w:fill="FFFFFF"/>
              <w:adjustRightInd w:val="0"/>
              <w:snapToGrid w:val="0"/>
              <w:ind w:left="-105" w:leftChars="-50" w:right="-105" w:rightChars="-50"/>
              <w:jc w:val="center"/>
              <w:rPr>
                <w:bCs/>
                <w:sz w:val="18"/>
                <w:szCs w:val="18"/>
              </w:rPr>
            </w:pPr>
          </w:p>
        </w:tc>
        <w:tc>
          <w:tcPr>
            <w:tcW w:w="1163" w:type="dxa"/>
            <w:vAlign w:val="center"/>
          </w:tcPr>
          <w:p>
            <w:pPr>
              <w:pStyle w:val="47"/>
              <w:shd w:val="clear" w:color="auto" w:fill="FFFFFF"/>
              <w:adjustRightInd w:val="0"/>
              <w:snapToGrid w:val="0"/>
              <w:ind w:left="-105" w:leftChars="-50" w:right="-105" w:rightChars="-50"/>
              <w:jc w:val="center"/>
              <w:rPr>
                <w:bCs/>
                <w:sz w:val="18"/>
                <w:szCs w:val="18"/>
              </w:rPr>
            </w:pPr>
            <w:r>
              <w:rPr>
                <w:rFonts w:hint="eastAsia"/>
                <w:bCs/>
                <w:spacing w:val="16"/>
                <w:sz w:val="18"/>
                <w:szCs w:val="18"/>
              </w:rPr>
              <w:t>建筑面积</w:t>
            </w:r>
          </w:p>
        </w:tc>
        <w:tc>
          <w:tcPr>
            <w:tcW w:w="1205" w:type="dxa"/>
            <w:gridSpan w:val="2"/>
            <w:vAlign w:val="center"/>
          </w:tcPr>
          <w:p>
            <w:pPr>
              <w:pStyle w:val="47"/>
              <w:shd w:val="clear" w:color="auto" w:fill="FFFFFF"/>
              <w:adjustRightInd w:val="0"/>
              <w:snapToGrid w:val="0"/>
              <w:ind w:left="-105" w:leftChars="-50" w:right="-105" w:rightChars="-50" w:firstLine="420"/>
              <w:jc w:val="center"/>
              <w:rPr>
                <w:bCs/>
                <w:sz w:val="18"/>
                <w:szCs w:val="18"/>
              </w:rPr>
            </w:pPr>
            <w:r>
              <w:rPr>
                <w:rFonts w:hint="eastAsia"/>
                <w:bCs/>
                <w:sz w:val="18"/>
                <w:szCs w:val="18"/>
              </w:rPr>
              <w:t>平方米</w:t>
            </w:r>
          </w:p>
          <w:p>
            <w:pPr>
              <w:pStyle w:val="47"/>
              <w:shd w:val="clear" w:color="auto" w:fill="FFFFFF"/>
              <w:adjustRightInd w:val="0"/>
              <w:snapToGrid w:val="0"/>
              <w:ind w:left="-105" w:leftChars="-50" w:right="-105" w:rightChars="-50"/>
              <w:jc w:val="center"/>
              <w:rPr>
                <w:bCs/>
                <w:sz w:val="18"/>
                <w:szCs w:val="18"/>
              </w:rPr>
            </w:pPr>
            <w:r>
              <w:rPr>
                <w:rFonts w:hint="eastAsia"/>
                <w:bCs/>
                <w:spacing w:val="16"/>
                <w:sz w:val="18"/>
                <w:szCs w:val="18"/>
              </w:rPr>
              <w:t>□自有□租賃</w:t>
            </w:r>
          </w:p>
        </w:tc>
        <w:tc>
          <w:tcPr>
            <w:tcW w:w="2001" w:type="dxa"/>
            <w:gridSpan w:val="3"/>
            <w:vAlign w:val="center"/>
          </w:tcPr>
          <w:p>
            <w:pPr>
              <w:pStyle w:val="47"/>
              <w:shd w:val="clear" w:color="auto" w:fill="FFFFFF"/>
              <w:adjustRightInd w:val="0"/>
              <w:snapToGrid w:val="0"/>
              <w:ind w:left="-105" w:leftChars="-50" w:right="-105" w:rightChars="-50"/>
              <w:jc w:val="center"/>
              <w:rPr>
                <w:bCs/>
                <w:sz w:val="18"/>
                <w:szCs w:val="18"/>
              </w:rPr>
            </w:pPr>
            <w:r>
              <w:rPr>
                <w:rFonts w:hint="eastAsia"/>
                <w:bCs/>
                <w:spacing w:val="16"/>
                <w:sz w:val="18"/>
                <w:szCs w:val="18"/>
              </w:rPr>
              <w:t>生产经营场所及场所的设施与设备</w:t>
            </w:r>
          </w:p>
        </w:tc>
        <w:tc>
          <w:tcPr>
            <w:tcW w:w="2151" w:type="dxa"/>
            <w:gridSpan w:val="2"/>
            <w:vAlign w:val="center"/>
          </w:tcPr>
          <w:p>
            <w:pPr>
              <w:pStyle w:val="47"/>
              <w:shd w:val="clear" w:color="auto" w:fill="FFFFFF"/>
              <w:adjustRightInd w:val="0"/>
              <w:snapToGrid w:val="0"/>
              <w:spacing w:before="0" w:beforeAutospacing="0" w:after="0" w:afterAutospacing="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pPr>
              <w:pStyle w:val="47"/>
              <w:shd w:val="clear" w:color="auto" w:fill="FFFFFF"/>
              <w:adjustRightInd w:val="0"/>
              <w:snapToGrid w:val="0"/>
              <w:ind w:left="-105" w:leftChars="-50" w:right="-105" w:rightChars="-50"/>
              <w:jc w:val="center"/>
              <w:rPr>
                <w:bCs/>
                <w:sz w:val="18"/>
                <w:szCs w:val="18"/>
              </w:rPr>
            </w:pPr>
          </w:p>
        </w:tc>
        <w:tc>
          <w:tcPr>
            <w:tcW w:w="701" w:type="dxa"/>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注册资金</w:t>
            </w:r>
          </w:p>
        </w:tc>
        <w:tc>
          <w:tcPr>
            <w:tcW w:w="910" w:type="dxa"/>
            <w:gridSpan w:val="2"/>
            <w:vAlign w:val="center"/>
          </w:tcPr>
          <w:p>
            <w:pPr>
              <w:pStyle w:val="47"/>
              <w:shd w:val="clear" w:color="auto" w:fill="FFFFFF"/>
              <w:adjustRightInd w:val="0"/>
              <w:snapToGrid w:val="0"/>
              <w:ind w:left="-105" w:leftChars="-50" w:right="-105" w:rightChars="-50"/>
              <w:jc w:val="center"/>
              <w:rPr>
                <w:bCs/>
                <w:sz w:val="18"/>
                <w:szCs w:val="18"/>
              </w:rPr>
            </w:pPr>
          </w:p>
        </w:tc>
        <w:tc>
          <w:tcPr>
            <w:tcW w:w="1163" w:type="dxa"/>
            <w:vAlign w:val="center"/>
          </w:tcPr>
          <w:p>
            <w:pPr>
              <w:pStyle w:val="47"/>
              <w:shd w:val="clear" w:color="auto" w:fill="FFFFFF"/>
              <w:adjustRightInd w:val="0"/>
              <w:snapToGrid w:val="0"/>
              <w:ind w:left="-105" w:leftChars="-50" w:right="-105" w:rightChars="-50"/>
              <w:jc w:val="center"/>
              <w:rPr>
                <w:bCs/>
                <w:sz w:val="18"/>
                <w:szCs w:val="18"/>
              </w:rPr>
            </w:pPr>
            <w:r>
              <w:rPr>
                <w:rFonts w:hint="eastAsia"/>
                <w:bCs/>
                <w:spacing w:val="16"/>
                <w:sz w:val="18"/>
                <w:szCs w:val="18"/>
              </w:rPr>
              <w:t>注册发证</w:t>
            </w:r>
            <w:r>
              <w:rPr>
                <w:rFonts w:hint="eastAsia"/>
                <w:bCs/>
                <w:spacing w:val="27"/>
                <w:sz w:val="18"/>
                <w:szCs w:val="18"/>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kern w:val="0"/>
                <w:sz w:val="18"/>
                <w:szCs w:val="18"/>
              </w:rPr>
            </w:pPr>
          </w:p>
          <w:p>
            <w:pPr>
              <w:pStyle w:val="47"/>
              <w:shd w:val="clear" w:color="auto" w:fill="FFFFFF"/>
              <w:adjustRightInd w:val="0"/>
              <w:snapToGrid w:val="0"/>
              <w:ind w:left="-105" w:leftChars="-50" w:right="-105" w:rightChars="-50"/>
              <w:jc w:val="center"/>
              <w:rPr>
                <w:bCs/>
                <w:sz w:val="18"/>
                <w:szCs w:val="18"/>
              </w:rPr>
            </w:pPr>
          </w:p>
        </w:tc>
        <w:tc>
          <w:tcPr>
            <w:tcW w:w="1218" w:type="dxa"/>
            <w:vAlign w:val="center"/>
          </w:tcPr>
          <w:p>
            <w:pPr>
              <w:pStyle w:val="47"/>
              <w:shd w:val="clear" w:color="auto" w:fill="FFFFFF"/>
              <w:adjustRightInd w:val="0"/>
              <w:snapToGrid w:val="0"/>
              <w:ind w:left="-105" w:leftChars="-50" w:right="-105" w:rightChars="-50"/>
              <w:jc w:val="center"/>
              <w:rPr>
                <w:bCs/>
                <w:sz w:val="18"/>
                <w:szCs w:val="18"/>
              </w:rPr>
            </w:pPr>
            <w:r>
              <w:rPr>
                <w:rFonts w:hint="eastAsia"/>
                <w:bCs/>
                <w:sz w:val="18"/>
                <w:szCs w:val="18"/>
              </w:rPr>
              <w:t>公司成</w:t>
            </w:r>
            <w:r>
              <w:rPr>
                <w:rFonts w:hint="eastAsia"/>
                <w:bCs/>
                <w:spacing w:val="12"/>
                <w:sz w:val="18"/>
                <w:szCs w:val="18"/>
              </w:rPr>
              <w:t>立时间</w:t>
            </w:r>
          </w:p>
        </w:tc>
        <w:tc>
          <w:tcPr>
            <w:tcW w:w="933" w:type="dxa"/>
            <w:vAlign w:val="center"/>
          </w:tcPr>
          <w:p>
            <w:pPr>
              <w:pStyle w:val="47"/>
              <w:shd w:val="clear" w:color="auto" w:fill="FFFFFF"/>
              <w:adjustRightInd w:val="0"/>
              <w:snapToGrid w:val="0"/>
              <w:ind w:left="-105" w:leftChars="-50" w:right="-105" w:rightChars="-5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pPr>
              <w:pStyle w:val="47"/>
              <w:shd w:val="clear" w:color="auto" w:fill="FFFFFF"/>
              <w:adjustRightInd w:val="0"/>
              <w:snapToGrid w:val="0"/>
              <w:ind w:left="-105" w:leftChars="-50" w:right="-105" w:rightChars="-50"/>
              <w:jc w:val="center"/>
              <w:rPr>
                <w:bCs/>
                <w:sz w:val="18"/>
                <w:szCs w:val="18"/>
              </w:rPr>
            </w:pPr>
          </w:p>
        </w:tc>
        <w:tc>
          <w:tcPr>
            <w:tcW w:w="701" w:type="dxa"/>
            <w:vAlign w:val="center"/>
          </w:tcPr>
          <w:p>
            <w:pPr>
              <w:pStyle w:val="47"/>
              <w:shd w:val="clear" w:color="auto" w:fill="FFFFFF"/>
              <w:adjustRightInd w:val="0"/>
              <w:snapToGrid w:val="0"/>
              <w:ind w:left="-105" w:leftChars="-50" w:right="-105" w:rightChars="-50"/>
              <w:jc w:val="center"/>
              <w:rPr>
                <w:bCs/>
                <w:sz w:val="18"/>
                <w:szCs w:val="18"/>
              </w:rPr>
            </w:pPr>
            <w:r>
              <w:rPr>
                <w:rFonts w:hint="eastAsia"/>
                <w:bCs/>
                <w:sz w:val="18"/>
                <w:szCs w:val="18"/>
              </w:rPr>
              <w:t>核准经营范围</w:t>
            </w:r>
          </w:p>
        </w:tc>
        <w:tc>
          <w:tcPr>
            <w:tcW w:w="7430" w:type="dxa"/>
            <w:gridSpan w:val="10"/>
            <w:vAlign w:val="center"/>
          </w:tcPr>
          <w:p>
            <w:pPr>
              <w:pStyle w:val="47"/>
              <w:shd w:val="clear" w:color="auto" w:fill="FFFFFF"/>
              <w:adjustRightInd w:val="0"/>
              <w:snapToGrid w:val="0"/>
              <w:ind w:left="-105" w:leftChars="-50" w:right="-105" w:rightChars="-5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pPr>
              <w:pStyle w:val="47"/>
              <w:shd w:val="clear" w:color="auto" w:fill="FFFFFF"/>
              <w:adjustRightInd w:val="0"/>
              <w:snapToGrid w:val="0"/>
              <w:ind w:left="-105" w:leftChars="-50" w:right="-105" w:rightChars="-50"/>
              <w:jc w:val="center"/>
              <w:rPr>
                <w:bCs/>
                <w:sz w:val="18"/>
                <w:szCs w:val="18"/>
              </w:rPr>
            </w:pPr>
          </w:p>
        </w:tc>
        <w:tc>
          <w:tcPr>
            <w:tcW w:w="8131" w:type="dxa"/>
            <w:gridSpan w:val="11"/>
            <w:vAlign w:val="center"/>
          </w:tcPr>
          <w:p>
            <w:pPr>
              <w:pStyle w:val="47"/>
              <w:shd w:val="clear" w:color="auto" w:fill="FFFFFF"/>
              <w:adjustRightInd w:val="0"/>
              <w:snapToGrid w:val="0"/>
              <w:ind w:left="-105" w:leftChars="-50" w:right="-105" w:rightChars="-50"/>
              <w:rPr>
                <w:bCs/>
                <w:spacing w:val="13"/>
                <w:sz w:val="18"/>
                <w:szCs w:val="18"/>
              </w:rPr>
            </w:pPr>
            <w:r>
              <w:rPr>
                <w:rFonts w:hint="eastAsia"/>
                <w:bCs/>
                <w:spacing w:val="13"/>
                <w:sz w:val="18"/>
                <w:szCs w:val="18"/>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pPr>
              <w:pStyle w:val="47"/>
              <w:shd w:val="clear" w:color="auto" w:fill="FFFFFF"/>
              <w:adjustRightInd w:val="0"/>
              <w:snapToGrid w:val="0"/>
              <w:ind w:left="-105" w:leftChars="-50" w:right="-105" w:rightChars="-50"/>
              <w:jc w:val="center"/>
              <w:rPr>
                <w:bCs/>
                <w:sz w:val="18"/>
                <w:szCs w:val="18"/>
              </w:rPr>
            </w:pPr>
            <w:r>
              <w:rPr>
                <w:bCs/>
                <w:sz w:val="18"/>
                <w:szCs w:val="18"/>
              </w:rPr>
              <w:t>2</w:t>
            </w:r>
            <w:r>
              <w:rPr>
                <w:rFonts w:hint="eastAsia"/>
                <w:bCs/>
                <w:sz w:val="18"/>
                <w:szCs w:val="18"/>
              </w:rPr>
              <w:t>．</w:t>
            </w:r>
          </w:p>
          <w:p>
            <w:pPr>
              <w:pStyle w:val="47"/>
              <w:shd w:val="clear" w:color="auto" w:fill="FFFFFF"/>
              <w:adjustRightInd w:val="0"/>
              <w:snapToGrid w:val="0"/>
              <w:ind w:left="-105" w:leftChars="-50" w:right="-105" w:rightChars="-50"/>
              <w:jc w:val="center"/>
              <w:rPr>
                <w:bCs/>
                <w:spacing w:val="16"/>
                <w:sz w:val="18"/>
                <w:szCs w:val="18"/>
              </w:rPr>
            </w:pPr>
            <w:r>
              <w:rPr>
                <w:rFonts w:hint="eastAsia"/>
                <w:bCs/>
                <w:sz w:val="18"/>
                <w:szCs w:val="18"/>
              </w:rPr>
              <w:t>企</w:t>
            </w:r>
            <w:r>
              <w:rPr>
                <w:rFonts w:hint="eastAsia"/>
                <w:bCs/>
                <w:spacing w:val="12"/>
                <w:sz w:val="18"/>
                <w:szCs w:val="18"/>
              </w:rPr>
              <w:t>业有关资质获证情况</w:t>
            </w:r>
          </w:p>
        </w:tc>
        <w:tc>
          <w:tcPr>
            <w:tcW w:w="1553" w:type="dxa"/>
            <w:gridSpan w:val="2"/>
            <w:vMerge w:val="restart"/>
            <w:vAlign w:val="center"/>
          </w:tcPr>
          <w:p>
            <w:pPr>
              <w:pStyle w:val="47"/>
              <w:shd w:val="clear" w:color="auto" w:fill="FFFFFF"/>
              <w:adjustRightInd w:val="0"/>
              <w:snapToGrid w:val="0"/>
              <w:spacing w:before="0" w:beforeAutospacing="0" w:after="0" w:afterAutospacing="0"/>
              <w:ind w:left="-105" w:leftChars="-50" w:right="-105" w:rightChars="-50"/>
              <w:jc w:val="center"/>
              <w:rPr>
                <w:bCs/>
                <w:spacing w:val="16"/>
                <w:sz w:val="18"/>
                <w:szCs w:val="18"/>
              </w:rPr>
            </w:pPr>
            <w:r>
              <w:rPr>
                <w:rFonts w:hint="eastAsia"/>
                <w:bCs/>
                <w:spacing w:val="12"/>
                <w:sz w:val="18"/>
                <w:szCs w:val="18"/>
              </w:rPr>
              <w:t>产品生产许可证情况</w:t>
            </w:r>
            <w:r>
              <w:rPr>
                <w:rFonts w:hint="eastAsia"/>
                <w:bCs/>
                <w:spacing w:val="41"/>
                <w:sz w:val="18"/>
                <w:szCs w:val="18"/>
              </w:rPr>
              <w:t>（对需获得生产许可证的</w:t>
            </w:r>
            <w:r>
              <w:rPr>
                <w:rFonts w:hint="eastAsia"/>
                <w:bCs/>
                <w:spacing w:val="11"/>
                <w:sz w:val="18"/>
                <w:szCs w:val="18"/>
              </w:rPr>
              <w:t>产品要填写此栏）</w:t>
            </w:r>
          </w:p>
        </w:tc>
        <w:tc>
          <w:tcPr>
            <w:tcW w:w="1333" w:type="dxa"/>
            <w:gridSpan w:val="3"/>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产品名称</w:t>
            </w:r>
          </w:p>
        </w:tc>
        <w:tc>
          <w:tcPr>
            <w:tcW w:w="1418" w:type="dxa"/>
            <w:gridSpan w:val="2"/>
            <w:vAlign w:val="center"/>
          </w:tcPr>
          <w:p>
            <w:pPr>
              <w:pStyle w:val="47"/>
              <w:shd w:val="clear" w:color="auto" w:fill="FFFFFF"/>
              <w:adjustRightInd w:val="0"/>
              <w:snapToGrid w:val="0"/>
              <w:spacing w:before="0" w:beforeAutospacing="0" w:after="0" w:afterAutospacing="0"/>
              <w:ind w:left="-105" w:leftChars="-50" w:right="-105" w:rightChars="-50"/>
              <w:jc w:val="center"/>
              <w:rPr>
                <w:bCs/>
                <w:sz w:val="18"/>
                <w:szCs w:val="18"/>
              </w:rPr>
            </w:pPr>
            <w:r>
              <w:rPr>
                <w:rFonts w:hint="eastAsia"/>
                <w:bCs/>
                <w:spacing w:val="16"/>
                <w:sz w:val="18"/>
                <w:szCs w:val="18"/>
              </w:rPr>
              <w:t>发证机关</w:t>
            </w:r>
          </w:p>
        </w:tc>
        <w:tc>
          <w:tcPr>
            <w:tcW w:w="1276" w:type="dxa"/>
            <w:vAlign w:val="center"/>
          </w:tcPr>
          <w:p>
            <w:pPr>
              <w:pStyle w:val="47"/>
              <w:shd w:val="clear" w:color="auto" w:fill="FFFFFF"/>
              <w:adjustRightInd w:val="0"/>
              <w:snapToGrid w:val="0"/>
              <w:ind w:left="-105" w:leftChars="-50" w:right="-105" w:rightChars="-50"/>
              <w:jc w:val="center"/>
              <w:rPr>
                <w:bCs/>
                <w:sz w:val="18"/>
                <w:szCs w:val="18"/>
              </w:rPr>
            </w:pPr>
            <w:r>
              <w:rPr>
                <w:rFonts w:hint="eastAsia"/>
                <w:bCs/>
                <w:spacing w:val="27"/>
                <w:sz w:val="18"/>
                <w:szCs w:val="18"/>
              </w:rPr>
              <w:t>编号</w:t>
            </w:r>
          </w:p>
        </w:tc>
        <w:tc>
          <w:tcPr>
            <w:tcW w:w="1618" w:type="dxa"/>
            <w:gridSpan w:val="2"/>
            <w:vAlign w:val="center"/>
          </w:tcPr>
          <w:p>
            <w:pPr>
              <w:pStyle w:val="47"/>
              <w:shd w:val="clear" w:color="auto" w:fill="FFFFFF"/>
              <w:adjustRightInd w:val="0"/>
              <w:snapToGrid w:val="0"/>
              <w:ind w:left="-105" w:leftChars="-50" w:right="-105" w:rightChars="-50"/>
              <w:jc w:val="center"/>
              <w:rPr>
                <w:bCs/>
                <w:sz w:val="18"/>
                <w:szCs w:val="18"/>
              </w:rPr>
            </w:pPr>
            <w:r>
              <w:rPr>
                <w:rFonts w:hint="eastAsia"/>
                <w:bCs/>
                <w:spacing w:val="16"/>
                <w:sz w:val="18"/>
                <w:szCs w:val="18"/>
              </w:rPr>
              <w:t>发证时间</w:t>
            </w:r>
          </w:p>
        </w:tc>
        <w:tc>
          <w:tcPr>
            <w:tcW w:w="933" w:type="dxa"/>
            <w:vAlign w:val="center"/>
          </w:tcPr>
          <w:p>
            <w:pPr>
              <w:pStyle w:val="47"/>
              <w:shd w:val="clear" w:color="auto" w:fill="FFFFFF"/>
              <w:adjustRightInd w:val="0"/>
              <w:snapToGrid w:val="0"/>
              <w:spacing w:before="0" w:beforeAutospacing="0" w:after="0" w:afterAutospacing="0"/>
              <w:ind w:left="-105" w:leftChars="-50" w:right="-105" w:rightChars="-50"/>
              <w:jc w:val="center"/>
              <w:rPr>
                <w:bCs/>
                <w:sz w:val="18"/>
                <w:szCs w:val="18"/>
              </w:rPr>
            </w:pPr>
            <w:r>
              <w:rPr>
                <w:rFonts w:hint="eastAsia"/>
                <w:bCs/>
                <w:spacing w:val="27"/>
                <w:sz w:val="18"/>
                <w:szCs w:val="18"/>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pPr>
              <w:pStyle w:val="47"/>
              <w:shd w:val="clear" w:color="auto" w:fill="FFFFFF"/>
              <w:adjustRightInd w:val="0"/>
              <w:snapToGrid w:val="0"/>
              <w:ind w:left="-105" w:leftChars="-50" w:right="-105" w:rightChars="-50"/>
              <w:jc w:val="center"/>
              <w:rPr>
                <w:bCs/>
                <w:sz w:val="18"/>
                <w:szCs w:val="18"/>
              </w:rPr>
            </w:pPr>
          </w:p>
        </w:tc>
        <w:tc>
          <w:tcPr>
            <w:tcW w:w="1553" w:type="dxa"/>
            <w:gridSpan w:val="2"/>
            <w:vMerge w:val="continue"/>
            <w:vAlign w:val="center"/>
          </w:tcPr>
          <w:p>
            <w:pPr>
              <w:pStyle w:val="47"/>
              <w:shd w:val="clear" w:color="auto" w:fill="FFFFFF"/>
              <w:adjustRightInd w:val="0"/>
              <w:snapToGrid w:val="0"/>
              <w:ind w:left="-105" w:leftChars="-50" w:right="-105" w:rightChars="-50"/>
              <w:jc w:val="center"/>
              <w:rPr>
                <w:bCs/>
                <w:sz w:val="18"/>
                <w:szCs w:val="18"/>
              </w:rPr>
            </w:pPr>
          </w:p>
        </w:tc>
        <w:tc>
          <w:tcPr>
            <w:tcW w:w="1333" w:type="dxa"/>
            <w:gridSpan w:val="3"/>
            <w:vAlign w:val="center"/>
          </w:tcPr>
          <w:p>
            <w:pPr>
              <w:pStyle w:val="47"/>
              <w:shd w:val="clear" w:color="auto" w:fill="FFFFFF"/>
              <w:adjustRightInd w:val="0"/>
              <w:snapToGrid w:val="0"/>
              <w:ind w:left="-105" w:leftChars="-50" w:right="-105" w:rightChars="-50"/>
              <w:jc w:val="center"/>
              <w:rPr>
                <w:bCs/>
                <w:sz w:val="18"/>
                <w:szCs w:val="18"/>
              </w:rPr>
            </w:pPr>
          </w:p>
        </w:tc>
        <w:tc>
          <w:tcPr>
            <w:tcW w:w="1418" w:type="dxa"/>
            <w:gridSpan w:val="2"/>
            <w:vAlign w:val="center"/>
          </w:tcPr>
          <w:p>
            <w:pPr>
              <w:pStyle w:val="47"/>
              <w:shd w:val="clear" w:color="auto" w:fill="FFFFFF"/>
              <w:adjustRightInd w:val="0"/>
              <w:snapToGrid w:val="0"/>
              <w:ind w:left="-105" w:leftChars="-50" w:right="-105" w:rightChars="-50"/>
              <w:jc w:val="center"/>
              <w:rPr>
                <w:bCs/>
                <w:sz w:val="18"/>
                <w:szCs w:val="18"/>
              </w:rPr>
            </w:pPr>
          </w:p>
        </w:tc>
        <w:tc>
          <w:tcPr>
            <w:tcW w:w="1276" w:type="dxa"/>
            <w:vAlign w:val="center"/>
          </w:tcPr>
          <w:p>
            <w:pPr>
              <w:pStyle w:val="47"/>
              <w:shd w:val="clear" w:color="auto" w:fill="FFFFFF"/>
              <w:adjustRightInd w:val="0"/>
              <w:snapToGrid w:val="0"/>
              <w:ind w:left="-105" w:leftChars="-50" w:right="-105" w:rightChars="-50"/>
              <w:jc w:val="center"/>
              <w:rPr>
                <w:bCs/>
                <w:sz w:val="18"/>
                <w:szCs w:val="18"/>
              </w:rPr>
            </w:pPr>
          </w:p>
        </w:tc>
        <w:tc>
          <w:tcPr>
            <w:tcW w:w="2551" w:type="dxa"/>
            <w:gridSpan w:val="3"/>
            <w:vAlign w:val="center"/>
          </w:tcPr>
          <w:p>
            <w:pPr>
              <w:pStyle w:val="47"/>
              <w:shd w:val="clear" w:color="auto" w:fill="FFFFFF"/>
              <w:adjustRightInd w:val="0"/>
              <w:snapToGrid w:val="0"/>
              <w:ind w:left="-105" w:leftChars="-50" w:right="-105" w:rightChars="-5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pPr>
              <w:pStyle w:val="47"/>
              <w:shd w:val="clear" w:color="auto" w:fill="FFFFFF"/>
              <w:adjustRightInd w:val="0"/>
              <w:snapToGrid w:val="0"/>
              <w:ind w:left="-105" w:leftChars="-50" w:right="-105" w:rightChars="-50"/>
              <w:jc w:val="center"/>
              <w:rPr>
                <w:bCs/>
                <w:spacing w:val="16"/>
                <w:sz w:val="18"/>
                <w:szCs w:val="18"/>
              </w:rPr>
            </w:pPr>
          </w:p>
        </w:tc>
        <w:tc>
          <w:tcPr>
            <w:tcW w:w="1553" w:type="dxa"/>
            <w:gridSpan w:val="2"/>
            <w:vAlign w:val="center"/>
          </w:tcPr>
          <w:p>
            <w:pPr>
              <w:pStyle w:val="47"/>
              <w:shd w:val="clear" w:color="auto" w:fill="FFFFFF"/>
              <w:adjustRightInd w:val="0"/>
              <w:snapToGrid w:val="0"/>
              <w:spacing w:before="0" w:beforeAutospacing="0" w:after="0" w:afterAutospacing="0"/>
              <w:ind w:left="-105" w:leftChars="-50" w:right="-105" w:rightChars="-50"/>
              <w:jc w:val="center"/>
              <w:rPr>
                <w:bCs/>
                <w:spacing w:val="41"/>
                <w:sz w:val="18"/>
                <w:szCs w:val="18"/>
              </w:rPr>
            </w:pPr>
            <w:r>
              <w:rPr>
                <w:rFonts w:hint="eastAsia"/>
                <w:bCs/>
                <w:spacing w:val="41"/>
                <w:sz w:val="18"/>
                <w:szCs w:val="18"/>
              </w:rPr>
              <w:t>企业通过质量体系、环保</w:t>
            </w:r>
            <w:r>
              <w:rPr>
                <w:rFonts w:hint="eastAsia"/>
                <w:bCs/>
                <w:spacing w:val="11"/>
                <w:sz w:val="18"/>
                <w:szCs w:val="18"/>
              </w:rPr>
              <w:t>体系、计量等认证情况</w:t>
            </w:r>
          </w:p>
        </w:tc>
        <w:tc>
          <w:tcPr>
            <w:tcW w:w="6578" w:type="dxa"/>
            <w:gridSpan w:val="9"/>
            <w:vAlign w:val="center"/>
          </w:tcPr>
          <w:p>
            <w:pPr>
              <w:pStyle w:val="47"/>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pPr>
              <w:pStyle w:val="47"/>
              <w:shd w:val="clear" w:color="auto" w:fill="FFFFFF"/>
              <w:adjustRightInd w:val="0"/>
              <w:snapToGrid w:val="0"/>
              <w:ind w:left="-105" w:leftChars="-50" w:right="-105" w:rightChars="-50"/>
              <w:jc w:val="center"/>
              <w:rPr>
                <w:bCs/>
                <w:spacing w:val="27"/>
                <w:sz w:val="18"/>
                <w:szCs w:val="18"/>
              </w:rPr>
            </w:pPr>
          </w:p>
        </w:tc>
        <w:tc>
          <w:tcPr>
            <w:tcW w:w="1553" w:type="dxa"/>
            <w:gridSpan w:val="2"/>
            <w:vAlign w:val="center"/>
          </w:tcPr>
          <w:p>
            <w:pPr>
              <w:pStyle w:val="47"/>
              <w:shd w:val="clear" w:color="auto" w:fill="FFFFFF"/>
              <w:adjustRightInd w:val="0"/>
              <w:snapToGrid w:val="0"/>
              <w:ind w:left="-105" w:leftChars="-50" w:right="-105" w:rightChars="-50"/>
              <w:jc w:val="center"/>
              <w:rPr>
                <w:bCs/>
                <w:spacing w:val="16"/>
                <w:sz w:val="18"/>
                <w:szCs w:val="18"/>
              </w:rPr>
            </w:pPr>
            <w:r>
              <w:rPr>
                <w:rFonts w:hint="eastAsia"/>
                <w:bCs/>
                <w:spacing w:val="10"/>
                <w:sz w:val="18"/>
                <w:szCs w:val="18"/>
              </w:rPr>
              <w:t>企业获得专利情况</w:t>
            </w:r>
          </w:p>
        </w:tc>
        <w:tc>
          <w:tcPr>
            <w:tcW w:w="6578" w:type="dxa"/>
            <w:gridSpan w:val="9"/>
            <w:vAlign w:val="center"/>
          </w:tcPr>
          <w:p>
            <w:pPr>
              <w:pStyle w:val="47"/>
              <w:shd w:val="clear" w:color="auto" w:fill="FFFFFF"/>
              <w:adjustRightInd w:val="0"/>
              <w:snapToGrid w:val="0"/>
              <w:ind w:left="-105" w:leftChars="-50" w:right="-105" w:rightChars="-50"/>
              <w:jc w:val="center"/>
              <w:rPr>
                <w:bCs/>
                <w:spacing w:val="16"/>
                <w:sz w:val="18"/>
                <w:szCs w:val="18"/>
              </w:rPr>
            </w:pPr>
          </w:p>
        </w:tc>
      </w:tr>
    </w:tbl>
    <w:p>
      <w:pPr>
        <w:pStyle w:val="51"/>
        <w:tabs>
          <w:tab w:val="left" w:pos="1050"/>
        </w:tabs>
        <w:spacing w:line="360" w:lineRule="auto"/>
        <w:ind w:firstLine="422"/>
        <w:rPr>
          <w:rFonts w:ascii="宋体" w:hAnsi="宋体"/>
          <w:szCs w:val="21"/>
        </w:rPr>
      </w:pPr>
      <w:r>
        <w:rPr>
          <w:rFonts w:hint="eastAsia" w:ascii="宋体" w:hAnsi="宋体"/>
          <w:b/>
          <w:szCs w:val="21"/>
        </w:rPr>
        <w:t>要求：</w:t>
      </w:r>
      <w:r>
        <w:rPr>
          <w:rFonts w:hint="eastAsia" w:ascii="宋体" w:hAnsi="宋体"/>
          <w:szCs w:val="21"/>
        </w:rPr>
        <w:t>在填写时，如本表格不适合响应单位的实际情况，可根据本表格式自行划表填写。</w:t>
      </w: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供应商名称（电子印章）：</w:t>
      </w:r>
    </w:p>
    <w:p>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pPr>
        <w:pStyle w:val="47"/>
        <w:shd w:val="clear" w:color="auto" w:fill="FFFFFF"/>
        <w:spacing w:before="0" w:beforeAutospacing="0" w:after="0" w:afterAutospacing="0" w:line="360" w:lineRule="auto"/>
        <w:ind w:firstLine="424" w:firstLineChars="177"/>
        <w:rPr>
          <w:b/>
          <w:bCs/>
          <w:spacing w:val="11"/>
        </w:rPr>
      </w:pPr>
      <w:r>
        <w:rPr>
          <w:rFonts w:hint="eastAsia"/>
        </w:rPr>
        <w:t>日        期：</w:t>
      </w:r>
    </w:p>
    <w:p>
      <w:pPr>
        <w:jc w:val="left"/>
        <w:rPr>
          <w:rFonts w:ascii="宋体" w:hAnsi="宋体"/>
          <w:b/>
          <w:bCs/>
          <w:kern w:val="0"/>
          <w:sz w:val="32"/>
          <w:szCs w:val="32"/>
        </w:rPr>
      </w:pPr>
      <w:r>
        <w:rPr>
          <w:rFonts w:hint="eastAsia" w:ascii="宋体" w:hAnsi="宋体"/>
          <w:b/>
          <w:bCs/>
          <w:kern w:val="0"/>
          <w:sz w:val="32"/>
          <w:szCs w:val="32"/>
        </w:rPr>
        <w:t>附件8</w:t>
      </w:r>
    </w:p>
    <w:p>
      <w:pPr>
        <w:pStyle w:val="51"/>
        <w:spacing w:line="360" w:lineRule="auto"/>
        <w:jc w:val="center"/>
        <w:rPr>
          <w:rFonts w:ascii="宋体" w:hAnsi="宋体"/>
          <w:b/>
          <w:sz w:val="32"/>
          <w:szCs w:val="32"/>
        </w:rPr>
      </w:pPr>
      <w:r>
        <w:rPr>
          <w:rFonts w:hint="eastAsia" w:ascii="宋体" w:hAnsi="宋体"/>
          <w:b/>
          <w:sz w:val="32"/>
          <w:szCs w:val="32"/>
        </w:rPr>
        <w:t>证书、证明材料一览表</w:t>
      </w:r>
    </w:p>
    <w:p>
      <w:pPr>
        <w:pStyle w:val="51"/>
        <w:spacing w:line="360" w:lineRule="auto"/>
        <w:jc w:val="center"/>
        <w:rPr>
          <w:rFonts w:ascii="宋体" w:hAnsi="宋体" w:cs="Arial"/>
          <w:sz w:val="28"/>
          <w:szCs w:val="28"/>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51"/>
              <w:spacing w:line="360" w:lineRule="auto"/>
              <w:jc w:val="center"/>
              <w:rPr>
                <w:rFonts w:ascii="宋体" w:hAnsi="宋体" w:cs="Arial"/>
                <w:b/>
                <w:bCs/>
                <w:sz w:val="24"/>
              </w:rPr>
            </w:pPr>
            <w:r>
              <w:rPr>
                <w:rFonts w:hint="eastAsia" w:ascii="宋体" w:hAnsi="宋体" w:cs="Arial"/>
                <w:b/>
                <w:bCs/>
                <w:sz w:val="24"/>
              </w:rPr>
              <w:t>证书名称、证明材料</w:t>
            </w:r>
          </w:p>
        </w:tc>
        <w:tc>
          <w:tcPr>
            <w:tcW w:w="2258" w:type="dxa"/>
            <w:tcBorders>
              <w:top w:val="single" w:color="auto" w:sz="4" w:space="0"/>
              <w:bottom w:val="single" w:color="auto" w:sz="4" w:space="0"/>
            </w:tcBorders>
          </w:tcPr>
          <w:p>
            <w:pPr>
              <w:pStyle w:val="51"/>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51"/>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51"/>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51"/>
              <w:spacing w:line="360" w:lineRule="auto"/>
              <w:jc w:val="center"/>
              <w:rPr>
                <w:rFonts w:ascii="宋体" w:hAnsi="宋体" w:cs="Arial"/>
                <w:szCs w:val="21"/>
              </w:rPr>
            </w:pPr>
          </w:p>
        </w:tc>
        <w:tc>
          <w:tcPr>
            <w:tcW w:w="2258" w:type="dxa"/>
            <w:tcBorders>
              <w:top w:val="single" w:color="auto" w:sz="4" w:space="0"/>
            </w:tcBorders>
          </w:tcPr>
          <w:p>
            <w:pPr>
              <w:pStyle w:val="51"/>
              <w:spacing w:line="360" w:lineRule="auto"/>
              <w:jc w:val="center"/>
              <w:rPr>
                <w:rFonts w:ascii="宋体" w:hAnsi="宋体" w:cs="Arial"/>
                <w:szCs w:val="21"/>
              </w:rPr>
            </w:pPr>
          </w:p>
        </w:tc>
        <w:tc>
          <w:tcPr>
            <w:tcW w:w="2260" w:type="dxa"/>
            <w:tcBorders>
              <w:top w:val="single" w:color="auto" w:sz="4" w:space="0"/>
            </w:tcBorders>
          </w:tcPr>
          <w:p>
            <w:pPr>
              <w:pStyle w:val="51"/>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5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1"/>
              <w:spacing w:line="360" w:lineRule="auto"/>
              <w:jc w:val="center"/>
              <w:rPr>
                <w:rFonts w:ascii="宋体" w:hAnsi="宋体" w:cs="Arial"/>
                <w:szCs w:val="21"/>
              </w:rPr>
            </w:pPr>
          </w:p>
        </w:tc>
        <w:tc>
          <w:tcPr>
            <w:tcW w:w="2258" w:type="dxa"/>
          </w:tcPr>
          <w:p>
            <w:pPr>
              <w:pStyle w:val="51"/>
              <w:spacing w:line="360" w:lineRule="auto"/>
              <w:jc w:val="center"/>
              <w:rPr>
                <w:rFonts w:ascii="宋体" w:hAnsi="宋体" w:cs="Arial"/>
                <w:szCs w:val="21"/>
              </w:rPr>
            </w:pPr>
          </w:p>
        </w:tc>
        <w:tc>
          <w:tcPr>
            <w:tcW w:w="2260" w:type="dxa"/>
          </w:tcPr>
          <w:p>
            <w:pPr>
              <w:pStyle w:val="51"/>
              <w:spacing w:line="360" w:lineRule="auto"/>
              <w:jc w:val="center"/>
              <w:rPr>
                <w:rFonts w:ascii="宋体" w:hAnsi="宋体" w:cs="Arial"/>
                <w:szCs w:val="21"/>
              </w:rPr>
            </w:pPr>
          </w:p>
        </w:tc>
        <w:tc>
          <w:tcPr>
            <w:tcW w:w="2047" w:type="dxa"/>
            <w:tcBorders>
              <w:right w:val="single" w:color="auto" w:sz="4" w:space="0"/>
            </w:tcBorders>
          </w:tcPr>
          <w:p>
            <w:pPr>
              <w:pStyle w:val="5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1"/>
              <w:spacing w:line="360" w:lineRule="auto"/>
              <w:jc w:val="center"/>
              <w:rPr>
                <w:rFonts w:ascii="宋体" w:hAnsi="宋体" w:cs="Arial"/>
                <w:szCs w:val="21"/>
              </w:rPr>
            </w:pPr>
          </w:p>
        </w:tc>
        <w:tc>
          <w:tcPr>
            <w:tcW w:w="2258" w:type="dxa"/>
          </w:tcPr>
          <w:p>
            <w:pPr>
              <w:pStyle w:val="51"/>
              <w:spacing w:line="360" w:lineRule="auto"/>
              <w:jc w:val="center"/>
              <w:rPr>
                <w:rFonts w:ascii="宋体" w:hAnsi="宋体" w:cs="Arial"/>
                <w:szCs w:val="21"/>
              </w:rPr>
            </w:pPr>
          </w:p>
        </w:tc>
        <w:tc>
          <w:tcPr>
            <w:tcW w:w="2260" w:type="dxa"/>
          </w:tcPr>
          <w:p>
            <w:pPr>
              <w:pStyle w:val="51"/>
              <w:spacing w:line="360" w:lineRule="auto"/>
              <w:jc w:val="center"/>
              <w:rPr>
                <w:rFonts w:ascii="宋体" w:hAnsi="宋体" w:cs="Arial"/>
                <w:szCs w:val="21"/>
              </w:rPr>
            </w:pPr>
          </w:p>
        </w:tc>
        <w:tc>
          <w:tcPr>
            <w:tcW w:w="2047" w:type="dxa"/>
            <w:tcBorders>
              <w:right w:val="single" w:color="auto" w:sz="4" w:space="0"/>
            </w:tcBorders>
          </w:tcPr>
          <w:p>
            <w:pPr>
              <w:pStyle w:val="5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1"/>
              <w:spacing w:line="360" w:lineRule="auto"/>
              <w:jc w:val="center"/>
              <w:rPr>
                <w:rFonts w:ascii="宋体" w:hAnsi="宋体" w:cs="Arial"/>
                <w:szCs w:val="21"/>
              </w:rPr>
            </w:pPr>
          </w:p>
        </w:tc>
        <w:tc>
          <w:tcPr>
            <w:tcW w:w="2258" w:type="dxa"/>
          </w:tcPr>
          <w:p>
            <w:pPr>
              <w:pStyle w:val="51"/>
              <w:spacing w:line="360" w:lineRule="auto"/>
              <w:jc w:val="center"/>
              <w:rPr>
                <w:rFonts w:ascii="宋体" w:hAnsi="宋体" w:cs="Arial"/>
                <w:szCs w:val="21"/>
              </w:rPr>
            </w:pPr>
          </w:p>
        </w:tc>
        <w:tc>
          <w:tcPr>
            <w:tcW w:w="2260" w:type="dxa"/>
          </w:tcPr>
          <w:p>
            <w:pPr>
              <w:pStyle w:val="51"/>
              <w:spacing w:line="360" w:lineRule="auto"/>
              <w:jc w:val="center"/>
              <w:rPr>
                <w:rFonts w:ascii="宋体" w:hAnsi="宋体" w:cs="Arial"/>
                <w:szCs w:val="21"/>
              </w:rPr>
            </w:pPr>
          </w:p>
        </w:tc>
        <w:tc>
          <w:tcPr>
            <w:tcW w:w="2047" w:type="dxa"/>
            <w:tcBorders>
              <w:right w:val="single" w:color="auto" w:sz="4" w:space="0"/>
            </w:tcBorders>
          </w:tcPr>
          <w:p>
            <w:pPr>
              <w:pStyle w:val="5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1"/>
              <w:spacing w:line="360" w:lineRule="auto"/>
              <w:jc w:val="center"/>
              <w:rPr>
                <w:rFonts w:ascii="宋体" w:hAnsi="宋体" w:cs="Arial"/>
                <w:szCs w:val="21"/>
              </w:rPr>
            </w:pPr>
          </w:p>
        </w:tc>
        <w:tc>
          <w:tcPr>
            <w:tcW w:w="2258" w:type="dxa"/>
          </w:tcPr>
          <w:p>
            <w:pPr>
              <w:pStyle w:val="51"/>
              <w:spacing w:line="360" w:lineRule="auto"/>
              <w:jc w:val="center"/>
              <w:rPr>
                <w:rFonts w:ascii="宋体" w:hAnsi="宋体" w:cs="Arial"/>
                <w:szCs w:val="21"/>
              </w:rPr>
            </w:pPr>
          </w:p>
        </w:tc>
        <w:tc>
          <w:tcPr>
            <w:tcW w:w="2260" w:type="dxa"/>
          </w:tcPr>
          <w:p>
            <w:pPr>
              <w:pStyle w:val="51"/>
              <w:spacing w:line="360" w:lineRule="auto"/>
              <w:jc w:val="center"/>
              <w:rPr>
                <w:rFonts w:ascii="宋体" w:hAnsi="宋体" w:cs="Arial"/>
                <w:szCs w:val="21"/>
              </w:rPr>
            </w:pPr>
          </w:p>
        </w:tc>
        <w:tc>
          <w:tcPr>
            <w:tcW w:w="2047" w:type="dxa"/>
            <w:tcBorders>
              <w:right w:val="single" w:color="auto" w:sz="4" w:space="0"/>
            </w:tcBorders>
          </w:tcPr>
          <w:p>
            <w:pPr>
              <w:pStyle w:val="5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1"/>
              <w:spacing w:line="360" w:lineRule="auto"/>
              <w:jc w:val="center"/>
              <w:rPr>
                <w:rFonts w:ascii="宋体" w:hAnsi="宋体" w:cs="Arial"/>
                <w:szCs w:val="21"/>
              </w:rPr>
            </w:pPr>
          </w:p>
        </w:tc>
        <w:tc>
          <w:tcPr>
            <w:tcW w:w="2258" w:type="dxa"/>
          </w:tcPr>
          <w:p>
            <w:pPr>
              <w:pStyle w:val="51"/>
              <w:spacing w:line="360" w:lineRule="auto"/>
              <w:jc w:val="center"/>
              <w:rPr>
                <w:rFonts w:ascii="宋体" w:hAnsi="宋体" w:cs="Arial"/>
                <w:szCs w:val="21"/>
              </w:rPr>
            </w:pPr>
          </w:p>
        </w:tc>
        <w:tc>
          <w:tcPr>
            <w:tcW w:w="2260" w:type="dxa"/>
          </w:tcPr>
          <w:p>
            <w:pPr>
              <w:pStyle w:val="51"/>
              <w:spacing w:line="360" w:lineRule="auto"/>
              <w:jc w:val="center"/>
              <w:rPr>
                <w:rFonts w:ascii="宋体" w:hAnsi="宋体" w:cs="Arial"/>
                <w:szCs w:val="21"/>
              </w:rPr>
            </w:pPr>
          </w:p>
        </w:tc>
        <w:tc>
          <w:tcPr>
            <w:tcW w:w="2047" w:type="dxa"/>
            <w:tcBorders>
              <w:right w:val="single" w:color="auto" w:sz="4" w:space="0"/>
            </w:tcBorders>
          </w:tcPr>
          <w:p>
            <w:pPr>
              <w:pStyle w:val="5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51"/>
              <w:spacing w:line="360" w:lineRule="auto"/>
              <w:jc w:val="center"/>
              <w:rPr>
                <w:rFonts w:ascii="宋体" w:hAnsi="宋体" w:cs="Arial"/>
                <w:szCs w:val="21"/>
              </w:rPr>
            </w:pPr>
          </w:p>
        </w:tc>
        <w:tc>
          <w:tcPr>
            <w:tcW w:w="2258" w:type="dxa"/>
            <w:tcBorders>
              <w:bottom w:val="single" w:color="auto" w:sz="4" w:space="0"/>
            </w:tcBorders>
          </w:tcPr>
          <w:p>
            <w:pPr>
              <w:pStyle w:val="51"/>
              <w:spacing w:line="360" w:lineRule="auto"/>
              <w:jc w:val="center"/>
              <w:rPr>
                <w:rFonts w:ascii="宋体" w:hAnsi="宋体" w:cs="Arial"/>
                <w:szCs w:val="21"/>
              </w:rPr>
            </w:pPr>
          </w:p>
        </w:tc>
        <w:tc>
          <w:tcPr>
            <w:tcW w:w="2260" w:type="dxa"/>
            <w:tcBorders>
              <w:bottom w:val="single" w:color="auto" w:sz="4" w:space="0"/>
            </w:tcBorders>
          </w:tcPr>
          <w:p>
            <w:pPr>
              <w:pStyle w:val="51"/>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51"/>
              <w:spacing w:line="360" w:lineRule="auto"/>
              <w:jc w:val="center"/>
              <w:rPr>
                <w:rFonts w:ascii="宋体" w:hAnsi="宋体" w:cs="Arial"/>
                <w:szCs w:val="21"/>
              </w:rPr>
            </w:pPr>
          </w:p>
        </w:tc>
      </w:tr>
    </w:tbl>
    <w:p>
      <w:pPr>
        <w:pStyle w:val="51"/>
        <w:tabs>
          <w:tab w:val="left" w:pos="1050"/>
        </w:tabs>
        <w:spacing w:line="360" w:lineRule="auto"/>
        <w:rPr>
          <w:rFonts w:ascii="仿宋_GB2312" w:hAnsi="宋体" w:eastAsia="仿宋_GB2312"/>
          <w:sz w:val="24"/>
        </w:rPr>
      </w:pPr>
    </w:p>
    <w:p>
      <w:pPr>
        <w:pStyle w:val="51"/>
        <w:tabs>
          <w:tab w:val="left" w:pos="1050"/>
        </w:tabs>
        <w:spacing w:line="360" w:lineRule="auto"/>
        <w:rPr>
          <w:rFonts w:ascii="宋体" w:hAnsi="宋体"/>
          <w:szCs w:val="21"/>
        </w:rPr>
      </w:pPr>
      <w:r>
        <w:rPr>
          <w:rFonts w:hint="eastAsia" w:ascii="宋体" w:hAnsi="宋体"/>
          <w:b/>
          <w:szCs w:val="21"/>
        </w:rPr>
        <w:t>要求：</w:t>
      </w:r>
    </w:p>
    <w:p>
      <w:pPr>
        <w:pStyle w:val="51"/>
        <w:tabs>
          <w:tab w:val="left" w:pos="1050"/>
        </w:tabs>
        <w:spacing w:line="360" w:lineRule="auto"/>
        <w:ind w:firstLine="424" w:firstLineChars="202"/>
        <w:rPr>
          <w:rFonts w:ascii="宋体" w:hAnsi="宋体"/>
          <w:szCs w:val="21"/>
        </w:rPr>
      </w:pPr>
      <w:r>
        <w:rPr>
          <w:rFonts w:hint="eastAsia" w:ascii="宋体" w:hAnsi="宋体"/>
          <w:szCs w:val="21"/>
        </w:rPr>
        <w:t>1.填写投标供应商获得资质、认证或企业信誉证书；</w:t>
      </w:r>
    </w:p>
    <w:p>
      <w:pPr>
        <w:pStyle w:val="51"/>
        <w:tabs>
          <w:tab w:val="left" w:pos="1050"/>
        </w:tabs>
        <w:spacing w:line="360" w:lineRule="auto"/>
        <w:ind w:firstLine="424" w:firstLineChars="202"/>
        <w:rPr>
          <w:rFonts w:ascii="宋体" w:hAnsi="宋体"/>
          <w:szCs w:val="21"/>
        </w:rPr>
      </w:pPr>
      <w:r>
        <w:rPr>
          <w:rFonts w:hint="eastAsia" w:ascii="宋体" w:hAnsi="宋体"/>
          <w:szCs w:val="21"/>
        </w:rPr>
        <w:t>2.附所列证书扫描件或影印件或其他证明材料。</w:t>
      </w:r>
    </w:p>
    <w:p>
      <w:pPr>
        <w:pStyle w:val="51"/>
        <w:tabs>
          <w:tab w:val="left" w:pos="1050"/>
        </w:tabs>
        <w:spacing w:line="360" w:lineRule="auto"/>
        <w:ind w:firstLine="720" w:firstLineChars="300"/>
        <w:rPr>
          <w:rFonts w:ascii="仿宋_GB2312" w:hAnsi="宋体" w:eastAsia="仿宋_GB2312"/>
          <w:sz w:val="24"/>
        </w:rPr>
      </w:pPr>
    </w:p>
    <w:p>
      <w:pPr>
        <w:pStyle w:val="51"/>
        <w:tabs>
          <w:tab w:val="left" w:pos="1050"/>
        </w:tabs>
        <w:spacing w:line="360" w:lineRule="auto"/>
        <w:ind w:firstLine="720" w:firstLineChars="300"/>
        <w:rPr>
          <w:rFonts w:ascii="仿宋_GB2312" w:hAnsi="宋体" w:eastAsia="仿宋_GB2312"/>
          <w:sz w:val="24"/>
        </w:rPr>
      </w:pPr>
    </w:p>
    <w:p>
      <w:pPr>
        <w:pStyle w:val="51"/>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rPr>
      </w:pPr>
      <w:r>
        <w:rPr>
          <w:rFonts w:hint="eastAsia" w:ascii="宋体" w:hAnsi="宋体"/>
          <w:sz w:val="24"/>
        </w:rPr>
        <w:t>供应商名称（电子印章）：</w:t>
      </w: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pPr>
        <w:pStyle w:val="47"/>
        <w:shd w:val="clear" w:color="auto" w:fill="FFFFFF"/>
        <w:spacing w:before="0" w:beforeAutospacing="0" w:after="0" w:afterAutospacing="0" w:line="360" w:lineRule="auto"/>
        <w:ind w:firstLine="424" w:firstLineChars="177"/>
      </w:pPr>
    </w:p>
    <w:p>
      <w:pPr>
        <w:pStyle w:val="47"/>
        <w:shd w:val="clear" w:color="auto" w:fill="FFFFFF"/>
        <w:spacing w:before="0" w:beforeAutospacing="0" w:after="0" w:afterAutospacing="0" w:line="360" w:lineRule="auto"/>
        <w:ind w:firstLine="424" w:firstLineChars="177"/>
        <w:rPr>
          <w:b/>
          <w:bCs/>
          <w:spacing w:val="11"/>
        </w:rPr>
      </w:pPr>
      <w:r>
        <w:rPr>
          <w:rFonts w:hint="eastAsia"/>
        </w:rPr>
        <w:t>日        期：</w:t>
      </w:r>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jc w:val="left"/>
        <w:rPr>
          <w:rFonts w:ascii="宋体" w:hAnsi="宋体"/>
          <w:b/>
          <w:bCs/>
          <w:kern w:val="0"/>
          <w:sz w:val="32"/>
          <w:szCs w:val="32"/>
        </w:rPr>
      </w:pPr>
      <w:r>
        <w:rPr>
          <w:rFonts w:hint="eastAsia" w:ascii="宋体" w:hAnsi="宋体"/>
          <w:b/>
          <w:bCs/>
          <w:kern w:val="0"/>
          <w:sz w:val="32"/>
          <w:szCs w:val="32"/>
        </w:rPr>
        <w:t>附件9</w:t>
      </w:r>
    </w:p>
    <w:bookmarkEnd w:id="48"/>
    <w:bookmarkEnd w:id="49"/>
    <w:p>
      <w:pPr>
        <w:spacing w:line="360" w:lineRule="auto"/>
        <w:ind w:left="549" w:hanging="549" w:hangingChars="171"/>
        <w:jc w:val="center"/>
        <w:rPr>
          <w:rFonts w:ascii="宋体" w:hAnsi="宋体"/>
          <w:b/>
          <w:sz w:val="32"/>
          <w:szCs w:val="32"/>
        </w:rPr>
      </w:pPr>
      <w:r>
        <w:rPr>
          <w:rFonts w:hint="eastAsia" w:ascii="宋体" w:hAnsi="宋体"/>
          <w:b/>
          <w:sz w:val="32"/>
          <w:szCs w:val="32"/>
        </w:rPr>
        <w:t>商务与技术需求响应表</w:t>
      </w:r>
    </w:p>
    <w:p>
      <w:pPr>
        <w:spacing w:line="360" w:lineRule="auto"/>
        <w:ind w:left="481" w:leftChars="229" w:firstLine="813" w:firstLineChars="450"/>
        <w:rPr>
          <w:rFonts w:ascii="宋体" w:hAnsi="宋体"/>
          <w:b/>
          <w:sz w:val="18"/>
          <w:szCs w:val="18"/>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r>
        <w:rPr>
          <w:rFonts w:hint="eastAsia" w:ascii="宋体" w:hAnsi="宋体"/>
          <w:b/>
          <w:szCs w:val="21"/>
        </w:rPr>
        <w:t>要求：本表“内容”栏根据招标文件第三章项目需求内容填写。如无偏离，可不需逐条响应，在本表中写明“无偏离，完全响应招标文件要求”，如有条款偏离，则必须逐条填写响应情况。</w:t>
      </w: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供应商名称（电子印章）：</w:t>
      </w: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pPr>
        <w:pStyle w:val="47"/>
        <w:shd w:val="clear" w:color="auto" w:fill="FFFFFF"/>
        <w:spacing w:before="0" w:beforeAutospacing="0" w:after="0" w:afterAutospacing="0" w:line="360" w:lineRule="auto"/>
        <w:ind w:firstLine="424" w:firstLineChars="177"/>
      </w:pPr>
    </w:p>
    <w:p>
      <w:pPr>
        <w:pStyle w:val="47"/>
        <w:shd w:val="clear" w:color="auto" w:fill="FFFFFF"/>
        <w:spacing w:before="0" w:beforeAutospacing="0" w:after="0" w:afterAutospacing="0" w:line="360" w:lineRule="auto"/>
        <w:ind w:firstLine="424" w:firstLineChars="177"/>
        <w:rPr>
          <w:b/>
          <w:bCs/>
          <w:spacing w:val="11"/>
        </w:rPr>
      </w:pPr>
      <w:r>
        <w:rPr>
          <w:rFonts w:hint="eastAsia"/>
        </w:rPr>
        <w:t>日        期：</w:t>
      </w:r>
    </w:p>
    <w:p>
      <w:pPr>
        <w:tabs>
          <w:tab w:val="left" w:pos="2460"/>
        </w:tabs>
        <w:spacing w:line="360" w:lineRule="auto"/>
        <w:ind w:firstLine="435"/>
        <w:rPr>
          <w:rFonts w:ascii="宋体" w:hAnsi="宋体"/>
          <w:b/>
          <w:sz w:val="28"/>
        </w:rPr>
      </w:pPr>
    </w:p>
    <w:p>
      <w:pPr>
        <w:widowControl/>
        <w:jc w:val="left"/>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附件10</w:t>
      </w:r>
    </w:p>
    <w:p>
      <w:pPr>
        <w:pStyle w:val="50"/>
        <w:spacing w:line="360" w:lineRule="auto"/>
        <w:jc w:val="center"/>
        <w:rPr>
          <w:rFonts w:ascii="宋体" w:hAnsi="宋体"/>
          <w:b/>
          <w:sz w:val="32"/>
          <w:szCs w:val="32"/>
        </w:rPr>
      </w:pPr>
      <w:r>
        <w:rPr>
          <w:rFonts w:hint="eastAsia" w:ascii="宋体" w:hAnsi="宋体"/>
          <w:b/>
          <w:sz w:val="32"/>
          <w:szCs w:val="32"/>
        </w:rPr>
        <w:t>供应商类似项目实施情况一览表</w:t>
      </w:r>
    </w:p>
    <w:p>
      <w:pPr>
        <w:pStyle w:val="50"/>
        <w:spacing w:line="360" w:lineRule="auto"/>
        <w:jc w:val="center"/>
        <w:rPr>
          <w:rFonts w:ascii="仿宋_GB2312" w:eastAsia="仿宋_GB2312"/>
          <w:b/>
          <w:sz w:val="28"/>
          <w:szCs w:val="28"/>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0"/>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0"/>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0"/>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0"/>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0"/>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0"/>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0"/>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扫描件或影印件可只提供首页、含金额页、盖章页并加盖投标供应商电子印章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.投标供应商</w:t>
      </w:r>
      <w:r>
        <w:rPr>
          <w:rFonts w:ascii="宋体" w:hAnsi="宋体" w:cs="Arial"/>
          <w:szCs w:val="21"/>
        </w:rPr>
        <w:t>可按此表格式复制</w:t>
      </w:r>
      <w:r>
        <w:rPr>
          <w:rFonts w:hint="eastAsia" w:ascii="宋体" w:hAnsi="宋体" w:cs="Arial"/>
          <w:szCs w:val="21"/>
        </w:rPr>
        <w:t>。</w:t>
      </w:r>
    </w:p>
    <w:p>
      <w:pPr>
        <w:widowControl/>
        <w:jc w:val="left"/>
        <w:rPr>
          <w:rFonts w:ascii="宋体" w:hAnsi="宋体"/>
          <w:b/>
          <w:sz w:val="28"/>
        </w:rPr>
      </w:pPr>
    </w:p>
    <w:p>
      <w:pPr>
        <w:widowControl/>
        <w:jc w:val="left"/>
        <w:rPr>
          <w:rFonts w:ascii="宋体" w:hAnsi="宋体"/>
          <w:b/>
          <w:sz w:val="28"/>
        </w:rPr>
      </w:pPr>
    </w:p>
    <w:p>
      <w:pPr>
        <w:spacing w:line="360" w:lineRule="auto"/>
        <w:ind w:firstLine="424" w:firstLineChars="177"/>
        <w:rPr>
          <w:rFonts w:ascii="宋体" w:hAnsi="宋体"/>
          <w:sz w:val="24"/>
        </w:rPr>
      </w:pPr>
      <w:r>
        <w:rPr>
          <w:rFonts w:hint="eastAsia" w:ascii="宋体" w:hAnsi="宋体"/>
          <w:sz w:val="24"/>
        </w:rPr>
        <w:t>供应商名称（电子印章）：</w:t>
      </w: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pPr>
        <w:pStyle w:val="47"/>
        <w:shd w:val="clear" w:color="auto" w:fill="FFFFFF"/>
        <w:spacing w:before="0" w:beforeAutospacing="0" w:after="0" w:afterAutospacing="0" w:line="360" w:lineRule="auto"/>
        <w:ind w:firstLine="424" w:firstLineChars="177"/>
      </w:pPr>
    </w:p>
    <w:p>
      <w:pPr>
        <w:pStyle w:val="47"/>
        <w:shd w:val="clear" w:color="auto" w:fill="FFFFFF"/>
        <w:spacing w:before="0" w:beforeAutospacing="0" w:after="0" w:afterAutospacing="0" w:line="360" w:lineRule="auto"/>
        <w:ind w:firstLine="424" w:firstLineChars="177"/>
        <w:rPr>
          <w:b/>
          <w:bCs/>
          <w:spacing w:val="11"/>
        </w:rPr>
      </w:pPr>
      <w:r>
        <w:rPr>
          <w:rFonts w:hint="eastAsia"/>
        </w:rPr>
        <w:t>日        期：</w:t>
      </w:r>
    </w:p>
    <w:p>
      <w:pPr>
        <w:widowControl/>
        <w:jc w:val="left"/>
        <w:rPr>
          <w:rFonts w:ascii="宋体" w:hAnsi="宋体"/>
          <w:b/>
          <w:sz w:val="28"/>
        </w:rPr>
      </w:pPr>
      <w:r>
        <w:rPr>
          <w:rFonts w:ascii="宋体" w:hAnsi="宋体"/>
          <w:b/>
          <w:sz w:val="28"/>
        </w:rPr>
        <w:br w:type="page"/>
      </w:r>
    </w:p>
    <w:p>
      <w:pPr>
        <w:spacing w:line="360" w:lineRule="auto"/>
        <w:ind w:right="-110"/>
        <w:jc w:val="left"/>
      </w:pPr>
      <w:r>
        <w:rPr>
          <w:rFonts w:hint="eastAsia" w:ascii="宋体" w:hAnsi="宋体"/>
          <w:b/>
          <w:sz w:val="28"/>
        </w:rPr>
        <w:t>附件12</w:t>
      </w:r>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pPr>
        <w:spacing w:line="360" w:lineRule="auto"/>
        <w:ind w:left="-2" w:hanging="2"/>
        <w:jc w:val="center"/>
        <w:rPr>
          <w:rFonts w:ascii="宋体" w:hAnsi="宋体"/>
          <w:b/>
          <w:sz w:val="32"/>
          <w:szCs w:val="32"/>
        </w:rPr>
      </w:pPr>
    </w:p>
    <w:p>
      <w:pPr>
        <w:pStyle w:val="16"/>
        <w:spacing w:line="320" w:lineRule="exact"/>
        <w:rPr>
          <w:rFonts w:hAnsi="宋体"/>
          <w:b/>
          <w:sz w:val="24"/>
        </w:rPr>
      </w:pPr>
      <w:r>
        <w:rPr>
          <w:rFonts w:hAnsi="宋体"/>
          <w:b/>
          <w:sz w:val="24"/>
        </w:rPr>
        <w:t>项目编号：</w:t>
      </w:r>
      <w:r>
        <w:rPr>
          <w:rFonts w:hint="eastAsia" w:hAnsi="宋体"/>
          <w:b/>
          <w:sz w:val="24"/>
        </w:rPr>
        <w:t xml:space="preserve"> </w:t>
      </w:r>
    </w:p>
    <w:p>
      <w:pPr>
        <w:pStyle w:val="56"/>
        <w:spacing w:line="360" w:lineRule="auto"/>
        <w:ind w:right="480"/>
        <w:jc w:val="left"/>
        <w:rPr>
          <w:rFonts w:ascii="宋体" w:hAnsi="宋体"/>
          <w:sz w:val="24"/>
        </w:rPr>
      </w:pPr>
      <w:r>
        <w:rPr>
          <w:rFonts w:hAnsi="宋体"/>
          <w:b/>
          <w:sz w:val="24"/>
        </w:rPr>
        <w:t>项目名称：</w:t>
      </w:r>
      <w:r>
        <w:rPr>
          <w:rFonts w:hint="eastAsia" w:hAnsi="宋体"/>
          <w:b/>
          <w:sz w:val="24"/>
        </w:rPr>
        <w:t xml:space="preserve"> </w:t>
      </w:r>
    </w:p>
    <w:p>
      <w:pPr>
        <w:pStyle w:val="56"/>
        <w:spacing w:line="360" w:lineRule="auto"/>
        <w:ind w:right="480"/>
        <w:jc w:val="right"/>
        <w:rPr>
          <w:rFonts w:hAnsi="宋体"/>
          <w:sz w:val="24"/>
        </w:rPr>
      </w:pPr>
      <w:r>
        <w:rPr>
          <w:rFonts w:hint="eastAsia" w:ascii="宋体" w:hAnsi="宋体"/>
          <w:sz w:val="24"/>
        </w:rPr>
        <w:t>[货币单位：人民币元]</w:t>
      </w:r>
    </w:p>
    <w:tbl>
      <w:tblPr>
        <w:tblStyle w:val="2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533"/>
        <w:gridCol w:w="3629"/>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36" w:type="dxa"/>
            <w:vAlign w:val="center"/>
          </w:tcPr>
          <w:p>
            <w:pPr>
              <w:tabs>
                <w:tab w:val="left" w:pos="8280"/>
              </w:tabs>
              <w:autoSpaceDE w:val="0"/>
              <w:autoSpaceDN w:val="0"/>
              <w:adjustRightInd w:val="0"/>
              <w:spacing w:line="300" w:lineRule="exact"/>
              <w:jc w:val="center"/>
              <w:rPr>
                <w:rFonts w:ascii="宋体" w:hAnsi="宋体" w:cs="宋体"/>
                <w:sz w:val="24"/>
              </w:rPr>
            </w:pPr>
            <w:r>
              <w:rPr>
                <w:rFonts w:hint="eastAsia" w:ascii="宋体" w:hAnsi="宋体" w:cs="宋体"/>
                <w:sz w:val="24"/>
              </w:rPr>
              <w:t>序号</w:t>
            </w:r>
          </w:p>
        </w:tc>
        <w:tc>
          <w:tcPr>
            <w:tcW w:w="2533" w:type="dxa"/>
            <w:vAlign w:val="center"/>
          </w:tcPr>
          <w:p>
            <w:pPr>
              <w:autoSpaceDE w:val="0"/>
              <w:autoSpaceDN w:val="0"/>
              <w:adjustRightInd w:val="0"/>
              <w:spacing w:line="240" w:lineRule="exact"/>
              <w:ind w:right="25"/>
              <w:jc w:val="center"/>
              <w:rPr>
                <w:rFonts w:ascii="宋体" w:hAnsi="宋体" w:cs="宋体"/>
                <w:sz w:val="24"/>
              </w:rPr>
            </w:pPr>
            <w:r>
              <w:rPr>
                <w:rFonts w:hint="eastAsia" w:ascii="宋体" w:hAnsi="宋体" w:cs="宋体"/>
                <w:sz w:val="24"/>
              </w:rPr>
              <w:t>服务内容</w:t>
            </w:r>
          </w:p>
        </w:tc>
        <w:tc>
          <w:tcPr>
            <w:tcW w:w="3629" w:type="dxa"/>
            <w:vAlign w:val="center"/>
          </w:tcPr>
          <w:p>
            <w:pPr>
              <w:autoSpaceDE w:val="0"/>
              <w:autoSpaceDN w:val="0"/>
              <w:adjustRightInd w:val="0"/>
              <w:spacing w:line="240" w:lineRule="exact"/>
              <w:ind w:right="25"/>
              <w:jc w:val="center"/>
              <w:rPr>
                <w:rFonts w:ascii="宋体" w:hAnsi="宋体" w:cs="宋体"/>
                <w:sz w:val="24"/>
              </w:rPr>
            </w:pPr>
            <w:r>
              <w:rPr>
                <w:rFonts w:hint="eastAsia" w:ascii="宋体" w:hAnsi="宋体" w:cs="宋体"/>
                <w:sz w:val="24"/>
              </w:rPr>
              <w:t>投标报价</w:t>
            </w:r>
          </w:p>
        </w:tc>
        <w:tc>
          <w:tcPr>
            <w:tcW w:w="2200" w:type="dxa"/>
            <w:vAlign w:val="center"/>
          </w:tcPr>
          <w:p>
            <w:pPr>
              <w:autoSpaceDE w:val="0"/>
              <w:autoSpaceDN w:val="0"/>
              <w:adjustRightInd w:val="0"/>
              <w:spacing w:line="240" w:lineRule="exact"/>
              <w:ind w:right="25"/>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6" w:type="dxa"/>
            <w:vMerge w:val="restart"/>
            <w:vAlign w:val="center"/>
          </w:tcPr>
          <w:p>
            <w:pPr>
              <w:tabs>
                <w:tab w:val="left" w:pos="8280"/>
              </w:tabs>
              <w:autoSpaceDE w:val="0"/>
              <w:autoSpaceDN w:val="0"/>
              <w:adjustRightInd w:val="0"/>
              <w:spacing w:line="300" w:lineRule="exact"/>
              <w:jc w:val="center"/>
              <w:rPr>
                <w:rFonts w:ascii="宋体" w:hAnsi="宋体" w:cs="宋体"/>
                <w:sz w:val="24"/>
              </w:rPr>
            </w:pPr>
            <w:r>
              <w:rPr>
                <w:rFonts w:hint="eastAsia" w:ascii="宋体" w:hAnsi="宋体" w:cs="宋体"/>
                <w:sz w:val="24"/>
              </w:rPr>
              <w:t>1</w:t>
            </w:r>
          </w:p>
        </w:tc>
        <w:tc>
          <w:tcPr>
            <w:tcW w:w="2533" w:type="dxa"/>
            <w:vMerge w:val="restart"/>
            <w:vAlign w:val="center"/>
          </w:tcPr>
          <w:p>
            <w:pPr>
              <w:tabs>
                <w:tab w:val="left" w:pos="8280"/>
              </w:tabs>
              <w:autoSpaceDE w:val="0"/>
              <w:autoSpaceDN w:val="0"/>
              <w:adjustRightInd w:val="0"/>
              <w:spacing w:line="300" w:lineRule="exact"/>
              <w:jc w:val="center"/>
              <w:rPr>
                <w:rFonts w:hint="eastAsia" w:ascii="宋体" w:hAnsi="宋体" w:eastAsia="宋体" w:cs="宋体"/>
                <w:sz w:val="24"/>
                <w:lang w:eastAsia="zh-CN"/>
              </w:rPr>
            </w:pPr>
            <w:r>
              <w:rPr>
                <w:rFonts w:hint="eastAsia" w:ascii="宋体" w:hAnsi="宋体" w:cs="宋体"/>
                <w:sz w:val="24"/>
                <w:lang w:eastAsia="zh-CN"/>
              </w:rPr>
              <w:t>2024年台州湾新区取水管理服务（重新招标）</w:t>
            </w:r>
          </w:p>
        </w:tc>
        <w:tc>
          <w:tcPr>
            <w:tcW w:w="3629" w:type="dxa"/>
            <w:vAlign w:val="center"/>
          </w:tcPr>
          <w:p>
            <w:pPr>
              <w:tabs>
                <w:tab w:val="left" w:pos="8280"/>
              </w:tabs>
              <w:autoSpaceDE w:val="0"/>
              <w:autoSpaceDN w:val="0"/>
              <w:adjustRightInd w:val="0"/>
              <w:spacing w:line="300" w:lineRule="exact"/>
              <w:jc w:val="left"/>
              <w:rPr>
                <w:rFonts w:ascii="宋体" w:hAnsi="宋体" w:cs="宋体"/>
                <w:sz w:val="24"/>
              </w:rPr>
            </w:pP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元</w:t>
            </w:r>
          </w:p>
        </w:tc>
        <w:tc>
          <w:tcPr>
            <w:tcW w:w="2200" w:type="dxa"/>
            <w:vMerge w:val="restart"/>
            <w:vAlign w:val="center"/>
          </w:tcPr>
          <w:p>
            <w:pPr>
              <w:tabs>
                <w:tab w:val="left" w:pos="8280"/>
              </w:tabs>
              <w:autoSpaceDE w:val="0"/>
              <w:autoSpaceDN w:val="0"/>
              <w:adjustRightInd w:val="0"/>
              <w:spacing w:line="300" w:lineRule="exact"/>
              <w:ind w:firstLine="4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36" w:type="dxa"/>
            <w:vMerge w:val="continue"/>
            <w:vAlign w:val="center"/>
          </w:tcPr>
          <w:p>
            <w:pPr>
              <w:tabs>
                <w:tab w:val="left" w:pos="8280"/>
              </w:tabs>
              <w:autoSpaceDE w:val="0"/>
              <w:autoSpaceDN w:val="0"/>
              <w:adjustRightInd w:val="0"/>
              <w:spacing w:line="300" w:lineRule="exact"/>
              <w:jc w:val="center"/>
              <w:rPr>
                <w:rFonts w:ascii="宋体" w:hAnsi="宋体" w:cs="宋体"/>
                <w:sz w:val="24"/>
              </w:rPr>
            </w:pPr>
          </w:p>
        </w:tc>
        <w:tc>
          <w:tcPr>
            <w:tcW w:w="2533" w:type="dxa"/>
            <w:vMerge w:val="continue"/>
            <w:vAlign w:val="center"/>
          </w:tcPr>
          <w:p>
            <w:pPr>
              <w:tabs>
                <w:tab w:val="left" w:pos="8280"/>
              </w:tabs>
              <w:autoSpaceDE w:val="0"/>
              <w:autoSpaceDN w:val="0"/>
              <w:adjustRightInd w:val="0"/>
              <w:spacing w:line="300" w:lineRule="exact"/>
              <w:jc w:val="center"/>
              <w:rPr>
                <w:rFonts w:ascii="宋体" w:hAnsi="宋体" w:cs="宋体"/>
                <w:sz w:val="24"/>
              </w:rPr>
            </w:pPr>
          </w:p>
        </w:tc>
        <w:tc>
          <w:tcPr>
            <w:tcW w:w="3629" w:type="dxa"/>
            <w:vAlign w:val="center"/>
          </w:tcPr>
          <w:p>
            <w:pPr>
              <w:tabs>
                <w:tab w:val="left" w:pos="8280"/>
              </w:tabs>
              <w:autoSpaceDE w:val="0"/>
              <w:autoSpaceDN w:val="0"/>
              <w:adjustRightInd w:val="0"/>
              <w:spacing w:line="300" w:lineRule="exact"/>
              <w:jc w:val="left"/>
              <w:rPr>
                <w:rFonts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tc>
        <w:tc>
          <w:tcPr>
            <w:tcW w:w="2200" w:type="dxa"/>
            <w:vMerge w:val="continue"/>
            <w:vAlign w:val="center"/>
          </w:tcPr>
          <w:p>
            <w:pPr>
              <w:tabs>
                <w:tab w:val="left" w:pos="8280"/>
              </w:tabs>
              <w:autoSpaceDE w:val="0"/>
              <w:autoSpaceDN w:val="0"/>
              <w:adjustRightInd w:val="0"/>
              <w:spacing w:line="300" w:lineRule="exact"/>
              <w:jc w:val="center"/>
              <w:rPr>
                <w:rFonts w:ascii="宋体" w:hAnsi="宋体" w:cs="宋体"/>
                <w:sz w:val="24"/>
              </w:rPr>
            </w:pPr>
          </w:p>
        </w:tc>
      </w:tr>
    </w:tbl>
    <w:p>
      <w:pPr>
        <w:spacing w:line="360" w:lineRule="auto"/>
        <w:rPr>
          <w:rFonts w:ascii="宋体" w:hAnsi="宋体"/>
          <w:sz w:val="24"/>
        </w:rPr>
      </w:pPr>
      <w:r>
        <w:rPr>
          <w:rFonts w:hint="eastAsia" w:ascii="宋体" w:hAnsi="宋体"/>
          <w:b/>
          <w:szCs w:val="21"/>
        </w:rPr>
        <w:t>填报要求：</w:t>
      </w:r>
    </w:p>
    <w:p>
      <w:pPr>
        <w:spacing w:line="360" w:lineRule="auto"/>
        <w:ind w:left="420"/>
        <w:rPr>
          <w:rFonts w:ascii="宋体" w:hAnsi="宋体" w:cs="宋体"/>
          <w:szCs w:val="21"/>
        </w:rPr>
      </w:pPr>
      <w:r>
        <w:rPr>
          <w:rFonts w:hint="eastAsia" w:ascii="宋体" w:hAnsi="宋体" w:cs="宋体"/>
          <w:szCs w:val="21"/>
        </w:rPr>
        <w:t>1.</w:t>
      </w:r>
      <w:r>
        <w:rPr>
          <w:rFonts w:hint="eastAsia" w:ascii="宋体" w:hAnsi="宋体"/>
          <w:szCs w:val="21"/>
        </w:rPr>
        <w:t>报价应包含完成本合同内容的全部费用。</w:t>
      </w:r>
    </w:p>
    <w:p>
      <w:pPr>
        <w:spacing w:line="360" w:lineRule="auto"/>
        <w:ind w:left="420"/>
      </w:pPr>
      <w:r>
        <w:rPr>
          <w:rFonts w:hint="eastAsia"/>
        </w:rPr>
        <w:t>2.</w:t>
      </w:r>
      <w:r>
        <w:rPr>
          <w:rFonts w:hint="eastAsia" w:ascii="宋体" w:hAnsi="宋体" w:cs="宋体"/>
          <w:szCs w:val="21"/>
        </w:rPr>
        <w:t xml:space="preserve"> 报价一经涂改，应在涂改处加盖单位公章，或者由法定代表人或授权代理人签字或盖章，否则其投标作无效标处理。</w:t>
      </w:r>
    </w:p>
    <w:p>
      <w:pPr>
        <w:spacing w:line="360" w:lineRule="auto"/>
        <w:rPr>
          <w:rFonts w:hAnsi="宋体" w:cs="宋体"/>
          <w:kern w:val="0"/>
          <w:sz w:val="24"/>
          <w:szCs w:val="21"/>
        </w:rPr>
      </w:pPr>
    </w:p>
    <w:p>
      <w:pPr>
        <w:pStyle w:val="12"/>
      </w:pPr>
    </w:p>
    <w:p>
      <w:pPr>
        <w:spacing w:line="360" w:lineRule="auto"/>
        <w:ind w:firstLine="424" w:firstLineChars="177"/>
        <w:rPr>
          <w:rFonts w:ascii="宋体" w:hAnsi="宋体"/>
          <w:sz w:val="24"/>
        </w:rPr>
      </w:pPr>
      <w:r>
        <w:rPr>
          <w:rFonts w:hint="eastAsia" w:ascii="宋体" w:hAnsi="宋体"/>
          <w:sz w:val="24"/>
        </w:rPr>
        <w:t>供应商名称（电子印章）：</w:t>
      </w: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pPr>
        <w:pStyle w:val="47"/>
        <w:shd w:val="clear" w:color="auto" w:fill="FFFFFF"/>
        <w:spacing w:before="0" w:beforeAutospacing="0" w:after="0" w:afterAutospacing="0" w:line="360" w:lineRule="auto"/>
        <w:ind w:firstLine="424" w:firstLineChars="177"/>
      </w:pPr>
    </w:p>
    <w:p>
      <w:pPr>
        <w:pStyle w:val="47"/>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8"/>
        </w:rPr>
      </w:pPr>
    </w:p>
    <w:p>
      <w:r>
        <w:br w:type="page"/>
      </w:r>
    </w:p>
    <w:p>
      <w:pPr>
        <w:spacing w:line="360" w:lineRule="auto"/>
        <w:ind w:right="-110"/>
        <w:jc w:val="left"/>
      </w:pPr>
      <w:r>
        <w:rPr>
          <w:rFonts w:hint="eastAsia" w:ascii="宋体" w:hAnsi="宋体"/>
          <w:b/>
          <w:sz w:val="28"/>
        </w:rPr>
        <w:t>附件13</w:t>
      </w:r>
    </w:p>
    <w:p>
      <w:pPr>
        <w:pStyle w:val="55"/>
        <w:adjustRightInd w:val="0"/>
        <w:snapToGrid w:val="0"/>
        <w:spacing w:line="360" w:lineRule="auto"/>
        <w:jc w:val="center"/>
        <w:rPr>
          <w:rFonts w:ascii="宋体" w:hAnsi="宋体" w:cs="宋体"/>
          <w:b/>
          <w:sz w:val="32"/>
          <w:szCs w:val="32"/>
          <w:lang w:val="en-GB"/>
        </w:rPr>
      </w:pPr>
      <w:r>
        <w:rPr>
          <w:rFonts w:hint="eastAsia" w:ascii="宋体" w:hAnsi="宋体" w:cs="宋体"/>
          <w:b/>
          <w:sz w:val="32"/>
          <w:szCs w:val="32"/>
          <w:lang w:val="en-GB"/>
        </w:rPr>
        <w:t>报价明细表</w:t>
      </w:r>
    </w:p>
    <w:tbl>
      <w:tblPr>
        <w:tblStyle w:val="29"/>
        <w:tblW w:w="10175" w:type="dxa"/>
        <w:jc w:val="center"/>
        <w:tblLayout w:type="fixed"/>
        <w:tblCellMar>
          <w:top w:w="0" w:type="dxa"/>
          <w:left w:w="108" w:type="dxa"/>
          <w:bottom w:w="0" w:type="dxa"/>
          <w:right w:w="108" w:type="dxa"/>
        </w:tblCellMar>
      </w:tblPr>
      <w:tblGrid>
        <w:gridCol w:w="808"/>
        <w:gridCol w:w="1294"/>
        <w:gridCol w:w="2879"/>
        <w:gridCol w:w="737"/>
        <w:gridCol w:w="727"/>
        <w:gridCol w:w="1117"/>
        <w:gridCol w:w="1111"/>
        <w:gridCol w:w="1502"/>
      </w:tblGrid>
      <w:tr>
        <w:tblPrEx>
          <w:tblCellMar>
            <w:top w:w="0" w:type="dxa"/>
            <w:left w:w="108" w:type="dxa"/>
            <w:bottom w:w="0" w:type="dxa"/>
            <w:right w:w="108" w:type="dxa"/>
          </w:tblCellMar>
        </w:tblPrEx>
        <w:trPr>
          <w:trHeight w:val="578"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产品名称</w:t>
            </w:r>
          </w:p>
        </w:tc>
        <w:tc>
          <w:tcPr>
            <w:tcW w:w="2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工作内容</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合计（元）</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526" w:hRule="atLeast"/>
          <w:jc w:val="center"/>
        </w:trPr>
        <w:tc>
          <w:tcPr>
            <w:tcW w:w="10175" w:type="dxa"/>
            <w:gridSpan w:val="8"/>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rPr>
              <w:t>一、率定比测</w:t>
            </w:r>
          </w:p>
        </w:tc>
      </w:tr>
      <w:tr>
        <w:tblPrEx>
          <w:tblCellMar>
            <w:top w:w="0" w:type="dxa"/>
            <w:left w:w="108" w:type="dxa"/>
            <w:bottom w:w="0" w:type="dxa"/>
            <w:right w:w="108" w:type="dxa"/>
          </w:tblCellMar>
        </w:tblPrEx>
        <w:trPr>
          <w:trHeight w:val="1805"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率定比测工作，出具率定报告</w:t>
            </w:r>
          </w:p>
        </w:tc>
        <w:tc>
          <w:tcPr>
            <w:tcW w:w="2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1.2024年完成10家台州湾新区取水计量设施的率定比测工作。2.要求具有检验检测资质的第三方认证，并出具校准报告。</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详见取水在线实时监控系统率定比测清单</w:t>
            </w:r>
          </w:p>
        </w:tc>
      </w:tr>
      <w:tr>
        <w:tblPrEx>
          <w:tblCellMar>
            <w:top w:w="0" w:type="dxa"/>
            <w:left w:w="108" w:type="dxa"/>
            <w:bottom w:w="0" w:type="dxa"/>
            <w:right w:w="108" w:type="dxa"/>
          </w:tblCellMar>
        </w:tblPrEx>
        <w:trPr>
          <w:trHeight w:val="526" w:hRule="atLeast"/>
          <w:jc w:val="center"/>
        </w:trPr>
        <w:tc>
          <w:tcPr>
            <w:tcW w:w="10175"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二、日常水资源点位运行工作</w:t>
            </w:r>
          </w:p>
        </w:tc>
      </w:tr>
      <w:tr>
        <w:tblPrEx>
          <w:tblCellMar>
            <w:top w:w="0" w:type="dxa"/>
            <w:left w:w="108" w:type="dxa"/>
            <w:bottom w:w="0" w:type="dxa"/>
            <w:right w:w="108" w:type="dxa"/>
          </w:tblCellMar>
        </w:tblPrEx>
        <w:trPr>
          <w:trHeight w:val="3024"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整体年度运维服务</w:t>
            </w:r>
          </w:p>
        </w:tc>
        <w:tc>
          <w:tcPr>
            <w:tcW w:w="2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14套设备日常巡检、故障排查及维修、移点服务等(站点根据当年实际监测数量）确保数据实时在线，提供数据核查修正等相关运维服务工作；包括物联网卡数据通讯费、遥测监测设备故障的维修更换。</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详见取水在线实时监控系统维保站点清单</w:t>
            </w:r>
          </w:p>
        </w:tc>
      </w:tr>
      <w:tr>
        <w:tblPrEx>
          <w:tblCellMar>
            <w:top w:w="0" w:type="dxa"/>
            <w:left w:w="108" w:type="dxa"/>
            <w:bottom w:w="0" w:type="dxa"/>
            <w:right w:w="108" w:type="dxa"/>
          </w:tblCellMar>
        </w:tblPrEx>
        <w:trPr>
          <w:trHeight w:val="526" w:hRule="atLeast"/>
          <w:jc w:val="center"/>
        </w:trPr>
        <w:tc>
          <w:tcPr>
            <w:tcW w:w="10175"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三</w:t>
            </w:r>
            <w:r>
              <w:rPr>
                <w:rFonts w:hint="eastAsia" w:ascii="宋体" w:hAnsi="宋体" w:cs="宋体"/>
                <w:color w:val="000000"/>
                <w:sz w:val="24"/>
              </w:rPr>
              <w:t>、</w:t>
            </w:r>
            <w:r>
              <w:rPr>
                <w:rFonts w:hint="eastAsia" w:ascii="宋体" w:hAnsi="宋体" w:cs="宋体"/>
                <w:color w:val="000000"/>
                <w:kern w:val="0"/>
                <w:sz w:val="24"/>
              </w:rPr>
              <w:t>延续取水评估报告</w:t>
            </w:r>
          </w:p>
        </w:tc>
      </w:tr>
      <w:tr>
        <w:tblPrEx>
          <w:tblCellMar>
            <w:top w:w="0" w:type="dxa"/>
            <w:left w:w="108" w:type="dxa"/>
            <w:bottom w:w="0" w:type="dxa"/>
            <w:right w:w="108" w:type="dxa"/>
          </w:tblCellMar>
        </w:tblPrEx>
        <w:trPr>
          <w:trHeight w:val="1998"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台州湾新区延续取水评估报告</w:t>
            </w:r>
          </w:p>
        </w:tc>
        <w:tc>
          <w:tcPr>
            <w:tcW w:w="2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对一家到期换证自备取水户的实际取用水量，节水水平和水资源供需情况进行评估，出具符合规范的延续评估报告查</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535" w:hRule="atLeast"/>
          <w:jc w:val="center"/>
        </w:trPr>
        <w:tc>
          <w:tcPr>
            <w:tcW w:w="6445"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4"/>
              </w:rPr>
            </w:pPr>
            <w:r>
              <w:rPr>
                <w:rFonts w:hint="eastAsia" w:ascii="宋体" w:hAnsi="宋体" w:cs="宋体"/>
                <w:b/>
                <w:bCs/>
                <w:color w:val="000000"/>
                <w:kern w:val="0"/>
                <w:sz w:val="24"/>
              </w:rPr>
              <w:t>报价合计</w:t>
            </w:r>
          </w:p>
        </w:tc>
        <w:tc>
          <w:tcPr>
            <w:tcW w:w="3730" w:type="dxa"/>
            <w:gridSpan w:val="3"/>
            <w:tcBorders>
              <w:top w:val="single" w:color="000000" w:sz="4" w:space="0"/>
              <w:left w:val="single" w:color="000000" w:sz="4" w:space="0"/>
              <w:bottom w:val="single" w:color="000000" w:sz="4" w:space="0"/>
              <w:right w:val="single" w:color="000000" w:sz="4" w:space="0"/>
            </w:tcBorders>
            <w:noWrap/>
            <w:vAlign w:val="center"/>
          </w:tcPr>
          <w:p>
            <w:pPr>
              <w:ind w:firstLine="2400" w:firstLineChars="1000"/>
              <w:rPr>
                <w:rFonts w:ascii="宋体" w:hAnsi="宋体" w:cs="宋体"/>
                <w:color w:val="000000"/>
                <w:sz w:val="24"/>
              </w:rPr>
            </w:pPr>
            <w:r>
              <w:rPr>
                <w:rFonts w:hint="eastAsia" w:ascii="宋体" w:hAnsi="宋体" w:cs="宋体"/>
                <w:color w:val="000000"/>
                <w:sz w:val="24"/>
              </w:rPr>
              <w:t>元</w:t>
            </w:r>
          </w:p>
        </w:tc>
      </w:tr>
    </w:tbl>
    <w:p>
      <w:pPr>
        <w:spacing w:line="360" w:lineRule="auto"/>
        <w:rPr>
          <w:rFonts w:ascii="宋体" w:hAnsi="宋体"/>
          <w:sz w:val="24"/>
        </w:rPr>
      </w:pPr>
      <w:r>
        <w:rPr>
          <w:rFonts w:hint="eastAsia" w:ascii="宋体" w:hAnsi="宋体"/>
          <w:b/>
          <w:szCs w:val="21"/>
        </w:rPr>
        <w:t>填报要求：</w:t>
      </w:r>
    </w:p>
    <w:p>
      <w:pPr>
        <w:spacing w:line="360" w:lineRule="auto"/>
        <w:ind w:left="420"/>
        <w:rPr>
          <w:rFonts w:ascii="宋体" w:hAnsi="宋体" w:cs="宋体"/>
          <w:szCs w:val="21"/>
        </w:rPr>
      </w:pPr>
      <w:r>
        <w:rPr>
          <w:rFonts w:hint="eastAsia" w:ascii="宋体" w:hAnsi="宋体" w:cs="宋体"/>
          <w:szCs w:val="21"/>
        </w:rPr>
        <w:t>1.报价合计与开标一览表不一致的，以开标一览表为准。</w:t>
      </w:r>
    </w:p>
    <w:p>
      <w:pPr>
        <w:spacing w:line="360" w:lineRule="auto"/>
        <w:ind w:left="420"/>
        <w:rPr>
          <w:rFonts w:ascii="宋体" w:hAnsi="宋体" w:cs="宋体"/>
          <w:szCs w:val="21"/>
        </w:rPr>
      </w:pPr>
      <w:r>
        <w:rPr>
          <w:rFonts w:hint="eastAsia" w:ascii="宋体" w:hAnsi="宋体" w:cs="宋体"/>
          <w:szCs w:val="21"/>
        </w:rPr>
        <w:t>2.如漏报项目，视为漏报的项目为0报价。</w:t>
      </w:r>
    </w:p>
    <w:p>
      <w:pPr>
        <w:spacing w:line="360" w:lineRule="auto"/>
        <w:rPr>
          <w:rFonts w:ascii="宋体" w:hAnsi="宋体"/>
          <w:sz w:val="24"/>
        </w:rPr>
      </w:pPr>
      <w:r>
        <w:rPr>
          <w:rFonts w:hint="eastAsia" w:ascii="宋体" w:hAnsi="宋体"/>
          <w:sz w:val="24"/>
        </w:rPr>
        <w:t>供应商名称（电子印章）：</w:t>
      </w:r>
    </w:p>
    <w:p>
      <w:pPr>
        <w:spacing w:line="360" w:lineRule="auto"/>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pPr>
        <w:pStyle w:val="47"/>
        <w:shd w:val="clear" w:color="auto" w:fill="FFFFFF"/>
        <w:spacing w:before="0" w:beforeAutospacing="0" w:after="0" w:afterAutospacing="0" w:line="360" w:lineRule="auto"/>
      </w:pPr>
      <w:r>
        <w:rPr>
          <w:rFonts w:hint="eastAsia"/>
        </w:rPr>
        <w:t>日        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right="360"/>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path/>
          <v:fill on="f" focussize="0,0"/>
          <v:stroke on="f" weight="1.2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12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left" w:pos="454"/>
        <w:tab w:val="left" w:pos="720"/>
        <w:tab w:val="left" w:pos="1200"/>
      </w:tabs>
      <w:spacing w:after="120"/>
      <w:rPr>
        <w:rStyle w:val="33"/>
      </w:rPr>
    </w:pPr>
    <w:r>
      <w:fldChar w:fldCharType="begin"/>
    </w:r>
    <w:r>
      <w:rPr>
        <w:rStyle w:val="33"/>
      </w:rPr>
      <w:instrText xml:space="preserve">PAGE  </w:instrText>
    </w:r>
    <w:r>
      <w:fldChar w:fldCharType="separate"/>
    </w:r>
    <w:r>
      <w:rPr>
        <w:rStyle w:val="33"/>
      </w:rPr>
      <w:t>10</w:t>
    </w:r>
    <w:r>
      <w:fldChar w:fldCharType="end"/>
    </w:r>
  </w:p>
  <w:p>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path/>
          <v:fill on="f" focussize="0,0"/>
          <v:stroke on="f" weight="1.2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23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pPr>
        <w:ind w:left="148"/>
      </w:pPr>
      <w:rPr>
        <w:rFonts w:hint="eastAsia"/>
      </w:rPr>
    </w:lvl>
  </w:abstractNum>
  <w:abstractNum w:abstractNumId="2">
    <w:nsid w:val="E7171C12"/>
    <w:multiLevelType w:val="singleLevel"/>
    <w:tmpl w:val="E7171C12"/>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4">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5">
    <w:nsid w:val="678CFB24"/>
    <w:multiLevelType w:val="singleLevel"/>
    <w:tmpl w:val="678CFB24"/>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ExMmYxN2FlODQwNmI4NDBhMmQyMDBmMmZlYzI2YmEifQ=="/>
    <w:docVar w:name="KSO_WPS_MARK_KEY" w:val="4ce2d542-3e21-482e-9d67-f7eed3a3bbde"/>
  </w:docVars>
  <w:rsids>
    <w:rsidRoot w:val="685F2B0C"/>
    <w:rsid w:val="00001822"/>
    <w:rsid w:val="0000676C"/>
    <w:rsid w:val="000154B2"/>
    <w:rsid w:val="000220D4"/>
    <w:rsid w:val="000221EE"/>
    <w:rsid w:val="00030D77"/>
    <w:rsid w:val="00047C71"/>
    <w:rsid w:val="00060468"/>
    <w:rsid w:val="00063432"/>
    <w:rsid w:val="00067EBE"/>
    <w:rsid w:val="00071BA1"/>
    <w:rsid w:val="000740FA"/>
    <w:rsid w:val="00077950"/>
    <w:rsid w:val="000814EE"/>
    <w:rsid w:val="0008211B"/>
    <w:rsid w:val="000839F2"/>
    <w:rsid w:val="00085621"/>
    <w:rsid w:val="00086AFA"/>
    <w:rsid w:val="00096A85"/>
    <w:rsid w:val="000A2B60"/>
    <w:rsid w:val="000A54E6"/>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57522"/>
    <w:rsid w:val="00161CFF"/>
    <w:rsid w:val="00162814"/>
    <w:rsid w:val="00165EE9"/>
    <w:rsid w:val="0018274C"/>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C52AC"/>
    <w:rsid w:val="002F332C"/>
    <w:rsid w:val="00313AA9"/>
    <w:rsid w:val="00315916"/>
    <w:rsid w:val="00326131"/>
    <w:rsid w:val="0033459A"/>
    <w:rsid w:val="0033653F"/>
    <w:rsid w:val="00345785"/>
    <w:rsid w:val="00346D34"/>
    <w:rsid w:val="003549D0"/>
    <w:rsid w:val="003617C1"/>
    <w:rsid w:val="00394AF1"/>
    <w:rsid w:val="003966CB"/>
    <w:rsid w:val="00397B4C"/>
    <w:rsid w:val="00397CA4"/>
    <w:rsid w:val="003B4C28"/>
    <w:rsid w:val="003C1122"/>
    <w:rsid w:val="003C4B41"/>
    <w:rsid w:val="003C74B8"/>
    <w:rsid w:val="003E7E4B"/>
    <w:rsid w:val="003F7037"/>
    <w:rsid w:val="003F7B6C"/>
    <w:rsid w:val="00401BB4"/>
    <w:rsid w:val="00402294"/>
    <w:rsid w:val="0040416F"/>
    <w:rsid w:val="00406C34"/>
    <w:rsid w:val="00414893"/>
    <w:rsid w:val="0044764C"/>
    <w:rsid w:val="00463728"/>
    <w:rsid w:val="00473A53"/>
    <w:rsid w:val="00492D29"/>
    <w:rsid w:val="0049548B"/>
    <w:rsid w:val="004963D6"/>
    <w:rsid w:val="004C1DEC"/>
    <w:rsid w:val="004C66BE"/>
    <w:rsid w:val="004D0F07"/>
    <w:rsid w:val="004D1BD8"/>
    <w:rsid w:val="004D436F"/>
    <w:rsid w:val="004F3491"/>
    <w:rsid w:val="00514679"/>
    <w:rsid w:val="00520055"/>
    <w:rsid w:val="00553B70"/>
    <w:rsid w:val="005617DF"/>
    <w:rsid w:val="005727F6"/>
    <w:rsid w:val="0059431D"/>
    <w:rsid w:val="005A1D4E"/>
    <w:rsid w:val="005B07E9"/>
    <w:rsid w:val="005C58B3"/>
    <w:rsid w:val="005D0DD1"/>
    <w:rsid w:val="005E7F5A"/>
    <w:rsid w:val="005F2A0C"/>
    <w:rsid w:val="0060126C"/>
    <w:rsid w:val="00605C1B"/>
    <w:rsid w:val="00635DA5"/>
    <w:rsid w:val="0065048B"/>
    <w:rsid w:val="006620A8"/>
    <w:rsid w:val="00667357"/>
    <w:rsid w:val="0068223A"/>
    <w:rsid w:val="006825F8"/>
    <w:rsid w:val="00685525"/>
    <w:rsid w:val="006B119E"/>
    <w:rsid w:val="006B2DDA"/>
    <w:rsid w:val="006D5C96"/>
    <w:rsid w:val="006D66AC"/>
    <w:rsid w:val="006F3843"/>
    <w:rsid w:val="00700776"/>
    <w:rsid w:val="00712BFA"/>
    <w:rsid w:val="00736F7D"/>
    <w:rsid w:val="007379BB"/>
    <w:rsid w:val="0074420C"/>
    <w:rsid w:val="007477AD"/>
    <w:rsid w:val="00753AE0"/>
    <w:rsid w:val="00770A08"/>
    <w:rsid w:val="00794BBF"/>
    <w:rsid w:val="007B7BC7"/>
    <w:rsid w:val="007C3931"/>
    <w:rsid w:val="007C5DB8"/>
    <w:rsid w:val="007D2F69"/>
    <w:rsid w:val="007D5A78"/>
    <w:rsid w:val="007E144D"/>
    <w:rsid w:val="007E2BA8"/>
    <w:rsid w:val="007E4849"/>
    <w:rsid w:val="007E5B78"/>
    <w:rsid w:val="007F6447"/>
    <w:rsid w:val="008015F7"/>
    <w:rsid w:val="00801D0B"/>
    <w:rsid w:val="00817A3B"/>
    <w:rsid w:val="008248FA"/>
    <w:rsid w:val="0083366B"/>
    <w:rsid w:val="00842BE3"/>
    <w:rsid w:val="0084648D"/>
    <w:rsid w:val="00850346"/>
    <w:rsid w:val="00853D73"/>
    <w:rsid w:val="00855F76"/>
    <w:rsid w:val="00873EC4"/>
    <w:rsid w:val="008856B6"/>
    <w:rsid w:val="0089019B"/>
    <w:rsid w:val="00897D8A"/>
    <w:rsid w:val="008A1232"/>
    <w:rsid w:val="008A3A13"/>
    <w:rsid w:val="008C4C8B"/>
    <w:rsid w:val="008C57E4"/>
    <w:rsid w:val="008E3EB3"/>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268D7"/>
    <w:rsid w:val="00A34D80"/>
    <w:rsid w:val="00A362B9"/>
    <w:rsid w:val="00A40A0F"/>
    <w:rsid w:val="00A4580A"/>
    <w:rsid w:val="00A51E78"/>
    <w:rsid w:val="00A5256C"/>
    <w:rsid w:val="00A52936"/>
    <w:rsid w:val="00A66D14"/>
    <w:rsid w:val="00A77741"/>
    <w:rsid w:val="00A85AC9"/>
    <w:rsid w:val="00A921FD"/>
    <w:rsid w:val="00A92599"/>
    <w:rsid w:val="00A95853"/>
    <w:rsid w:val="00AA503A"/>
    <w:rsid w:val="00AB072A"/>
    <w:rsid w:val="00AB1596"/>
    <w:rsid w:val="00AB49B7"/>
    <w:rsid w:val="00AC6C12"/>
    <w:rsid w:val="00AD5F42"/>
    <w:rsid w:val="00AD724D"/>
    <w:rsid w:val="00AE30FC"/>
    <w:rsid w:val="00AE5521"/>
    <w:rsid w:val="00AE66EB"/>
    <w:rsid w:val="00AF3DE0"/>
    <w:rsid w:val="00B020CF"/>
    <w:rsid w:val="00B03224"/>
    <w:rsid w:val="00B043C5"/>
    <w:rsid w:val="00B10199"/>
    <w:rsid w:val="00B12DF7"/>
    <w:rsid w:val="00B15ACA"/>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57F0C"/>
    <w:rsid w:val="00C62396"/>
    <w:rsid w:val="00C81C9D"/>
    <w:rsid w:val="00C8723C"/>
    <w:rsid w:val="00CA0697"/>
    <w:rsid w:val="00CA12F3"/>
    <w:rsid w:val="00CA2C6C"/>
    <w:rsid w:val="00CA728C"/>
    <w:rsid w:val="00CC4021"/>
    <w:rsid w:val="00CD0A72"/>
    <w:rsid w:val="00CF1E49"/>
    <w:rsid w:val="00D0009A"/>
    <w:rsid w:val="00D14AD5"/>
    <w:rsid w:val="00D246D4"/>
    <w:rsid w:val="00D325EC"/>
    <w:rsid w:val="00D36ACA"/>
    <w:rsid w:val="00D40771"/>
    <w:rsid w:val="00D446EC"/>
    <w:rsid w:val="00D64FC1"/>
    <w:rsid w:val="00D655A0"/>
    <w:rsid w:val="00D66731"/>
    <w:rsid w:val="00D81728"/>
    <w:rsid w:val="00DB1553"/>
    <w:rsid w:val="00DB4DE5"/>
    <w:rsid w:val="00DF0325"/>
    <w:rsid w:val="00DF7A01"/>
    <w:rsid w:val="00E029D9"/>
    <w:rsid w:val="00E10F08"/>
    <w:rsid w:val="00E11356"/>
    <w:rsid w:val="00E403C0"/>
    <w:rsid w:val="00E42018"/>
    <w:rsid w:val="00E45207"/>
    <w:rsid w:val="00E51C18"/>
    <w:rsid w:val="00E51E92"/>
    <w:rsid w:val="00E72633"/>
    <w:rsid w:val="00E84DC5"/>
    <w:rsid w:val="00EA3C27"/>
    <w:rsid w:val="00EC7618"/>
    <w:rsid w:val="00EE16CE"/>
    <w:rsid w:val="00EE453C"/>
    <w:rsid w:val="00F1568D"/>
    <w:rsid w:val="00F21898"/>
    <w:rsid w:val="00F33C9E"/>
    <w:rsid w:val="00F447A7"/>
    <w:rsid w:val="00F543F9"/>
    <w:rsid w:val="00F548C4"/>
    <w:rsid w:val="00F7155E"/>
    <w:rsid w:val="00F754D4"/>
    <w:rsid w:val="00F8124B"/>
    <w:rsid w:val="00F8666D"/>
    <w:rsid w:val="00F86AB9"/>
    <w:rsid w:val="00F87422"/>
    <w:rsid w:val="00F92A7E"/>
    <w:rsid w:val="00F93EBA"/>
    <w:rsid w:val="00FA6B35"/>
    <w:rsid w:val="00FB14A1"/>
    <w:rsid w:val="00FB3BC4"/>
    <w:rsid w:val="00FC05F2"/>
    <w:rsid w:val="00FC1E7F"/>
    <w:rsid w:val="00FC5C25"/>
    <w:rsid w:val="00FE5F42"/>
    <w:rsid w:val="00FE6275"/>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3C605F"/>
    <w:rsid w:val="034C79A8"/>
    <w:rsid w:val="035E327D"/>
    <w:rsid w:val="03624C71"/>
    <w:rsid w:val="037171B2"/>
    <w:rsid w:val="03723D7D"/>
    <w:rsid w:val="03A55E37"/>
    <w:rsid w:val="04071573"/>
    <w:rsid w:val="04357EE7"/>
    <w:rsid w:val="043E0AAC"/>
    <w:rsid w:val="044F2C90"/>
    <w:rsid w:val="04604D98"/>
    <w:rsid w:val="04762FE4"/>
    <w:rsid w:val="048361AE"/>
    <w:rsid w:val="048962DE"/>
    <w:rsid w:val="04A21F67"/>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5FB2872"/>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12F9A"/>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3B7A75"/>
    <w:rsid w:val="115B5C4F"/>
    <w:rsid w:val="117C20D6"/>
    <w:rsid w:val="118A244C"/>
    <w:rsid w:val="11A2124C"/>
    <w:rsid w:val="11BA1271"/>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AF227A"/>
    <w:rsid w:val="16AF7D94"/>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8B701C"/>
    <w:rsid w:val="1A9F2503"/>
    <w:rsid w:val="1AA3486A"/>
    <w:rsid w:val="1AB352E9"/>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1641B6"/>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1FCB5EB6"/>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EF7A5B"/>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EE26CA"/>
    <w:rsid w:val="25F16B68"/>
    <w:rsid w:val="260663DB"/>
    <w:rsid w:val="262F0558"/>
    <w:rsid w:val="26546373"/>
    <w:rsid w:val="26841C6E"/>
    <w:rsid w:val="26934343"/>
    <w:rsid w:val="26B424FB"/>
    <w:rsid w:val="26B73D93"/>
    <w:rsid w:val="26E62133"/>
    <w:rsid w:val="26FD4B42"/>
    <w:rsid w:val="27133AE9"/>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10E53"/>
    <w:rsid w:val="2C64232C"/>
    <w:rsid w:val="2C6B41B7"/>
    <w:rsid w:val="2C8B0CC2"/>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580A50"/>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1F942E3"/>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3F636B"/>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8400E5"/>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6119AA"/>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4C6FE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5440A"/>
    <w:rsid w:val="482932B2"/>
    <w:rsid w:val="48353471"/>
    <w:rsid w:val="48452D6C"/>
    <w:rsid w:val="48490177"/>
    <w:rsid w:val="48547396"/>
    <w:rsid w:val="48734131"/>
    <w:rsid w:val="487B1A21"/>
    <w:rsid w:val="48801F0A"/>
    <w:rsid w:val="489C4879"/>
    <w:rsid w:val="489C7EA5"/>
    <w:rsid w:val="48E44CC3"/>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991D54"/>
    <w:rsid w:val="4CA56DBD"/>
    <w:rsid w:val="4CCD70EB"/>
    <w:rsid w:val="4CD15334"/>
    <w:rsid w:val="4CDC2AC2"/>
    <w:rsid w:val="4CDE204D"/>
    <w:rsid w:val="4CEF194A"/>
    <w:rsid w:val="4D123D13"/>
    <w:rsid w:val="4D3C1D7D"/>
    <w:rsid w:val="4D4473CA"/>
    <w:rsid w:val="4D594184"/>
    <w:rsid w:val="4D670A85"/>
    <w:rsid w:val="4D80617B"/>
    <w:rsid w:val="4D806473"/>
    <w:rsid w:val="4DB87F6B"/>
    <w:rsid w:val="4DC608A6"/>
    <w:rsid w:val="4DEC516B"/>
    <w:rsid w:val="4DF85FC0"/>
    <w:rsid w:val="4E067DA4"/>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AB2261"/>
    <w:rsid w:val="4FED507D"/>
    <w:rsid w:val="4FFB62E9"/>
    <w:rsid w:val="501B5A4C"/>
    <w:rsid w:val="501C4E89"/>
    <w:rsid w:val="502B325D"/>
    <w:rsid w:val="505D795E"/>
    <w:rsid w:val="50630959"/>
    <w:rsid w:val="50D37CC2"/>
    <w:rsid w:val="50DD3BA3"/>
    <w:rsid w:val="50E61CAB"/>
    <w:rsid w:val="50E8074E"/>
    <w:rsid w:val="5132754D"/>
    <w:rsid w:val="513564CC"/>
    <w:rsid w:val="514E3A09"/>
    <w:rsid w:val="51731C1C"/>
    <w:rsid w:val="517C3AF1"/>
    <w:rsid w:val="51915B3D"/>
    <w:rsid w:val="519F5121"/>
    <w:rsid w:val="51D443A8"/>
    <w:rsid w:val="5229273F"/>
    <w:rsid w:val="524C2E13"/>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631385"/>
    <w:rsid w:val="568A68D9"/>
    <w:rsid w:val="56905FDF"/>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134E48"/>
    <w:rsid w:val="58344161"/>
    <w:rsid w:val="585D0DF7"/>
    <w:rsid w:val="587316C8"/>
    <w:rsid w:val="58AD641D"/>
    <w:rsid w:val="58B420E4"/>
    <w:rsid w:val="58F92391"/>
    <w:rsid w:val="590C0AAF"/>
    <w:rsid w:val="59135C67"/>
    <w:rsid w:val="593C1329"/>
    <w:rsid w:val="595A34E9"/>
    <w:rsid w:val="595B7937"/>
    <w:rsid w:val="597C7365"/>
    <w:rsid w:val="597F7369"/>
    <w:rsid w:val="59997155"/>
    <w:rsid w:val="59A2414B"/>
    <w:rsid w:val="59B56928"/>
    <w:rsid w:val="59FE08FA"/>
    <w:rsid w:val="5A060D86"/>
    <w:rsid w:val="5A886394"/>
    <w:rsid w:val="5A9F6060"/>
    <w:rsid w:val="5ACE4097"/>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70651"/>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CD28CA"/>
    <w:rsid w:val="5EDA5FEF"/>
    <w:rsid w:val="5EE222A7"/>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D54756"/>
    <w:rsid w:val="62EA2C49"/>
    <w:rsid w:val="62FF72FE"/>
    <w:rsid w:val="63481CAD"/>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42E6C"/>
    <w:rsid w:val="64963CFA"/>
    <w:rsid w:val="649A62D1"/>
    <w:rsid w:val="64B31A3E"/>
    <w:rsid w:val="64BB7086"/>
    <w:rsid w:val="64C036C0"/>
    <w:rsid w:val="64DF720B"/>
    <w:rsid w:val="64FB2F8F"/>
    <w:rsid w:val="6502750F"/>
    <w:rsid w:val="65255866"/>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784853"/>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25287"/>
    <w:rsid w:val="6A395739"/>
    <w:rsid w:val="6A5D1615"/>
    <w:rsid w:val="6A667351"/>
    <w:rsid w:val="6A690452"/>
    <w:rsid w:val="6AC86B5F"/>
    <w:rsid w:val="6ACD0E86"/>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C8769F"/>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9A5470"/>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5C2F0E"/>
    <w:rsid w:val="778364BE"/>
    <w:rsid w:val="7799548D"/>
    <w:rsid w:val="779E65C5"/>
    <w:rsid w:val="77B1078A"/>
    <w:rsid w:val="77B77D93"/>
    <w:rsid w:val="77ED1FBE"/>
    <w:rsid w:val="78023A5D"/>
    <w:rsid w:val="787764A6"/>
    <w:rsid w:val="78867CFB"/>
    <w:rsid w:val="78AE1EE3"/>
    <w:rsid w:val="78CE32F1"/>
    <w:rsid w:val="78CE3C30"/>
    <w:rsid w:val="78D06FA5"/>
    <w:rsid w:val="78D93CE0"/>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semiHidden/>
    <w:unhideWhenUsed/>
    <w:qFormat/>
    <w:uiPriority w:val="0"/>
    <w:pPr>
      <w:keepNext/>
      <w:keepLines/>
      <w:tabs>
        <w:tab w:val="left" w:pos="8280"/>
      </w:tabs>
      <w:spacing w:before="260" w:after="260" w:line="416" w:lineRule="auto"/>
      <w:outlineLvl w:val="2"/>
    </w:pPr>
    <w:rPr>
      <w:bCs/>
      <w:szCs w:val="32"/>
    </w:rPr>
  </w:style>
  <w:style w:type="paragraph" w:styleId="8">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9">
    <w:name w:val="List Number"/>
    <w:basedOn w:val="1"/>
    <w:qFormat/>
    <w:uiPriority w:val="0"/>
    <w:pPr>
      <w:numPr>
        <w:ilvl w:val="0"/>
        <w:numId w:val="2"/>
      </w:numPr>
    </w:pPr>
  </w:style>
  <w:style w:type="paragraph" w:styleId="10">
    <w:name w:val="List Bullet"/>
    <w:basedOn w:val="1"/>
    <w:next w:val="1"/>
    <w:qFormat/>
    <w:uiPriority w:val="0"/>
    <w:pPr>
      <w:numPr>
        <w:ilvl w:val="0"/>
        <w:numId w:val="3"/>
      </w:numPr>
    </w:pPr>
  </w:style>
  <w:style w:type="paragraph" w:styleId="11">
    <w:name w:val="annotation text"/>
    <w:basedOn w:val="1"/>
    <w:link w:val="84"/>
    <w:qFormat/>
    <w:uiPriority w:val="0"/>
    <w:pPr>
      <w:jc w:val="left"/>
    </w:pPr>
  </w:style>
  <w:style w:type="paragraph" w:styleId="12">
    <w:name w:val="Body Text"/>
    <w:basedOn w:val="1"/>
    <w:next w:val="13"/>
    <w:qFormat/>
    <w:uiPriority w:val="0"/>
    <w:pPr>
      <w:spacing w:line="360" w:lineRule="exact"/>
    </w:pPr>
    <w:rPr>
      <w:sz w:val="24"/>
    </w:rPr>
  </w:style>
  <w:style w:type="paragraph" w:styleId="13">
    <w:name w:val="toc 2"/>
    <w:basedOn w:val="1"/>
    <w:next w:val="1"/>
    <w:qFormat/>
    <w:uiPriority w:val="39"/>
    <w:pPr>
      <w:ind w:left="420" w:leftChars="200"/>
    </w:pPr>
  </w:style>
  <w:style w:type="paragraph" w:styleId="14">
    <w:name w:val="Block Text"/>
    <w:basedOn w:val="1"/>
    <w:next w:val="8"/>
    <w:qFormat/>
    <w:uiPriority w:val="0"/>
    <w:pPr>
      <w:spacing w:after="120"/>
    </w:pPr>
    <w:rPr>
      <w:rFonts w:asciiTheme="minorHAnsi" w:hAnsiTheme="minorHAnsi" w:eastAsiaTheme="minorEastAsia" w:cstheme="minorBidi"/>
    </w:rPr>
  </w:style>
  <w:style w:type="paragraph" w:styleId="15">
    <w:name w:val="List Bullet 2"/>
    <w:basedOn w:val="1"/>
    <w:next w:val="10"/>
    <w:qFormat/>
    <w:uiPriority w:val="0"/>
    <w:pPr>
      <w:numPr>
        <w:ilvl w:val="0"/>
        <w:numId w:val="4"/>
      </w:numPr>
    </w:pPr>
  </w:style>
  <w:style w:type="paragraph" w:styleId="16">
    <w:name w:val="Plain Text"/>
    <w:basedOn w:val="1"/>
    <w:next w:val="17"/>
    <w:link w:val="76"/>
    <w:qFormat/>
    <w:uiPriority w:val="99"/>
    <w:rPr>
      <w:rFonts w:ascii="宋体" w:hAnsi="Courier New" w:cstheme="minorBidi"/>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Balloon Text"/>
    <w:basedOn w:val="1"/>
    <w:link w:val="66"/>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3">
    <w:name w:val="toc 6"/>
    <w:basedOn w:val="1"/>
    <w:next w:val="1"/>
    <w:unhideWhenUsed/>
    <w:qFormat/>
    <w:uiPriority w:val="39"/>
    <w:pPr>
      <w:ind w:left="2100" w:leftChars="1000"/>
    </w:pPr>
    <w:rPr>
      <w:rFonts w:ascii="Calibri" w:hAnsi="Calibri"/>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qFormat/>
    <w:uiPriority w:val="0"/>
    <w:pPr>
      <w:spacing w:before="240" w:after="60"/>
      <w:jc w:val="center"/>
      <w:outlineLvl w:val="0"/>
    </w:pPr>
    <w:rPr>
      <w:rFonts w:ascii="Cambria" w:hAnsi="Cambria"/>
      <w:b/>
      <w:bCs/>
      <w:kern w:val="0"/>
      <w:sz w:val="32"/>
      <w:szCs w:val="32"/>
    </w:rPr>
  </w:style>
  <w:style w:type="paragraph" w:styleId="26">
    <w:name w:val="annotation subject"/>
    <w:basedOn w:val="11"/>
    <w:next w:val="11"/>
    <w:link w:val="85"/>
    <w:qFormat/>
    <w:uiPriority w:val="0"/>
    <w:rPr>
      <w:b/>
      <w:bCs/>
    </w:rPr>
  </w:style>
  <w:style w:type="paragraph" w:styleId="27">
    <w:name w:val="Body Text First Indent"/>
    <w:basedOn w:val="12"/>
    <w:next w:val="1"/>
    <w:link w:val="86"/>
    <w:qFormat/>
    <w:uiPriority w:val="0"/>
    <w:pPr>
      <w:ind w:firstLine="200" w:firstLineChars="200"/>
    </w:pPr>
  </w:style>
  <w:style w:type="paragraph" w:styleId="28">
    <w:name w:val="Body Text First Indent 2"/>
    <w:basedOn w:val="7"/>
    <w:qFormat/>
    <w:uiPriority w:val="0"/>
    <w:pPr>
      <w:ind w:firstLine="420"/>
    </w:pPr>
  </w:style>
  <w:style w:type="table" w:styleId="30">
    <w:name w:val="Table Grid"/>
    <w:basedOn w:val="2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2">
    <w:name w:val="FollowedHyperlink"/>
    <w:basedOn w:val="31"/>
    <w:qFormat/>
    <w:uiPriority w:val="0"/>
    <w:rPr>
      <w:color w:val="5579A7"/>
      <w:u w:val="none"/>
    </w:rPr>
  </w:style>
  <w:style w:type="character" w:styleId="33">
    <w:name w:val="Hyperlink"/>
    <w:qFormat/>
    <w:uiPriority w:val="0"/>
    <w:rPr>
      <w:color w:val="0000FF"/>
      <w:u w:val="single"/>
    </w:rPr>
  </w:style>
  <w:style w:type="character" w:styleId="34">
    <w:name w:val="annotation reference"/>
    <w:basedOn w:val="31"/>
    <w:qFormat/>
    <w:uiPriority w:val="0"/>
    <w:rPr>
      <w:sz w:val="21"/>
      <w:szCs w:val="21"/>
    </w:rPr>
  </w:style>
  <w:style w:type="paragraph" w:customStyle="1" w:styleId="35">
    <w:name w:val="UserStyle_0"/>
    <w:basedOn w:val="36"/>
    <w:next w:val="37"/>
    <w:qFormat/>
    <w:uiPriority w:val="0"/>
  </w:style>
  <w:style w:type="paragraph" w:customStyle="1" w:styleId="36">
    <w:name w:val="UserStyle_1"/>
    <w:basedOn w:val="1"/>
    <w:qFormat/>
    <w:uiPriority w:val="0"/>
    <w:pPr>
      <w:snapToGrid w:val="0"/>
      <w:spacing w:before="40" w:after="40"/>
      <w:jc w:val="center"/>
    </w:pPr>
  </w:style>
  <w:style w:type="paragraph" w:customStyle="1" w:styleId="37">
    <w:name w:val="BodyText"/>
    <w:basedOn w:val="1"/>
    <w:next w:val="38"/>
    <w:qFormat/>
    <w:uiPriority w:val="0"/>
    <w:pPr>
      <w:spacing w:after="120"/>
    </w:pPr>
    <w:rPr>
      <w:sz w:val="28"/>
    </w:rPr>
  </w:style>
  <w:style w:type="paragraph" w:customStyle="1" w:styleId="38">
    <w:name w:val="TOC2"/>
    <w:basedOn w:val="1"/>
    <w:next w:val="1"/>
    <w:qFormat/>
    <w:uiPriority w:val="0"/>
    <w:pPr>
      <w:ind w:left="420" w:leftChars="200"/>
    </w:pPr>
    <w:rPr>
      <w:rFonts w:ascii="宋体" w:hAnsi="宋体"/>
      <w:b/>
      <w:bCs/>
      <w:sz w:val="24"/>
      <w:szCs w:val="30"/>
    </w:rPr>
  </w:style>
  <w:style w:type="paragraph" w:customStyle="1" w:styleId="39">
    <w:name w:val="章正文"/>
    <w:basedOn w:val="1"/>
    <w:qFormat/>
    <w:locked/>
    <w:uiPriority w:val="0"/>
    <w:pPr>
      <w:spacing w:beforeLines="50" w:after="120" w:line="300" w:lineRule="auto"/>
      <w:ind w:firstLine="480"/>
    </w:pPr>
    <w:rPr>
      <w:rFonts w:ascii="Helvetica" w:hAnsi="Helvetica"/>
      <w:kern w:val="0"/>
    </w:rPr>
  </w:style>
  <w:style w:type="paragraph" w:customStyle="1" w:styleId="40">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4、正文"/>
    <w:basedOn w:val="1"/>
    <w:qFormat/>
    <w:uiPriority w:val="0"/>
    <w:pPr>
      <w:ind w:firstLine="200" w:firstLineChars="200"/>
    </w:pPr>
    <w:rPr>
      <w:rFonts w:ascii="宋体"/>
      <w:sz w:val="24"/>
      <w:szCs w:val="28"/>
    </w:rPr>
  </w:style>
  <w:style w:type="paragraph" w:customStyle="1" w:styleId="42">
    <w:name w:val="表格文字"/>
    <w:basedOn w:val="1"/>
    <w:next w:val="12"/>
    <w:qFormat/>
    <w:uiPriority w:val="0"/>
    <w:pPr>
      <w:jc w:val="left"/>
      <w:textAlignment w:val="top"/>
    </w:pPr>
    <w:rPr>
      <w:sz w:val="18"/>
    </w:rPr>
  </w:style>
  <w:style w:type="paragraph" w:customStyle="1" w:styleId="4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44">
    <w:name w:val="List Paragraph"/>
    <w:basedOn w:val="1"/>
    <w:qFormat/>
    <w:uiPriority w:val="0"/>
    <w:pPr>
      <w:ind w:firstLine="420" w:firstLineChars="200"/>
    </w:pPr>
    <w:rPr>
      <w:rFonts w:ascii="Calibri" w:hAnsi="Calibri"/>
      <w:szCs w:val="22"/>
    </w:rPr>
  </w:style>
  <w:style w:type="paragraph" w:customStyle="1" w:styleId="4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4"/>
    <w:qFormat/>
    <w:uiPriority w:val="0"/>
    <w:rPr>
      <w:rFonts w:ascii="Times New Roman" w:hAnsi="Times New Roman" w:eastAsia="宋体" w:cs="Times New Roman"/>
      <w:sz w:val="21"/>
      <w:szCs w:val="22"/>
      <w:lang w:val="en-US" w:eastAsia="zh-CN" w:bidi="ar-SA"/>
    </w:rPr>
  </w:style>
  <w:style w:type="paragraph" w:customStyle="1" w:styleId="5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3"/>
    <w:basedOn w:val="52"/>
    <w:qFormat/>
    <w:uiPriority w:val="0"/>
    <w:pPr>
      <w:widowControl/>
      <w:jc w:val="left"/>
    </w:pPr>
    <w:rPr>
      <w:rFonts w:ascii="宋体" w:hAnsi="Courier New" w:eastAsiaTheme="minorEastAsia" w:cstheme="minorBidi"/>
      <w:szCs w:val="21"/>
    </w:rPr>
  </w:style>
  <w:style w:type="paragraph" w:customStyle="1" w:styleId="54">
    <w:name w:val="纯文本_0_1"/>
    <w:basedOn w:val="1"/>
    <w:qFormat/>
    <w:uiPriority w:val="0"/>
    <w:pPr>
      <w:widowControl/>
      <w:jc w:val="left"/>
    </w:pPr>
    <w:rPr>
      <w:rFonts w:ascii="宋体" w:hAnsi="Courier New" w:eastAsiaTheme="minorEastAsia" w:cstheme="minorBidi"/>
      <w:szCs w:val="21"/>
    </w:rPr>
  </w:style>
  <w:style w:type="paragraph" w:customStyle="1" w:styleId="5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font21"/>
    <w:basedOn w:val="31"/>
    <w:qFormat/>
    <w:uiPriority w:val="0"/>
    <w:rPr>
      <w:rFonts w:hint="default" w:ascii="Arial" w:hAnsi="Arial" w:cs="Arial"/>
      <w:color w:val="000000"/>
      <w:sz w:val="20"/>
      <w:szCs w:val="20"/>
      <w:u w:val="none"/>
    </w:rPr>
  </w:style>
  <w:style w:type="character" w:customStyle="1" w:styleId="60">
    <w:name w:val="font01"/>
    <w:basedOn w:val="31"/>
    <w:qFormat/>
    <w:uiPriority w:val="0"/>
    <w:rPr>
      <w:rFonts w:hint="eastAsia" w:ascii="宋体" w:hAnsi="宋体" w:eastAsia="宋体" w:cs="宋体"/>
      <w:color w:val="000000"/>
      <w:sz w:val="20"/>
      <w:szCs w:val="20"/>
      <w:u w:val="none"/>
    </w:rPr>
  </w:style>
  <w:style w:type="paragraph" w:customStyle="1" w:styleId="61">
    <w:name w:val="纯文本1"/>
    <w:basedOn w:val="62"/>
    <w:qFormat/>
    <w:uiPriority w:val="0"/>
    <w:pPr>
      <w:widowControl/>
      <w:jc w:val="left"/>
    </w:pPr>
    <w:rPr>
      <w:rFonts w:ascii="宋体" w:hAnsi="Courier New"/>
    </w:rPr>
  </w:style>
  <w:style w:type="paragraph" w:customStyle="1" w:styleId="6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
    <w:name w:val="Table Paragraph"/>
    <w:basedOn w:val="1"/>
    <w:qFormat/>
    <w:uiPriority w:val="1"/>
    <w:rPr>
      <w:rFonts w:ascii="宋体" w:hAnsi="宋体" w:cs="宋体"/>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character" w:customStyle="1" w:styleId="66">
    <w:name w:val="批注框文本 字符"/>
    <w:basedOn w:val="31"/>
    <w:link w:val="18"/>
    <w:qFormat/>
    <w:uiPriority w:val="0"/>
    <w:rPr>
      <w:kern w:val="2"/>
      <w:sz w:val="18"/>
      <w:szCs w:val="18"/>
    </w:rPr>
  </w:style>
  <w:style w:type="paragraph" w:customStyle="1" w:styleId="67">
    <w:name w:val="英文"/>
    <w:basedOn w:val="1"/>
    <w:link w:val="69"/>
    <w:qFormat/>
    <w:uiPriority w:val="0"/>
    <w:pPr>
      <w:adjustRightInd w:val="0"/>
      <w:snapToGrid w:val="0"/>
      <w:spacing w:line="360" w:lineRule="auto"/>
      <w:ind w:firstLine="480" w:firstLineChars="200"/>
    </w:pPr>
    <w:rPr>
      <w:rFonts w:ascii="Arial" w:hAnsi="Arial" w:cs="Arial"/>
      <w:sz w:val="24"/>
    </w:rPr>
  </w:style>
  <w:style w:type="paragraph" w:customStyle="1" w:styleId="68">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9">
    <w:name w:val="英文 Char"/>
    <w:link w:val="67"/>
    <w:qFormat/>
    <w:uiPriority w:val="0"/>
    <w:rPr>
      <w:rFonts w:ascii="Arial" w:hAnsi="Arial" w:cs="Arial"/>
      <w:sz w:val="24"/>
    </w:rPr>
  </w:style>
  <w:style w:type="paragraph" w:customStyle="1" w:styleId="70">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71">
    <w:name w:val="正文段落"/>
    <w:basedOn w:val="1"/>
    <w:qFormat/>
    <w:uiPriority w:val="0"/>
    <w:pPr>
      <w:spacing w:line="360" w:lineRule="auto"/>
      <w:ind w:firstLine="200" w:firstLineChars="200"/>
    </w:pPr>
    <w:rPr>
      <w:rFonts w:eastAsia="仿宋"/>
      <w:sz w:val="28"/>
    </w:rPr>
  </w:style>
  <w:style w:type="paragraph" w:customStyle="1" w:styleId="72">
    <w:name w:val="Normal Indent1"/>
    <w:basedOn w:val="1"/>
    <w:qFormat/>
    <w:uiPriority w:val="0"/>
    <w:pPr>
      <w:ind w:firstLine="420" w:firstLineChars="200"/>
    </w:pPr>
  </w:style>
  <w:style w:type="paragraph" w:customStyle="1" w:styleId="7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5">
    <w:name w:val="列表段落1"/>
    <w:basedOn w:val="1"/>
    <w:qFormat/>
    <w:uiPriority w:val="0"/>
    <w:pPr>
      <w:ind w:firstLine="420" w:firstLineChars="200"/>
    </w:pPr>
  </w:style>
  <w:style w:type="character" w:customStyle="1" w:styleId="76">
    <w:name w:val="纯文本 字符"/>
    <w:link w:val="16"/>
    <w:qFormat/>
    <w:uiPriority w:val="0"/>
    <w:rPr>
      <w:rFonts w:ascii="宋体" w:hAnsi="Courier New" w:cstheme="minorBidi"/>
      <w:kern w:val="2"/>
      <w:sz w:val="21"/>
      <w:szCs w:val="24"/>
    </w:rPr>
  </w:style>
  <w:style w:type="character" w:customStyle="1" w:styleId="77">
    <w:name w:val="NormalCharacter"/>
    <w:qFormat/>
    <w:uiPriority w:val="0"/>
  </w:style>
  <w:style w:type="paragraph" w:customStyle="1" w:styleId="78">
    <w:name w:val="UserStyle_4"/>
    <w:basedOn w:val="1"/>
    <w:qFormat/>
    <w:uiPriority w:val="0"/>
    <w:pPr>
      <w:ind w:firstLine="420" w:firstLineChars="200"/>
    </w:pPr>
    <w:rPr>
      <w:sz w:val="24"/>
    </w:rPr>
  </w:style>
  <w:style w:type="paragraph" w:customStyle="1" w:styleId="79">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80">
    <w:name w:val="UserStyle_48"/>
    <w:basedOn w:val="1"/>
    <w:qFormat/>
    <w:uiPriority w:val="0"/>
    <w:pPr>
      <w:ind w:firstLine="420" w:firstLineChars="200"/>
    </w:pPr>
    <w:rPr>
      <w:szCs w:val="21"/>
    </w:rPr>
  </w:style>
  <w:style w:type="paragraph" w:customStyle="1" w:styleId="81">
    <w:name w:val="PlainText"/>
    <w:basedOn w:val="1"/>
    <w:qFormat/>
    <w:uiPriority w:val="0"/>
    <w:pPr>
      <w:spacing w:before="156" w:after="156" w:line="400" w:lineRule="atLeast"/>
    </w:pPr>
    <w:rPr>
      <w:rFonts w:ascii="宋体" w:hAnsi="Courier New"/>
      <w:sz w:val="24"/>
    </w:rPr>
  </w:style>
  <w:style w:type="paragraph" w:customStyle="1" w:styleId="82">
    <w:name w:val="UserStyle_29"/>
    <w:basedOn w:val="1"/>
    <w:qFormat/>
    <w:uiPriority w:val="0"/>
    <w:pPr>
      <w:ind w:firstLine="420" w:firstLineChars="200"/>
    </w:pPr>
    <w:rPr>
      <w:szCs w:val="22"/>
    </w:rPr>
  </w:style>
  <w:style w:type="table" w:customStyle="1" w:styleId="83">
    <w:name w:val="Table Normal"/>
    <w:unhideWhenUsed/>
    <w:qFormat/>
    <w:uiPriority w:val="0"/>
    <w:tblPr>
      <w:tblCellMar>
        <w:top w:w="0" w:type="dxa"/>
        <w:left w:w="0" w:type="dxa"/>
        <w:bottom w:w="0" w:type="dxa"/>
        <w:right w:w="0" w:type="dxa"/>
      </w:tblCellMar>
    </w:tblPr>
  </w:style>
  <w:style w:type="character" w:customStyle="1" w:styleId="84">
    <w:name w:val="批注文字 字符"/>
    <w:basedOn w:val="31"/>
    <w:link w:val="11"/>
    <w:qFormat/>
    <w:uiPriority w:val="0"/>
    <w:rPr>
      <w:kern w:val="2"/>
      <w:sz w:val="21"/>
      <w:szCs w:val="24"/>
    </w:rPr>
  </w:style>
  <w:style w:type="character" w:customStyle="1" w:styleId="85">
    <w:name w:val="批注主题 字符"/>
    <w:basedOn w:val="84"/>
    <w:link w:val="26"/>
    <w:qFormat/>
    <w:uiPriority w:val="0"/>
    <w:rPr>
      <w:b/>
      <w:bCs/>
      <w:kern w:val="2"/>
      <w:sz w:val="21"/>
      <w:szCs w:val="24"/>
    </w:rPr>
  </w:style>
  <w:style w:type="character" w:customStyle="1" w:styleId="86">
    <w:name w:val="正文文本首行缩进 字符"/>
    <w:basedOn w:val="31"/>
    <w:link w:val="27"/>
    <w:qFormat/>
    <w:uiPriority w:val="0"/>
    <w:rPr>
      <w:kern w:val="2"/>
      <w:sz w:val="24"/>
      <w:szCs w:val="24"/>
    </w:rPr>
  </w:style>
  <w:style w:type="paragraph" w:customStyle="1" w:styleId="87">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8">
    <w:name w:val="未处理的提及1"/>
    <w:basedOn w:val="31"/>
    <w:semiHidden/>
    <w:unhideWhenUsed/>
    <w:qFormat/>
    <w:uiPriority w:val="99"/>
    <w:rPr>
      <w:color w:val="605E5C"/>
      <w:shd w:val="clear" w:color="auto" w:fill="E1DFDD"/>
    </w:rPr>
  </w:style>
  <w:style w:type="paragraph" w:customStyle="1" w:styleId="89">
    <w:name w:val="BodyText1I2"/>
    <w:basedOn w:val="90"/>
    <w:qFormat/>
    <w:uiPriority w:val="0"/>
    <w:pPr>
      <w:spacing w:after="120" w:line="240" w:lineRule="auto"/>
      <w:ind w:left="420" w:leftChars="200" w:firstLine="420" w:firstLineChars="200"/>
    </w:pPr>
    <w:rPr>
      <w:rFonts w:eastAsia="宋体"/>
      <w:sz w:val="21"/>
    </w:rPr>
  </w:style>
  <w:style w:type="paragraph" w:customStyle="1" w:styleId="90">
    <w:name w:val="BodyTextIndent"/>
    <w:basedOn w:val="1"/>
    <w:qFormat/>
    <w:uiPriority w:val="0"/>
    <w:pPr>
      <w:spacing w:line="380" w:lineRule="exact"/>
      <w:ind w:firstLine="480"/>
      <w:textAlignment w:val="baseline"/>
    </w:pPr>
    <w:rPr>
      <w:rFonts w:eastAsia="方正书宋简体"/>
      <w:sz w:val="24"/>
    </w:rPr>
  </w:style>
  <w:style w:type="character" w:customStyle="1" w:styleId="91">
    <w:name w:val="jbox-icon-success"/>
    <w:basedOn w:val="31"/>
    <w:qFormat/>
    <w:uiPriority w:val="0"/>
  </w:style>
  <w:style w:type="character" w:customStyle="1" w:styleId="92">
    <w:name w:val="jbox-icon-question"/>
    <w:basedOn w:val="31"/>
    <w:qFormat/>
    <w:uiPriority w:val="0"/>
  </w:style>
  <w:style w:type="character" w:customStyle="1" w:styleId="93">
    <w:name w:val="jbox-icon-warning"/>
    <w:basedOn w:val="31"/>
    <w:qFormat/>
    <w:uiPriority w:val="0"/>
  </w:style>
  <w:style w:type="character" w:customStyle="1" w:styleId="94">
    <w:name w:val="jbox-icon-none"/>
    <w:basedOn w:val="31"/>
    <w:qFormat/>
    <w:uiPriority w:val="0"/>
    <w:rPr>
      <w:vanish/>
    </w:rPr>
  </w:style>
  <w:style w:type="character" w:customStyle="1" w:styleId="95">
    <w:name w:val="jbox-icon-error"/>
    <w:basedOn w:val="31"/>
    <w:qFormat/>
    <w:uiPriority w:val="0"/>
  </w:style>
  <w:style w:type="character" w:customStyle="1" w:styleId="96">
    <w:name w:val="jbox-icon"/>
    <w:basedOn w:val="31"/>
    <w:qFormat/>
    <w:uiPriority w:val="0"/>
  </w:style>
  <w:style w:type="character" w:customStyle="1" w:styleId="97">
    <w:name w:val="jbox-icon-info"/>
    <w:basedOn w:val="31"/>
    <w:qFormat/>
    <w:uiPriority w:val="0"/>
  </w:style>
  <w:style w:type="character" w:customStyle="1" w:styleId="98">
    <w:name w:val="jbox-icon-loading"/>
    <w:basedOn w:val="31"/>
    <w:qFormat/>
    <w:uiPriority w:val="0"/>
  </w:style>
  <w:style w:type="character" w:customStyle="1" w:styleId="99">
    <w:name w:val="标题 Char"/>
    <w:qFormat/>
    <w:uiPriority w:val="0"/>
    <w:rPr>
      <w:rFonts w:ascii="Cambria" w:hAnsi="Cambria" w:cs="Times New Roman"/>
      <w:b/>
      <w:bCs/>
      <w:sz w:val="32"/>
      <w:szCs w:val="32"/>
    </w:rPr>
  </w:style>
  <w:style w:type="character" w:customStyle="1" w:styleId="100">
    <w:name w:val="纯文本 Char1"/>
    <w:qFormat/>
    <w:uiPriority w:val="99"/>
    <w:rPr>
      <w:rFonts w:ascii="宋体" w:hAnsi="Courier New" w:eastAsia="宋体" w:cs="Courier New"/>
      <w:szCs w:val="21"/>
    </w:rPr>
  </w:style>
  <w:style w:type="paragraph" w:customStyle="1" w:styleId="101">
    <w:name w:val="列出段落1"/>
    <w:basedOn w:val="1"/>
    <w:qFormat/>
    <w:uiPriority w:val="34"/>
    <w:pPr>
      <w:ind w:firstLine="420" w:firstLineChars="200"/>
    </w:pPr>
    <w:rPr>
      <w:rFonts w:ascii="Calibri" w:hAnsi="Calibri"/>
      <w:szCs w:val="22"/>
    </w:rPr>
  </w:style>
  <w:style w:type="character" w:customStyle="1" w:styleId="102">
    <w:name w:val="font11"/>
    <w:basedOn w:val="31"/>
    <w:qFormat/>
    <w:uiPriority w:val="0"/>
    <w:rPr>
      <w:rFonts w:hint="eastAsia" w:ascii="宋体" w:hAnsi="宋体" w:eastAsia="宋体" w:cs="宋体"/>
      <w:b/>
      <w:bCs/>
      <w:color w:val="000000"/>
      <w:sz w:val="21"/>
      <w:szCs w:val="21"/>
      <w:u w:val="none"/>
    </w:rPr>
  </w:style>
  <w:style w:type="character" w:customStyle="1" w:styleId="103">
    <w:name w:val="font41"/>
    <w:basedOn w:val="31"/>
    <w:qFormat/>
    <w:uiPriority w:val="0"/>
    <w:rPr>
      <w:rFonts w:hint="eastAsia" w:ascii="宋体" w:hAnsi="宋体" w:eastAsia="宋体" w:cs="宋体"/>
      <w:color w:val="333333"/>
      <w:sz w:val="21"/>
      <w:szCs w:val="21"/>
      <w:u w:val="none"/>
    </w:rPr>
  </w:style>
  <w:style w:type="character" w:customStyle="1" w:styleId="104">
    <w:name w:val="font31"/>
    <w:basedOn w:val="31"/>
    <w:qFormat/>
    <w:uiPriority w:val="0"/>
    <w:rPr>
      <w:rFonts w:hint="default" w:ascii="Times New Roman" w:hAnsi="Times New Roman" w:cs="Times New Roman"/>
      <w:color w:val="333333"/>
      <w:sz w:val="21"/>
      <w:szCs w:val="21"/>
      <w:u w:val="none"/>
    </w:rPr>
  </w:style>
  <w:style w:type="character" w:customStyle="1" w:styleId="105">
    <w:name w:val="font61"/>
    <w:basedOn w:val="31"/>
    <w:qFormat/>
    <w:uiPriority w:val="0"/>
    <w:rPr>
      <w:rFonts w:hint="eastAsia" w:ascii="宋体" w:hAnsi="宋体" w:eastAsia="宋体" w:cs="宋体"/>
      <w:color w:val="000000"/>
      <w:sz w:val="21"/>
      <w:szCs w:val="21"/>
      <w:u w:val="none"/>
    </w:rPr>
  </w:style>
  <w:style w:type="character" w:customStyle="1" w:styleId="106">
    <w:name w:val="font51"/>
    <w:basedOn w:val="31"/>
    <w:qFormat/>
    <w:uiPriority w:val="0"/>
    <w:rPr>
      <w:rFonts w:hint="default" w:ascii="Times New Roman" w:hAnsi="Times New Roman" w:cs="Times New Roman"/>
      <w:color w:val="000000"/>
      <w:sz w:val="21"/>
      <w:szCs w:val="21"/>
      <w:u w:val="none"/>
    </w:rPr>
  </w:style>
  <w:style w:type="paragraph" w:customStyle="1" w:styleId="107">
    <w:name w:val="[Normal]"/>
    <w:qFormat/>
    <w:uiPriority w:val="0"/>
    <w:rPr>
      <w:rFonts w:ascii="宋体" w:hAnsi="宋体" w:eastAsia="宋体" w:cs="Times New Roman"/>
      <w:sz w:val="24"/>
      <w:lang w:val="en-US" w:eastAsia="en-US" w:bidi="ar-SA"/>
    </w:rPr>
  </w:style>
  <w:style w:type="paragraph" w:customStyle="1" w:styleId="108">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E37FC-9063-4F28-9CD0-F78E01FF22E9}">
  <ds:schemaRefs/>
</ds:datastoreItem>
</file>

<file path=docProps/app.xml><?xml version="1.0" encoding="utf-8"?>
<Properties xmlns="http://schemas.openxmlformats.org/officeDocument/2006/extended-properties" xmlns:vt="http://schemas.openxmlformats.org/officeDocument/2006/docPropsVTypes">
  <Template>Normal</Template>
  <Pages>44</Pages>
  <Words>20885</Words>
  <Characters>22644</Characters>
  <Lines>182</Lines>
  <Paragraphs>51</Paragraphs>
  <TotalTime>16</TotalTime>
  <ScaleCrop>false</ScaleCrop>
  <LinksUpToDate>false</LinksUpToDate>
  <CharactersWithSpaces>23834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2024-05-11T11:57:00Z</dcterms:created>
  <dc:creator>Thorpe521</dc:creator>
  <cp:lastModifiedBy>Administrator</cp:lastModifiedBy>
  <cp:lastPrinted>2023-07-18T00:34:00Z</cp:lastPrinted>
  <dcterms:modified xsi:type="dcterms:W3CDTF">2024-05-30T09:34:45Z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