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shd w:val="clear"/>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2"/>
          <w:szCs w:val="32"/>
          <w:highlight w:val="none"/>
          <w:lang w:eastAsia="zh-CN"/>
          <w14:textFill>
            <w14:solidFill>
              <w14:schemeClr w14:val="tx1"/>
            </w14:solidFill>
          </w14:textFill>
        </w:rPr>
        <w:t>台州湾新区聚才公寓和沧海商务中心综合物业服务采购</w:t>
      </w:r>
    </w:p>
    <w:p>
      <w:pPr>
        <w:pStyle w:val="82"/>
        <w:shd w:val="clear"/>
        <w:jc w:val="center"/>
        <w:rPr>
          <w:rFonts w:hint="eastAsia"/>
          <w:b/>
          <w:bCs/>
          <w:color w:val="000000" w:themeColor="text1"/>
          <w:sz w:val="36"/>
          <w:szCs w:val="40"/>
          <w:highlight w:val="none"/>
          <w14:textFill>
            <w14:solidFill>
              <w14:schemeClr w14:val="tx1"/>
            </w14:solidFill>
          </w14:textFill>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84"/>
          <w:szCs w:val="84"/>
          <w:highlight w:val="none"/>
          <w14:textFill>
            <w14:solidFill>
              <w14:schemeClr w14:val="tx1"/>
            </w14:solidFill>
          </w14:textFill>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84"/>
          <w:szCs w:val="84"/>
          <w:highlight w:val="none"/>
          <w14:textFill>
            <w14:solidFill>
              <w14:schemeClr w14:val="tx1"/>
            </w14:solidFill>
          </w14:textFill>
        </w:rPr>
        <w:t>采 购 文 件</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采购编号：</w:t>
      </w:r>
      <w:r>
        <w:rPr>
          <w:rFonts w:hint="eastAsia" w:ascii="宋体" w:hAnsi="宋体" w:cs="Calibri Light"/>
          <w:color w:val="000000" w:themeColor="text1"/>
          <w:kern w:val="0"/>
          <w:sz w:val="24"/>
          <w:highlight w:val="none"/>
          <w:lang w:eastAsia="zh-CN"/>
          <w14:textFill>
            <w14:solidFill>
              <w14:schemeClr w14:val="tx1"/>
            </w14:solidFill>
          </w14:textFill>
        </w:rPr>
        <w:t>QBJ2024119</w:t>
      </w:r>
      <w:r>
        <w:rPr>
          <w:rFonts w:ascii="宋体"/>
          <w:b/>
          <w:color w:val="000000" w:themeColor="text1"/>
          <w:kern w:val="0"/>
          <w:sz w:val="24"/>
          <w:highlight w:val="none"/>
          <w14:textFill>
            <w14:solidFill>
              <w14:schemeClr w14:val="tx1"/>
            </w14:solidFill>
          </w14:textFill>
        </w:rPr>
        <w:t xml:space="preserve"> </w:t>
      </w:r>
      <w:r>
        <w:rPr>
          <w:rFonts w:hint="eastAsia" w:ascii="宋体"/>
          <w:b/>
          <w:color w:val="000000" w:themeColor="text1"/>
          <w:kern w:val="0"/>
          <w:sz w:val="24"/>
          <w:highlight w:val="none"/>
          <w:lang w:val="en-US" w:eastAsia="zh-CN"/>
          <w14:textFill>
            <w14:solidFill>
              <w14:schemeClr w14:val="tx1"/>
            </w14:solidFill>
          </w14:textFill>
        </w:rPr>
        <w:t xml:space="preserve"> </w:t>
      </w:r>
    </w:p>
    <w:p>
      <w:pPr>
        <w:shd w:val="clea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pStyle w:val="33"/>
        <w:shd w:val="clear"/>
        <w:rPr>
          <w:rFonts w:ascii="宋体" w:hAnsi="宋体"/>
          <w:color w:val="000000" w:themeColor="text1"/>
          <w:spacing w:val="20"/>
          <w:kern w:val="21"/>
          <w:sz w:val="30"/>
          <w:szCs w:val="30"/>
          <w:highlight w:val="none"/>
          <w14:textFill>
            <w14:solidFill>
              <w14:schemeClr w14:val="tx1"/>
            </w14:solidFill>
          </w14:textFill>
        </w:rPr>
      </w:pPr>
    </w:p>
    <w:p>
      <w:pPr>
        <w:pStyle w:val="33"/>
        <w:shd w:val="clear"/>
        <w:rPr>
          <w:rFonts w:ascii="宋体" w:hAnsi="宋体"/>
          <w:color w:val="000000" w:themeColor="text1"/>
          <w:spacing w:val="20"/>
          <w:kern w:val="21"/>
          <w:sz w:val="30"/>
          <w:szCs w:val="30"/>
          <w:highlight w:val="none"/>
          <w14:textFill>
            <w14:solidFill>
              <w14:schemeClr w14:val="tx1"/>
            </w14:solidFill>
          </w14:textFill>
        </w:rPr>
      </w:pPr>
    </w:p>
    <w:p>
      <w:pPr>
        <w:pStyle w:val="33"/>
        <w:shd w:val="clear"/>
        <w:rPr>
          <w:rFonts w:ascii="宋体" w:hAnsi="宋体"/>
          <w:color w:val="000000" w:themeColor="text1"/>
          <w:spacing w:val="20"/>
          <w:kern w:val="21"/>
          <w:sz w:val="30"/>
          <w:szCs w:val="30"/>
          <w:highlight w:val="none"/>
          <w14:textFill>
            <w14:solidFill>
              <w14:schemeClr w14:val="tx1"/>
            </w14:solidFill>
          </w14:textFill>
        </w:rPr>
      </w:pPr>
    </w:p>
    <w:p>
      <w:pPr>
        <w:shd w:val="clea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w:t>
      </w:r>
      <w:r>
        <w:rPr>
          <w:rFonts w:hint="eastAsia" w:ascii="宋体" w:hAnsi="宋体"/>
          <w:color w:val="000000" w:themeColor="text1"/>
          <w:spacing w:val="20"/>
          <w:kern w:val="21"/>
          <w:sz w:val="30"/>
          <w:szCs w:val="30"/>
          <w:highlight w:val="none"/>
          <w:lang w:val="en-US" w:eastAsia="zh-CN"/>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购</w:t>
      </w:r>
      <w:r>
        <w:rPr>
          <w:rFonts w:hint="eastAsia" w:ascii="宋体" w:hAnsi="宋体"/>
          <w:color w:val="000000" w:themeColor="text1"/>
          <w:spacing w:val="20"/>
          <w:kern w:val="21"/>
          <w:sz w:val="30"/>
          <w:szCs w:val="30"/>
          <w:highlight w:val="none"/>
          <w:lang w:val="en-US" w:eastAsia="zh-CN"/>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人：</w:t>
      </w:r>
      <w:r>
        <w:rPr>
          <w:rFonts w:hint="eastAsia"/>
          <w:color w:val="000000" w:themeColor="text1"/>
          <w:sz w:val="28"/>
          <w:highlight w:val="none"/>
          <w:u w:val="single"/>
          <w:lang w:eastAsia="zh-CN"/>
          <w14:textFill>
            <w14:solidFill>
              <w14:schemeClr w14:val="tx1"/>
            </w14:solidFill>
          </w14:textFill>
        </w:rPr>
        <w:t>台州循环经济发展有限公司集聚区资产经营分公司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lang w:val="en-US" w:eastAsia="zh-CN"/>
          <w14:textFill>
            <w14:solidFill>
              <w14:schemeClr w14:val="tx1"/>
            </w14:solidFill>
          </w14:textFill>
        </w:rPr>
        <w:t>沈</w:t>
      </w:r>
      <w:r>
        <w:rPr>
          <w:rFonts w:hint="eastAsia" w:hAnsi="宋体"/>
          <w:color w:val="000000" w:themeColor="text1"/>
          <w:sz w:val="28"/>
          <w:highlight w:val="none"/>
          <w:u w:val="single"/>
          <w:lang w:eastAsia="zh-CN"/>
          <w14:textFill>
            <w14:solidFill>
              <w14:schemeClr w14:val="tx1"/>
            </w14:solidFill>
          </w14:textFill>
        </w:rPr>
        <w:t>先生</w:t>
      </w:r>
    </w:p>
    <w:p>
      <w:pPr>
        <w:shd w:val="clear"/>
        <w:spacing w:line="640" w:lineRule="exact"/>
        <w:ind w:firstLine="1020" w:firstLineChars="300"/>
        <w:outlineLvl w:val="0"/>
        <w:rPr>
          <w:rFonts w:hint="default" w:ascii="宋体" w:hAnsi="宋体"/>
          <w:color w:val="000000" w:themeColor="text1"/>
          <w:spacing w:val="20"/>
          <w:kern w:val="21"/>
          <w:sz w:val="30"/>
          <w:szCs w:val="30"/>
          <w:highlight w:val="none"/>
          <w:lang w:val="en-US"/>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lang w:val="en-US" w:eastAsia="zh-CN"/>
          <w14:textFill>
            <w14:solidFill>
              <w14:schemeClr w14:val="tx1"/>
            </w14:solidFill>
          </w14:textFill>
        </w:rPr>
        <w:t>13738548800</w:t>
      </w:r>
    </w:p>
    <w:p>
      <w:pPr>
        <w:pStyle w:val="14"/>
        <w:numPr>
          <w:ilvl w:val="0"/>
          <w:numId w:val="0"/>
        </w:numPr>
        <w:shd w:val="clear"/>
        <w:rPr>
          <w:color w:val="000000" w:themeColor="text1"/>
          <w:highlight w:val="none"/>
          <w14:textFill>
            <w14:solidFill>
              <w14:schemeClr w14:val="tx1"/>
            </w14:solidFill>
          </w14:textFill>
        </w:rPr>
      </w:pP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lang w:val="en-US" w:eastAsia="zh-CN"/>
          <w14:textFill>
            <w14:solidFill>
              <w14:schemeClr w14:val="tx1"/>
            </w14:solidFill>
          </w14:textFill>
        </w:rPr>
        <w:t>王先生</w:t>
      </w:r>
    </w:p>
    <w:p>
      <w:pPr>
        <w:shd w:val="clea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lang w:eastAsia="zh-CN"/>
          <w14:textFill>
            <w14:solidFill>
              <w14:schemeClr w14:val="tx1"/>
            </w14:solidFill>
          </w14:textFill>
        </w:rPr>
        <w:t>0576-885</w:t>
      </w:r>
      <w:r>
        <w:rPr>
          <w:rFonts w:hint="eastAsia" w:ascii="宋体" w:hAnsi="宋体"/>
          <w:color w:val="000000" w:themeColor="text1"/>
          <w:sz w:val="28"/>
          <w:highlight w:val="none"/>
          <w:u w:val="single"/>
          <w:lang w:val="en-US" w:eastAsia="zh-CN"/>
          <w14:textFill>
            <w14:solidFill>
              <w14:schemeClr w14:val="tx1"/>
            </w14:solidFill>
          </w14:textFill>
        </w:rPr>
        <w:t>20051</w:t>
      </w:r>
    </w:p>
    <w:p>
      <w:pPr>
        <w:shd w:val="clea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w:t>
      </w:r>
      <w:r>
        <w:rPr>
          <w:rFonts w:hint="eastAsia" w:ascii="宋体" w:hAnsi="宋体"/>
          <w:color w:val="000000" w:themeColor="text1"/>
          <w:spacing w:val="20"/>
          <w:kern w:val="21"/>
          <w:sz w:val="30"/>
          <w:szCs w:val="30"/>
          <w:highlight w:val="none"/>
          <w:lang w:val="en-US" w:eastAsia="zh-CN"/>
          <w14:textFill>
            <w14:solidFill>
              <w14:schemeClr w14:val="tx1"/>
            </w14:solidFill>
          </w14:textFill>
        </w:rPr>
        <w:t>4</w:t>
      </w:r>
      <w:r>
        <w:rPr>
          <w:rFonts w:hint="eastAsia" w:ascii="宋体" w:hAnsi="宋体"/>
          <w:color w:val="000000" w:themeColor="text1"/>
          <w:spacing w:val="20"/>
          <w:kern w:val="21"/>
          <w:sz w:val="30"/>
          <w:szCs w:val="30"/>
          <w:highlight w:val="none"/>
          <w14:textFill>
            <w14:solidFill>
              <w14:schemeClr w14:val="tx1"/>
            </w14:solidFill>
          </w14:textFill>
        </w:rPr>
        <w:t>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6</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3"/>
        <w:shd w:val="clear"/>
        <w:rPr>
          <w:color w:val="000000" w:themeColor="text1"/>
          <w:highlight w:val="none"/>
          <w14:textFill>
            <w14:solidFill>
              <w14:schemeClr w14:val="tx1"/>
            </w14:solidFill>
          </w14:textFill>
        </w:rPr>
      </w:pPr>
    </w:p>
    <w:p>
      <w:pPr>
        <w:shd w:val="clea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hd w:val="clea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0"/>
        <w:shd w:val="clear"/>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第一章 </w:t>
      </w:r>
      <w:r>
        <w:rPr>
          <w:rFonts w:hint="eastAsia" w:cs="宋体"/>
          <w:color w:val="000000" w:themeColor="text1"/>
          <w:sz w:val="28"/>
          <w:szCs w:val="28"/>
          <w:highlight w:val="none"/>
          <w:lang w:val="en-US" w:eastAsia="zh-CN"/>
          <w14:textFill>
            <w14:solidFill>
              <w14:schemeClr w14:val="tx1"/>
            </w14:solidFill>
          </w14:textFill>
        </w:rPr>
        <w:t>招标公告</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0"/>
        <w:shd w:val="clear"/>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0"/>
        <w:shd w:val="clear"/>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5</w:t>
      </w:r>
    </w:p>
    <w:p>
      <w:pPr>
        <w:pStyle w:val="20"/>
        <w:shd w:val="clear"/>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4</w:t>
      </w:r>
    </w:p>
    <w:p>
      <w:pPr>
        <w:pStyle w:val="20"/>
        <w:shd w:val="clear"/>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1</w:t>
      </w:r>
    </w:p>
    <w:p>
      <w:pPr>
        <w:pStyle w:val="20"/>
        <w:shd w:val="clear"/>
        <w:tabs>
          <w:tab w:val="right" w:leader="dot" w:pos="8620"/>
        </w:tabs>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4</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2</w:t>
      </w:r>
    </w:p>
    <w:bookmarkEnd w:id="0"/>
    <w:p>
      <w:pPr>
        <w:shd w:val="clear"/>
        <w:spacing w:line="480" w:lineRule="auto"/>
        <w:rPr>
          <w:color w:val="000000" w:themeColor="text1"/>
          <w:sz w:val="28"/>
          <w:szCs w:val="28"/>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招标公告</w:t>
      </w:r>
    </w:p>
    <w:p>
      <w:pPr>
        <w:pStyle w:val="5"/>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000000" w:themeColor="text1"/>
          <w:sz w:val="24"/>
          <w:szCs w:val="24"/>
          <w:highlight w:val="none"/>
          <w14:textFill>
            <w14:solidFill>
              <w14:schemeClr w14:val="tx1"/>
            </w14:solidFill>
          </w14:textFill>
        </w:rPr>
      </w:pPr>
      <w:bookmarkStart w:id="2" w:name="_Toc28359079"/>
      <w:bookmarkStart w:id="3" w:name="_Toc28359002"/>
      <w:bookmarkStart w:id="4" w:name="_Toc35393621"/>
      <w:bookmarkStart w:id="5" w:name="_Toc35393790"/>
      <w:bookmarkStart w:id="6"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台州循环经济发展有限公司集聚区资产经营分公司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台州湾新区聚才公寓和沧海商务中心综合物业服务采购</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5"/>
        <w:keepNext w:val="0"/>
        <w:keepLines w:val="0"/>
        <w:pageBreakBefore w:val="0"/>
        <w:widowControl w:val="0"/>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2"/>
      <w:bookmarkEnd w:id="3"/>
      <w:bookmarkEnd w:id="4"/>
      <w:bookmarkEnd w:id="5"/>
      <w:r>
        <w:rPr>
          <w:rFonts w:ascii="宋体" w:hAnsi="宋体" w:cs="宋体"/>
          <w:color w:val="000000" w:themeColor="text1"/>
          <w:sz w:val="24"/>
          <w:highlight w:val="none"/>
          <w14:textFill>
            <w14:solidFill>
              <w14:schemeClr w14:val="tx1"/>
            </w14:solidFill>
          </w14:textFill>
        </w:rPr>
        <w:t xml:space="preserve"> </w:t>
      </w:r>
    </w:p>
    <w:bookmarkEnd w:id="6"/>
    <w:tbl>
      <w:tblPr>
        <w:tblStyle w:val="27"/>
        <w:tblpPr w:leftFromText="181" w:rightFromText="181" w:bottomFromText="170" w:vertAnchor="text" w:tblpXSpec="center" w:tblpY="1"/>
        <w:tblOverlap w:val="never"/>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014"/>
        <w:gridCol w:w="2786"/>
        <w:gridCol w:w="133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87" w:type="dxa"/>
            <w:vAlign w:val="center"/>
          </w:tcPr>
          <w:p>
            <w:pPr>
              <w:shd w:val="clear"/>
              <w:tabs>
                <w:tab w:val="left" w:pos="8280"/>
              </w:tabs>
              <w:autoSpaceDE w:val="0"/>
              <w:autoSpaceDN w:val="0"/>
              <w:adjustRightInd w:val="0"/>
              <w:jc w:val="center"/>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序号</w:t>
            </w:r>
          </w:p>
        </w:tc>
        <w:tc>
          <w:tcPr>
            <w:tcW w:w="2014" w:type="dxa"/>
            <w:vAlign w:val="center"/>
          </w:tcPr>
          <w:p>
            <w:pPr>
              <w:shd w:val="clear"/>
              <w:tabs>
                <w:tab w:val="left" w:pos="8280"/>
              </w:tabs>
              <w:autoSpaceDE w:val="0"/>
              <w:autoSpaceDN w:val="0"/>
              <w:adjustRightInd w:val="0"/>
              <w:ind w:firstLine="105" w:firstLineChars="50"/>
              <w:jc w:val="center"/>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采购内容</w:t>
            </w:r>
          </w:p>
        </w:tc>
        <w:tc>
          <w:tcPr>
            <w:tcW w:w="2786" w:type="dxa"/>
            <w:vAlign w:val="center"/>
          </w:tcPr>
          <w:p>
            <w:pPr>
              <w:shd w:val="clear"/>
              <w:tabs>
                <w:tab w:val="left" w:pos="8280"/>
              </w:tabs>
              <w:autoSpaceDE w:val="0"/>
              <w:autoSpaceDN w:val="0"/>
              <w:adjustRightInd w:val="0"/>
              <w:jc w:val="center"/>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服务</w:t>
            </w:r>
            <w:r>
              <w:rPr>
                <w:rFonts w:hint="eastAsia" w:ascii="宋体" w:hAnsi="宋体" w:cs="宋体"/>
                <w:b/>
                <w:color w:val="000000" w:themeColor="text1"/>
                <w:szCs w:val="21"/>
                <w:highlight w:val="none"/>
                <w:lang w:eastAsia="zh-CN"/>
                <w14:textFill>
                  <w14:solidFill>
                    <w14:schemeClr w14:val="tx1"/>
                  </w14:solidFill>
                </w14:textFill>
              </w:rPr>
              <w:t>期限</w:t>
            </w:r>
          </w:p>
        </w:tc>
        <w:tc>
          <w:tcPr>
            <w:tcW w:w="1330" w:type="dxa"/>
            <w:vAlign w:val="center"/>
          </w:tcPr>
          <w:p>
            <w:pPr>
              <w:shd w:val="clear"/>
              <w:tabs>
                <w:tab w:val="left" w:pos="8280"/>
              </w:tabs>
              <w:autoSpaceDE w:val="0"/>
              <w:autoSpaceDN w:val="0"/>
              <w:adjustRightInd w:val="0"/>
              <w:jc w:val="center"/>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项目地点</w:t>
            </w:r>
          </w:p>
        </w:tc>
        <w:tc>
          <w:tcPr>
            <w:tcW w:w="1621" w:type="dxa"/>
            <w:vAlign w:val="center"/>
          </w:tcPr>
          <w:p>
            <w:pPr>
              <w:shd w:val="clear"/>
              <w:jc w:val="center"/>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总计费用（三年）上限（含税）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687" w:type="dxa"/>
            <w:shd w:val="clear" w:color="auto" w:fill="auto"/>
            <w:vAlign w:val="center"/>
          </w:tcPr>
          <w:p>
            <w:pPr>
              <w:shd w:val="clear"/>
              <w:tabs>
                <w:tab w:val="left" w:pos="8280"/>
              </w:tabs>
              <w:autoSpaceDE w:val="0"/>
              <w:autoSpaceDN w:val="0"/>
              <w:adjustRightInd w:val="0"/>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1</w:t>
            </w:r>
          </w:p>
        </w:tc>
        <w:tc>
          <w:tcPr>
            <w:tcW w:w="2014" w:type="dxa"/>
            <w:shd w:val="clear" w:color="auto" w:fill="auto"/>
            <w:vAlign w:val="center"/>
          </w:tcPr>
          <w:p>
            <w:pPr>
              <w:shd w:val="clear"/>
              <w:tabs>
                <w:tab w:val="left" w:pos="8280"/>
              </w:tabs>
              <w:autoSpaceDE w:val="0"/>
              <w:autoSpaceDN w:val="0"/>
              <w:adjustRightInd w:val="0"/>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台州湾新区聚才公寓和沧海商务中心综合物业服务</w:t>
            </w:r>
          </w:p>
        </w:tc>
        <w:tc>
          <w:tcPr>
            <w:tcW w:w="2786" w:type="dxa"/>
            <w:shd w:val="clear" w:color="auto" w:fill="auto"/>
            <w:vAlign w:val="center"/>
          </w:tcPr>
          <w:p>
            <w:pPr>
              <w:shd w:val="clear"/>
              <w:tabs>
                <w:tab w:val="left" w:pos="8280"/>
              </w:tabs>
              <w:autoSpaceDE w:val="0"/>
              <w:autoSpaceDN w:val="0"/>
              <w:adjustRightInd w:val="0"/>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三年。年度合同期满后经采购人考核合格，自动履行下一年度合同。若考核（包括服务考核、费用催收考核）中出现连续三次及以上低于90分，则自动终止合同。</w:t>
            </w:r>
          </w:p>
        </w:tc>
        <w:tc>
          <w:tcPr>
            <w:tcW w:w="1330" w:type="dxa"/>
            <w:shd w:val="clear" w:color="auto" w:fill="auto"/>
            <w:vAlign w:val="center"/>
          </w:tcPr>
          <w:p>
            <w:pPr>
              <w:shd w:val="clear"/>
              <w:tabs>
                <w:tab w:val="left" w:pos="8280"/>
              </w:tabs>
              <w:autoSpaceDE w:val="0"/>
              <w:autoSpaceDN w:val="0"/>
              <w:adjustRightInd w:val="0"/>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台州湾新区辉煌路</w:t>
            </w:r>
          </w:p>
        </w:tc>
        <w:tc>
          <w:tcPr>
            <w:tcW w:w="1621" w:type="dxa"/>
            <w:shd w:val="clear" w:color="auto" w:fill="auto"/>
            <w:vAlign w:val="center"/>
          </w:tcPr>
          <w:p>
            <w:pPr>
              <w:shd w:val="clear"/>
              <w:tabs>
                <w:tab w:val="left" w:pos="8280"/>
              </w:tabs>
              <w:autoSpaceDE w:val="0"/>
              <w:autoSpaceDN w:val="0"/>
              <w:adjustRightInd w:val="0"/>
              <w:jc w:val="center"/>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735万元</w:t>
            </w:r>
          </w:p>
          <w:p>
            <w:pPr>
              <w:shd w:val="clear"/>
              <w:tabs>
                <w:tab w:val="left" w:pos="8280"/>
              </w:tabs>
              <w:autoSpaceDE w:val="0"/>
              <w:autoSpaceDN w:val="0"/>
              <w:adjustRightInd w:val="0"/>
              <w:jc w:val="center"/>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（245万元/年）</w:t>
            </w:r>
          </w:p>
        </w:tc>
      </w:tr>
    </w:tbl>
    <w:p>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cs="宋体"/>
          <w:bCs/>
          <w:color w:val="000000" w:themeColor="text1"/>
          <w:sz w:val="24"/>
          <w:szCs w:val="24"/>
          <w:highlight w:val="none"/>
          <w14:textFill>
            <w14:solidFill>
              <w14:schemeClr w14:val="tx1"/>
            </w14:solidFill>
          </w14:textFill>
        </w:rPr>
      </w:pPr>
      <w:bookmarkStart w:id="7" w:name="_Toc35393622"/>
      <w:bookmarkStart w:id="8" w:name="_Toc35393791"/>
      <w:bookmarkStart w:id="9" w:name="_Toc28359080"/>
      <w:bookmarkStart w:id="10" w:name="_Toc28359003"/>
      <w:r>
        <w:rPr>
          <w:rFonts w:hint="eastAsia" w:cs="宋体"/>
          <w:bCs/>
          <w:color w:val="000000" w:themeColor="text1"/>
          <w:sz w:val="24"/>
          <w:szCs w:val="24"/>
          <w:highlight w:val="none"/>
          <w14:textFill>
            <w14:solidFill>
              <w14:schemeClr w14:val="tx1"/>
            </w14:solidFill>
          </w14:textFill>
        </w:rPr>
        <w:t>二、投标人的资格要求</w:t>
      </w:r>
      <w:bookmarkEnd w:id="7"/>
      <w:bookmarkEnd w:id="8"/>
      <w:bookmarkEnd w:id="9"/>
      <w:bookmarkEnd w:id="10"/>
    </w:p>
    <w:p>
      <w:pPr>
        <w:pStyle w:val="84"/>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bCs/>
          <w:color w:val="auto"/>
          <w:kern w:val="0"/>
          <w:sz w:val="24"/>
          <w:highlight w:val="none"/>
          <w:lang w:val="en-US" w:eastAsia="zh-CN"/>
        </w:rPr>
        <w:t>具有独立承担民事责任的能力，具有良好的商业信誉和健全的财务会计制度</w:t>
      </w:r>
      <w:r>
        <w:rPr>
          <w:rFonts w:hint="eastAsia" w:ascii="宋体" w:cs="宋体"/>
          <w:bCs/>
          <w:color w:val="auto"/>
          <w:kern w:val="0"/>
          <w:sz w:val="24"/>
          <w:highlight w:val="none"/>
          <w:lang w:val="en-US" w:eastAsia="zh-CN"/>
        </w:rPr>
        <w:t>的供应商</w:t>
      </w:r>
      <w:r>
        <w:rPr>
          <w:rFonts w:hint="eastAsia" w:ascii="宋体"/>
          <w:color w:val="000000"/>
          <w:sz w:val="24"/>
          <w:highlight w:val="none"/>
          <w:lang w:eastAsia="zh-CN"/>
        </w:rPr>
        <w:t>。</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bookmarkStart w:id="11" w:name="_Toc35393792"/>
      <w:bookmarkStart w:id="12" w:name="_Toc28359004"/>
      <w:bookmarkStart w:id="13" w:name="_Toc35393623"/>
      <w:bookmarkStart w:id="14" w:name="_Toc28359081"/>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bookmarkEnd w:id="11"/>
    <w:bookmarkEnd w:id="12"/>
    <w:bookmarkEnd w:id="13"/>
    <w:bookmarkEnd w:id="14"/>
    <w:p>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r>
        <w:rPr>
          <w:rFonts w:hint="eastAsia" w:cs="宋体"/>
          <w:bCs/>
          <w:color w:val="auto"/>
          <w:sz w:val="24"/>
          <w:szCs w:val="24"/>
          <w:highlight w:val="none"/>
          <w:lang w:eastAsia="zh-CN"/>
        </w:rPr>
        <w:t>采购文件</w:t>
      </w:r>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28359005"/>
      <w:bookmarkStart w:id="16" w:name="_Toc28359082"/>
      <w:bookmarkStart w:id="17" w:name="_Toc35393793"/>
      <w:bookmarkStart w:id="18" w:name="_Toc35393624"/>
      <w:r>
        <w:rPr>
          <w:rFonts w:hint="eastAsia" w:cs="宋体"/>
          <w:bCs/>
          <w:color w:val="auto"/>
          <w:sz w:val="24"/>
          <w:szCs w:val="24"/>
          <w:highlight w:val="none"/>
        </w:rPr>
        <w:t>四、提交投标文件</w:t>
      </w:r>
      <w:bookmarkEnd w:id="15"/>
      <w:bookmarkEnd w:id="16"/>
      <w:bookmarkEnd w:id="17"/>
      <w:bookmarkEnd w:id="18"/>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35393794"/>
      <w:bookmarkStart w:id="20" w:name="_Toc28359084"/>
      <w:bookmarkStart w:id="21" w:name="_Toc35393625"/>
      <w:bookmarkStart w:id="22"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17</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pPr>
        <w:pStyle w:val="26"/>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6"/>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6"/>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795"/>
      <w:bookmarkStart w:id="24" w:name="_Toc35393626"/>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14万</w:t>
      </w:r>
      <w:r>
        <w:rPr>
          <w:rFonts w:hint="eastAsia" w:ascii="宋体" w:hAnsi="宋体" w:cs="宋体"/>
          <w:bCs/>
          <w:color w:val="auto"/>
          <w:kern w:val="0"/>
          <w:sz w:val="24"/>
          <w:highlight w:val="none"/>
          <w:u w:val="single"/>
        </w:rPr>
        <w:t>元</w:t>
      </w:r>
      <w:r>
        <w:rPr>
          <w:rFonts w:hint="eastAsia" w:ascii="宋体" w:hAnsi="宋体" w:cs="宋体"/>
          <w:bCs/>
          <w:color w:val="auto"/>
          <w:kern w:val="0"/>
          <w:sz w:val="24"/>
          <w:highlight w:val="none"/>
        </w:rPr>
        <w:t>。</w:t>
      </w:r>
    </w:p>
    <w:p>
      <w:pPr>
        <w:pStyle w:val="26"/>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暂时保管，待履约担保办理完毕并签订合同后，招标人返还中标人。</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cs="宋体"/>
          <w:b w:val="0"/>
          <w:color w:val="000000" w:themeColor="text1"/>
          <w:sz w:val="24"/>
          <w:szCs w:val="24"/>
          <w:highlight w:val="none"/>
          <w:u w:val="single"/>
          <w:lang w:eastAsia="zh-CN"/>
          <w14:textFill>
            <w14:solidFill>
              <w14:schemeClr w14:val="tx1"/>
            </w14:solidFill>
          </w14:textFill>
        </w:rPr>
        <w:t>台州循环经济发展有限公司集聚区资产经营分公司</w:t>
      </w:r>
      <w:r>
        <w:rPr>
          <w:rFonts w:hint="eastAsia" w:ascii="宋体" w:hAnsi="宋体" w:cs="宋体"/>
          <w:bCs/>
          <w:color w:val="auto"/>
          <w:kern w:val="0"/>
          <w:sz w:val="24"/>
          <w:highlight w:val="none"/>
        </w:rPr>
        <w:t>（招标人名称）；</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w:t>
      </w:r>
      <w:r>
        <w:rPr>
          <w:rFonts w:hint="eastAsia" w:cs="宋体"/>
          <w:b/>
          <w:bCs w:val="0"/>
          <w:color w:val="000000" w:themeColor="text1"/>
          <w:kern w:val="0"/>
          <w:sz w:val="24"/>
          <w:szCs w:val="24"/>
          <w:highlight w:val="none"/>
          <w14:textFill>
            <w14:solidFill>
              <w14:schemeClr w14:val="tx1"/>
            </w14:solidFill>
          </w14:textFill>
        </w:rPr>
        <w:t>电</w:t>
      </w:r>
      <w:r>
        <w:rPr>
          <w:rFonts w:hint="eastAsia" w:cs="宋体"/>
          <w:color w:val="000000" w:themeColor="text1"/>
          <w:kern w:val="0"/>
          <w:sz w:val="24"/>
          <w:szCs w:val="24"/>
          <w:highlight w:val="none"/>
          <w14:textFill>
            <w14:solidFill>
              <w14:schemeClr w14:val="tx1"/>
            </w14:solidFill>
          </w14:textFill>
        </w:rPr>
        <w:t>子保函或现金转账的缴款凭证，其扫描件（加盖公章）放进投标文件中。</w:t>
      </w:r>
    </w:p>
    <w:p>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000000" w:themeColor="text1"/>
          <w:kern w:val="0"/>
          <w:sz w:val="24"/>
          <w:szCs w:val="24"/>
          <w:highlight w:val="none"/>
          <w14:textFill>
            <w14:solidFill>
              <w14:schemeClr w14:val="tx1"/>
            </w14:solidFill>
          </w14:textFill>
        </w:rPr>
        <w:t>⑥</w:t>
      </w:r>
      <w:r>
        <w:rPr>
          <w:rFonts w:hint="eastAsia" w:cs="宋体"/>
          <w:b w:val="0"/>
          <w:bCs/>
          <w:color w:val="auto"/>
          <w:kern w:val="0"/>
          <w:sz w:val="24"/>
          <w:szCs w:val="24"/>
          <w:highlight w:val="none"/>
        </w:rPr>
        <w:t xml:space="preserve"> 以上未按要求提供或提供不清晰的，评标委员会可能做出不利于投标人的评审结果，由此造成的风险由投标人自行承担。</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r>
        <w:rPr>
          <w:rFonts w:hint="eastAsia" w:ascii="宋体" w:hAnsi="宋体" w:cs="宋体"/>
          <w:b/>
          <w:bCs/>
          <w:color w:val="auto"/>
          <w:kern w:val="0"/>
          <w:sz w:val="24"/>
          <w:highlight w:val="none"/>
          <w:lang w:eastAsia="zh-CN"/>
        </w:rPr>
        <w:t>。</w:t>
      </w:r>
    </w:p>
    <w:p>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000000" w:themeColor="text1"/>
          <w:sz w:val="24"/>
          <w:szCs w:val="24"/>
          <w:highlight w:val="none"/>
          <w14:textFill>
            <w14:solidFill>
              <w14:schemeClr w14:val="tx1"/>
            </w14:solidFill>
          </w14:textFill>
        </w:rPr>
      </w:pPr>
      <w:bookmarkStart w:id="25" w:name="_Toc35393796"/>
      <w:bookmarkStart w:id="26" w:name="_Toc28359008"/>
      <w:bookmarkStart w:id="27" w:name="_Toc35393627"/>
      <w:bookmarkStart w:id="28" w:name="_Toc28359085"/>
      <w:r>
        <w:rPr>
          <w:rFonts w:hint="eastAsia" w:cs="宋体"/>
          <w:bCs/>
          <w:color w:val="000000" w:themeColor="text1"/>
          <w:sz w:val="24"/>
          <w:szCs w:val="24"/>
          <w:highlight w:val="none"/>
          <w14:textFill>
            <w14:solidFill>
              <w14:schemeClr w14:val="tx1"/>
            </w14:solidFill>
          </w14:textFill>
        </w:rPr>
        <w:t>八、</w:t>
      </w:r>
      <w:bookmarkEnd w:id="25"/>
      <w:bookmarkEnd w:id="26"/>
      <w:bookmarkEnd w:id="27"/>
      <w:bookmarkEnd w:id="28"/>
      <w:r>
        <w:rPr>
          <w:rFonts w:hint="eastAsia" w:cs="宋体"/>
          <w:bCs/>
          <w:color w:val="000000" w:themeColor="text1"/>
          <w:sz w:val="24"/>
          <w:szCs w:val="24"/>
          <w:highlight w:val="none"/>
          <w14:textFill>
            <w14:solidFill>
              <w14:schemeClr w14:val="tx1"/>
            </w14:solidFill>
          </w14:textFill>
        </w:rPr>
        <w:t>联系方式</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（一）采购人（受理</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 xml:space="preserve">相关质疑及答复） </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lang w:eastAsia="zh-CN"/>
          <w14:textFill>
            <w14:solidFill>
              <w14:schemeClr w14:val="tx1"/>
            </w14:solidFill>
          </w14:textFill>
        </w:rPr>
        <w:t>台州循环经济发展有限公司集聚区资产经营分公司</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台州市台州湾新区甲南大道东段9号</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29" w:name="_Toc28359086"/>
      <w:bookmarkStart w:id="30" w:name="_Toc28359009"/>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沈</w:t>
      </w:r>
      <w:r>
        <w:rPr>
          <w:rFonts w:hint="eastAsia" w:ascii="宋体" w:hAnsi="宋体" w:cs="宋体"/>
          <w:color w:val="000000" w:themeColor="text1"/>
          <w:sz w:val="24"/>
          <w:highlight w:val="none"/>
          <w:u w:val="single"/>
          <w:lang w:eastAsia="zh-CN"/>
          <w14:textFill>
            <w14:solidFill>
              <w14:schemeClr w14:val="tx1"/>
            </w14:solidFill>
          </w14:textFill>
        </w:rPr>
        <w:t>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13738548800</w:t>
      </w:r>
    </w:p>
    <w:bookmarkEnd w:id="29"/>
    <w:bookmarkEnd w:id="30"/>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31" w:name="_Toc28359087"/>
      <w:bookmarkStart w:id="32" w:name="_Toc28359010"/>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台州市建设咨询有限公司</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lang w:val="en-US" w:eastAsia="zh-CN"/>
          <w14:textFill>
            <w14:solidFill>
              <w14:schemeClr w14:val="tx1"/>
            </w14:solidFill>
          </w14:textFill>
        </w:rPr>
        <w:t>王先生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000000" w:themeColor="text1"/>
          <w:sz w:val="24"/>
          <w:highlight w:val="none"/>
          <w:u w:val="singl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15157693555</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000000" w:themeColor="text1"/>
          <w:sz w:val="24"/>
          <w:highlight w:val="none"/>
          <w:u w:val="singl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lang w:val="en-US" w:eastAsia="zh-CN"/>
          <w14:textFill>
            <w14:solidFill>
              <w14:schemeClr w14:val="tx1"/>
            </w14:solidFill>
          </w14:textFill>
        </w:rPr>
        <w:t>徐先生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w:t>
      </w:r>
      <w:r>
        <w:rPr>
          <w:rFonts w:hint="eastAsia" w:ascii="宋体" w:hAnsi="宋体" w:cs="宋体"/>
          <w:color w:val="000000" w:themeColor="text1"/>
          <w:sz w:val="24"/>
          <w:highlight w:val="none"/>
          <w:u w:val="single"/>
          <w:lang w:val="en-US" w:eastAsia="zh-CN"/>
          <w14:textFill>
            <w14:solidFill>
              <w14:schemeClr w14:val="tx1"/>
            </w14:solidFill>
          </w14:textFill>
        </w:rPr>
        <w:t>20051</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（三）同级采购监管机构</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台州湾新区行政审批与投资服务局</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bookmarkStart w:id="43" w:name="_GoBack"/>
      <w:bookmarkEnd w:id="43"/>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000000" w:themeColor="text1"/>
          <w:sz w:val="24"/>
          <w:highlight w:val="none"/>
          <w:shd w:val="clear" w:color="auto" w:fill="FFFFFF"/>
          <w:lang w:eastAsia="zh-CN"/>
          <w14:textFill>
            <w14:solidFill>
              <w14:schemeClr w14:val="tx1"/>
            </w14:solidFill>
          </w14:textFill>
        </w:rPr>
      </w:pP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000000" w:themeColor="text1"/>
          <w:sz w:val="24"/>
          <w:highlight w:val="none"/>
          <w:shd w:val="clear" w:color="auto" w:fill="FFFFFF"/>
          <w:lang w:eastAsia="zh-CN"/>
          <w14:textFill>
            <w14:solidFill>
              <w14:schemeClr w14:val="tx1"/>
            </w14:solidFill>
          </w14:textFill>
        </w:rPr>
      </w:pP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台州循环经济发展有限公司集聚区资产经营分公司</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月</w:t>
      </w:r>
    </w:p>
    <w:p>
      <w:pPr>
        <w:pStyle w:val="37"/>
        <w:shd w:val="clear"/>
        <w:ind w:firstLine="480"/>
        <w:rPr>
          <w:rFonts w:ascii="宋体" w:hAnsi="宋体" w:eastAsia="宋体" w:cs="宋体"/>
          <w:color w:val="000000" w:themeColor="text1"/>
          <w:kern w:val="0"/>
          <w:highlight w:val="none"/>
          <w14:textFill>
            <w14:solidFill>
              <w14:schemeClr w14:val="tx1"/>
            </w14:solidFill>
          </w14:textFill>
        </w:rPr>
      </w:pPr>
    </w:p>
    <w:p>
      <w:pPr>
        <w:pStyle w:val="37"/>
        <w:shd w:val="clear"/>
        <w:ind w:firstLine="480"/>
        <w:rPr>
          <w:rFonts w:ascii="宋体" w:hAnsi="宋体" w:eastAsia="宋体" w:cs="宋体"/>
          <w:color w:val="000000" w:themeColor="text1"/>
          <w:kern w:val="0"/>
          <w:highlight w:val="none"/>
          <w14:textFill>
            <w14:solidFill>
              <w14:schemeClr w14:val="tx1"/>
            </w14:solidFill>
          </w14:textFill>
        </w:rPr>
      </w:pPr>
    </w:p>
    <w:p>
      <w:pPr>
        <w:pStyle w:val="37"/>
        <w:shd w:val="clear"/>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1"/>
    <w:bookmarkEnd w:id="32"/>
    <w:p>
      <w:pPr>
        <w:shd w:val="clear"/>
        <w:rPr>
          <w:rFonts w:ascii="宋体" w:hAnsi="宋体" w:eastAsia="宋体"/>
          <w:b/>
          <w:color w:val="000000" w:themeColor="text1"/>
          <w:sz w:val="36"/>
          <w:szCs w:val="36"/>
          <w:highlight w:val="none"/>
          <w14:textFill>
            <w14:solidFill>
              <w14:schemeClr w14:val="tx1"/>
            </w14:solidFill>
          </w14:textFill>
        </w:rPr>
      </w:pPr>
      <w:bookmarkStart w:id="33"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3"/>
    </w:p>
    <w:p>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一、</w:t>
      </w:r>
      <w:r>
        <w:rPr>
          <w:rFonts w:hint="eastAsia" w:ascii="宋体" w:hAnsi="宋体" w:eastAsia="宋体"/>
          <w:b/>
          <w:color w:val="000000" w:themeColor="text1"/>
          <w:sz w:val="24"/>
          <w:highlight w:val="none"/>
          <w14:textFill>
            <w14:solidFill>
              <w14:schemeClr w14:val="tx1"/>
            </w14:solidFill>
          </w14:textFill>
        </w:rPr>
        <w:t>前附表</w:t>
      </w:r>
    </w:p>
    <w:tbl>
      <w:tblPr>
        <w:tblStyle w:val="27"/>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自行前往</w:t>
            </w:r>
            <w:r>
              <w:rPr>
                <w:rFonts w:hint="eastAsia" w:ascii="宋体" w:hAnsi="宋体" w:cs="宋体"/>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w:t>
            </w:r>
            <w:r>
              <w:rPr>
                <w:rFonts w:hint="eastAsia" w:ascii="宋体" w:hAnsi="宋体" w:cs="宋体"/>
                <w:color w:val="000000" w:themeColor="text1"/>
                <w:highlight w:val="none"/>
                <w:lang w:val="en-US" w:eastAsia="zh-CN"/>
                <w14:textFill>
                  <w14:solidFill>
                    <w14:schemeClr w14:val="tx1"/>
                  </w14:solidFill>
                </w14:textFill>
              </w:rPr>
              <w:t>为27</w:t>
            </w:r>
            <w:r>
              <w:rPr>
                <w:rFonts w:hint="eastAsia" w:ascii="宋体" w:hAnsi="宋体" w:cs="宋体"/>
                <w:b/>
                <w:bCs/>
                <w:color w:val="000000" w:themeColor="text1"/>
                <w:highlight w:val="none"/>
                <w:u w:val="single"/>
                <w:lang w:val="en-US" w:eastAsia="zh-CN"/>
                <w14:textFill>
                  <w14:solidFill>
                    <w14:schemeClr w14:val="tx1"/>
                  </w14:solidFill>
                </w14:textFill>
              </w:rPr>
              <w:t>000元</w:t>
            </w:r>
            <w:r>
              <w:rPr>
                <w:rFonts w:hint="eastAsia" w:ascii="宋体" w:hAnsi="宋体" w:cs="宋体"/>
                <w:color w:val="000000" w:themeColor="text1"/>
                <w:highlight w:val="none"/>
                <w14:textFill>
                  <w14:solidFill>
                    <w14:schemeClr w14:val="tx1"/>
                  </w14:solidFill>
                </w14:textFill>
              </w:rPr>
              <w:t>由中标人支付。中标人在领取中标通知书前交纳招标代理费，请各投标单位报价时综合考虑。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履约保证金的收取及退还:中标人在合同签订前向招标人缴纳人民币</w:t>
            </w:r>
            <w:r>
              <w:rPr>
                <w:rFonts w:hint="eastAsia" w:ascii="宋体" w:hAnsi="宋体" w:cs="宋体"/>
                <w:b/>
                <w:bCs/>
                <w:color w:val="000000" w:themeColor="text1"/>
                <w:highlight w:val="none"/>
                <w:u w:val="single"/>
                <w:lang w:val="en-US" w:eastAsia="zh-CN"/>
                <w14:textFill>
                  <w14:solidFill>
                    <w14:schemeClr w14:val="tx1"/>
                  </w14:solidFill>
                </w14:textFill>
              </w:rPr>
              <w:t>140000</w:t>
            </w:r>
            <w:r>
              <w:rPr>
                <w:rFonts w:hint="eastAsia" w:ascii="宋体" w:hAnsi="宋体" w:cs="宋体"/>
                <w:color w:val="000000" w:themeColor="text1"/>
                <w:highlight w:val="none"/>
                <w14:textFill>
                  <w14:solidFill>
                    <w14:schemeClr w14:val="tx1"/>
                  </w14:solidFill>
                </w14:textFill>
              </w:rPr>
              <w:t>作为履约保证金。采用现金形式的，在合同到期且所有项目内容经验收合格后</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个工作日内退还。采用保函形式的，在合同到期且所有项目内容经验收合格后自动失效。</w:t>
            </w:r>
          </w:p>
        </w:tc>
      </w:tr>
    </w:tbl>
    <w:p>
      <w:pPr>
        <w:pStyle w:val="15"/>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二、说 明</w:t>
      </w:r>
    </w:p>
    <w:p>
      <w:pPr>
        <w:pStyle w:val="16"/>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b/>
          <w:color w:val="000000" w:themeColor="text1"/>
          <w:sz w:val="24"/>
          <w:szCs w:val="24"/>
          <w:highlight w:val="none"/>
          <w14:textFill>
            <w14:solidFill>
              <w14:schemeClr w14:val="tx1"/>
            </w14:solidFill>
          </w14:textFill>
        </w:rPr>
        <w:t>总则</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依据</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台州循环经济发展有限公司集聚区资产经营分公司</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相关规章及</w:t>
      </w:r>
      <w:r>
        <w:rPr>
          <w:rFonts w:hint="eastAsia" w:ascii="宋体" w:hAnsi="宋体"/>
          <w:color w:val="000000" w:themeColor="text1"/>
          <w:sz w:val="24"/>
          <w:szCs w:val="24"/>
          <w:highlight w:val="none"/>
          <w:lang w:val="en-US" w:eastAsia="zh-CN"/>
          <w14:textFill>
            <w14:solidFill>
              <w14:schemeClr w14:val="tx1"/>
            </w14:solidFill>
          </w14:textFill>
        </w:rPr>
        <w:t>有关</w:t>
      </w:r>
      <w:r>
        <w:rPr>
          <w:rFonts w:ascii="宋体" w:hAnsi="宋体" w:eastAsia="宋体"/>
          <w:color w:val="000000" w:themeColor="text1"/>
          <w:sz w:val="24"/>
          <w:szCs w:val="24"/>
          <w:highlight w:val="none"/>
          <w14:textFill>
            <w14:solidFill>
              <w14:schemeClr w14:val="tx1"/>
            </w14:solidFill>
          </w14:textFill>
        </w:rPr>
        <w:t>法律、法规、规章编制。</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投标</w:t>
      </w:r>
      <w:r>
        <w:rPr>
          <w:rFonts w:hint="eastAsia" w:ascii="宋体" w:hAnsi="宋体" w:eastAsia="宋体"/>
          <w:color w:val="000000" w:themeColor="text1"/>
          <w:sz w:val="24"/>
          <w:szCs w:val="24"/>
          <w:highlight w:val="none"/>
          <w14:textFill>
            <w14:solidFill>
              <w14:schemeClr w14:val="tx1"/>
            </w14:solidFill>
          </w14:textFill>
        </w:rPr>
        <w:t>人</w:t>
      </w:r>
      <w:r>
        <w:rPr>
          <w:rFonts w:ascii="宋体" w:hAnsi="宋体" w:eastAsia="宋体"/>
          <w:color w:val="000000" w:themeColor="text1"/>
          <w:sz w:val="24"/>
          <w:szCs w:val="24"/>
          <w:highlight w:val="none"/>
          <w14:textFill>
            <w14:solidFill>
              <w14:schemeClr w14:val="tx1"/>
            </w14:solidFill>
          </w14:textFill>
        </w:rPr>
        <w:t>应仔细阅读本项目招标公告及</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的所有内容（包括变更、补充、澄清以及修改等，且均为</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的组成部分），按照</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要求以及格式编制投标文件，并保证其真实性，否则</w:t>
      </w:r>
      <w:r>
        <w:rPr>
          <w:rFonts w:hint="eastAsia"/>
          <w:color w:val="000000" w:themeColor="text1"/>
          <w:sz w:val="24"/>
          <w:szCs w:val="24"/>
          <w:highlight w:val="none"/>
          <w14:textFill>
            <w14:solidFill>
              <w14:schemeClr w14:val="tx1"/>
            </w14:solidFill>
          </w14:textFill>
        </w:rPr>
        <w:t>由此引起的一切后果应由</w:t>
      </w:r>
      <w:r>
        <w:rPr>
          <w:rFonts w:ascii="宋体" w:hAnsi="宋体" w:eastAsia="宋体"/>
          <w:color w:val="000000" w:themeColor="text1"/>
          <w:sz w:val="24"/>
          <w:szCs w:val="24"/>
          <w:highlight w:val="none"/>
          <w14:textFill>
            <w14:solidFill>
              <w14:schemeClr w14:val="tx1"/>
            </w14:solidFill>
          </w14:textFill>
        </w:rPr>
        <w:t>投标</w:t>
      </w:r>
      <w:r>
        <w:rPr>
          <w:rFonts w:hint="eastAsia" w:ascii="宋体" w:hAnsi="宋体" w:eastAsia="宋体"/>
          <w:color w:val="000000" w:themeColor="text1"/>
          <w:sz w:val="24"/>
          <w:szCs w:val="24"/>
          <w:highlight w:val="none"/>
          <w14:textFill>
            <w14:solidFill>
              <w14:schemeClr w14:val="tx1"/>
            </w14:solidFill>
          </w14:textFill>
        </w:rPr>
        <w:t>人</w:t>
      </w:r>
      <w:r>
        <w:rPr>
          <w:rFonts w:hint="eastAsia"/>
          <w:color w:val="000000" w:themeColor="text1"/>
          <w:sz w:val="24"/>
          <w:szCs w:val="24"/>
          <w:highlight w:val="none"/>
          <w14:textFill>
            <w14:solidFill>
              <w14:schemeClr w14:val="tx1"/>
            </w14:solidFill>
          </w14:textFill>
        </w:rPr>
        <w:t>承担。</w:t>
      </w:r>
    </w:p>
    <w:p>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（二）</w:t>
      </w:r>
      <w:r>
        <w:rPr>
          <w:rFonts w:ascii="宋体" w:hAnsi="宋体" w:eastAsia="宋体"/>
          <w:b/>
          <w:color w:val="000000" w:themeColor="text1"/>
          <w:sz w:val="24"/>
          <w:szCs w:val="24"/>
          <w:highlight w:val="none"/>
          <w14:textFill>
            <w14:solidFill>
              <w14:schemeClr w14:val="tx1"/>
            </w14:solidFill>
          </w14:textFill>
        </w:rPr>
        <w:t>适用范围</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eastAsia="宋体"/>
          <w:color w:val="000000" w:themeColor="text1"/>
          <w:sz w:val="24"/>
          <w:szCs w:val="24"/>
          <w:highlight w:val="none"/>
          <w14:textFill>
            <w14:solidFill>
              <w14:schemeClr w14:val="tx1"/>
            </w14:solidFill>
          </w14:textFill>
        </w:rPr>
        <w:t>适用于</w:t>
      </w:r>
      <w:r>
        <w:rPr>
          <w:rFonts w:hint="eastAsia" w:ascii="宋体" w:hAnsi="宋体" w:eastAsia="宋体"/>
          <w:bCs/>
          <w:color w:val="000000" w:themeColor="text1"/>
          <w:sz w:val="24"/>
          <w:szCs w:val="24"/>
          <w:highlight w:val="none"/>
          <w14:textFill>
            <w14:solidFill>
              <w14:schemeClr w14:val="tx1"/>
            </w14:solidFill>
          </w14:textFill>
        </w:rPr>
        <w:t>本次</w:t>
      </w:r>
      <w:r>
        <w:rPr>
          <w:rFonts w:hint="eastAsia" w:ascii="宋体" w:hAnsi="宋体" w:eastAsia="宋体"/>
          <w:color w:val="000000" w:themeColor="text1"/>
          <w:sz w:val="24"/>
          <w:szCs w:val="24"/>
          <w:highlight w:val="none"/>
          <w14:textFill>
            <w14:solidFill>
              <w14:schemeClr w14:val="tx1"/>
            </w14:solidFill>
          </w14:textFill>
        </w:rPr>
        <w:t>项目的招标、投标、评标、定标、验收、合同履约、付款等行为（法律、法规另有规定的，从其规定）。</w:t>
      </w:r>
    </w:p>
    <w:p>
      <w:pPr>
        <w:pStyle w:val="3"/>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w:t>
      </w:r>
      <w:r>
        <w:rPr>
          <w:rFonts w:hint="eastAsia"/>
          <w:color w:val="000000" w:themeColor="text1"/>
          <w:sz w:val="24"/>
          <w:szCs w:val="24"/>
          <w:highlight w:val="none"/>
          <w:lang w:eastAsia="zh-CN"/>
          <w14:textFill>
            <w14:solidFill>
              <w14:schemeClr w14:val="tx1"/>
            </w14:solidFill>
          </w14:textFill>
        </w:rPr>
        <w:t>采购文件</w:t>
      </w:r>
      <w:r>
        <w:rPr>
          <w:color w:val="000000" w:themeColor="text1"/>
          <w:sz w:val="24"/>
          <w:szCs w:val="24"/>
          <w:highlight w:val="none"/>
          <w14:textFill>
            <w14:solidFill>
              <w14:schemeClr w14:val="tx1"/>
            </w14:solidFill>
          </w14:textFill>
        </w:rPr>
        <w:t>仅适用于本次招标公告中所涉及的项目和内容。</w:t>
      </w:r>
    </w:p>
    <w:p>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（三）当事人</w:t>
      </w:r>
    </w:p>
    <w:p>
      <w:pPr>
        <w:pStyle w:val="6"/>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指采购人委托组织招标的采购代理机构；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2.采购人：是指依法进行</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olor w:val="000000" w:themeColor="text1"/>
          <w:sz w:val="24"/>
          <w:szCs w:val="24"/>
          <w:highlight w:val="none"/>
          <w14:textFill>
            <w14:solidFill>
              <w14:schemeClr w14:val="tx1"/>
            </w14:solidFill>
          </w14:textFill>
        </w:rPr>
        <w:t>的国家机关、事业单位</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团体组织</w:t>
      </w:r>
      <w:r>
        <w:rPr>
          <w:rFonts w:hint="eastAsia" w:ascii="宋体" w:hAnsi="宋体"/>
          <w:color w:val="000000" w:themeColor="text1"/>
          <w:sz w:val="24"/>
          <w:szCs w:val="24"/>
          <w:highlight w:val="none"/>
          <w:lang w:val="en-US" w:eastAsia="zh-CN"/>
          <w14:textFill>
            <w14:solidFill>
              <w14:schemeClr w14:val="tx1"/>
            </w14:solidFill>
          </w14:textFill>
        </w:rPr>
        <w:t>和企业</w:t>
      </w:r>
      <w:r>
        <w:rPr>
          <w:rFonts w:hint="eastAsia" w:ascii="宋体" w:hAnsi="宋体" w:eastAsia="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投标人</w:t>
      </w:r>
      <w:r>
        <w:rPr>
          <w:rFonts w:hint="eastAsia" w:ascii="宋体" w:hAnsi="宋体" w:eastAsia="宋体"/>
          <w:color w:val="000000" w:themeColor="text1"/>
          <w:sz w:val="24"/>
          <w:szCs w:val="24"/>
          <w:highlight w:val="none"/>
          <w14:textFill>
            <w14:solidFill>
              <w14:schemeClr w14:val="tx1"/>
            </w14:solidFill>
          </w14:textFill>
        </w:rPr>
        <w:t>：是</w:t>
      </w:r>
      <w:r>
        <w:rPr>
          <w:rFonts w:ascii="宋体" w:hAnsi="宋体" w:eastAsia="宋体"/>
          <w:color w:val="000000" w:themeColor="text1"/>
          <w:sz w:val="24"/>
          <w:szCs w:val="24"/>
          <w:highlight w:val="none"/>
          <w14:textFill>
            <w14:solidFill>
              <w14:schemeClr w14:val="tx1"/>
            </w14:solidFill>
          </w14:textFill>
        </w:rPr>
        <w:t>指</w:t>
      </w:r>
      <w:r>
        <w:rPr>
          <w:rFonts w:hint="eastAsia" w:ascii="宋体" w:hAnsi="宋体" w:eastAsia="宋体"/>
          <w:color w:val="000000" w:themeColor="text1"/>
          <w:sz w:val="24"/>
          <w:szCs w:val="24"/>
          <w:highlight w:val="none"/>
          <w14:textFill>
            <w14:solidFill>
              <w14:schemeClr w14:val="tx1"/>
            </w14:solidFill>
          </w14:textFill>
        </w:rPr>
        <w:t>响应招标、参加投标竞争的法人、其他组织或者自然人；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val="zh-CN"/>
          <w14:textFill>
            <w14:solidFill>
              <w14:schemeClr w14:val="tx1"/>
            </w14:solidFill>
          </w14:textFill>
        </w:rPr>
        <w:t>中标</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lang w:val="zh-CN"/>
          <w14:textFill>
            <w14:solidFill>
              <w14:schemeClr w14:val="tx1"/>
            </w14:solidFill>
          </w14:textFill>
        </w:rPr>
        <w:t>：是指经评</w:t>
      </w:r>
      <w:r>
        <w:rPr>
          <w:rFonts w:hint="eastAsia" w:ascii="宋体" w:hAnsi="宋体"/>
          <w:color w:val="000000" w:themeColor="text1"/>
          <w:sz w:val="24"/>
          <w:szCs w:val="24"/>
          <w:highlight w:val="none"/>
          <w14:textFill>
            <w14:solidFill>
              <w14:schemeClr w14:val="tx1"/>
            </w14:solidFill>
          </w14:textFill>
        </w:rPr>
        <w:t>标</w:t>
      </w:r>
      <w:r>
        <w:rPr>
          <w:rFonts w:hint="eastAsia" w:ascii="宋体" w:hAnsi="宋体"/>
          <w:color w:val="000000" w:themeColor="text1"/>
          <w:sz w:val="24"/>
          <w:szCs w:val="24"/>
          <w:highlight w:val="none"/>
          <w:lang w:val="zh-CN"/>
          <w14:textFill>
            <w14:solidFill>
              <w14:schemeClr w14:val="tx1"/>
            </w14:solidFill>
          </w14:textFill>
        </w:rPr>
        <w:t>委员会评审确定的对采购文件</w:t>
      </w:r>
      <w:r>
        <w:rPr>
          <w:rFonts w:hint="eastAsia" w:ascii="宋体" w:hAnsi="宋体"/>
          <w:color w:val="000000" w:themeColor="text1"/>
          <w:sz w:val="24"/>
          <w:szCs w:val="24"/>
          <w:highlight w:val="none"/>
          <w14:textFill>
            <w14:solidFill>
              <w14:schemeClr w14:val="tx1"/>
            </w14:solidFill>
          </w14:textFill>
        </w:rPr>
        <w:t>作</w:t>
      </w:r>
      <w:r>
        <w:rPr>
          <w:rFonts w:hint="eastAsia" w:ascii="宋体" w:hAnsi="宋体"/>
          <w:color w:val="000000" w:themeColor="text1"/>
          <w:sz w:val="24"/>
          <w:szCs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szCs w:val="24"/>
          <w:highlight w:val="none"/>
          <w14:textFill>
            <w14:solidFill>
              <w14:schemeClr w14:val="tx1"/>
            </w14:solidFill>
          </w14:textFill>
        </w:rPr>
        <w:t>标</w:t>
      </w:r>
      <w:r>
        <w:rPr>
          <w:rFonts w:hint="eastAsia" w:ascii="宋体" w:hAnsi="宋体"/>
          <w:color w:val="000000" w:themeColor="text1"/>
          <w:sz w:val="24"/>
          <w:szCs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szCs w:val="24"/>
          <w:highlight w:val="none"/>
          <w14:textFill>
            <w14:solidFill>
              <w14:schemeClr w14:val="tx1"/>
            </w14:solidFill>
          </w14:textFill>
        </w:rPr>
        <w:t>人；</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w:t>
      </w:r>
      <w:r>
        <w:rPr>
          <w:rFonts w:hint="eastAsia"/>
          <w:color w:val="000000" w:themeColor="text1"/>
          <w:sz w:val="24"/>
          <w:szCs w:val="24"/>
          <w:highlight w:val="none"/>
          <w14:textFill>
            <w14:solidFill>
              <w14:schemeClr w14:val="tx1"/>
            </w14:solidFill>
          </w14:textFill>
        </w:rPr>
        <w:t>两个或两个以上法人或者其他组织可以组成一个联合体，以一个投标人的身份共同投标。</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w:t>
      </w:r>
      <w:r>
        <w:rPr>
          <w:b/>
          <w:bCs/>
          <w:color w:val="000000" w:themeColor="text1"/>
          <w:sz w:val="24"/>
          <w:szCs w:val="24"/>
          <w:highlight w:val="none"/>
          <w14:textFill>
            <w14:solidFill>
              <w14:schemeClr w14:val="tx1"/>
            </w14:solidFill>
          </w14:textFill>
        </w:rPr>
        <w:t>以联合体形式投标的，应符合以下规定</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本项目不接受联合体投标。</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w:t>
      </w:r>
      <w:r>
        <w:rPr>
          <w:b/>
          <w:bCs/>
          <w:color w:val="000000" w:themeColor="text1"/>
          <w:sz w:val="24"/>
          <w:szCs w:val="24"/>
          <w:highlight w:val="none"/>
          <w14:textFill>
            <w14:solidFill>
              <w14:schemeClr w14:val="tx1"/>
            </w14:solidFill>
          </w14:textFill>
        </w:rPr>
        <w:t>语言文字以及度量衡单位</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szCs w:val="24"/>
          <w:highlight w:val="none"/>
          <w14:textFill>
            <w14:solidFill>
              <w14:schemeClr w14:val="tx1"/>
            </w14:solidFill>
          </w14:textFill>
        </w:rPr>
        <w:t>台州市建设咨询有限公司</w:t>
      </w:r>
      <w:r>
        <w:rPr>
          <w:rFonts w:hint="eastAsia" w:ascii="宋体" w:hAnsi="宋体" w:eastAsia="宋体"/>
          <w:color w:val="000000" w:themeColor="text1"/>
          <w:sz w:val="24"/>
          <w:szCs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2.所有计量均采用中国法定的计量单位。</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3.所有</w:t>
      </w:r>
      <w:r>
        <w:rPr>
          <w:color w:val="000000" w:themeColor="text1"/>
          <w:sz w:val="24"/>
          <w:szCs w:val="24"/>
          <w:highlight w:val="none"/>
          <w14:textFill>
            <w14:solidFill>
              <w14:schemeClr w14:val="tx1"/>
            </w14:solidFill>
          </w14:textFill>
        </w:rPr>
        <w:t>报价一律使用人民币，货币单位：元。</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（六）</w:t>
      </w:r>
      <w:r>
        <w:rPr>
          <w:b/>
          <w:bCs/>
          <w:color w:val="000000" w:themeColor="text1"/>
          <w:sz w:val="24"/>
          <w:szCs w:val="24"/>
          <w:highlight w:val="none"/>
          <w14:textFill>
            <w14:solidFill>
              <w14:schemeClr w14:val="tx1"/>
            </w14:solidFill>
          </w14:textFill>
        </w:rPr>
        <w:t>现场踏勘</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1.本项目不组织现场踏勘。</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2.投标人自行承担踏勘现场发生的责任、风险和自身费用。</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3.采购人</w:t>
      </w:r>
      <w:r>
        <w:rPr>
          <w:color w:val="000000" w:themeColor="text1"/>
          <w:sz w:val="24"/>
          <w:szCs w:val="24"/>
          <w:highlight w:val="none"/>
          <w14:textFill>
            <w14:solidFill>
              <w14:schemeClr w14:val="tx1"/>
            </w14:solidFill>
          </w14:textFill>
        </w:rPr>
        <w:t>在踏勘现场中介绍的资料和数据等，不构成对</w:t>
      </w:r>
      <w:r>
        <w:rPr>
          <w:rFonts w:hint="eastAsia"/>
          <w:color w:val="000000" w:themeColor="text1"/>
          <w:sz w:val="24"/>
          <w:szCs w:val="24"/>
          <w:highlight w:val="none"/>
          <w:lang w:eastAsia="zh-CN"/>
          <w14:textFill>
            <w14:solidFill>
              <w14:schemeClr w14:val="tx1"/>
            </w14:solidFill>
          </w14:textFill>
        </w:rPr>
        <w:t>采购文件</w:t>
      </w:r>
      <w:r>
        <w:rPr>
          <w:color w:val="000000" w:themeColor="text1"/>
          <w:sz w:val="24"/>
          <w:szCs w:val="24"/>
          <w:highlight w:val="none"/>
          <w14:textFill>
            <w14:solidFill>
              <w14:schemeClr w14:val="tx1"/>
            </w14:solidFill>
          </w14:textFill>
        </w:rPr>
        <w:t>的修改或不作为投标人编制投标文件的依据。</w:t>
      </w:r>
    </w:p>
    <w:p>
      <w:pPr>
        <w:pStyle w:val="15"/>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（七）特别说明</w:t>
      </w:r>
    </w:p>
    <w:p>
      <w:pPr>
        <w:pStyle w:val="15"/>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投标人投标所使用的资格、信誉、荣誉、业绩与企业认证必须为本</w:t>
      </w:r>
      <w:r>
        <w:rPr>
          <w:rFonts w:hint="eastAsia" w:ascii="宋体" w:hAnsi="宋体" w:eastAsia="宋体"/>
          <w:color w:val="000000" w:themeColor="text1"/>
          <w:sz w:val="24"/>
          <w:szCs w:val="24"/>
          <w:highlight w:val="none"/>
          <w14:textFill>
            <w14:solidFill>
              <w14:schemeClr w14:val="tx1"/>
            </w14:solidFill>
          </w14:textFill>
        </w:rPr>
        <w:t>投标</w:t>
      </w:r>
      <w:r>
        <w:rPr>
          <w:rFonts w:hint="eastAsia" w:hAnsi="宋体"/>
          <w:color w:val="000000" w:themeColor="text1"/>
          <w:sz w:val="24"/>
          <w:szCs w:val="24"/>
          <w:highlight w:val="none"/>
          <w:lang w:eastAsia="zh-CN"/>
          <w14:textFill>
            <w14:solidFill>
              <w14:schemeClr w14:val="tx1"/>
            </w14:solidFill>
          </w14:textFill>
        </w:rPr>
        <w:t>投标人</w:t>
      </w:r>
      <w:r>
        <w:rPr>
          <w:rFonts w:ascii="宋体" w:hAnsi="宋体" w:eastAsia="宋体"/>
          <w:color w:val="000000" w:themeColor="text1"/>
          <w:sz w:val="24"/>
          <w:szCs w:val="24"/>
          <w:highlight w:val="none"/>
          <w14:textFill>
            <w14:solidFill>
              <w14:schemeClr w14:val="tx1"/>
            </w14:solidFill>
          </w14:textFill>
        </w:rPr>
        <w:t>所拥有</w:t>
      </w:r>
      <w:r>
        <w:rPr>
          <w:rFonts w:hint="eastAsia" w:ascii="宋体" w:hAnsi="宋体" w:eastAsia="宋体"/>
          <w:color w:val="000000" w:themeColor="text1"/>
          <w:sz w:val="24"/>
          <w:szCs w:val="24"/>
          <w:highlight w:val="none"/>
          <w14:textFill>
            <w14:solidFill>
              <w14:schemeClr w14:val="tx1"/>
            </w14:solidFill>
          </w14:textFill>
        </w:rPr>
        <w:t>且所提供的资料都是真实有效的</w:t>
      </w:r>
      <w:r>
        <w:rPr>
          <w:rFonts w:ascii="宋体" w:hAnsi="宋体" w:eastAsia="宋体"/>
          <w:color w:val="000000" w:themeColor="text1"/>
          <w:sz w:val="24"/>
          <w:szCs w:val="24"/>
          <w:highlight w:val="none"/>
          <w14:textFill>
            <w14:solidFill>
              <w14:schemeClr w14:val="tx1"/>
            </w14:solidFill>
          </w14:textFill>
        </w:rPr>
        <w:t>。投标人投标所使用的采购项目实施人员必须为本</w:t>
      </w:r>
      <w:r>
        <w:rPr>
          <w:rFonts w:hint="eastAsia" w:ascii="宋体" w:hAnsi="宋体" w:eastAsia="宋体"/>
          <w:color w:val="000000" w:themeColor="text1"/>
          <w:sz w:val="24"/>
          <w:szCs w:val="24"/>
          <w:highlight w:val="none"/>
          <w14:textFill>
            <w14:solidFill>
              <w14:schemeClr w14:val="tx1"/>
            </w14:solidFill>
          </w14:textFill>
        </w:rPr>
        <w:t>投标</w:t>
      </w:r>
      <w:r>
        <w:rPr>
          <w:rFonts w:hint="eastAsia" w:hAnsi="宋体"/>
          <w:color w:val="000000" w:themeColor="text1"/>
          <w:sz w:val="24"/>
          <w:szCs w:val="24"/>
          <w:highlight w:val="none"/>
          <w:lang w:val="en-US" w:eastAsia="zh-CN"/>
          <w14:textFill>
            <w14:solidFill>
              <w14:schemeClr w14:val="tx1"/>
            </w14:solidFill>
          </w14:textFill>
        </w:rPr>
        <w:t>人</w:t>
      </w:r>
      <w:r>
        <w:rPr>
          <w:rFonts w:ascii="宋体" w:hAnsi="宋体" w:eastAsia="宋体"/>
          <w:color w:val="000000" w:themeColor="text1"/>
          <w:sz w:val="24"/>
          <w:szCs w:val="24"/>
          <w:highlight w:val="none"/>
          <w14:textFill>
            <w14:solidFill>
              <w14:schemeClr w14:val="tx1"/>
            </w14:solidFill>
          </w14:textFill>
        </w:rPr>
        <w:t>员工。</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中关于电子招投标的内容、流程，如与台州湾新区小额工程电子交易平台系统中最新的内容、操作不一致的，以台州湾新区小额工程电子交易平台系统中的要求为准。</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000000" w:themeColor="text1"/>
          <w:kern w:val="0"/>
          <w:sz w:val="24"/>
          <w:szCs w:val="24"/>
          <w:highlight w:val="none"/>
          <w:lang w:eastAsia="zh-CN"/>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三、</w:t>
      </w:r>
      <w:r>
        <w:rPr>
          <w:rFonts w:hint="eastAsia" w:ascii="宋体" w:hAnsi="宋体"/>
          <w:b/>
          <w:color w:val="000000" w:themeColor="text1"/>
          <w:kern w:val="0"/>
          <w:sz w:val="24"/>
          <w:szCs w:val="24"/>
          <w:highlight w:val="none"/>
          <w:lang w:eastAsia="zh-CN"/>
          <w14:textFill>
            <w14:solidFill>
              <w14:schemeClr w14:val="tx1"/>
            </w14:solidFill>
          </w14:textFill>
        </w:rPr>
        <w:t>采购文件</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目录所列内容组成。</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（二）投标人在规定的时间内未对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提出疑问、质疑或要求澄清的，将视其为无异议。</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中描述有歧义或前后不一致的地方，评标委员会有权进行评判，但对同一条款的评判应适用于每个投标人。</w:t>
      </w:r>
    </w:p>
    <w:p>
      <w:pPr>
        <w:pStyle w:val="39"/>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（四）采购组织机构对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进行必要的澄清更正的，澄清或者修改的内容可能影响投标文件编制的，于投标截止时间的</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日前在浙江省政府采购网</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cs="宋体"/>
          <w:color w:val="000000" w:themeColor="text1"/>
          <w:sz w:val="24"/>
          <w:szCs w:val="24"/>
          <w:highlight w:val="none"/>
          <w14:textFill>
            <w14:solidFill>
              <w14:schemeClr w14:val="tx1"/>
            </w14:solidFill>
          </w14:textFill>
        </w:rPr>
        <w:t>台州湾新区小额工程电子交易平台</w:t>
      </w:r>
      <w:r>
        <w:rPr>
          <w:rFonts w:hint="eastAsia" w:ascii="宋体" w:hAnsi="宋体" w:eastAsia="宋体" w:cs="宋体"/>
          <w:color w:val="000000" w:themeColor="text1"/>
          <w:sz w:val="24"/>
          <w:szCs w:val="24"/>
          <w:highlight w:val="none"/>
          <w14:textFill>
            <w14:solidFill>
              <w14:schemeClr w14:val="tx1"/>
            </w14:solidFill>
          </w14:textFill>
        </w:rPr>
        <w:t>上以更正公告的形式通知各潜在的投标人；不足</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日的，采购组织机构应当顺延提交投标文件的截止时间。</w:t>
      </w:r>
    </w:p>
    <w:p>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四、投标文件</w:t>
      </w:r>
    </w:p>
    <w:p>
      <w:pPr>
        <w:pStyle w:val="7"/>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（一）投标文件的编制</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投标人获取</w:t>
      </w:r>
      <w:r>
        <w:rPr>
          <w:rFonts w:hint="eastAsia" w:ascii="宋体" w:hAnsi="宋体"/>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color w:val="000000" w:themeColor="text1"/>
          <w:kern w:val="0"/>
          <w:sz w:val="24"/>
          <w:szCs w:val="24"/>
          <w:highlight w:val="none"/>
          <w14:textFill>
            <w14:solidFill>
              <w14:schemeClr w14:val="tx1"/>
            </w14:solidFill>
          </w14:textFill>
        </w:rPr>
        <w:t>后，按照采购组织机构的要求提供：资</w:t>
      </w:r>
      <w:r>
        <w:rPr>
          <w:rFonts w:hint="eastAsia" w:ascii="宋体" w:hAnsi="宋体"/>
          <w:color w:val="000000" w:themeColor="text1"/>
          <w:kern w:val="0"/>
          <w:sz w:val="24"/>
          <w:szCs w:val="24"/>
          <w:highlight w:val="none"/>
          <w:lang w:val="en-US" w:eastAsia="zh-CN"/>
          <w14:textFill>
            <w14:solidFill>
              <w14:schemeClr w14:val="tx1"/>
            </w14:solidFill>
          </w14:textFill>
        </w:rPr>
        <w:t>信技术</w:t>
      </w:r>
      <w:r>
        <w:rPr>
          <w:rFonts w:hint="eastAsia" w:ascii="宋体" w:hAnsi="宋体" w:eastAsia="宋体"/>
          <w:color w:val="000000" w:themeColor="text1"/>
          <w:kern w:val="0"/>
          <w:sz w:val="24"/>
          <w:szCs w:val="24"/>
          <w:highlight w:val="none"/>
          <w14:textFill>
            <w14:solidFill>
              <w14:schemeClr w14:val="tx1"/>
            </w14:solidFill>
          </w14:textFill>
        </w:rPr>
        <w:t>标和商务标</w:t>
      </w:r>
      <w:r>
        <w:rPr>
          <w:rFonts w:hint="eastAsia" w:ascii="宋体" w:hAnsi="宋体" w:eastAsia="宋体"/>
          <w:color w:val="000000" w:themeColor="text1"/>
          <w:kern w:val="0"/>
          <w:sz w:val="24"/>
          <w:szCs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lang w:val="en-US" w:eastAsia="zh-CN"/>
          <w14:textFill>
            <w14:solidFill>
              <w14:schemeClr w14:val="tx1"/>
            </w14:solidFill>
          </w14:textFill>
        </w:rPr>
        <w:t>、资信技术</w:t>
      </w:r>
      <w:r>
        <w:rPr>
          <w:rFonts w:hint="eastAsia" w:ascii="宋体" w:hAnsi="宋体" w:eastAsia="宋体"/>
          <w:b/>
          <w:color w:val="000000" w:themeColor="text1"/>
          <w:sz w:val="24"/>
          <w:szCs w:val="24"/>
          <w:highlight w:val="none"/>
          <w14:textFill>
            <w14:solidFill>
              <w14:schemeClr w14:val="tx1"/>
            </w14:solidFill>
          </w14:textFill>
        </w:rPr>
        <w:t>标</w:t>
      </w:r>
      <w:r>
        <w:rPr>
          <w:rFonts w:hint="eastAsia" w:ascii="宋体" w:hAnsi="宋体"/>
          <w:b/>
          <w:color w:val="000000" w:themeColor="text1"/>
          <w:sz w:val="24"/>
          <w:szCs w:val="24"/>
          <w:highlight w:val="none"/>
          <w14:textFill>
            <w14:solidFill>
              <w14:schemeClr w14:val="tx1"/>
            </w14:solidFill>
          </w14:textFill>
        </w:rPr>
        <w:t>组成</w:t>
      </w:r>
    </w:p>
    <w:tbl>
      <w:tblPr>
        <w:tblStyle w:val="2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84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(1)</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投标声明书</w:t>
            </w:r>
            <w:r>
              <w:rPr>
                <w:rFonts w:hint="eastAsia" w:ascii="宋体" w:hAnsi="宋体" w:cs="宋体"/>
                <w:b/>
                <w:bCs/>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2</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lang w:val="en-US" w:eastAsia="zh-CN"/>
              </w:rPr>
              <w:t>法定代表人身份证明或</w:t>
            </w:r>
            <w:r>
              <w:rPr>
                <w:rFonts w:hint="eastAsia" w:ascii="宋体" w:hAnsi="宋体" w:cs="宋体"/>
                <w:b/>
                <w:bCs/>
                <w:sz w:val="24"/>
                <w:szCs w:val="24"/>
                <w:highlight w:val="none"/>
                <w:lang w:val="zh-CN"/>
              </w:rPr>
              <w:t>授权委托书</w:t>
            </w:r>
            <w:r>
              <w:rPr>
                <w:rFonts w:hint="eastAsia" w:ascii="宋体" w:hAnsi="宋体" w:cs="宋体"/>
                <w:b/>
                <w:bCs/>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3</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rPr>
              <w:t>法人或者其他组织的营业执照等证明文件</w:t>
            </w:r>
            <w:r>
              <w:rPr>
                <w:rFonts w:hint="eastAsia" w:ascii="宋体" w:hAnsi="宋体" w:cs="宋体"/>
                <w:b/>
                <w:bCs/>
                <w:sz w:val="24"/>
                <w:szCs w:val="24"/>
                <w:highlight w:val="none"/>
                <w:lang w:val="en-US" w:eastAsia="zh-CN"/>
              </w:rPr>
              <w:t>或</w:t>
            </w:r>
            <w:r>
              <w:rPr>
                <w:rFonts w:hint="eastAsia" w:ascii="宋体" w:hAnsi="宋体" w:cs="宋体"/>
                <w:b/>
                <w:bCs/>
                <w:sz w:val="24"/>
                <w:szCs w:val="24"/>
                <w:highlight w:val="none"/>
              </w:rPr>
              <w:t>自然人的身份证明；</w:t>
            </w:r>
          </w:p>
        </w:tc>
        <w:tc>
          <w:tcPr>
            <w:tcW w:w="1770"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4</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rPr>
            </w:pPr>
            <w:r>
              <w:rPr>
                <w:rFonts w:hint="eastAsia" w:ascii="宋体" w:hAnsi="宋体" w:cs="宋体"/>
                <w:b/>
                <w:bCs/>
                <w:sz w:val="24"/>
                <w:szCs w:val="24"/>
                <w:highlight w:val="none"/>
                <w:lang w:val="zh-CN"/>
              </w:rPr>
              <w:t>具有依法缴纳税收和社会保障资金证明的承诺函</w:t>
            </w:r>
            <w:r>
              <w:rPr>
                <w:rFonts w:hint="eastAsia" w:ascii="宋体" w:hAnsi="宋体" w:cs="宋体"/>
                <w:b/>
                <w:bCs/>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kern w:val="2"/>
                <w:sz w:val="24"/>
                <w:szCs w:val="24"/>
                <w:highlight w:val="none"/>
                <w:lang w:val="zh-CN" w:eastAsia="zh-CN" w:bidi="ar-SA"/>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(5)</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rPr>
              <w:t>具有良好的商业信誉和健全的财务会计制度的承诺函；</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kern w:val="2"/>
                <w:sz w:val="24"/>
                <w:szCs w:val="24"/>
                <w:highlight w:val="none"/>
                <w:lang w:val="zh-CN" w:eastAsia="zh-CN" w:bidi="ar-SA"/>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基本情况表</w:t>
            </w:r>
            <w:r>
              <w:rPr>
                <w:rFonts w:hint="eastAsia" w:ascii="宋体" w:hAnsi="宋体" w:eastAsia="宋体" w:cs="宋体"/>
                <w:b/>
                <w:bCs/>
                <w:sz w:val="24"/>
                <w:szCs w:val="24"/>
                <w:highlight w:val="none"/>
                <w:lang w:eastAsia="zh-CN"/>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highlight w:val="none"/>
                <w:lang w:val="en-US" w:eastAsia="zh-CN" w:bidi="ar"/>
              </w:rPr>
              <w:t>证书一览表；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highlight w:val="none"/>
                <w:lang w:val="en-US" w:eastAsia="zh-CN" w:bidi="ar"/>
              </w:rPr>
              <w:t>拟投入本项目人员一览表；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9</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default"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类似项目实施情况一览表；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其他内容根据</w:t>
            </w:r>
            <w:r>
              <w:rPr>
                <w:rFonts w:hint="eastAsia" w:ascii="宋体" w:hAnsi="宋体" w:eastAsia="宋体" w:cs="宋体"/>
                <w:b/>
                <w:bCs/>
                <w:sz w:val="24"/>
                <w:szCs w:val="24"/>
                <w:highlight w:val="none"/>
                <w:lang w:val="zh-CN"/>
              </w:rPr>
              <w:t>评标办法自拟；</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11</w:t>
            </w:r>
            <w:r>
              <w:rPr>
                <w:rFonts w:hint="eastAsia" w:ascii="宋体" w:hAnsi="宋体" w:cs="宋体"/>
                <w:b/>
                <w:bCs/>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认为需要提供的其他文件和资料（如有）。</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p>
        </w:tc>
      </w:tr>
    </w:tbl>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b/>
          <w:color w:val="000000" w:themeColor="text1"/>
          <w:kern w:val="0"/>
          <w:sz w:val="24"/>
          <w:szCs w:val="24"/>
          <w:highlight w:val="none"/>
          <w14:textFill>
            <w14:solidFill>
              <w14:schemeClr w14:val="tx1"/>
            </w14:solidFill>
          </w14:textFill>
        </w:rPr>
        <w:t>、商务标组成</w:t>
      </w:r>
    </w:p>
    <w:tbl>
      <w:tblPr>
        <w:tblStyle w:val="2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开标一览表；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rPr>
            </w:pP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认为需要提供的其他文件和资料（如有）。</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 xml:space="preserve">相关报价单需打印或用不退色的墨水填写， </w:t>
            </w:r>
            <w:r>
              <w:rPr>
                <w:rFonts w:hint="eastAsia" w:ascii="宋体" w:hAnsi="宋体" w:cs="宋体"/>
                <w:b/>
                <w:bCs/>
                <w:sz w:val="24"/>
                <w:szCs w:val="24"/>
                <w:highlight w:val="none"/>
                <w:lang w:val="en-US" w:eastAsia="zh-CN"/>
              </w:rPr>
              <w:t>开标一览表</w:t>
            </w:r>
            <w:r>
              <w:rPr>
                <w:rFonts w:hint="eastAsia" w:ascii="宋体" w:hAnsi="宋体" w:cs="宋体"/>
                <w:b/>
                <w:bCs/>
                <w:sz w:val="24"/>
                <w:szCs w:val="24"/>
                <w:highlight w:val="none"/>
              </w:rPr>
              <w:t>不得涂改和增删，如有错漏必须修改，修改处须由同一签署人签字或盖章。由于字迹模糊或表达不清引起的后果由</w:t>
            </w:r>
            <w:r>
              <w:rPr>
                <w:rFonts w:hint="eastAsia" w:ascii="宋体" w:hAnsi="宋体" w:cs="宋体"/>
                <w:b/>
                <w:bCs/>
                <w:sz w:val="24"/>
                <w:szCs w:val="24"/>
                <w:highlight w:val="none"/>
                <w:lang w:val="en-US" w:eastAsia="zh-CN"/>
              </w:rPr>
              <w:t>投标人</w:t>
            </w:r>
            <w:r>
              <w:rPr>
                <w:rFonts w:hint="eastAsia" w:ascii="宋体" w:hAnsi="宋体" w:cs="宋体"/>
                <w:b/>
                <w:bCs/>
                <w:sz w:val="24"/>
                <w:szCs w:val="24"/>
                <w:highlight w:val="none"/>
              </w:rPr>
              <w:t>负责。</w:t>
            </w:r>
          </w:p>
          <w:p>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报价文件格式应按</w:t>
            </w:r>
            <w:r>
              <w:rPr>
                <w:rFonts w:hint="eastAsia" w:ascii="宋体" w:hAnsi="宋体" w:cs="宋体"/>
                <w:b/>
                <w:bCs/>
                <w:sz w:val="24"/>
                <w:szCs w:val="24"/>
                <w:highlight w:val="none"/>
                <w:lang w:val="en-US" w:eastAsia="zh-CN"/>
              </w:rPr>
              <w:t>采购文件</w:t>
            </w:r>
            <w:r>
              <w:rPr>
                <w:rFonts w:hint="eastAsia" w:ascii="宋体" w:hAnsi="宋体" w:cs="宋体"/>
                <w:b/>
                <w:bCs/>
                <w:sz w:val="24"/>
                <w:szCs w:val="24"/>
                <w:highlight w:val="none"/>
              </w:rPr>
              <w:t>中相关附表格式填写。</w:t>
            </w:r>
          </w:p>
        </w:tc>
      </w:tr>
    </w:tbl>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（二）投标报价</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szCs w:val="24"/>
          <w:highlight w:val="none"/>
          <w:lang w:eastAsia="zh-CN"/>
          <w14:textFill>
            <w14:solidFill>
              <w14:schemeClr w14:val="tx1"/>
            </w14:solidFill>
          </w14:textFill>
        </w:rPr>
        <w:t>投标函</w:t>
      </w:r>
      <w:r>
        <w:rPr>
          <w:rFonts w:hint="eastAsia" w:ascii="宋体" w:hAnsi="宋体" w:eastAsia="宋体"/>
          <w:bCs/>
          <w:color w:val="000000" w:themeColor="text1"/>
          <w:kern w:val="0"/>
          <w:sz w:val="24"/>
          <w:szCs w:val="24"/>
          <w:highlight w:val="none"/>
          <w14:textFill>
            <w14:solidFill>
              <w14:schemeClr w14:val="tx1"/>
            </w14:solidFill>
          </w14:textFill>
        </w:rPr>
        <w:t>”规定的格式报出总价。投标总价中不得包含</w:t>
      </w:r>
      <w:r>
        <w:rPr>
          <w:rFonts w:hint="eastAsia" w:ascii="宋体" w:hAnsi="宋体"/>
          <w:bCs/>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bCs/>
          <w:color w:val="000000" w:themeColor="text1"/>
          <w:kern w:val="0"/>
          <w:sz w:val="24"/>
          <w:szCs w:val="24"/>
          <w:highlight w:val="none"/>
          <w14:textFill>
            <w14:solidFill>
              <w14:schemeClr w14:val="tx1"/>
            </w14:solidFill>
          </w14:textFill>
        </w:rPr>
        <w:t>要求以外的内容，否则，在评标时不予核减。</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2.投标报价应包括招标内容及要求的全部费用，包括但不限于员工工资、员工福利、员工服装和政府、法律法规规定的各类保险、福利、其他用工费用、材料、设备、配件、备件、损耗、包装、运输、维修、税费、招标代理费、利润以及完成合同条件所需的全部费用。各投标人应根据招标人提供的相关技术资料及要求，</w:t>
      </w:r>
      <w:r>
        <w:rPr>
          <w:rFonts w:hint="eastAsia" w:ascii="宋体" w:hAnsi="宋体" w:eastAsia="宋体"/>
          <w:bCs/>
          <w:color w:val="000000" w:themeColor="text1"/>
          <w:kern w:val="0"/>
          <w:sz w:val="24"/>
          <w:szCs w:val="24"/>
          <w:highlight w:val="none"/>
          <w14:textFill>
            <w14:solidFill>
              <w14:schemeClr w14:val="tx1"/>
            </w14:solidFill>
          </w14:textFill>
        </w:rPr>
        <w:t>以及本</w:t>
      </w:r>
      <w:r>
        <w:rPr>
          <w:rFonts w:hint="eastAsia" w:ascii="宋体" w:hAnsi="宋体"/>
          <w:bCs/>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bCs/>
          <w:color w:val="000000" w:themeColor="text1"/>
          <w:kern w:val="0"/>
          <w:sz w:val="24"/>
          <w:szCs w:val="24"/>
          <w:highlight w:val="none"/>
          <w14:textFill>
            <w14:solidFill>
              <w14:schemeClr w14:val="tx1"/>
            </w14:solidFill>
          </w14:textFill>
        </w:rPr>
        <w:t>实际情况和自身的综合实力，竞报投标报价。</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3.投标报价不得为选择性报价和附有条件的报价。</w:t>
      </w:r>
    </w:p>
    <w:p>
      <w:pPr>
        <w:pStyle w:val="7"/>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（三）投标文件的有效期</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1.投标文件有效期为</w:t>
      </w:r>
      <w:r>
        <w:rPr>
          <w:rFonts w:hint="eastAsia" w:ascii="宋体" w:hAnsi="宋体" w:eastAsia="宋体" w:cs="宋体"/>
          <w:color w:val="000000" w:themeColor="text1"/>
          <w:sz w:val="24"/>
          <w:szCs w:val="24"/>
          <w:highlight w:val="none"/>
          <w:lang w:val="en-GB"/>
          <w14:textFill>
            <w14:solidFill>
              <w14:schemeClr w14:val="tx1"/>
            </w14:solidFill>
          </w14:textFill>
        </w:rPr>
        <w:t>投标截止日起90天。</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GB"/>
          <w14:textFill>
            <w14:solidFill>
              <w14:schemeClr w14:val="tx1"/>
            </w14:solidFill>
          </w14:textFill>
        </w:rPr>
        <w:t>在特殊情况下，采购人可与投标人协商延长投标文件的有效期。</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3.中标人的投标文件自开标之日起至合同履行完毕均应保持有效。</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（四）投标文件的签署</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2.投标文件中所有的插字、涂改和增删，必须由法定代表人或经其正式授权的代表在旁边签字或盖章才有效。</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3.投标文件中要求加盖公章处，可使用有效安全的电子签章替代。</w:t>
      </w:r>
    </w:p>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（五）</w:t>
      </w:r>
      <w:r>
        <w:rPr>
          <w:rFonts w:hint="eastAsia" w:ascii="宋体" w:hAnsi="宋体" w:eastAsia="宋体"/>
          <w:b/>
          <w:bCs/>
          <w:color w:val="000000" w:themeColor="text1"/>
          <w:sz w:val="24"/>
          <w:szCs w:val="24"/>
          <w:highlight w:val="none"/>
          <w14:textFill>
            <w14:solidFill>
              <w14:schemeClr w14:val="tx1"/>
            </w14:solidFill>
          </w14:textFill>
        </w:rPr>
        <w:t>投标文件</w:t>
      </w:r>
      <w:r>
        <w:rPr>
          <w:rFonts w:hint="eastAsia" w:ascii="宋体" w:hAnsi="宋体"/>
          <w:b/>
          <w:bCs/>
          <w:color w:val="000000" w:themeColor="text1"/>
          <w:sz w:val="24"/>
          <w:szCs w:val="24"/>
          <w:highlight w:val="none"/>
          <w14:textFill>
            <w14:solidFill>
              <w14:schemeClr w14:val="tx1"/>
            </w14:solidFill>
          </w14:textFill>
        </w:rPr>
        <w:t>的递交要求</w:t>
      </w:r>
    </w:p>
    <w:p>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按照前附表要求提交，</w:t>
      </w:r>
      <w:r>
        <w:rPr>
          <w:rFonts w:hint="eastAsia" w:ascii="宋体" w:hAnsi="宋体" w:eastAsia="宋体"/>
          <w:color w:val="000000" w:themeColor="text1"/>
          <w:kern w:val="0"/>
          <w:sz w:val="24"/>
          <w:szCs w:val="24"/>
          <w:highlight w:val="none"/>
          <w14:textFill>
            <w14:solidFill>
              <w14:schemeClr w14:val="tx1"/>
            </w14:solidFill>
          </w14:textFill>
        </w:rPr>
        <w:t>如采购组织机构延长截止时间和开标时间，采购组织机构和投标人的权利和义务将受到新的截止时间和开标时间的约束。</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五、开标</w:t>
      </w:r>
    </w:p>
    <w:p>
      <w:pPr>
        <w:pStyle w:val="15"/>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（一）开标</w:t>
      </w:r>
    </w:p>
    <w:p>
      <w:pPr>
        <w:pStyle w:val="23"/>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投标人代表一律不参加现场开标，通过在线直播参与监督开标过程。直播网络地址：</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"http://www.tzwztb.com/live/" </w:instrText>
      </w:r>
      <w:r>
        <w:rPr>
          <w:color w:val="000000" w:themeColor="text1"/>
          <w:sz w:val="24"/>
          <w:szCs w:val="24"/>
          <w:highlight w:val="none"/>
          <w14:textFill>
            <w14:solidFill>
              <w14:schemeClr w14:val="tx1"/>
            </w14:solidFill>
          </w14:textFill>
        </w:rPr>
        <w:fldChar w:fldCharType="separate"/>
      </w:r>
      <w:r>
        <w:rPr>
          <w:rStyle w:val="31"/>
          <w:color w:val="000000" w:themeColor="text1"/>
          <w:sz w:val="24"/>
          <w:szCs w:val="24"/>
          <w:highlight w:val="none"/>
          <w14:textFill>
            <w14:solidFill>
              <w14:schemeClr w14:val="tx1"/>
            </w14:solidFill>
          </w14:textFill>
        </w:rPr>
        <w:t>http://www.tzwztb.com/live/</w:t>
      </w:r>
      <w:r>
        <w:rPr>
          <w:rStyle w:val="31"/>
          <w:color w:val="000000" w:themeColor="text1"/>
          <w:sz w:val="24"/>
          <w:szCs w:val="24"/>
          <w:highlight w:val="none"/>
          <w14:textFill>
            <w14:solidFill>
              <w14:schemeClr w14:val="tx1"/>
            </w14:solidFill>
          </w14:textFill>
        </w:rPr>
        <w:fldChar w:fldCharType="end"/>
      </w:r>
      <w:r>
        <w:rPr>
          <w:rFonts w:hint="default"/>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pPr>
        <w:pStyle w:val="15"/>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（二） 开标程序：</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开标由采购代理机构工作人员主持</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可</w:t>
      </w:r>
      <w:r>
        <w:rPr>
          <w:rFonts w:ascii="宋体" w:hAnsi="宋体" w:cs="宋体"/>
          <w:color w:val="000000" w:themeColor="text1"/>
          <w:sz w:val="24"/>
          <w:szCs w:val="24"/>
          <w:highlight w:val="none"/>
          <w14:textFill>
            <w14:solidFill>
              <w14:schemeClr w14:val="tx1"/>
            </w14:solidFill>
          </w14:textFill>
        </w:rPr>
        <w:t>进行在线</w:t>
      </w:r>
      <w:r>
        <w:rPr>
          <w:rFonts w:hint="eastAsia" w:ascii="宋体" w:hAnsi="宋体" w:cs="宋体"/>
          <w:color w:val="000000" w:themeColor="text1"/>
          <w:sz w:val="24"/>
          <w:szCs w:val="24"/>
          <w:highlight w:val="none"/>
          <w14:textFill>
            <w14:solidFill>
              <w14:schemeClr w14:val="tx1"/>
            </w14:solidFill>
          </w14:textFill>
        </w:rPr>
        <w:t>沟通</w:t>
      </w:r>
      <w:r>
        <w:rPr>
          <w:rFonts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采购人依法对</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val="en-US" w:eastAsia="zh-CN"/>
          <w14:textFill>
            <w14:solidFill>
              <w14:schemeClr w14:val="tx1"/>
            </w14:solidFill>
          </w14:textFill>
        </w:rPr>
        <w:t>资格</w:t>
      </w:r>
      <w:r>
        <w:rPr>
          <w:rFonts w:ascii="宋体" w:hAnsi="宋体" w:cs="宋体"/>
          <w:color w:val="000000" w:themeColor="text1"/>
          <w:sz w:val="24"/>
          <w:szCs w:val="24"/>
          <w:highlight w:val="none"/>
          <w14:textFill>
            <w14:solidFill>
              <w14:schemeClr w14:val="tx1"/>
            </w14:solidFill>
          </w14:textFill>
        </w:rPr>
        <w:t>审查，评标委员会对</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进行评审。</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评审完成后，主持人宣告</w:t>
      </w:r>
      <w:r>
        <w:rPr>
          <w:rFonts w:hint="eastAsia" w:ascii="宋体" w:hAnsi="宋体" w:cs="宋体"/>
          <w:color w:val="000000" w:themeColor="text1"/>
          <w:sz w:val="24"/>
          <w:szCs w:val="24"/>
          <w:highlight w:val="none"/>
          <w14:textFill>
            <w14:solidFill>
              <w14:schemeClr w14:val="tx1"/>
            </w14:solidFill>
          </w14:textFill>
        </w:rPr>
        <w:t>资格</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评审无效投标人名称及理由，公布经资格</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评审符合采购需求的投标人名单。</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开启各投标人</w:t>
      </w:r>
      <w:r>
        <w:rPr>
          <w:rFonts w:hint="eastAsia" w:ascii="宋体" w:hAnsi="宋体" w:cs="宋体"/>
          <w:color w:val="000000" w:themeColor="text1"/>
          <w:sz w:val="24"/>
          <w:szCs w:val="24"/>
          <w:highlight w:val="none"/>
          <w14:textFill>
            <w14:solidFill>
              <w14:schemeClr w14:val="tx1"/>
            </w14:solidFill>
          </w14:textFill>
        </w:rPr>
        <w:t>商务</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当场制作并打印开标记录表，由记录人、监督人当场签字确认。唱标结束后，由评标委员会对报价的合理性、准确性等进行审查核实。</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评标结束后，主持人公布投标</w:t>
      </w:r>
      <w:r>
        <w:rPr>
          <w:rFonts w:hint="eastAsia" w:ascii="宋体" w:hAnsi="宋体" w:cs="宋体"/>
          <w:color w:val="000000" w:themeColor="text1"/>
          <w:sz w:val="24"/>
          <w:szCs w:val="24"/>
          <w:highlight w:val="none"/>
          <w:lang w:val="en-US" w:eastAsia="zh-CN"/>
          <w14:textFill>
            <w14:solidFill>
              <w14:schemeClr w14:val="tx1"/>
            </w14:solidFill>
          </w14:textFill>
        </w:rPr>
        <w:t>人总</w:t>
      </w:r>
      <w:r>
        <w:rPr>
          <w:rFonts w:ascii="宋体" w:hAnsi="宋体" w:cs="宋体"/>
          <w:color w:val="000000" w:themeColor="text1"/>
          <w:sz w:val="24"/>
          <w:szCs w:val="24"/>
          <w:highlight w:val="none"/>
          <w14:textFill>
            <w14:solidFill>
              <w14:schemeClr w14:val="tx1"/>
            </w14:solidFill>
          </w14:textFill>
        </w:rPr>
        <w:t>得分以及推荐中标候选人排序名单。</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开标会议结束。</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其他注意事项：</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重要事项说明：</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（1）开标项目的时间均以国家授时中心发布的时间为准。</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14:textFill>
            <w14:solidFill>
              <w14:schemeClr w14:val="tx1"/>
            </w14:solidFill>
          </w14:textFill>
        </w:rPr>
        <w:t>（三） 异常情况处理：</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电子交易平台发生故障而无法登录访问的；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电子交易平台应用或数据库出现错误，不能进行正常操作的；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电子交易平台发现严重安全漏洞，有潜在泄密危险的；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病毒发作导致不能进行正常操作的；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其他无法保证电子交易的公平、公正和安全的情况。</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pPr>
        <w:pStyle w:val="7"/>
        <w:keepNext w:val="0"/>
        <w:keepLines w:val="0"/>
        <w:pageBreakBefore w:val="0"/>
        <w:shd w:val="clear"/>
        <w:kinsoku/>
        <w:wordWrap/>
        <w:overflowPunct/>
        <w:topLinePunct w:val="0"/>
        <w:bidi w:val="0"/>
        <w:snapToGrid w:val="0"/>
        <w:spacing w:line="440" w:lineRule="exact"/>
        <w:ind w:firstLine="723" w:firstLineChars="3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（四）开标异议</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7"/>
        <w:keepNext w:val="0"/>
        <w:keepLines w:val="0"/>
        <w:pageBreakBefore w:val="0"/>
        <w:shd w:val="clear"/>
        <w:kinsoku/>
        <w:wordWrap/>
        <w:overflowPunct/>
        <w:topLinePunct w:val="0"/>
        <w:bidi w:val="0"/>
        <w:snapToGrid w:val="0"/>
        <w:spacing w:line="440" w:lineRule="exact"/>
        <w:ind w:firstLine="723" w:firstLineChars="300"/>
        <w:textAlignment w:val="auto"/>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w:t>
      </w:r>
      <w:r>
        <w:rPr>
          <w:rFonts w:hint="eastAsia"/>
          <w:color w:val="000000" w:themeColor="text1"/>
          <w:sz w:val="24"/>
          <w:szCs w:val="24"/>
          <w:highlight w:val="none"/>
          <w14:textFill>
            <w14:solidFill>
              <w14:schemeClr w14:val="tx1"/>
            </w14:solidFill>
          </w14:textFill>
        </w:rPr>
        <w:t>投标人不足三家，不得开标。</w:t>
      </w:r>
    </w:p>
    <w:p>
      <w:pPr>
        <w:pStyle w:val="15"/>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五、评标（详见第四章）</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六、定标</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（一）</w:t>
      </w:r>
      <w:r>
        <w:rPr>
          <w:rFonts w:hint="eastAsia" w:ascii="宋体" w:hAnsi="宋体"/>
          <w:b/>
          <w:bCs/>
          <w:color w:val="000000" w:themeColor="text1"/>
          <w:kern w:val="0"/>
          <w:sz w:val="24"/>
          <w:szCs w:val="24"/>
          <w:highlight w:val="none"/>
          <w14:textFill>
            <w14:solidFill>
              <w14:schemeClr w14:val="tx1"/>
            </w14:solidFill>
          </w14:textFill>
        </w:rPr>
        <w:t>发布</w:t>
      </w:r>
      <w:r>
        <w:rPr>
          <w:b/>
          <w:bCs/>
          <w:color w:val="000000" w:themeColor="text1"/>
          <w:sz w:val="24"/>
          <w:szCs w:val="24"/>
          <w:highlight w:val="none"/>
          <w14:textFill>
            <w14:solidFill>
              <w14:schemeClr w14:val="tx1"/>
            </w14:solidFill>
          </w14:textFill>
        </w:rPr>
        <w:t>中标</w:t>
      </w:r>
      <w:r>
        <w:rPr>
          <w:rFonts w:hint="eastAsia" w:ascii="宋体" w:hAnsi="宋体"/>
          <w:b/>
          <w:bCs/>
          <w:color w:val="000000" w:themeColor="text1"/>
          <w:kern w:val="0"/>
          <w:sz w:val="24"/>
          <w:szCs w:val="24"/>
          <w:highlight w:val="none"/>
          <w14:textFill>
            <w14:solidFill>
              <w14:schemeClr w14:val="tx1"/>
            </w14:solidFill>
          </w14:textFill>
        </w:rPr>
        <w:t>结果公示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评标委员会推荐</w:t>
      </w:r>
      <w:r>
        <w:rPr>
          <w:rFonts w:hint="eastAsia" w:ascii="宋体" w:hAnsi="宋体"/>
          <w:color w:val="000000" w:themeColor="text1"/>
          <w:kern w:val="0"/>
          <w:sz w:val="24"/>
          <w:szCs w:val="24"/>
          <w:highlight w:val="none"/>
          <w:lang w:val="en-US" w:eastAsia="zh-CN"/>
          <w14:textFill>
            <w14:solidFill>
              <w14:schemeClr w14:val="tx1"/>
            </w14:solidFill>
          </w14:textFill>
        </w:rPr>
        <w:t>总</w:t>
      </w:r>
      <w:r>
        <w:rPr>
          <w:rFonts w:hint="eastAsia" w:ascii="宋体" w:hAnsi="宋体"/>
          <w:color w:val="000000" w:themeColor="text1"/>
          <w:kern w:val="0"/>
          <w:sz w:val="24"/>
          <w:szCs w:val="24"/>
          <w:highlight w:val="none"/>
          <w14:textFill>
            <w14:solidFill>
              <w14:schemeClr w14:val="tx1"/>
            </w14:solidFill>
          </w14:textFill>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000000" w:themeColor="text1"/>
          <w:kern w:val="0"/>
          <w:sz w:val="24"/>
          <w:szCs w:val="24"/>
          <w:highlight w:val="none"/>
          <w14:textFill>
            <w14:solidFill>
              <w14:schemeClr w14:val="tx1"/>
            </w14:solidFill>
          </w14:textFill>
        </w:rPr>
        <w:t>如有效标不足三家使得投标明显缺乏竞争时，评标委员会可以否决全部报价，经评审后有效标不足三家但并非均高于上限价，评标委员会认为有效报价仍具有竞争性的，开标继续有效。</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采购组织机构自中标候选人确定之日起3个工作日内，在浙江省政府采购网和</w:t>
      </w:r>
      <w:r>
        <w:rPr>
          <w:rFonts w:cs="宋体"/>
          <w:color w:val="000000" w:themeColor="text1"/>
          <w:sz w:val="24"/>
          <w:szCs w:val="24"/>
          <w:highlight w:val="none"/>
          <w14:textFill>
            <w14:solidFill>
              <w14:schemeClr w14:val="tx1"/>
            </w14:solidFill>
          </w14:textFill>
        </w:rPr>
        <w:t>台州湾新区小额工程电子交易平台</w:t>
      </w:r>
      <w:r>
        <w:rPr>
          <w:color w:val="000000" w:themeColor="text1"/>
          <w:sz w:val="24"/>
          <w:szCs w:val="24"/>
          <w:highlight w:val="none"/>
          <w14:textFill>
            <w14:solidFill>
              <w14:schemeClr w14:val="tx1"/>
            </w14:solidFill>
          </w14:textFill>
        </w:rPr>
        <w:t>公告中标结果，中标结果公示期为3日。</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000000" w:themeColor="text1"/>
          <w:sz w:val="24"/>
          <w:szCs w:val="24"/>
          <w:highlight w:val="none"/>
          <w14:textFill>
            <w14:solidFill>
              <w14:schemeClr w14:val="tx1"/>
            </w14:solidFill>
          </w14:textFill>
        </w:rPr>
      </w:pPr>
      <w:r>
        <w:rPr>
          <w:rFonts w:ascii="宋体" w:hAnsi="宋体" w:eastAsia="宋体"/>
          <w:b/>
          <w:bCs/>
          <w:color w:val="000000" w:themeColor="text1"/>
          <w:sz w:val="24"/>
          <w:szCs w:val="24"/>
          <w:highlight w:val="none"/>
          <w14:textFill>
            <w14:solidFill>
              <w14:schemeClr w14:val="tx1"/>
            </w14:solidFill>
          </w14:textFill>
        </w:rPr>
        <w:t>（二）</w:t>
      </w:r>
      <w:r>
        <w:rPr>
          <w:b/>
          <w:bCs/>
          <w:color w:val="000000" w:themeColor="text1"/>
          <w:sz w:val="24"/>
          <w:szCs w:val="24"/>
          <w:highlight w:val="none"/>
          <w14:textFill>
            <w14:solidFill>
              <w14:schemeClr w14:val="tx1"/>
            </w14:solidFill>
          </w14:textFill>
        </w:rPr>
        <w:t>确定中标人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本项目确定一名中标人，公示期满后，采购人应确定本项目中标候选人为本项目中标人。</w:t>
      </w:r>
    </w:p>
    <w:p>
      <w:pPr>
        <w:pStyle w:val="10"/>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（三）</w:t>
      </w:r>
      <w:r>
        <w:rPr>
          <w:rFonts w:hint="eastAsia"/>
          <w:b/>
          <w:bCs/>
          <w:color w:val="000000" w:themeColor="text1"/>
          <w:sz w:val="24"/>
          <w:szCs w:val="24"/>
          <w:highlight w:val="none"/>
          <w14:textFill>
            <w14:solidFill>
              <w14:schemeClr w14:val="tx1"/>
            </w14:solidFill>
          </w14:textFill>
        </w:rPr>
        <w:t>发放中标通知书</w:t>
      </w:r>
    </w:p>
    <w:p>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采购人应当确定中标候选人为中标人。如涉及其他投标人资格无效的，评标结果不作调整。</w:t>
      </w:r>
    </w:p>
    <w:p>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中标候选人放弃中标，或者因不可抗力提出不能履行合同，或者因违反规定造成其资格无效的，本次招标失败，重新组织招标。如涉及其他投标人资格无效的，评标结果不作调整。</w:t>
      </w:r>
    </w:p>
    <w:p>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中标人确定后，采购人应当向中标人发出《中标通知书》。</w:t>
      </w:r>
    </w:p>
    <w:p>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七</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b/>
          <w:color w:val="000000" w:themeColor="text1"/>
          <w:kern w:val="0"/>
          <w:sz w:val="24"/>
          <w:szCs w:val="24"/>
          <w:highlight w:val="none"/>
          <w14:textFill>
            <w14:solidFill>
              <w14:schemeClr w14:val="tx1"/>
            </w14:solidFill>
          </w14:textFill>
        </w:rPr>
        <w:t>合同签订</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（一）签订合同</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1.采购人应当自中标通知书发出之日起30日内，按照</w:t>
      </w:r>
      <w:r>
        <w:rPr>
          <w:rFonts w:hint="eastAsia"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和中标人投标文件内容要求，与中标人签订合同。所签订的合同不得对</w:t>
      </w:r>
      <w:r>
        <w:rPr>
          <w:rFonts w:hint="eastAsia"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确定的事项和中标人投标文件作实质性修改。</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2.采购人不得向中标人提出任何不合理的要求作为签订合同的条件。</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3.中标人无故拖延、拒签合同的，将取消中标资格。</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4.中标人拒绝与采购人签订合同的，采购人可以重新开展采购活动。</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w:t>
      </w:r>
    </w:p>
    <w:p>
      <w:pPr>
        <w:pStyle w:val="10"/>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（二）履约保证金</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1.中标人应在签订合同前向</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采购</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人提交履约保证金，未提交履约保证金的，不授予合同。履约保证金的收取及退还详见投标人须知前附表。</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签订合同后，如中标人不按双方合同约定履约，则没收其全部履约保证金，履约保证金不足以赔偿损失的，按实际损失赔偿。</w:t>
      </w:r>
    </w:p>
    <w:p>
      <w:pPr>
        <w:pStyle w:val="10"/>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八、询问、质疑与投诉</w:t>
      </w:r>
    </w:p>
    <w:p>
      <w:pPr>
        <w:pStyle w:val="10"/>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（一）询问</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color w:val="000000" w:themeColor="text1"/>
          <w:sz w:val="24"/>
          <w:szCs w:val="24"/>
          <w:highlight w:val="none"/>
          <w14:textFill>
            <w14:solidFill>
              <w14:schemeClr w14:val="tx1"/>
            </w14:solidFill>
          </w14:textFill>
        </w:rPr>
        <w:t>活动事项（</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000000" w:themeColor="text1"/>
          <w:sz w:val="24"/>
          <w:szCs w:val="24"/>
          <w:highlight w:val="none"/>
          <w:lang w:val="en-US" w:eastAsia="zh-CN"/>
          <w14:textFill>
            <w14:solidFill>
              <w14:schemeClr w14:val="tx1"/>
            </w14:solidFill>
          </w14:textFill>
        </w:rPr>
        <w:t>招标公告</w:t>
      </w:r>
      <w:r>
        <w:rPr>
          <w:rFonts w:hint="eastAsia" w:ascii="宋体" w:hAnsi="宋体"/>
          <w:color w:val="000000" w:themeColor="text1"/>
          <w:sz w:val="24"/>
          <w:szCs w:val="24"/>
          <w:highlight w:val="none"/>
          <w14:textFill>
            <w14:solidFill>
              <w14:schemeClr w14:val="tx1"/>
            </w14:solidFill>
          </w14:textFill>
        </w:rPr>
        <w:t>”中“采购人、采购组织机构的名称、地址和联系方式”。</w:t>
      </w:r>
    </w:p>
    <w:p>
      <w:pPr>
        <w:pStyle w:val="10"/>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（二）质疑</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1.报名本项目的投标人认为</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、采购过程和中标结果使自己的权益受到损害的，通过书面形式一次性向采购人或采购组织机构提出质疑：</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（1）投标人认为</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的内容损害其权益的，应当在各采购程序环节结束之日起</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日内提出质疑；</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）投标人对中标结果提出质疑的，应当在中标结果公告期限届满之日起</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个工作日内提出质疑。</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10"/>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（三）投诉</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投标人对采购人或采购组织机构的质疑答复不满意或在规定时间内未得到答复的，可以在答复期满后15个工作日内，向同级监督管理机构投诉。</w:t>
      </w:r>
    </w:p>
    <w:p>
      <w:pPr>
        <w:pStyle w:val="10"/>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4"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4"/>
    </w:p>
    <w:p>
      <w:pPr>
        <w:shd w:val="clear"/>
        <w:rPr>
          <w:rFonts w:hint="eastAsia" w:ascii="宋体" w:hAnsi="宋体" w:cs="宋体"/>
          <w:b/>
          <w:bCs/>
          <w:color w:val="000000"/>
          <w:kern w:val="0"/>
          <w:sz w:val="24"/>
          <w:highlight w:val="none"/>
        </w:rPr>
      </w:pPr>
      <w:bookmarkStart w:id="35" w:name="_Toc31173_WPSOffice_Level1"/>
    </w:p>
    <w:p>
      <w:pPr>
        <w:shd w:val="clear"/>
        <w:rPr>
          <w:rFonts w:hint="eastAsia" w:ascii="仿宋" w:hAnsi="仿宋" w:eastAsia="仿宋" w:cs="仿宋"/>
          <w:color w:val="000000"/>
          <w:kern w:val="0"/>
          <w:sz w:val="24"/>
          <w:highlight w:val="none"/>
          <w:lang w:eastAsia="zh-CN"/>
        </w:rPr>
      </w:pPr>
      <w:r>
        <w:rPr>
          <w:rFonts w:hint="eastAsia" w:ascii="仿宋" w:hAnsi="仿宋" w:eastAsia="仿宋" w:cs="仿宋"/>
          <w:b/>
          <w:bCs/>
          <w:color w:val="000000"/>
          <w:kern w:val="0"/>
          <w:sz w:val="24"/>
          <w:highlight w:val="none"/>
        </w:rPr>
        <w:t>招标人</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eastAsia="zh-CN"/>
        </w:rPr>
        <w:t>台州循环经济发展有限公司集聚区资产经营分公司</w:t>
      </w:r>
    </w:p>
    <w:p>
      <w:pPr>
        <w:shd w:val="clear"/>
        <w:rPr>
          <w:rFonts w:hint="eastAsia" w:ascii="宋体" w:hAnsi="宋体" w:cs="宋体"/>
          <w:color w:val="000000"/>
          <w:kern w:val="0"/>
          <w:szCs w:val="21"/>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z w:val="24"/>
          <w:szCs w:val="24"/>
          <w:highlight w:val="none"/>
          <w:lang w:eastAsia="zh-CN"/>
        </w:rPr>
        <w:t>一、项目基本情况</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0" w:firstLineChars="200"/>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沧海商务中心总建筑面积33652平方米（其中地上总建筑面积32828平方米），其中 1#-4#楼以餐饮为主，5#楼为商业购物区，6#楼为休闲娱乐区。人才公寓项目占地面积31660.15 平方，建筑总面积约 43550.14 平方米（其中住宅约 34905.85 平方米，商业约 3569.95 平方米，地下建筑面积：约 320 平方米），小区总户数 833 户，小区出入门口 2 个（目前只开放 1 个主出入口）。</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kern w:val="2"/>
          <w:sz w:val="24"/>
          <w:szCs w:val="24"/>
          <w:highlight w:val="none"/>
          <w:lang w:val="en-US" w:eastAsia="zh-CN" w:bidi="ar-SA"/>
        </w:rPr>
        <w:t>二、</w:t>
      </w:r>
      <w:r>
        <w:rPr>
          <w:rFonts w:hint="eastAsia" w:ascii="仿宋_GB2312" w:hAnsi="仿宋_GB2312" w:eastAsia="仿宋_GB2312" w:cs="仿宋_GB2312"/>
          <w:b/>
          <w:bCs/>
          <w:sz w:val="24"/>
          <w:szCs w:val="24"/>
          <w:highlight w:val="none"/>
          <w:lang w:eastAsia="zh-CN"/>
        </w:rPr>
        <w:t>招标范围</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本招标项目的范围为规划区内的物业，含安保服务、保洁服务、设备管理、</w:t>
      </w:r>
      <w:r>
        <w:rPr>
          <w:rFonts w:hint="eastAsia" w:ascii="仿宋_GB2312" w:hAnsi="仿宋_GB2312" w:eastAsia="仿宋_GB2312" w:cs="仿宋_GB2312"/>
          <w:sz w:val="24"/>
          <w:szCs w:val="24"/>
          <w:highlight w:val="none"/>
          <w:lang w:val="en-US" w:eastAsia="zh-CN"/>
        </w:rPr>
        <w:t>安全生产管理、</w:t>
      </w:r>
      <w:r>
        <w:rPr>
          <w:rFonts w:hint="eastAsia" w:ascii="仿宋_GB2312" w:hAnsi="仿宋_GB2312" w:eastAsia="仿宋_GB2312" w:cs="仿宋_GB2312"/>
          <w:sz w:val="24"/>
          <w:szCs w:val="24"/>
          <w:highlight w:val="none"/>
          <w:lang w:eastAsia="zh-CN"/>
        </w:rPr>
        <w:t>租金计收及采购单位交办的与物业有关的其他工作。</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kern w:val="2"/>
          <w:sz w:val="24"/>
          <w:szCs w:val="24"/>
          <w:highlight w:val="none"/>
          <w:lang w:val="en-US" w:eastAsia="zh-CN" w:bidi="ar-SA"/>
        </w:rPr>
        <w:t>三、</w:t>
      </w:r>
      <w:r>
        <w:rPr>
          <w:rFonts w:hint="eastAsia" w:ascii="仿宋_GB2312" w:hAnsi="仿宋_GB2312" w:eastAsia="仿宋_GB2312" w:cs="仿宋_GB2312"/>
          <w:b/>
          <w:bCs/>
          <w:sz w:val="24"/>
          <w:szCs w:val="24"/>
          <w:highlight w:val="none"/>
          <w:lang w:eastAsia="zh-CN"/>
        </w:rPr>
        <w:t>物管事项</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包含但不限于保安服务、应急保障服务、环境保洁服务及管理、绿化保洁及养护、设备设施、供电系统、弱电系统（含智慧用电监控系统）、消防系统、电梯系统，给排水系统、空调系统等，房屋及所属范围内的路面等的维护及管理、消防安全、安全生产、保洁（保洁范围：公共区域）与管理、租金</w:t>
      </w:r>
      <w:r>
        <w:rPr>
          <w:rFonts w:hint="eastAsia" w:ascii="仿宋_GB2312" w:hAnsi="仿宋_GB2312" w:eastAsia="仿宋_GB2312" w:cs="仿宋_GB2312"/>
          <w:sz w:val="24"/>
          <w:szCs w:val="24"/>
          <w:highlight w:val="none"/>
          <w:lang w:val="en-US" w:eastAsia="zh-CN"/>
        </w:rPr>
        <w:t>物业费</w:t>
      </w:r>
      <w:r>
        <w:rPr>
          <w:rFonts w:hint="eastAsia" w:ascii="仿宋_GB2312" w:hAnsi="仿宋_GB2312" w:eastAsia="仿宋_GB2312" w:cs="仿宋_GB2312"/>
          <w:sz w:val="24"/>
          <w:szCs w:val="24"/>
          <w:highlight w:val="none"/>
          <w:lang w:eastAsia="zh-CN"/>
        </w:rPr>
        <w:t xml:space="preserve">等计收及其他服务等内容。 </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四、服务需求及目标：</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（一）总体要求</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1、中标单位需按物业管理标准和操作规范、本项目《采购文件》的规定及本项目《投标文件》中的响应方案，制定物业管理具体服务方案，实施运作，并能严格按照既定管理目标管理本项目。</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2、中标单位须认真履行职责，严格按招标项目中的质量做好各项工作。各岗位人员不得顶替调换，确保相对稳定，服务人员要在岗在位，各尽其责，保证符合各项服务的质量标准。</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3、由中标单位按国家规定支付上岗人员的各项工资、津贴、社会保险及其他相关费用，采购人每月有权对社会保险的交纳情况进行检查。</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中标单位必须对上岗人员按规定进行岗位培训等，并对上岗人员定期进行职业道德教育，教育其端正服务态度、提高服务质量、遵守采购人的各项规章制度及工作规范，维护采购人的形象，服从领导。对不遵守劳动纪律、工作作风拖拉的员工，经查实后酌情处理，情节严重的采购人有权更换。</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5、中标单位须在业主指定地点设立专职管理或服务办公室。中标单位应制定完善的各项内部管理制度，派专职督导人员进行现场管理，并落实好各项制度。</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6、采购人有权组织相关单位对中标单位各项工作质量进行定期（每3个月）与不定期考核（考核标准详见附件：物业服务考核评分表）。</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7、中标单位负责做好采购人的垃圾分类、爱国卫生、节能、安全、</w:t>
      </w:r>
      <w:r>
        <w:rPr>
          <w:rFonts w:hint="eastAsia" w:ascii="仿宋_GB2312" w:hAnsi="仿宋_GB2312" w:eastAsia="仿宋_GB2312" w:cs="仿宋_GB2312"/>
          <w:color w:val="auto"/>
          <w:sz w:val="24"/>
          <w:szCs w:val="24"/>
          <w:highlight w:val="none"/>
          <w:lang w:val="en-US" w:eastAsia="zh-CN"/>
        </w:rPr>
        <w:t>租金物业费催收</w:t>
      </w:r>
      <w:r>
        <w:rPr>
          <w:rFonts w:hint="eastAsia" w:ascii="仿宋_GB2312" w:hAnsi="仿宋_GB2312" w:eastAsia="仿宋_GB2312" w:cs="仿宋_GB2312"/>
          <w:sz w:val="24"/>
          <w:szCs w:val="24"/>
          <w:highlight w:val="none"/>
          <w:lang w:val="en-US" w:eastAsia="zh-CN"/>
        </w:rPr>
        <w:t>等方面的工作。</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（二）具体要求</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1、基础管理：</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 建立健全的财务管理制度，对物业服务费和其它费用的收支进行财务管理，并按有关规定和合同约定公布物业服务费用的收支情况，做到运作规范，账目清晰。</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 建立档案管理制度，包括物业竣工验收档案、设备设施管理档案、业主或使用人资料档案（含业主或使用人装修档案）、日常管理档案等，各种基础资料、台帐、图册健全，装订整齐，保存完好。</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 制定内部管理制度和考核制度，并运用计算机进行管理（含租户档案、收费管理、设备设施管理等）。</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 xml:space="preserve">2、保安服务：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2.1 保安员要着装整洁，仪表端庄，精神饱满，文明礼貌；坚守工作岗位，遵守工作纪律。</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2.2 设立门岗、消防监控值班服务，负责公共秩序维护管理与服务，负责服务区域内及外围的日常安全保卫工作，制订突发事件应急预案，负责做好突发事件、重大活动的安全保卫工作；提供治安、消防、停车场车辆、外来人员及物品进出的管理服务，实现 24 小时管理，制订 24 小时定线和变线巡逻路线，实行巡逻签到制度，保证巡逻到位，确保服务区域内及外围的日常安全。</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2.3 非工作时间应实行封闭式管理，严格执行来客登记制度。</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2.4 完成业主交付的其他工作。</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3、 应急保障服务：</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3.1 在防汛防台期间（特别是台风严重影响我市时），管理层及相关人员应实行 24 小时值班制度，做好防汛防台预防及救灾准备工作。</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3.2 其他等。遇到火警、偷盗、伤人、群众上访等事件，要做到头脑冷静，及时报告、报警或依法处置；遇到车库故障、电梯关人、给排水管爆裂、办公室门反锁等突发事件要快速处理妥善解决。</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3.3 完成业主交付的其他工作。</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4、环境保洁服务及管理</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4.1 负责服务区域内公共区域（场所）的保洁，负责服务区域内环境的管理，负责业主指定区域和房间的保洁；中标单位须在服务区域内保持环境整洁，垃圾日产日清；地面、窗台、门面无灰尘、无杂物、无烟蒂，墙面石材整洁有光泽，墙角无蛛网，卫生间无异味，无积水。对清洁人员实行包干分配，做到责任明确，职责清晰。</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4.2 其他：垃圾中转处、垃圾桶、窖井无垃圾积存、无臭味，附近地面无污染，无污水及虫蝇滋生等；废品应及时收归至指定地点处理、不得擅自存放在保洁区域内；根据需要对公共场所定期进行消毒。</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4.3 完成业主交付的其他工作（例如休息室保洁等）。</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 xml:space="preserve">5、周边道路的保洁服务：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5.1 整体（含边角、叉路口）应干净见本色，无烟蒂、白色垃圾、塑料袋、包装物、果皮（壳/核）纸屑、杂物堆积、积泥沙石、积水污渍冰雪及杂草等废弃物。</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5.2 绿化隔离带保洁与道路保洁同步，绿化隔离带及树穴（池）干净、侧石干净、窨井排水口沟槽干净、果壳箱等环卫设施干净；无挂带污物，不得损坏花草树木。</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5.3 保洁车辆应按规范停放，不影响公共交通通行。</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5.4 遇到灾害性气候时，应及时启动道路清扫紧急预案。</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5.5 不得焚烧垃圾，不得随意倾倒垃圾，垃圾日产日清。</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6、绿化保洁及养护：</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6.1 对服务区域内的绿化进行保洁、养护及管理，定期进行修剪、除草、喷药、施肥、浇水，及时清除里面的杂草，绿化修剪及时，落叶要及时清扫，使花木无明显枯萎及病虫害现象，保持绿化美观整齐。</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6.2 及时补缺或补种树木，费用双方另行协商，每年修剪和施肥不少于四次，做好树木防台措施。</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7、设备设施维护及管理：</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7.1 负责各设备的运行操作、日常巡视、保养、故障检修、维修、应急处理。范围包括但不限于供电系统、弱电系统（含智慧用电监控系统）、消防系统、电梯系统、给排水系统、空调及热水系统（范围：人才公寓）等房屋及所属范围内的路面等。设备维保工作涉及第三方维保单位需签订维保合同的（这里主要指电梯系统的年维保、年检、限速器测速检验费及年保险费；消防系统、空调及热水系统等的维保；此费用已包含在投标报价内；），维保合同由物业公司出面签订，并到采购人处备案。具体维保工作由物业公司按维保要求联系维保方实施维护保养，及时告知采购人维保情况进展及维保结果，并提供维保过程的作业记录单。物业设备管理人员需按照国家相关技术规范和要求操作，确保各类设备设施的安全和正常运行，严防各类设备设施安全事故的发生。做好各类设备管理台账，记录各类维修材料损耗，并定期分析物耗情况。</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7.2 制定房屋及所属范围内路面的维护与管理制度，根据日常巡视检查的结果，工程部组织专业人员对房屋建筑及所属范围内路面的轻微损伤进行日常零星维修养护工作。不定期对房屋及所属范围内路面进行查勘工作，全面的了解房屋建筑及所属范围内路面现状，以此制订、补充、完善房屋建筑及所属范围内路面的定期维护计划。另外，遇大风、暴雨等恶劣天气，及时对房屋建筑的外墙、金属构件、屋面等易受直接影响的结构进行全面检查，根据检查结果制订针对性的维护计划和实施方案。</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7.3 空置物业管理：每月巡视空置物业，建立巡视台账，定期更新。所属区域内如发生二次装修时，需协助采购人主管部门做好装修管理工作。</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8、消防安全：</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消防安全做到“一明确、三建立、四规范”的总要求。“一明确”即明确消防安全职责；“三建立”即建立健全消防组织，建立健全消防安全制度和操作规程，建立完善消防档案；“四规范”即规范防火检查和隐患整改，规范消防设施维护管理，规范消防宣传教育培训，规范灭火和应急疏散预案演练。</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9、安全生产管理：</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加强对服务区域安全隐患的监测和防范。定期进行安全巡查，及时发现和排除潜在的安全隐患。建立健全安全预警机制，对可能发生的危险事件做好事前预案，提高对突发事件的应对能力。</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10、其他服务（包含但不限于以下服务）：</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10.1 负责中心（保洁范围：公共区域）的保洁。</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10.2 负责中心水电的抄表、私拉电线的检查、外来人员进入管理、协助业主方进行安全检查及消防安全工作。</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10.3 中心的前台服务（具体按采购人要求）。</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10.4 负责报刊、信件及快递的收发及保管（重要信函即到即送并做好保密工作）；</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10.5 如遇重大活动、接待、会议布置等特殊需要，应及时调配足够的相关资源（人员、设备、用品、盆栽等）满足特殊需求。</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10.6 做好除四害消杀服务（4次/年），定期定点在关键部位放置毒鼠屋及鼠夹并投放药品进行杀毒，建立除四害工作文字及照片档案等。</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10.7 服务区域治安巡逻、岗门进出物品登记、抄取承租单位（人）的水表及电表。</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10.8 中标单位代采购人向各承租单位（人）收取水费、电费、物业管理费、租金等费用。</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 项目管理其他要求：</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1、中标单位及其员工应主动配合采购人行政管理等工作，服从调度，听从指挥，认真听取采购人有关部门提出的建议和意见，对在物业管理中出现问题和薄弱环节立即整改。</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2、所有物业员工要做好各项保密工作。严格做到不打听、不偷看、不传播、不擅自处理保密纸物等。</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3、确保设备、设施完好，因员工不慎导致设备、设施损坏、丢失应照价赔偿。</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受托方给每位员工办理《劳动合同法》规定的一切用工手续，并依照相关法律法规要求，及时办理社保及保险等事项，按时发放员工工资，若出现欠薪事件的用工纠纷等由中标单位自行负责，采购人有权单方面解除合同，并扣除全部履约保证金。</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 物业管理须达到以下目标：</w:t>
      </w:r>
      <w:r>
        <w:rPr>
          <w:rFonts w:hint="eastAsia" w:ascii="仿宋_GB2312" w:hAnsi="仿宋_GB2312" w:eastAsia="仿宋_GB2312" w:cs="仿宋_GB2312"/>
          <w:sz w:val="24"/>
          <w:szCs w:val="24"/>
          <w:highlight w:val="none"/>
          <w:lang w:val="en-US" w:eastAsia="zh-CN"/>
        </w:rPr>
        <w:t xml:space="preserve"> </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1、房屋及所属范围内路面、设备、设施完好率 99%以上；发现房屋、设施、道路、停车场等存在安全隐患或损坏，反馈率与及时率100%。</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2、维修响应时间半小时内，急修立刻响应；维修工程合格率 99%以上。</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3、清洁管理无盲点，有效保洁率95%以上。</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4、投诉处理率100%（不可抗力除外）。</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5、事故发生率控制在业主安全责任考核目标要求内，因管理原因引起的治安案件发生率为零。</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6、绿化养护及时，保证存活率95%以上。</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五、商务需求</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1、服务期：三年。年度合同期满后经采购人考核合格，自动履行下一年度合同。若考核（包括服务考核、费用催收考核）中出现连续三次及以上低于90分或90%，则自动终止合同。</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2、中标人在履行合同期间内，应及时妥善处理业主的合理诉求，积极与业主沟通。若发生重大群诉事件，及时上报采购人，并协同采购人共同处理。</w:t>
      </w:r>
    </w:p>
    <w:p>
      <w:pPr>
        <w:pStyle w:val="33"/>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FF0000"/>
          <w:sz w:val="24"/>
          <w:szCs w:val="24"/>
          <w:highlight w:val="none"/>
          <w:lang w:val="en-US" w:eastAsia="zh-CN"/>
        </w:rPr>
        <w:t>3、付款方式：每3个月结算一次。中标方在费用支付前需向采购人开具增值税专用发票。每3个月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费用结算分为保底费用(50%)、考核费用(50%)等两部分（其中考核费用(50%)分为服务考核30%、费用催收（租金及物业费）考核20%），考核通过后，采购人及时向中标方支付相关费用。</w:t>
      </w:r>
    </w:p>
    <w:p>
      <w:pPr>
        <w:pStyle w:val="33"/>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4、人员配置要求：</w:t>
      </w:r>
    </w:p>
    <w:p>
      <w:pPr>
        <w:pStyle w:val="33"/>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 xml:space="preserve">4.1 物业管理工作人员实行持证上岗，对于不符合人员配置要求的物业管理工作人员，业主有权要求中标单位更换工作人员，否则该人员费用不予支付。 </w:t>
      </w:r>
    </w:p>
    <w:p>
      <w:pPr>
        <w:pStyle w:val="33"/>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4.2 物业管理工作人员连续被有效投诉，业主有权要求中标方更换工作人员，否则该人员费用不予支付。</w:t>
      </w:r>
    </w:p>
    <w:p>
      <w:pPr>
        <w:pStyle w:val="33"/>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4.3 业主有权采取定期或不定期的方式抽查中标方的实际到岗人员，如在抽查的过程中，发现有人员未到岗或虚报到岗人员，则扣除当日整体物业费用。如当期发现超过三次及以上，则扣除当期整体物业费用。</w:t>
      </w:r>
    </w:p>
    <w:p>
      <w:pPr>
        <w:pStyle w:val="33"/>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4.4 本项目最低人员配置要求：</w:t>
      </w:r>
    </w:p>
    <w:tbl>
      <w:tblPr>
        <w:tblStyle w:val="27"/>
        <w:tblpPr w:leftFromText="180" w:rightFromText="180" w:vertAnchor="text" w:horzAnchor="page" w:tblpX="1731" w:tblpY="209"/>
        <w:tblOverlap w:val="never"/>
        <w:tblW w:w="8300" w:type="dxa"/>
        <w:tblInd w:w="0" w:type="dxa"/>
        <w:tblLayout w:type="fixed"/>
        <w:tblCellMar>
          <w:top w:w="0" w:type="dxa"/>
          <w:left w:w="0" w:type="dxa"/>
          <w:bottom w:w="0" w:type="dxa"/>
          <w:right w:w="0" w:type="dxa"/>
        </w:tblCellMar>
      </w:tblPr>
      <w:tblGrid>
        <w:gridCol w:w="563"/>
        <w:gridCol w:w="1116"/>
        <w:gridCol w:w="1044"/>
        <w:gridCol w:w="5577"/>
      </w:tblGrid>
      <w:tr>
        <w:trPr>
          <w:trHeight w:val="631"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岗位名称</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配置人数</w:t>
            </w:r>
          </w:p>
        </w:tc>
        <w:tc>
          <w:tcPr>
            <w:tcW w:w="5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人员配置</w:t>
            </w:r>
          </w:p>
        </w:tc>
      </w:tr>
      <w:tr>
        <w:tblPrEx>
          <w:tblCellMar>
            <w:top w:w="0" w:type="dxa"/>
            <w:left w:w="0" w:type="dxa"/>
            <w:bottom w:w="0" w:type="dxa"/>
            <w:right w:w="0" w:type="dxa"/>
          </w:tblCellMar>
        </w:tblPrEx>
        <w:trPr>
          <w:trHeight w:val="422"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项目经理</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5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负责整体项目的物业管理及协调等</w:t>
            </w:r>
          </w:p>
        </w:tc>
      </w:tr>
      <w:tr>
        <w:tblPrEx>
          <w:tblCellMar>
            <w:top w:w="0" w:type="dxa"/>
            <w:left w:w="0" w:type="dxa"/>
            <w:bottom w:w="0" w:type="dxa"/>
            <w:right w:w="0" w:type="dxa"/>
          </w:tblCellMar>
        </w:tblPrEx>
        <w:trPr>
          <w:trHeight w:val="554"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管家</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3</w:t>
            </w:r>
          </w:p>
        </w:tc>
        <w:tc>
          <w:tcPr>
            <w:tcW w:w="5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负责项目物业的日常服务工作</w:t>
            </w:r>
          </w:p>
        </w:tc>
      </w:tr>
      <w:tr>
        <w:tblPrEx>
          <w:tblCellMar>
            <w:top w:w="0" w:type="dxa"/>
            <w:left w:w="0" w:type="dxa"/>
            <w:bottom w:w="0" w:type="dxa"/>
            <w:right w:w="0" w:type="dxa"/>
          </w:tblCellMar>
        </w:tblPrEx>
        <w:trPr>
          <w:trHeight w:val="542"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客服人员</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1</w:t>
            </w:r>
          </w:p>
        </w:tc>
        <w:tc>
          <w:tcPr>
            <w:tcW w:w="5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负责项目内客户接待引导服务</w:t>
            </w:r>
          </w:p>
        </w:tc>
      </w:tr>
      <w:tr>
        <w:tblPrEx>
          <w:tblCellMar>
            <w:top w:w="0" w:type="dxa"/>
            <w:left w:w="0" w:type="dxa"/>
            <w:bottom w:w="0" w:type="dxa"/>
            <w:right w:w="0" w:type="dxa"/>
          </w:tblCellMar>
        </w:tblPrEx>
        <w:trPr>
          <w:trHeight w:val="366"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保安队长</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2</w:t>
            </w:r>
          </w:p>
        </w:tc>
        <w:tc>
          <w:tcPr>
            <w:tcW w:w="557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366"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保安</w:t>
            </w:r>
            <w:r>
              <w:rPr>
                <w:rFonts w:hint="eastAsia" w:ascii="宋体" w:hAnsi="宋体" w:cs="宋体"/>
                <w:i w:val="0"/>
                <w:color w:val="000000"/>
                <w:kern w:val="0"/>
                <w:sz w:val="22"/>
                <w:szCs w:val="22"/>
                <w:highlight w:val="none"/>
                <w:u w:val="none"/>
                <w:lang w:val="en-US" w:eastAsia="zh-CN" w:bidi="ar"/>
              </w:rPr>
              <w:t>员</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6</w:t>
            </w:r>
          </w:p>
        </w:tc>
        <w:tc>
          <w:tcPr>
            <w:tcW w:w="557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331"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消控员</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557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default" w:ascii="宋体" w:hAnsi="宋体" w:eastAsia="宋体" w:cs="宋体"/>
                <w:i w:val="0"/>
                <w:color w:val="000000"/>
                <w:sz w:val="24"/>
                <w:szCs w:val="24"/>
                <w:highlight w:val="none"/>
                <w:u w:val="none"/>
                <w:lang w:val="en-US" w:eastAsia="zh-CN"/>
              </w:rPr>
            </w:pPr>
          </w:p>
        </w:tc>
      </w:tr>
      <w:tr>
        <w:tblPrEx>
          <w:tblCellMar>
            <w:top w:w="0" w:type="dxa"/>
            <w:left w:w="0" w:type="dxa"/>
            <w:bottom w:w="0" w:type="dxa"/>
            <w:right w:w="0" w:type="dxa"/>
          </w:tblCellMar>
        </w:tblPrEx>
        <w:trPr>
          <w:trHeight w:val="366"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2"/>
                <w:szCs w:val="22"/>
                <w:highlight w:val="none"/>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保洁主管</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557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493"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8</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保洁员</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7</w:t>
            </w:r>
          </w:p>
        </w:tc>
        <w:tc>
          <w:tcPr>
            <w:tcW w:w="557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458" w:hRule="atLeast"/>
        </w:trPr>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9</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工程人员</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2</w:t>
            </w:r>
          </w:p>
        </w:tc>
        <w:tc>
          <w:tcPr>
            <w:tcW w:w="5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2"/>
                <w:szCs w:val="22"/>
                <w:highlight w:val="none"/>
                <w:u w:val="none"/>
                <w:lang w:val="en-US" w:eastAsia="zh-CN" w:bidi="ar"/>
              </w:rPr>
              <w:t>负责项目的日常维修工作</w:t>
            </w:r>
          </w:p>
        </w:tc>
      </w:tr>
      <w:tr>
        <w:tblPrEx>
          <w:tblCellMar>
            <w:top w:w="0" w:type="dxa"/>
            <w:left w:w="0" w:type="dxa"/>
            <w:bottom w:w="0" w:type="dxa"/>
            <w:right w:w="0" w:type="dxa"/>
          </w:tblCellMar>
        </w:tblPrEx>
        <w:trPr>
          <w:trHeight w:val="415" w:hRule="atLeast"/>
        </w:trPr>
        <w:tc>
          <w:tcPr>
            <w:tcW w:w="16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2"/>
                <w:szCs w:val="22"/>
                <w:highlight w:val="none"/>
                <w:u w:val="none"/>
                <w:lang w:val="en-US" w:eastAsia="zh-CN" w:bidi="ar"/>
              </w:rPr>
              <w:t>25</w:t>
            </w:r>
          </w:p>
        </w:tc>
        <w:tc>
          <w:tcPr>
            <w:tcW w:w="5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highlight w:val="none"/>
                <w:u w:val="none"/>
              </w:rPr>
            </w:pPr>
          </w:p>
        </w:tc>
      </w:tr>
    </w:tbl>
    <w:p>
      <w:pPr>
        <w:pStyle w:val="33"/>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p>
    <w:p>
      <w:pPr>
        <w:pStyle w:val="33"/>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p>
    <w:p>
      <w:pPr>
        <w:pStyle w:val="33"/>
        <w:shd w:val="clear"/>
        <w:rPr>
          <w:rFonts w:hint="eastAsia"/>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hd w:val="clear"/>
        <w:spacing w:before="187" w:line="219" w:lineRule="auto"/>
        <w:rPr>
          <w:rFonts w:hint="eastAsia" w:ascii="宋体" w:hAnsi="宋体" w:cs="宋体"/>
          <w:spacing w:val="-1"/>
          <w:sz w:val="23"/>
          <w:szCs w:val="23"/>
          <w:highlight w:val="none"/>
        </w:rPr>
      </w:pPr>
      <w:r>
        <w:rPr>
          <w:rFonts w:hint="eastAsia" w:ascii="宋体" w:hAnsi="宋体" w:cs="宋体"/>
          <w:sz w:val="24"/>
          <w:szCs w:val="24"/>
          <w:highlight w:val="none"/>
        </w:rPr>
        <w:t>附件:</w:t>
      </w:r>
      <w:r>
        <w:rPr>
          <w:rFonts w:hint="eastAsia" w:ascii="宋体" w:hAnsi="宋体" w:cs="宋体"/>
          <w:sz w:val="24"/>
          <w:szCs w:val="24"/>
          <w:highlight w:val="none"/>
          <w:lang w:val="en-US" w:eastAsia="zh-CN"/>
        </w:rPr>
        <w:t>物业服务</w:t>
      </w:r>
      <w:r>
        <w:rPr>
          <w:rFonts w:hint="eastAsia" w:ascii="宋体" w:hAnsi="宋体" w:cs="宋体"/>
          <w:sz w:val="24"/>
          <w:szCs w:val="24"/>
          <w:highlight w:val="none"/>
        </w:rPr>
        <w:t>考核评分表</w:t>
      </w:r>
      <w:r>
        <w:rPr>
          <w:rFonts w:hint="eastAsia" w:ascii="宋体" w:hAnsi="宋体" w:cs="宋体"/>
          <w:sz w:val="28"/>
          <w:szCs w:val="28"/>
          <w:highlight w:val="none"/>
        </w:rPr>
        <w:t xml:space="preserve">  </w:t>
      </w:r>
      <w:r>
        <w:rPr>
          <w:rFonts w:hint="eastAsia" w:ascii="宋体" w:hAnsi="宋体" w:cs="宋体"/>
          <w:spacing w:val="-1"/>
          <w:sz w:val="23"/>
          <w:szCs w:val="23"/>
          <w:highlight w:val="none"/>
        </w:rPr>
        <w:t xml:space="preserve">                </w:t>
      </w:r>
    </w:p>
    <w:p>
      <w:pPr>
        <w:shd w:val="clear"/>
        <w:spacing w:before="187" w:line="219" w:lineRule="auto"/>
        <w:jc w:val="center"/>
        <w:rPr>
          <w:rFonts w:hint="eastAsia" w:ascii="黑体" w:hAnsi="黑体" w:eastAsia="黑体" w:cs="黑体"/>
          <w:b w:val="0"/>
          <w:bCs w:val="0"/>
          <w:spacing w:val="-7"/>
          <w:sz w:val="32"/>
          <w:szCs w:val="32"/>
          <w:highlight w:val="none"/>
        </w:rPr>
      </w:pPr>
      <w:r>
        <w:rPr>
          <w:rFonts w:hint="eastAsia" w:ascii="黑体" w:hAnsi="黑体" w:eastAsia="黑体" w:cs="黑体"/>
          <w:b w:val="0"/>
          <w:bCs w:val="0"/>
          <w:spacing w:val="-7"/>
          <w:sz w:val="32"/>
          <w:szCs w:val="32"/>
          <w:highlight w:val="none"/>
          <w:lang w:val="en-US" w:eastAsia="zh-CN"/>
        </w:rPr>
        <w:t>物业服务</w:t>
      </w:r>
      <w:r>
        <w:rPr>
          <w:rFonts w:hint="eastAsia" w:ascii="黑体" w:hAnsi="黑体" w:eastAsia="黑体" w:cs="黑体"/>
          <w:b w:val="0"/>
          <w:bCs w:val="0"/>
          <w:spacing w:val="-7"/>
          <w:sz w:val="32"/>
          <w:szCs w:val="32"/>
          <w:highlight w:val="none"/>
        </w:rPr>
        <w:t>考核评分表</w:t>
      </w:r>
    </w:p>
    <w:p>
      <w:pPr>
        <w:shd w:val="clear"/>
        <w:spacing w:line="98" w:lineRule="exact"/>
        <w:rPr>
          <w:highlight w:val="none"/>
        </w:rPr>
      </w:pPr>
    </w:p>
    <w:tbl>
      <w:tblPr>
        <w:tblStyle w:val="27"/>
        <w:tblW w:w="8832" w:type="dxa"/>
        <w:tblInd w:w="96" w:type="dxa"/>
        <w:tblLayout w:type="fixed"/>
        <w:tblCellMar>
          <w:top w:w="0" w:type="dxa"/>
          <w:left w:w="108" w:type="dxa"/>
          <w:bottom w:w="0" w:type="dxa"/>
          <w:right w:w="108" w:type="dxa"/>
        </w:tblCellMar>
      </w:tblPr>
      <w:tblGrid>
        <w:gridCol w:w="1076"/>
        <w:gridCol w:w="6508"/>
        <w:gridCol w:w="672"/>
        <w:gridCol w:w="576"/>
      </w:tblGrid>
      <w:tr>
        <w:tblPrEx>
          <w:tblCellMar>
            <w:top w:w="0" w:type="dxa"/>
            <w:left w:w="108" w:type="dxa"/>
            <w:bottom w:w="0" w:type="dxa"/>
            <w:right w:w="108" w:type="dxa"/>
          </w:tblCellMar>
        </w:tblPrEx>
        <w:trPr>
          <w:trHeight w:val="315" w:hRule="atLeast"/>
        </w:trPr>
        <w:tc>
          <w:tcPr>
            <w:tcW w:w="1076" w:type="dxa"/>
            <w:tcBorders>
              <w:top w:val="single" w:color="000000" w:sz="8" w:space="0"/>
              <w:left w:val="single" w:color="000000" w:sz="8" w:space="0"/>
              <w:bottom w:val="nil"/>
              <w:right w:val="single" w:color="000000" w:sz="8" w:space="0"/>
            </w:tcBorders>
            <w:vAlign w:val="center"/>
          </w:tcPr>
          <w:p>
            <w:pPr>
              <w:widowControl/>
              <w:shd w:val="clear"/>
              <w:jc w:val="center"/>
              <w:textAlignment w:val="center"/>
              <w:rPr>
                <w:rFonts w:hint="eastAsia" w:ascii="宋体" w:hAnsi="宋体" w:eastAsia="宋体" w:cs="宋体"/>
                <w:color w:val="000000"/>
                <w:sz w:val="18"/>
                <w:szCs w:val="18"/>
                <w:highlight w:val="none"/>
              </w:rPr>
            </w:pPr>
            <w:r>
              <w:rPr>
                <w:rStyle w:val="85"/>
                <w:rFonts w:hint="eastAsia" w:ascii="宋体" w:hAnsi="宋体" w:eastAsia="宋体" w:cs="宋体"/>
                <w:sz w:val="18"/>
                <w:szCs w:val="18"/>
                <w:highlight w:val="none"/>
                <w:lang w:bidi="ar"/>
              </w:rPr>
              <w:t>项目</w:t>
            </w:r>
          </w:p>
        </w:tc>
        <w:tc>
          <w:tcPr>
            <w:tcW w:w="6508" w:type="dxa"/>
            <w:tcBorders>
              <w:top w:val="single" w:color="000000" w:sz="8" w:space="0"/>
              <w:left w:val="single" w:color="000000" w:sz="8" w:space="0"/>
              <w:bottom w:val="nil"/>
              <w:right w:val="single" w:color="000000" w:sz="8" w:space="0"/>
            </w:tcBorders>
            <w:vAlign w:val="center"/>
          </w:tcPr>
          <w:p>
            <w:pPr>
              <w:widowControl/>
              <w:shd w:val="clear"/>
              <w:jc w:val="center"/>
              <w:textAlignment w:val="center"/>
              <w:rPr>
                <w:rFonts w:hint="eastAsia" w:ascii="宋体" w:hAnsi="宋体" w:eastAsia="宋体" w:cs="宋体"/>
                <w:color w:val="000000"/>
                <w:sz w:val="18"/>
                <w:szCs w:val="18"/>
                <w:highlight w:val="none"/>
              </w:rPr>
            </w:pPr>
            <w:r>
              <w:rPr>
                <w:rStyle w:val="85"/>
                <w:rFonts w:hint="eastAsia" w:ascii="宋体" w:hAnsi="宋体" w:eastAsia="宋体" w:cs="宋体"/>
                <w:sz w:val="18"/>
                <w:szCs w:val="18"/>
                <w:highlight w:val="none"/>
                <w:lang w:bidi="ar"/>
              </w:rPr>
              <w:t>考核内容</w:t>
            </w:r>
          </w:p>
        </w:tc>
        <w:tc>
          <w:tcPr>
            <w:tcW w:w="672" w:type="dxa"/>
            <w:tcBorders>
              <w:top w:val="single" w:color="000000" w:sz="8" w:space="0"/>
              <w:left w:val="single" w:color="000000" w:sz="8" w:space="0"/>
              <w:bottom w:val="single" w:color="000000" w:sz="8" w:space="0"/>
              <w:right w:val="single" w:color="000000" w:sz="8" w:space="0"/>
            </w:tcBorders>
            <w:vAlign w:val="center"/>
          </w:tcPr>
          <w:p>
            <w:pPr>
              <w:widowControl/>
              <w:shd w:val="clear"/>
              <w:jc w:val="center"/>
              <w:textAlignment w:val="center"/>
              <w:rPr>
                <w:rFonts w:hint="eastAsia" w:ascii="宋体" w:hAnsi="宋体" w:eastAsia="宋体" w:cs="宋体"/>
                <w:color w:val="000000"/>
                <w:sz w:val="18"/>
                <w:szCs w:val="18"/>
                <w:highlight w:val="none"/>
              </w:rPr>
            </w:pPr>
            <w:r>
              <w:rPr>
                <w:rStyle w:val="85"/>
                <w:rFonts w:hint="eastAsia" w:ascii="宋体" w:hAnsi="宋体" w:eastAsia="宋体" w:cs="宋体"/>
                <w:sz w:val="18"/>
                <w:szCs w:val="18"/>
                <w:highlight w:val="none"/>
                <w:lang w:bidi="ar"/>
              </w:rPr>
              <w:t>分值</w:t>
            </w:r>
          </w:p>
        </w:tc>
        <w:tc>
          <w:tcPr>
            <w:tcW w:w="576" w:type="dxa"/>
            <w:tcBorders>
              <w:top w:val="single" w:color="000000" w:sz="8" w:space="0"/>
              <w:left w:val="single" w:color="000000" w:sz="8" w:space="0"/>
              <w:bottom w:val="single" w:color="000000" w:sz="8" w:space="0"/>
              <w:right w:val="single" w:color="000000" w:sz="8" w:space="0"/>
            </w:tcBorders>
            <w:vAlign w:val="center"/>
          </w:tcPr>
          <w:p>
            <w:pPr>
              <w:widowControl/>
              <w:shd w:val="clear"/>
              <w:jc w:val="center"/>
              <w:textAlignment w:val="center"/>
              <w:rPr>
                <w:rFonts w:hint="eastAsia" w:ascii="宋体" w:hAnsi="宋体" w:eastAsia="宋体" w:cs="宋体"/>
                <w:color w:val="000000"/>
                <w:sz w:val="18"/>
                <w:szCs w:val="18"/>
                <w:highlight w:val="none"/>
              </w:rPr>
            </w:pPr>
            <w:r>
              <w:rPr>
                <w:rStyle w:val="85"/>
                <w:rFonts w:hint="eastAsia" w:ascii="宋体" w:hAnsi="宋体" w:eastAsia="宋体" w:cs="宋体"/>
                <w:sz w:val="18"/>
                <w:szCs w:val="18"/>
                <w:highlight w:val="none"/>
                <w:lang w:bidi="ar"/>
              </w:rPr>
              <w:t>得分</w:t>
            </w:r>
          </w:p>
        </w:tc>
      </w:tr>
      <w:tr>
        <w:tblPrEx>
          <w:tblCellMar>
            <w:top w:w="0" w:type="dxa"/>
            <w:left w:w="108" w:type="dxa"/>
            <w:bottom w:w="0" w:type="dxa"/>
            <w:right w:w="108" w:type="dxa"/>
          </w:tblCellMar>
        </w:tblPrEx>
        <w:trPr>
          <w:trHeight w:val="495" w:hRule="atLeast"/>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基础管理</w:t>
            </w:r>
            <w:r>
              <w:rPr>
                <w:rStyle w:val="85"/>
                <w:rFonts w:hint="eastAsia" w:ascii="宋体" w:hAnsi="宋体" w:eastAsia="宋体" w:cs="宋体"/>
                <w:b w:val="0"/>
                <w:bCs w:val="0"/>
                <w:sz w:val="18"/>
                <w:szCs w:val="18"/>
                <w:highlight w:val="none"/>
                <w:lang w:bidi="ar"/>
              </w:rPr>
              <w:t xml:space="preserve"> (</w:t>
            </w:r>
            <w:r>
              <w:rPr>
                <w:rStyle w:val="85"/>
                <w:rFonts w:hint="eastAsia" w:ascii="宋体" w:hAnsi="宋体" w:eastAsia="宋体" w:cs="宋体"/>
                <w:b w:val="0"/>
                <w:bCs w:val="0"/>
                <w:sz w:val="18"/>
                <w:szCs w:val="18"/>
                <w:highlight w:val="none"/>
                <w:lang w:val="en-US" w:eastAsia="zh-CN" w:bidi="ar"/>
              </w:rPr>
              <w:t>10</w:t>
            </w:r>
            <w:r>
              <w:rPr>
                <w:rStyle w:val="85"/>
                <w:rFonts w:hint="eastAsia" w:ascii="宋体" w:hAnsi="宋体" w:eastAsia="宋体" w:cs="宋体"/>
                <w:b w:val="0"/>
                <w:bCs w:val="0"/>
                <w:sz w:val="18"/>
                <w:szCs w:val="18"/>
                <w:highlight w:val="none"/>
                <w:lang w:bidi="ar"/>
              </w:rPr>
              <w:t>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建立健全的财务管理制度，对物业服务费和其它费用的收支进行财务管理，并按有关规定和合同约定公布物业服务费用的收支情况，做到运作规范，账目清晰。</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kern w:val="0"/>
                <w:sz w:val="18"/>
                <w:szCs w:val="18"/>
                <w:highlight w:val="none"/>
                <w:lang w:val="en-US" w:eastAsia="zh-CN" w:bidi="ar"/>
              </w:rPr>
              <w:t>3</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615"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Style w:val="85"/>
                <w:rFonts w:hint="eastAsia" w:ascii="宋体" w:hAnsi="宋体" w:eastAsia="宋体" w:cs="宋体"/>
                <w:b w:val="0"/>
                <w:bCs w:val="0"/>
                <w:sz w:val="18"/>
                <w:szCs w:val="18"/>
                <w:highlight w:val="none"/>
                <w:lang w:bidi="ar"/>
              </w:rPr>
            </w:pPr>
            <w:r>
              <w:rPr>
                <w:rFonts w:hint="eastAsia" w:ascii="宋体" w:hAnsi="宋体" w:eastAsia="宋体" w:cs="宋体"/>
                <w:b w:val="0"/>
                <w:bCs w:val="0"/>
                <w:sz w:val="18"/>
                <w:szCs w:val="18"/>
                <w:highlight w:val="none"/>
                <w:lang w:val="en-US" w:eastAsia="zh-CN"/>
              </w:rPr>
              <w:t>建立档案管理制度，包括物业竣工验收档案、设备设施管理档案、业主或使用人资料档案（含业主或使用人装修档案）、日常管理档案等，各种基础资料、台帐、图册健全，装订整齐，保存完好。</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3</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495"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制定内部管理制度和考核制度，并运用计算机进行管理（含租户档案、收费管理、设备设施管理等）。</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kern w:val="0"/>
                <w:sz w:val="18"/>
                <w:szCs w:val="18"/>
                <w:highlight w:val="none"/>
                <w:lang w:val="en-US" w:eastAsia="zh-CN" w:bidi="ar"/>
              </w:rPr>
              <w:t>4</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315" w:hRule="atLeast"/>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保安服务</w:t>
            </w:r>
            <w:r>
              <w:rPr>
                <w:rStyle w:val="85"/>
                <w:rFonts w:hint="eastAsia" w:ascii="宋体" w:hAnsi="宋体" w:eastAsia="宋体" w:cs="宋体"/>
                <w:b w:val="0"/>
                <w:bCs w:val="0"/>
                <w:sz w:val="18"/>
                <w:szCs w:val="18"/>
                <w:highlight w:val="none"/>
                <w:lang w:bidi="ar"/>
              </w:rPr>
              <w:t xml:space="preserve"> (</w:t>
            </w:r>
            <w:r>
              <w:rPr>
                <w:rStyle w:val="85"/>
                <w:rFonts w:hint="eastAsia" w:ascii="宋体" w:hAnsi="宋体" w:eastAsia="宋体" w:cs="宋体"/>
                <w:b w:val="0"/>
                <w:bCs w:val="0"/>
                <w:sz w:val="18"/>
                <w:szCs w:val="18"/>
                <w:highlight w:val="none"/>
                <w:lang w:val="en-US" w:eastAsia="zh-CN" w:bidi="ar"/>
              </w:rPr>
              <w:t>15</w:t>
            </w:r>
            <w:r>
              <w:rPr>
                <w:rStyle w:val="85"/>
                <w:rFonts w:hint="eastAsia" w:ascii="宋体" w:hAnsi="宋体" w:eastAsia="宋体" w:cs="宋体"/>
                <w:b w:val="0"/>
                <w:bCs w:val="0"/>
                <w:sz w:val="18"/>
                <w:szCs w:val="18"/>
                <w:highlight w:val="none"/>
                <w:lang w:bidi="ar"/>
              </w:rPr>
              <w:t>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保安员着装整洁，仪表端庄，精神饱满，文明礼貌；坚守工作岗位，遵守工作纪律。</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615"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设立门岗、消防监控值班服务，负责公共秩序维护管理与服务，负责</w:t>
            </w:r>
            <w:r>
              <w:rPr>
                <w:rFonts w:hint="eastAsia" w:ascii="宋体" w:hAnsi="宋体" w:cs="宋体"/>
                <w:b w:val="0"/>
                <w:bCs w:val="0"/>
                <w:sz w:val="18"/>
                <w:szCs w:val="18"/>
                <w:highlight w:val="none"/>
                <w:lang w:val="en-US" w:eastAsia="zh-CN"/>
              </w:rPr>
              <w:t>服务区域</w:t>
            </w:r>
            <w:r>
              <w:rPr>
                <w:rFonts w:hint="eastAsia" w:ascii="宋体" w:hAnsi="宋体" w:eastAsia="宋体" w:cs="宋体"/>
                <w:b w:val="0"/>
                <w:bCs w:val="0"/>
                <w:sz w:val="18"/>
                <w:szCs w:val="18"/>
                <w:highlight w:val="none"/>
                <w:lang w:val="en-US" w:eastAsia="zh-CN"/>
              </w:rPr>
              <w:t>内及外围的日常安全保卫工作，制订突发事件应急预案，负责做好突发事件、重大活动的安全保卫工作；提供治安、消防、停车场车辆、外来人员及物品进出的管理服务，实现 24 小时管理，制订 24 小时定线和变线巡逻路线，实行巡逻签到制度，保证巡逻到位，确保</w:t>
            </w:r>
            <w:r>
              <w:rPr>
                <w:rFonts w:hint="eastAsia" w:ascii="宋体" w:hAnsi="宋体" w:cs="宋体"/>
                <w:b w:val="0"/>
                <w:bCs w:val="0"/>
                <w:sz w:val="18"/>
                <w:szCs w:val="18"/>
                <w:highlight w:val="none"/>
                <w:lang w:val="en-US" w:eastAsia="zh-CN"/>
              </w:rPr>
              <w:t>服务区域</w:t>
            </w:r>
            <w:r>
              <w:rPr>
                <w:rFonts w:hint="eastAsia" w:ascii="宋体" w:hAnsi="宋体" w:eastAsia="宋体" w:cs="宋体"/>
                <w:b w:val="0"/>
                <w:bCs w:val="0"/>
                <w:sz w:val="18"/>
                <w:szCs w:val="18"/>
                <w:highlight w:val="none"/>
                <w:lang w:val="en-US" w:eastAsia="zh-CN"/>
              </w:rPr>
              <w:t>内及外围的日常安全。</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270"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非工作时间实行封闭式管理，严格执行来客登记制度。</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color w:val="000000"/>
                <w:kern w:val="0"/>
                <w:sz w:val="18"/>
                <w:szCs w:val="18"/>
                <w:highlight w:val="none"/>
                <w:lang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315" w:hRule="atLeast"/>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Style w:val="85"/>
                <w:rFonts w:hint="eastAsia" w:ascii="宋体" w:hAnsi="宋体" w:eastAsia="宋体" w:cs="宋体"/>
                <w:b w:val="0"/>
                <w:bCs w:val="0"/>
                <w:sz w:val="18"/>
                <w:szCs w:val="18"/>
                <w:highlight w:val="none"/>
                <w:lang w:bidi="ar"/>
              </w:rPr>
            </w:pPr>
            <w:r>
              <w:rPr>
                <w:rFonts w:hint="eastAsia" w:ascii="宋体" w:hAnsi="宋体" w:eastAsia="宋体" w:cs="宋体"/>
                <w:b w:val="0"/>
                <w:bCs w:val="0"/>
                <w:sz w:val="18"/>
                <w:szCs w:val="18"/>
                <w:highlight w:val="none"/>
                <w:lang w:val="en-US" w:eastAsia="zh-CN"/>
              </w:rPr>
              <w:t>应急保障服务</w:t>
            </w:r>
            <w:r>
              <w:rPr>
                <w:rStyle w:val="85"/>
                <w:rFonts w:hint="eastAsia" w:ascii="宋体" w:hAnsi="宋体" w:eastAsia="宋体" w:cs="宋体"/>
                <w:b w:val="0"/>
                <w:bCs w:val="0"/>
                <w:sz w:val="18"/>
                <w:szCs w:val="18"/>
                <w:highlight w:val="none"/>
                <w:lang w:bidi="ar"/>
              </w:rPr>
              <w:t xml:space="preserve"> </w:t>
            </w:r>
          </w:p>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rPr>
            </w:pPr>
            <w:r>
              <w:rPr>
                <w:rStyle w:val="85"/>
                <w:rFonts w:hint="eastAsia" w:ascii="宋体" w:hAnsi="宋体" w:eastAsia="宋体" w:cs="宋体"/>
                <w:b w:val="0"/>
                <w:bCs w:val="0"/>
                <w:sz w:val="18"/>
                <w:szCs w:val="18"/>
                <w:highlight w:val="none"/>
                <w:lang w:bidi="ar"/>
              </w:rPr>
              <w:t>(</w:t>
            </w:r>
            <w:r>
              <w:rPr>
                <w:rStyle w:val="85"/>
                <w:rFonts w:hint="eastAsia" w:ascii="宋体" w:hAnsi="宋体" w:eastAsia="宋体" w:cs="宋体"/>
                <w:b w:val="0"/>
                <w:bCs w:val="0"/>
                <w:sz w:val="18"/>
                <w:szCs w:val="18"/>
                <w:highlight w:val="none"/>
                <w:lang w:val="en-US" w:eastAsia="zh-CN" w:bidi="ar"/>
              </w:rPr>
              <w:t>1</w:t>
            </w:r>
            <w:r>
              <w:rPr>
                <w:rStyle w:val="85"/>
                <w:rFonts w:hint="eastAsia" w:ascii="宋体" w:hAnsi="宋体" w:eastAsia="宋体" w:cs="宋体"/>
                <w:b w:val="0"/>
                <w:bCs w:val="0"/>
                <w:sz w:val="18"/>
                <w:szCs w:val="18"/>
                <w:highlight w:val="none"/>
                <w:lang w:bidi="ar"/>
              </w:rPr>
              <w:t>0分)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在防汛防台期间（特别是台风严重影响我市时），管理层及相关人员应实行 24 小时值班制度，做好防汛防台预防及救灾准备工作。</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315"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遇到火警、偷盗、伤人、群众上访等事件，要做到头脑冷静，及时报告、报警或依法处置；遇到车库故障、电梯关人、给排水管爆裂、办公室门反锁等突发事件要快速处理妥善解决。</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915" w:hRule="atLeast"/>
        </w:trPr>
        <w:tc>
          <w:tcPr>
            <w:tcW w:w="107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rPr>
            </w:pPr>
            <w:r>
              <w:rPr>
                <w:rStyle w:val="85"/>
                <w:rFonts w:hint="eastAsia" w:ascii="宋体" w:hAnsi="宋体" w:eastAsia="宋体" w:cs="宋体"/>
                <w:b w:val="0"/>
                <w:bCs w:val="0"/>
                <w:sz w:val="18"/>
                <w:szCs w:val="18"/>
                <w:highlight w:val="none"/>
                <w:lang w:bidi="ar"/>
              </w:rPr>
              <w:t>服务质量 (10分)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负责服务区域内公共区域（场所）的保洁，负责服务区域内环境的管理，负责业主指定区域和房间的保洁；中标单位须在服务区域内保持环境整洁，垃圾日产日清；地面、窗台、门面无灰尘、无杂物、无烟蒂，墙面石材整洁有光泽，墙角无蛛网，卫生间无异味，无积水。对清洁人员实行包干分配，做到责任明确，职责清晰。</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655" w:hRule="atLeast"/>
        </w:trPr>
        <w:tc>
          <w:tcPr>
            <w:tcW w:w="107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Style w:val="85"/>
                <w:rFonts w:hint="eastAsia" w:ascii="宋体" w:hAnsi="宋体" w:eastAsia="宋体" w:cs="宋体"/>
                <w:b w:val="0"/>
                <w:bCs w:val="0"/>
                <w:sz w:val="18"/>
                <w:szCs w:val="18"/>
                <w:highlight w:val="none"/>
                <w:lang w:bidi="ar"/>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其他：垃圾中转处、垃圾桶、窖井无垃圾积存、无臭味，附近地面无污染，无污水及虫蝇滋生等；废品应及时收归至指定地点处理、不得擅自存放在保洁区域内；根据需要对公共场所定期进行消毒。</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495" w:hRule="atLeast"/>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周边道路的保洁服务</w:t>
            </w:r>
          </w:p>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rPr>
            </w:pPr>
            <w:r>
              <w:rPr>
                <w:rStyle w:val="85"/>
                <w:rFonts w:hint="eastAsia" w:ascii="宋体" w:hAnsi="宋体" w:eastAsia="宋体" w:cs="宋体"/>
                <w:b w:val="0"/>
                <w:bCs w:val="0"/>
                <w:sz w:val="18"/>
                <w:szCs w:val="18"/>
                <w:highlight w:val="none"/>
                <w:lang w:bidi="ar"/>
              </w:rPr>
              <w:t>(</w:t>
            </w:r>
            <w:r>
              <w:rPr>
                <w:rStyle w:val="85"/>
                <w:rFonts w:hint="eastAsia" w:ascii="宋体" w:hAnsi="宋体" w:eastAsia="宋体" w:cs="宋体"/>
                <w:b w:val="0"/>
                <w:bCs w:val="0"/>
                <w:sz w:val="18"/>
                <w:szCs w:val="18"/>
                <w:highlight w:val="none"/>
                <w:lang w:val="en-US" w:eastAsia="zh-CN" w:bidi="ar"/>
              </w:rPr>
              <w:t>20</w:t>
            </w:r>
            <w:r>
              <w:rPr>
                <w:rStyle w:val="85"/>
                <w:rFonts w:hint="eastAsia" w:ascii="宋体" w:hAnsi="宋体" w:eastAsia="宋体" w:cs="宋体"/>
                <w:b w:val="0"/>
                <w:bCs w:val="0"/>
                <w:sz w:val="18"/>
                <w:szCs w:val="18"/>
                <w:highlight w:val="none"/>
                <w:lang w:bidi="ar"/>
              </w:rPr>
              <w:t>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整体（含边角、叉路口）应干净见本色，无烟蒂、白色垃圾、塑料袋、包装物、果皮（壳/核）纸屑、杂物堆积、积泥沙石、积水污渍冰雪及杂草等废弃物。</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495"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Style w:val="85"/>
                <w:rFonts w:hint="eastAsia" w:ascii="宋体" w:hAnsi="宋体" w:eastAsia="宋体" w:cs="宋体"/>
                <w:b w:val="0"/>
                <w:bCs w:val="0"/>
                <w:sz w:val="18"/>
                <w:szCs w:val="18"/>
                <w:highlight w:val="none"/>
                <w:lang w:bidi="ar"/>
              </w:rPr>
            </w:pPr>
            <w:r>
              <w:rPr>
                <w:rFonts w:hint="eastAsia" w:ascii="宋体" w:hAnsi="宋体" w:eastAsia="宋体" w:cs="宋体"/>
                <w:b w:val="0"/>
                <w:bCs w:val="0"/>
                <w:sz w:val="18"/>
                <w:szCs w:val="18"/>
                <w:highlight w:val="none"/>
                <w:lang w:val="en-US" w:eastAsia="zh-CN"/>
              </w:rPr>
              <w:t>绿化隔离带保洁与道路保洁同步，绿化隔离带及树穴（池）干净、侧石干净、窨井排水口沟槽干净、果壳箱等环卫设施干净；无挂带污物，不得损坏花草树木。</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210"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Style w:val="85"/>
                <w:rFonts w:hint="eastAsia" w:ascii="宋体" w:hAnsi="宋体" w:eastAsia="宋体" w:cs="宋体"/>
                <w:b w:val="0"/>
                <w:bCs w:val="0"/>
                <w:sz w:val="18"/>
                <w:szCs w:val="18"/>
                <w:highlight w:val="none"/>
                <w:lang w:bidi="ar"/>
              </w:rPr>
            </w:pPr>
            <w:r>
              <w:rPr>
                <w:rFonts w:hint="eastAsia" w:ascii="宋体" w:hAnsi="宋体" w:eastAsia="宋体" w:cs="宋体"/>
                <w:b w:val="0"/>
                <w:bCs w:val="0"/>
                <w:sz w:val="18"/>
                <w:szCs w:val="18"/>
                <w:highlight w:val="none"/>
                <w:lang w:val="en-US" w:eastAsia="zh-CN"/>
              </w:rPr>
              <w:t>保洁车辆应按规范停放，不影响公共交通通行。</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3</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240"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Style w:val="85"/>
                <w:rFonts w:hint="eastAsia" w:ascii="宋体" w:hAnsi="宋体" w:eastAsia="宋体" w:cs="宋体"/>
                <w:b w:val="0"/>
                <w:bCs w:val="0"/>
                <w:sz w:val="18"/>
                <w:szCs w:val="18"/>
                <w:highlight w:val="none"/>
                <w:lang w:bidi="ar"/>
              </w:rPr>
            </w:pPr>
            <w:r>
              <w:rPr>
                <w:rFonts w:hint="eastAsia" w:ascii="宋体" w:hAnsi="宋体" w:eastAsia="宋体" w:cs="宋体"/>
                <w:b w:val="0"/>
                <w:bCs w:val="0"/>
                <w:sz w:val="18"/>
                <w:szCs w:val="18"/>
                <w:highlight w:val="none"/>
                <w:lang w:val="en-US" w:eastAsia="zh-CN"/>
              </w:rPr>
              <w:t>遇到灾害性气候时，应及时启动道路清扫紧急预案。</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3</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135" w:hRule="atLeast"/>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不得焚烧垃圾，不得随意倾倒垃圾，垃圾日产日清。</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kern w:val="0"/>
                <w:sz w:val="18"/>
                <w:szCs w:val="18"/>
                <w:highlight w:val="none"/>
                <w:lang w:val="en-US" w:eastAsia="zh-CN" w:bidi="ar"/>
              </w:rPr>
              <w:t>4</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415" w:hRule="atLeast"/>
        </w:trPr>
        <w:tc>
          <w:tcPr>
            <w:tcW w:w="1076" w:type="dxa"/>
            <w:vMerge w:val="restart"/>
            <w:tcBorders>
              <w:top w:val="single" w:color="000000" w:sz="4" w:space="0"/>
              <w:left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绿化保洁及养护</w:t>
            </w:r>
          </w:p>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r>
              <w:rPr>
                <w:rStyle w:val="85"/>
                <w:rFonts w:hint="eastAsia" w:ascii="宋体" w:hAnsi="宋体" w:eastAsia="宋体" w:cs="宋体"/>
                <w:b w:val="0"/>
                <w:bCs w:val="0"/>
                <w:sz w:val="18"/>
                <w:szCs w:val="18"/>
                <w:highlight w:val="none"/>
                <w:lang w:bidi="ar"/>
              </w:rPr>
              <w:t>(</w:t>
            </w:r>
            <w:r>
              <w:rPr>
                <w:rStyle w:val="85"/>
                <w:rFonts w:hint="eastAsia" w:ascii="宋体" w:hAnsi="宋体" w:eastAsia="宋体" w:cs="宋体"/>
                <w:b w:val="0"/>
                <w:bCs w:val="0"/>
                <w:sz w:val="18"/>
                <w:szCs w:val="18"/>
                <w:highlight w:val="none"/>
                <w:lang w:val="en-US" w:eastAsia="zh-CN" w:bidi="ar"/>
              </w:rPr>
              <w:t>10</w:t>
            </w:r>
            <w:r>
              <w:rPr>
                <w:rStyle w:val="85"/>
                <w:rFonts w:hint="eastAsia" w:ascii="宋体" w:hAnsi="宋体" w:eastAsia="宋体" w:cs="宋体"/>
                <w:b w:val="0"/>
                <w:bCs w:val="0"/>
                <w:sz w:val="18"/>
                <w:szCs w:val="18"/>
                <w:highlight w:val="none"/>
                <w:lang w:bidi="ar"/>
              </w:rPr>
              <w:t>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对服务区域内的绿化进行保洁、养护及管理，定期进行修剪、除草、喷药、施肥、浇水，及时清除里面的杂草，绿化修剪及时，落叶要及时清扫，使花木无明显枯萎及病虫害现象，保持绿化美观整齐。</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400" w:hRule="atLeast"/>
        </w:trPr>
        <w:tc>
          <w:tcPr>
            <w:tcW w:w="1076" w:type="dxa"/>
            <w:vMerge w:val="continue"/>
            <w:tcBorders>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及时补缺或补种树木，费用双方另行协商，每年修剪和施肥不少于四次，做好树木防台措施。</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615" w:hRule="atLeast"/>
        </w:trPr>
        <w:tc>
          <w:tcPr>
            <w:tcW w:w="1076" w:type="dxa"/>
            <w:vMerge w:val="restart"/>
            <w:tcBorders>
              <w:top w:val="single" w:color="000000" w:sz="4" w:space="0"/>
              <w:left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设备设施维护及管理</w:t>
            </w:r>
          </w:p>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r>
              <w:rPr>
                <w:rStyle w:val="85"/>
                <w:rFonts w:hint="eastAsia" w:ascii="宋体" w:hAnsi="宋体" w:eastAsia="宋体" w:cs="宋体"/>
                <w:b w:val="0"/>
                <w:bCs w:val="0"/>
                <w:sz w:val="18"/>
                <w:szCs w:val="18"/>
                <w:highlight w:val="none"/>
                <w:lang w:bidi="ar"/>
              </w:rPr>
              <w:t>(</w:t>
            </w:r>
            <w:r>
              <w:rPr>
                <w:rStyle w:val="85"/>
                <w:rFonts w:hint="eastAsia" w:ascii="宋体" w:hAnsi="宋体" w:eastAsia="宋体" w:cs="宋体"/>
                <w:b w:val="0"/>
                <w:bCs w:val="0"/>
                <w:sz w:val="18"/>
                <w:szCs w:val="18"/>
                <w:highlight w:val="none"/>
                <w:lang w:val="en-US" w:eastAsia="zh-CN" w:bidi="ar"/>
              </w:rPr>
              <w:t>15</w:t>
            </w:r>
            <w:r>
              <w:rPr>
                <w:rStyle w:val="85"/>
                <w:rFonts w:hint="eastAsia" w:ascii="宋体" w:hAnsi="宋体" w:eastAsia="宋体" w:cs="宋体"/>
                <w:b w:val="0"/>
                <w:bCs w:val="0"/>
                <w:sz w:val="18"/>
                <w:szCs w:val="18"/>
                <w:highlight w:val="none"/>
                <w:lang w:bidi="ar"/>
              </w:rPr>
              <w:t>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负责各设备的运行操作、日常巡视、保养、故障检修、维修、应急处理。范围包括但不限于供电系统、弱电系统（含智慧用电监控系统）、消防系统、电梯系统、给排水系统、空调系统等房屋及所属范围内的路面等。设备维保工作涉及第三方维保单位需签订维保合同的（这里主要指电梯系统的年维保、年检、限速器测速检验费及年保险费；此费用已包含在投标报价内；），维保合同由物业公司出面签订，并到采购人处备案。具体维保工作由物业公司按维保要求联系维保方实施维护保养，及时告知采购人维保情况进展及维保结果，并提供维保过程的作业记录单。物业设备管理人员需按照国家相关技术规范和要求操作，确保各类设备设施的安全和正常运行，严防各类设备设施安全事故的发生。做好各类设备管理台账，记录各类维修材料损耗，并定期分析物耗情况。</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915" w:hRule="atLeast"/>
        </w:trPr>
        <w:tc>
          <w:tcPr>
            <w:tcW w:w="1076" w:type="dxa"/>
            <w:vMerge w:val="continue"/>
            <w:tcBorders>
              <w:left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制定房屋及所属范围内路面的维护与管理制度，根据日常巡视检查的结果，工程部组织专业人员对房屋建筑及所属范围内路面的轻微损伤进行日常零星维修养护工作。不定期对房屋及所属范围内路面进行查勘工作，全面的了解房屋建筑及所属范围内路面现状，以此制订、补充、完善房屋建筑及所属范围内路面的定期维护计划。另外，遇大风、暴雨等恶劣天气，及时对房屋建筑的外墙、金属构件、屋面等易受直接影响的结构进行全面检查，根据检查结果制订针对性的维护计划和实施方案。</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385" w:hRule="atLeast"/>
        </w:trPr>
        <w:tc>
          <w:tcPr>
            <w:tcW w:w="1076" w:type="dxa"/>
            <w:vMerge w:val="continue"/>
            <w:tcBorders>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空置物业管理：每月巡视空置物业，建立巡视台账，定期更新。所属区域内如发生二次装修时，需协助采购人主管部门做好装修管理工作。</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915"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color w:val="000000"/>
                <w:sz w:val="18"/>
                <w:szCs w:val="18"/>
                <w:highlight w:val="none"/>
              </w:rPr>
            </w:pPr>
            <w:r>
              <w:rPr>
                <w:rFonts w:hint="eastAsia" w:ascii="宋体" w:hAnsi="宋体" w:eastAsia="宋体" w:cs="宋体"/>
                <w:b w:val="0"/>
                <w:bCs w:val="0"/>
                <w:sz w:val="18"/>
                <w:szCs w:val="18"/>
                <w:highlight w:val="none"/>
                <w:lang w:val="en-US" w:eastAsia="zh-CN"/>
              </w:rPr>
              <w:t>消防安全</w:t>
            </w:r>
            <w:r>
              <w:rPr>
                <w:rStyle w:val="85"/>
                <w:rFonts w:hint="eastAsia" w:ascii="宋体" w:hAnsi="宋体" w:eastAsia="宋体" w:cs="宋体"/>
                <w:b w:val="0"/>
                <w:bCs w:val="0"/>
                <w:sz w:val="18"/>
                <w:szCs w:val="18"/>
                <w:highlight w:val="none"/>
                <w:lang w:bidi="ar"/>
              </w:rPr>
              <w:t>(</w:t>
            </w:r>
            <w:r>
              <w:rPr>
                <w:rStyle w:val="85"/>
                <w:rFonts w:hint="eastAsia" w:ascii="宋体" w:hAnsi="宋体" w:eastAsia="宋体" w:cs="宋体"/>
                <w:b w:val="0"/>
                <w:bCs w:val="0"/>
                <w:sz w:val="18"/>
                <w:szCs w:val="18"/>
                <w:highlight w:val="none"/>
                <w:lang w:val="en-US" w:eastAsia="zh-CN" w:bidi="ar"/>
              </w:rPr>
              <w:t>5</w:t>
            </w:r>
            <w:r>
              <w:rPr>
                <w:rStyle w:val="85"/>
                <w:rFonts w:hint="eastAsia" w:ascii="宋体" w:hAnsi="宋体" w:eastAsia="宋体" w:cs="宋体"/>
                <w:b w:val="0"/>
                <w:bCs w:val="0"/>
                <w:sz w:val="18"/>
                <w:szCs w:val="18"/>
                <w:highlight w:val="none"/>
                <w:lang w:bidi="ar"/>
              </w:rPr>
              <w:t>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消防安全做到“一明确、三建立、四规范”的总要求。“一明确”即明确消防安全职责；“三建立”即建立健全消防组织，建立健全消防安全制度和操作规程，建立完善消防档案；“四规范”即规范防火检查和隐患整改，规范消防设施维护管理，规范消防宣传教育培训，规范灭火和应急疏散预案演练。</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525" w:hRule="atLeast"/>
        </w:trPr>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安全生产管理</w:t>
            </w:r>
          </w:p>
          <w:p>
            <w:pPr>
              <w:keepNext w:val="0"/>
              <w:keepLines w:val="0"/>
              <w:pageBreakBefore w:val="0"/>
              <w:shd w:val="clear"/>
              <w:kinsoku/>
              <w:wordWrap/>
              <w:overflowPunct/>
              <w:topLinePunct w:val="0"/>
              <w:autoSpaceDE/>
              <w:autoSpaceDN/>
              <w:bidi w:val="0"/>
              <w:adjustRightInd/>
              <w:snapToGrid w:val="0"/>
              <w:jc w:val="center"/>
              <w:rPr>
                <w:rFonts w:hint="eastAsia" w:ascii="宋体" w:hAnsi="宋体" w:eastAsia="宋体" w:cs="宋体"/>
                <w:b w:val="0"/>
                <w:bCs w:val="0"/>
                <w:sz w:val="18"/>
                <w:szCs w:val="18"/>
                <w:highlight w:val="none"/>
                <w:lang w:val="en-US" w:eastAsia="zh-CN"/>
              </w:rPr>
            </w:pPr>
            <w:r>
              <w:rPr>
                <w:rStyle w:val="85"/>
                <w:rFonts w:hint="eastAsia" w:ascii="宋体" w:hAnsi="宋体" w:eastAsia="宋体" w:cs="宋体"/>
                <w:b w:val="0"/>
                <w:bCs w:val="0"/>
                <w:sz w:val="18"/>
                <w:szCs w:val="18"/>
                <w:highlight w:val="none"/>
                <w:lang w:bidi="ar"/>
              </w:rPr>
              <w:t>(</w:t>
            </w:r>
            <w:r>
              <w:rPr>
                <w:rStyle w:val="85"/>
                <w:rFonts w:hint="eastAsia" w:ascii="宋体" w:hAnsi="宋体" w:eastAsia="宋体" w:cs="宋体"/>
                <w:b w:val="0"/>
                <w:bCs w:val="0"/>
                <w:sz w:val="18"/>
                <w:szCs w:val="18"/>
                <w:highlight w:val="none"/>
                <w:lang w:val="en-US" w:eastAsia="zh-CN" w:bidi="ar"/>
              </w:rPr>
              <w:t>5</w:t>
            </w:r>
            <w:r>
              <w:rPr>
                <w:rStyle w:val="85"/>
                <w:rFonts w:hint="eastAsia" w:ascii="宋体" w:hAnsi="宋体" w:eastAsia="宋体" w:cs="宋体"/>
                <w:b w:val="0"/>
                <w:bCs w:val="0"/>
                <w:sz w:val="18"/>
                <w:szCs w:val="18"/>
                <w:highlight w:val="none"/>
                <w:lang w:bidi="ar"/>
              </w:rPr>
              <w:t>分)</w:t>
            </w:r>
          </w:p>
        </w:tc>
        <w:tc>
          <w:tcPr>
            <w:tcW w:w="6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val="0"/>
              <w:jc w:val="lef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加强对</w:t>
            </w:r>
            <w:r>
              <w:rPr>
                <w:rFonts w:hint="eastAsia" w:ascii="宋体" w:hAnsi="宋体" w:cs="宋体"/>
                <w:b w:val="0"/>
                <w:bCs w:val="0"/>
                <w:sz w:val="18"/>
                <w:szCs w:val="18"/>
                <w:highlight w:val="none"/>
                <w:lang w:val="en-US" w:eastAsia="zh-CN"/>
              </w:rPr>
              <w:t>服务区域</w:t>
            </w:r>
            <w:r>
              <w:rPr>
                <w:rFonts w:hint="eastAsia" w:ascii="宋体" w:hAnsi="宋体" w:eastAsia="宋体" w:cs="宋体"/>
                <w:b w:val="0"/>
                <w:bCs w:val="0"/>
                <w:sz w:val="18"/>
                <w:szCs w:val="18"/>
                <w:highlight w:val="none"/>
                <w:lang w:val="en-US" w:eastAsia="zh-CN"/>
              </w:rPr>
              <w:t>安全隐患的监测和防范。定期进行安全巡查，及时发现和排除潜在的安全隐患。建立健全安全预警机制，对可能发生的危险事件做好事前预案，提高对突发事件的应对能力。</w:t>
            </w:r>
          </w:p>
        </w:tc>
        <w:tc>
          <w:tcPr>
            <w:tcW w:w="672" w:type="dxa"/>
            <w:tcBorders>
              <w:top w:val="nil"/>
              <w:left w:val="nil"/>
              <w:bottom w:val="single" w:color="000000" w:sz="8"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val="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5</w:t>
            </w:r>
          </w:p>
        </w:tc>
        <w:tc>
          <w:tcPr>
            <w:tcW w:w="576" w:type="dxa"/>
            <w:tcBorders>
              <w:top w:val="nil"/>
              <w:left w:val="single" w:color="000000" w:sz="8" w:space="0"/>
              <w:bottom w:val="single" w:color="000000" w:sz="8" w:space="0"/>
              <w:right w:val="single" w:color="000000" w:sz="8" w:space="0"/>
            </w:tcBorders>
            <w:vAlign w:val="center"/>
          </w:tcPr>
          <w:p>
            <w:pPr>
              <w:keepNext w:val="0"/>
              <w:keepLines w:val="0"/>
              <w:pageBreakBefore w:val="0"/>
              <w:shd w:val="clear"/>
              <w:kinsoku/>
              <w:wordWrap/>
              <w:overflowPunct/>
              <w:topLinePunct w:val="0"/>
              <w:autoSpaceDE/>
              <w:autoSpaceDN/>
              <w:bidi w:val="0"/>
              <w:adjustRightInd/>
              <w:snapToGrid w:val="0"/>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647" w:hRule="atLeast"/>
        </w:trPr>
        <w:tc>
          <w:tcPr>
            <w:tcW w:w="7584" w:type="dxa"/>
            <w:gridSpan w:val="2"/>
            <w:tcBorders>
              <w:top w:val="nil"/>
              <w:left w:val="single" w:color="000000" w:sz="8" w:space="0"/>
              <w:bottom w:val="single" w:color="auto" w:sz="4" w:space="0"/>
              <w:right w:val="single" w:color="000000" w:sz="8" w:space="0"/>
            </w:tcBorders>
            <w:vAlign w:val="center"/>
          </w:tcPr>
          <w:p>
            <w:pPr>
              <w:widowControl/>
              <w:shd w:val="clear"/>
              <w:jc w:val="center"/>
              <w:textAlignment w:val="center"/>
              <w:rPr>
                <w:rFonts w:hint="eastAsia" w:ascii="宋体" w:hAnsi="宋体" w:eastAsia="宋体" w:cs="宋体"/>
                <w:b w:val="0"/>
                <w:bCs w:val="0"/>
                <w:color w:val="000000"/>
                <w:sz w:val="18"/>
                <w:szCs w:val="18"/>
                <w:highlight w:val="none"/>
              </w:rPr>
            </w:pPr>
            <w:r>
              <w:rPr>
                <w:rStyle w:val="85"/>
                <w:rFonts w:hint="eastAsia" w:ascii="宋体" w:hAnsi="宋体" w:eastAsia="宋体" w:cs="宋体"/>
                <w:b w:val="0"/>
                <w:bCs w:val="0"/>
                <w:sz w:val="18"/>
                <w:szCs w:val="18"/>
                <w:highlight w:val="none"/>
                <w:lang w:bidi="ar"/>
              </w:rPr>
              <w:t>总分</w:t>
            </w:r>
          </w:p>
        </w:tc>
        <w:tc>
          <w:tcPr>
            <w:tcW w:w="1248" w:type="dxa"/>
            <w:gridSpan w:val="2"/>
            <w:tcBorders>
              <w:top w:val="nil"/>
              <w:left w:val="single" w:color="000000" w:sz="8" w:space="0"/>
              <w:bottom w:val="single" w:color="auto" w:sz="4" w:space="0"/>
              <w:right w:val="single" w:color="000000" w:sz="8" w:space="0"/>
            </w:tcBorders>
            <w:vAlign w:val="center"/>
          </w:tcPr>
          <w:p>
            <w:pPr>
              <w:shd w:val="clear"/>
              <w:jc w:val="left"/>
              <w:rPr>
                <w:rFonts w:hint="eastAsia" w:ascii="宋体" w:hAnsi="宋体" w:eastAsia="宋体" w:cs="宋体"/>
                <w:b w:val="0"/>
                <w:bCs w:val="0"/>
                <w:color w:val="000000"/>
                <w:sz w:val="18"/>
                <w:szCs w:val="18"/>
                <w:highlight w:val="none"/>
              </w:rPr>
            </w:pPr>
          </w:p>
        </w:tc>
      </w:tr>
      <w:tr>
        <w:tblPrEx>
          <w:tblCellMar>
            <w:top w:w="0" w:type="dxa"/>
            <w:left w:w="108" w:type="dxa"/>
            <w:bottom w:w="0" w:type="dxa"/>
            <w:right w:w="108" w:type="dxa"/>
          </w:tblCellMar>
        </w:tblPrEx>
        <w:trPr>
          <w:trHeight w:val="707" w:hRule="atLeast"/>
        </w:trPr>
        <w:tc>
          <w:tcPr>
            <w:tcW w:w="8832" w:type="dxa"/>
            <w:gridSpan w:val="4"/>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hint="eastAsia" w:ascii="宋体" w:hAnsi="宋体" w:eastAsia="宋体" w:cs="宋体"/>
                <w:b w:val="0"/>
                <w:bCs w:val="0"/>
                <w:color w:val="000000"/>
                <w:sz w:val="18"/>
                <w:szCs w:val="18"/>
                <w:highlight w:val="none"/>
              </w:rPr>
            </w:pPr>
            <w:r>
              <w:rPr>
                <w:rStyle w:val="85"/>
                <w:rFonts w:hint="eastAsia" w:ascii="宋体" w:hAnsi="宋体" w:eastAsia="宋体" w:cs="宋体"/>
                <w:b w:val="0"/>
                <w:bCs w:val="0"/>
                <w:sz w:val="18"/>
                <w:szCs w:val="18"/>
                <w:highlight w:val="none"/>
                <w:lang w:bidi="ar"/>
              </w:rPr>
              <w:t>考核</w:t>
            </w:r>
            <w:r>
              <w:rPr>
                <w:rStyle w:val="85"/>
                <w:rFonts w:hint="eastAsia" w:ascii="宋体" w:hAnsi="宋体" w:cs="宋体"/>
                <w:b w:val="0"/>
                <w:bCs w:val="0"/>
                <w:sz w:val="18"/>
                <w:szCs w:val="18"/>
                <w:highlight w:val="none"/>
                <w:lang w:eastAsia="zh-CN" w:bidi="ar"/>
              </w:rPr>
              <w:t>小组</w:t>
            </w:r>
            <w:r>
              <w:rPr>
                <w:rStyle w:val="85"/>
                <w:rFonts w:hint="eastAsia" w:ascii="宋体" w:hAnsi="宋体" w:eastAsia="宋体" w:cs="宋体"/>
                <w:b w:val="0"/>
                <w:bCs w:val="0"/>
                <w:sz w:val="18"/>
                <w:szCs w:val="18"/>
                <w:highlight w:val="none"/>
                <w:lang w:eastAsia="zh-CN" w:bidi="ar"/>
              </w:rPr>
              <w:t>：</w:t>
            </w:r>
          </w:p>
        </w:tc>
      </w:tr>
      <w:tr>
        <w:tblPrEx>
          <w:tblCellMar>
            <w:top w:w="0" w:type="dxa"/>
            <w:left w:w="108" w:type="dxa"/>
            <w:bottom w:w="0" w:type="dxa"/>
            <w:right w:w="108" w:type="dxa"/>
          </w:tblCellMar>
        </w:tblPrEx>
        <w:trPr>
          <w:trHeight w:val="315" w:hRule="atLeast"/>
        </w:trPr>
        <w:tc>
          <w:tcPr>
            <w:tcW w:w="8832" w:type="dxa"/>
            <w:gridSpan w:val="4"/>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Style w:val="85"/>
                <w:rFonts w:hint="default" w:ascii="宋体" w:hAnsi="宋体" w:eastAsia="宋体" w:cs="宋体"/>
                <w:b w:val="0"/>
                <w:bCs w:val="0"/>
                <w:sz w:val="18"/>
                <w:szCs w:val="18"/>
                <w:highlight w:val="none"/>
                <w:lang w:val="en-US" w:eastAsia="zh-CN" w:bidi="ar"/>
              </w:rPr>
            </w:pPr>
            <w:r>
              <w:rPr>
                <w:rStyle w:val="85"/>
                <w:rFonts w:hint="eastAsia" w:ascii="宋体" w:hAnsi="宋体" w:eastAsia="宋体" w:cs="宋体"/>
                <w:b w:val="0"/>
                <w:bCs w:val="0"/>
                <w:sz w:val="18"/>
                <w:szCs w:val="18"/>
                <w:highlight w:val="none"/>
                <w:lang w:val="en-US" w:eastAsia="zh-CN" w:bidi="ar"/>
              </w:rPr>
              <w:t>考核标准说明：在考核期内，如</w:t>
            </w:r>
            <w:r>
              <w:rPr>
                <w:rStyle w:val="85"/>
                <w:rFonts w:hint="eastAsia" w:ascii="宋体" w:hAnsi="宋体" w:cs="宋体"/>
                <w:b w:val="0"/>
                <w:bCs w:val="0"/>
                <w:sz w:val="18"/>
                <w:szCs w:val="18"/>
                <w:highlight w:val="none"/>
                <w:lang w:val="en-US" w:eastAsia="zh-CN" w:bidi="ar"/>
              </w:rPr>
              <w:t>被区级及以上</w:t>
            </w:r>
            <w:r>
              <w:rPr>
                <w:rStyle w:val="85"/>
                <w:rFonts w:hint="eastAsia" w:ascii="宋体" w:hAnsi="宋体" w:eastAsia="宋体" w:cs="宋体"/>
                <w:b w:val="0"/>
                <w:bCs w:val="0"/>
                <w:sz w:val="18"/>
                <w:szCs w:val="18"/>
                <w:highlight w:val="none"/>
                <w:lang w:val="en-US" w:eastAsia="zh-CN" w:bidi="ar"/>
              </w:rPr>
              <w:t>行业监管部门通报批评或重大事故，则该</w:t>
            </w:r>
            <w:r>
              <w:rPr>
                <w:rStyle w:val="85"/>
                <w:rFonts w:hint="eastAsia" w:ascii="宋体" w:hAnsi="宋体" w:cs="宋体"/>
                <w:b w:val="0"/>
                <w:bCs w:val="0"/>
                <w:sz w:val="18"/>
                <w:szCs w:val="18"/>
                <w:highlight w:val="none"/>
                <w:lang w:val="en-US" w:eastAsia="zh-CN" w:bidi="ar"/>
              </w:rPr>
              <w:t>期</w:t>
            </w:r>
            <w:r>
              <w:rPr>
                <w:rStyle w:val="85"/>
                <w:rFonts w:hint="eastAsia" w:ascii="宋体" w:hAnsi="宋体" w:eastAsia="宋体" w:cs="宋体"/>
                <w:b w:val="0"/>
                <w:bCs w:val="0"/>
                <w:sz w:val="18"/>
                <w:szCs w:val="18"/>
                <w:highlight w:val="none"/>
                <w:lang w:val="en-US" w:eastAsia="zh-CN" w:bidi="ar"/>
              </w:rPr>
              <w:t>度物业服务考核为0分。</w:t>
            </w:r>
          </w:p>
        </w:tc>
      </w:tr>
    </w:tbl>
    <w:p>
      <w:pPr>
        <w:pStyle w:val="33"/>
        <w:shd w:val="clear"/>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3"/>
        <w:shd w:val="clear"/>
        <w:rPr>
          <w:rFonts w:hint="eastAsia"/>
          <w:highlight w:val="none"/>
        </w:rPr>
      </w:pP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5"/>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和投标文件为评标的基本依据，并按照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规定的评标方法和评标标准进行评标。</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全部实质性要求，且评标委员会按照评审因素</w:t>
      </w:r>
      <w:r>
        <w:rPr>
          <w:rFonts w:hint="eastAsia" w:ascii="宋体" w:hAnsi="宋体" w:cs="宋体"/>
          <w:color w:val="000000" w:themeColor="text1"/>
          <w:sz w:val="24"/>
          <w:highlight w:val="none"/>
          <w:lang w:eastAsia="zh-CN"/>
          <w14:textFill>
            <w14:solidFill>
              <w14:schemeClr w14:val="tx1"/>
            </w14:solidFill>
          </w14:textFill>
        </w:rPr>
        <w:t>确定</w:t>
      </w:r>
      <w:r>
        <w:rPr>
          <w:rFonts w:hint="eastAsia" w:ascii="宋体" w:hAnsi="宋体" w:cs="宋体"/>
          <w:color w:val="000000" w:themeColor="text1"/>
          <w:sz w:val="24"/>
          <w:highlight w:val="none"/>
          <w14:textFill>
            <w14:solidFill>
              <w14:schemeClr w14:val="tx1"/>
            </w14:solidFill>
          </w14:textFill>
        </w:rPr>
        <w:t>中标候选人。</w:t>
      </w:r>
    </w:p>
    <w:p>
      <w:pPr>
        <w:pStyle w:val="26"/>
        <w:shd w:val="clear"/>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7"/>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7"/>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有下列情形之一的，应当回避：</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存在劳动关系；</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的董事、监事；</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的控股股东或者实际控制人；</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的法定代表人或者负责人有夫妻、直系血亲、三代以内旁系血亲或者近姻亲关系；</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有其他可能影响采购活动公平、公正进行的关系；</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eastAsia="宋体"/>
          <w:color w:val="000000" w:themeColor="text1"/>
          <w:sz w:val="24"/>
          <w:highlight w:val="none"/>
          <w14:textFill>
            <w14:solidFill>
              <w14:schemeClr w14:val="tx1"/>
            </w14:solidFill>
          </w14:textFill>
        </w:rPr>
        <w:t>的商务、技术等实质性要求；</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pPr>
        <w:pStyle w:val="7"/>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3"/>
        <w:shd w:val="clear"/>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shd w:val="clea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w:t>
      </w:r>
      <w:r>
        <w:rPr>
          <w:rFonts w:hint="eastAsia" w:ascii="宋体" w:hAnsi="宋体"/>
          <w:color w:val="000000" w:themeColor="text1"/>
          <w:kern w:val="0"/>
          <w:sz w:val="24"/>
          <w:highlight w:val="none"/>
          <w:lang w:val="en-US" w:eastAsia="zh-CN"/>
          <w14:textFill>
            <w14:solidFill>
              <w14:schemeClr w14:val="tx1"/>
            </w14:solidFill>
          </w14:textFill>
        </w:rPr>
        <w:t>商务标</w:t>
      </w:r>
      <w:r>
        <w:rPr>
          <w:rFonts w:hint="eastAsia" w:ascii="宋体" w:hAnsi="宋体" w:eastAsia="宋体"/>
          <w:color w:val="000000" w:themeColor="text1"/>
          <w:kern w:val="0"/>
          <w:sz w:val="24"/>
          <w:highlight w:val="none"/>
          <w14:textFill>
            <w14:solidFill>
              <w14:schemeClr w14:val="tx1"/>
            </w14:solidFill>
          </w14:textFill>
        </w:rPr>
        <w:t>中报价的服务跟</w:t>
      </w:r>
      <w:r>
        <w:rPr>
          <w:rFonts w:hint="eastAsia" w:ascii="宋体" w:hAnsi="宋体"/>
          <w:color w:val="000000" w:themeColor="text1"/>
          <w:kern w:val="0"/>
          <w:sz w:val="24"/>
          <w:highlight w:val="none"/>
          <w:lang w:val="en-US" w:eastAsia="zh-CN"/>
          <w14:textFill>
            <w14:solidFill>
              <w14:schemeClr w14:val="tx1"/>
            </w14:solidFill>
          </w14:textFill>
        </w:rPr>
        <w:t>资格标</w:t>
      </w:r>
      <w:r>
        <w:rPr>
          <w:rFonts w:hint="eastAsia" w:ascii="宋体" w:hAnsi="宋体" w:eastAsia="宋体"/>
          <w:color w:val="000000" w:themeColor="text1"/>
          <w:kern w:val="0"/>
          <w:sz w:val="24"/>
          <w:highlight w:val="none"/>
          <w14:textFill>
            <w14:solidFill>
              <w14:schemeClr w14:val="tx1"/>
            </w14:solidFill>
          </w14:textFill>
        </w:rPr>
        <w:t>中的投标服务出现重大偏差的；</w:t>
      </w:r>
    </w:p>
    <w:p>
      <w:pPr>
        <w:pStyle w:val="23"/>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w:t>
      </w:r>
      <w:r>
        <w:rPr>
          <w:rFonts w:hint="eastAsia"/>
          <w:color w:val="000000" w:themeColor="text1"/>
          <w:highlight w:val="none"/>
          <w:lang w:eastAsia="zh-CN"/>
          <w14:textFill>
            <w14:solidFill>
              <w14:schemeClr w14:val="tx1"/>
            </w14:solidFill>
          </w14:textFill>
        </w:rPr>
        <w:t>采购文件</w:t>
      </w:r>
      <w:r>
        <w:rPr>
          <w:rFonts w:ascii="宋体" w:hAnsi="宋体" w:eastAsia="宋体"/>
          <w:color w:val="000000" w:themeColor="text1"/>
          <w:highlight w:val="none"/>
          <w14:textFill>
            <w14:solidFill>
              <w14:schemeClr w14:val="tx1"/>
            </w14:solidFill>
          </w14:textFill>
        </w:rPr>
        <w:t>中规定的资格要求的；</w:t>
      </w:r>
      <w:r>
        <w:rPr>
          <w:rFonts w:hint="default" w:ascii="宋体" w:hAnsi="宋体" w:eastAsia="宋体"/>
          <w:color w:val="000000" w:themeColor="text1"/>
          <w:highlight w:val="none"/>
          <w14:textFill>
            <w14:solidFill>
              <w14:schemeClr w14:val="tx1"/>
            </w14:solidFill>
          </w14:textFill>
        </w:rPr>
        <w:tab/>
      </w:r>
    </w:p>
    <w:p>
      <w:pPr>
        <w:pStyle w:val="23"/>
        <w:shd w:val="clear"/>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pPr>
        <w:pStyle w:val="10"/>
        <w:shd w:val="clear"/>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shd w:val="clear"/>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（五）报价超过</w:t>
      </w:r>
      <w:r>
        <w:rPr>
          <w:rFonts w:hint="eastAsia"/>
          <w:color w:val="000000" w:themeColor="text1"/>
          <w:highlight w:val="none"/>
          <w:lang w:eastAsia="zh-CN"/>
          <w14:textFill>
            <w14:solidFill>
              <w14:schemeClr w14:val="tx1"/>
            </w14:solidFill>
          </w14:textFill>
        </w:rPr>
        <w:t>采购文件</w:t>
      </w:r>
      <w:r>
        <w:rPr>
          <w:rFonts w:ascii="宋体" w:hAnsi="宋体" w:eastAsia="宋体"/>
          <w:color w:val="000000" w:themeColor="text1"/>
          <w:highlight w:val="none"/>
          <w14:textFill>
            <w14:solidFill>
              <w14:schemeClr w14:val="tx1"/>
            </w14:solidFill>
          </w14:textFill>
        </w:rPr>
        <w:t xml:space="preserve">中规定的预算金额/最高限价或未填写投标报价的； </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w:t>
      </w:r>
      <w:r>
        <w:rPr>
          <w:rFonts w:hint="eastAsia" w:ascii="宋体" w:hAnsi="宋体"/>
          <w:color w:val="000000" w:themeColor="text1"/>
          <w:kern w:val="0"/>
          <w:sz w:val="24"/>
          <w:highlight w:val="none"/>
          <w:lang w:val="en-US" w:eastAsia="zh-CN"/>
          <w14:textFill>
            <w14:solidFill>
              <w14:schemeClr w14:val="tx1"/>
            </w14:solidFill>
          </w14:textFill>
        </w:rPr>
        <w:t>有下列</w:t>
      </w:r>
      <w:r>
        <w:rPr>
          <w:rFonts w:ascii="宋体" w:hAnsi="宋体" w:eastAsia="宋体"/>
          <w:color w:val="000000" w:themeColor="text1"/>
          <w:kern w:val="0"/>
          <w:sz w:val="24"/>
          <w:highlight w:val="none"/>
          <w14:textFill>
            <w14:solidFill>
              <w14:schemeClr w14:val="tx1"/>
            </w14:solidFill>
          </w14:textFill>
        </w:rPr>
        <w:t>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3"/>
        <w:shd w:val="clear"/>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中打“▲”内容）不响应的；</w:t>
      </w:r>
    </w:p>
    <w:p>
      <w:pPr>
        <w:pStyle w:val="7"/>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7"/>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7"/>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7"/>
        <w:shd w:val="clear"/>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r>
        <w:rPr>
          <w:rFonts w:hint="eastAsia" w:ascii="宋体" w:hAnsi="宋体"/>
          <w:color w:val="000000" w:themeColor="text1"/>
          <w:kern w:val="0"/>
          <w:sz w:val="24"/>
          <w:szCs w:val="24"/>
          <w:highlight w:val="none"/>
          <w:lang w:eastAsia="zh-CN"/>
          <w14:textFill>
            <w14:solidFill>
              <w14:schemeClr w14:val="tx1"/>
            </w14:solidFill>
          </w14:textFill>
        </w:rPr>
        <w:t>；</w:t>
      </w:r>
    </w:p>
    <w:p>
      <w:pPr>
        <w:pStyle w:val="7"/>
        <w:shd w:val="clear"/>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r>
        <w:rPr>
          <w:rFonts w:hint="eastAsia" w:ascii="宋体" w:hAnsi="宋体"/>
          <w:color w:val="000000" w:themeColor="text1"/>
          <w:kern w:val="0"/>
          <w:sz w:val="24"/>
          <w:szCs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r>
        <w:rPr>
          <w:rFonts w:hint="eastAsia" w:ascii="宋体" w:hAnsi="宋体"/>
          <w:color w:val="000000" w:themeColor="text1"/>
          <w:kern w:val="0"/>
          <w:sz w:val="24"/>
          <w:szCs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hint="default" w:ascii="宋体" w:hAnsi="宋体" w:eastAsia="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十六</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投标文件组成、格式不符合采购文件要求的；</w:t>
      </w: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w:t>
      </w:r>
      <w:r>
        <w:rPr>
          <w:rFonts w:hint="eastAsia" w:ascii="宋体" w:hAnsi="宋体"/>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olor w:val="000000" w:themeColor="text1"/>
          <w:kern w:val="0"/>
          <w:sz w:val="24"/>
          <w:szCs w:val="24"/>
          <w:highlight w:val="none"/>
          <w14:textFill>
            <w14:solidFill>
              <w14:schemeClr w14:val="tx1"/>
            </w14:solidFill>
          </w14:textFill>
        </w:rPr>
        <w:t>）其他不符合法律法规相关规定的。</w:t>
      </w:r>
    </w:p>
    <w:p>
      <w:pPr>
        <w:shd w:val="clea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3"/>
        <w:shd w:val="clear"/>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存在歧义、重大缺陷导致评标工作无法进行，或者</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内容违反国家有关强制性规定的；</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规定的其他导致评标结果无效的。</w:t>
      </w:r>
    </w:p>
    <w:p>
      <w:pPr>
        <w:shd w:val="clea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hd w:val="clea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pPr>
        <w:shd w:val="clea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pPr>
        <w:shd w:val="clea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hd w:val="clea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cs="Times New Roman"/>
          <w:bCs/>
          <w:color w:val="000000" w:themeColor="text1"/>
          <w:sz w:val="24"/>
          <w:highlight w:val="none"/>
          <w:lang w:val="en-US" w:eastAsia="zh-CN"/>
          <w14:textFill>
            <w14:solidFill>
              <w14:schemeClr w14:val="tx1"/>
            </w14:solidFill>
          </w14:textFill>
        </w:rPr>
        <w:t>七</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hd w:val="clea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八</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shd w:val="clea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3"/>
        <w:shd w:val="clear"/>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5"/>
        <w:shd w:val="clea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hd w:val="clea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sz w:val="24"/>
          <w:highlight w:val="none"/>
          <w:lang w:eastAsia="zh-CN"/>
          <w14:textFill>
            <w14:solidFill>
              <w14:schemeClr w14:val="tx1"/>
            </w14:solidFill>
          </w14:textFill>
        </w:rPr>
        <w:t>资格审查</w:t>
      </w:r>
    </w:p>
    <w:p>
      <w:pPr>
        <w:pStyle w:val="10"/>
        <w:shd w:val="clear"/>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hd w:val="clear"/>
              <w:spacing w:before="1"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投标</w:t>
            </w:r>
            <w:r>
              <w:rPr>
                <w:rFonts w:hint="eastAsia"/>
                <w:color w:val="000000" w:themeColor="text1"/>
                <w:szCs w:val="21"/>
                <w:highlight w:val="none"/>
                <w:lang w:val="en-US" w:eastAsia="zh-CN"/>
                <w14:textFill>
                  <w14:solidFill>
                    <w14:schemeClr w14:val="tx1"/>
                  </w14:solidFill>
                </w14:textFill>
              </w:rPr>
              <w:t>人</w:t>
            </w:r>
          </w:p>
        </w:tc>
        <w:tc>
          <w:tcPr>
            <w:tcW w:w="7092" w:type="dxa"/>
            <w:tcMar>
              <w:top w:w="57" w:type="dxa"/>
              <w:left w:w="108" w:type="dxa"/>
              <w:bottom w:w="0" w:type="dxa"/>
              <w:right w:w="108" w:type="dxa"/>
            </w:tcMar>
            <w:vAlign w:val="center"/>
          </w:tcPr>
          <w:p>
            <w:pPr>
              <w:pStyle w:val="58"/>
              <w:shd w:val="clear"/>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8"/>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，不得同时参加本项目投标。</w:t>
            </w:r>
          </w:p>
          <w:p>
            <w:pPr>
              <w:pStyle w:val="58"/>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，不得再参与本项目投标。</w:t>
            </w:r>
          </w:p>
          <w:p>
            <w:pPr>
              <w:pStyle w:val="58"/>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8"/>
              <w:shd w:val="clear"/>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8"/>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pPr>
        <w:pStyle w:val="10"/>
        <w:shd w:val="clear"/>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val="en-US" w:eastAsia="zh-CN"/>
          <w14:textFill>
            <w14:solidFill>
              <w14:schemeClr w14:val="tx1"/>
            </w14:solidFill>
          </w14:textFill>
        </w:rPr>
        <w:t>符合性</w:t>
      </w:r>
      <w:r>
        <w:rPr>
          <w:rFonts w:ascii="宋体" w:hAnsi="宋体" w:eastAsia="宋体"/>
          <w:b/>
          <w:bCs/>
          <w:color w:val="000000" w:themeColor="text1"/>
          <w:sz w:val="24"/>
          <w:highlight w:val="none"/>
          <w14:textFill>
            <w14:solidFill>
              <w14:schemeClr w14:val="tx1"/>
            </w14:solidFill>
          </w14:textFill>
        </w:rPr>
        <w:t>审查</w:t>
      </w:r>
    </w:p>
    <w:p>
      <w:pPr>
        <w:pStyle w:val="10"/>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val="en-US" w:eastAsia="zh-CN"/>
          <w14:textFill>
            <w14:solidFill>
              <w14:schemeClr w14:val="tx1"/>
            </w14:solidFill>
          </w14:textFill>
        </w:rPr>
        <w:t>符合性</w:t>
      </w:r>
      <w:r>
        <w:rPr>
          <w:rFonts w:ascii="宋体" w:hAnsi="宋体" w:eastAsia="宋体"/>
          <w:color w:val="000000" w:themeColor="text1"/>
          <w:sz w:val="24"/>
          <w:highlight w:val="none"/>
          <w14:textFill>
            <w14:solidFill>
              <w14:schemeClr w14:val="tx1"/>
            </w14:solidFill>
          </w14:textFill>
        </w:rPr>
        <w:t>审查，以确定其是否满足</w:t>
      </w:r>
      <w:r>
        <w:rPr>
          <w:rFonts w:hint="eastAsia" w:ascii="宋体" w:hAnsi="宋体"/>
          <w:color w:val="000000" w:themeColor="text1"/>
          <w:sz w:val="24"/>
          <w:highlight w:val="none"/>
          <w:lang w:eastAsia="zh-CN"/>
          <w14:textFill>
            <w14:solidFill>
              <w14:schemeClr w14:val="tx1"/>
            </w14:solidFill>
          </w14:textFill>
        </w:rPr>
        <w:t>采购文件</w:t>
      </w:r>
      <w:r>
        <w:rPr>
          <w:rFonts w:ascii="宋体" w:hAnsi="宋体" w:eastAsia="宋体"/>
          <w:color w:val="000000" w:themeColor="text1"/>
          <w:sz w:val="24"/>
          <w:highlight w:val="none"/>
          <w14:textFill>
            <w14:solidFill>
              <w14:schemeClr w14:val="tx1"/>
            </w14:solidFill>
          </w14:textFill>
        </w:rPr>
        <w:t>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10"/>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hd w:val="clear"/>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10"/>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10"/>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10"/>
              <w:shd w:val="clear"/>
              <w:spacing w:line="300" w:lineRule="auto"/>
              <w:ind w:left="15" w:leftChars="7" w:right="-17" w:rightChars="-8" w:firstLine="403" w:firstLineChars="192"/>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未出现</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本章“四、</w:t>
            </w:r>
            <w:r>
              <w:rPr>
                <w:rFonts w:hint="eastAsia" w:ascii="Times New Roman" w:hAnsi="Times New Roman" w:eastAsia="宋体" w:cs="Times New Roman"/>
                <w:color w:val="000000" w:themeColor="text1"/>
                <w:highlight w:val="none"/>
                <w14:textFill>
                  <w14:solidFill>
                    <w14:schemeClr w14:val="tx1"/>
                  </w14:solidFill>
                </w14:textFill>
              </w:rPr>
              <w:t>无效标情形</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八</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10"/>
              <w:shd w:val="clear"/>
              <w:spacing w:line="300" w:lineRule="auto"/>
              <w:ind w:left="15" w:leftChars="7" w:right="-17" w:rightChars="-8" w:firstLine="403" w:firstLineChars="192"/>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10"/>
              <w:shd w:val="clear"/>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hd w:val="clear"/>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10"/>
              <w:shd w:val="clear"/>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符合第一章招标公告“七、投标保证金”</w:t>
            </w:r>
          </w:p>
        </w:tc>
      </w:tr>
    </w:tbl>
    <w:p>
      <w:pPr>
        <w:pStyle w:val="23"/>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w:t>
      </w:r>
      <w:r>
        <w:rPr>
          <w:rFonts w:ascii="Arial" w:hAnsi="Arial" w:cs="Arial"/>
          <w:b/>
          <w:bCs/>
          <w:color w:val="auto"/>
          <w:highlight w:val="none"/>
        </w:rPr>
        <w:t>商务技术及价格评审</w:t>
      </w:r>
    </w:p>
    <w:p>
      <w:pPr>
        <w:pStyle w:val="23"/>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27"/>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2"/>
        <w:gridCol w:w="808"/>
        <w:gridCol w:w="600"/>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tcBorders>
              <w:top w:val="single" w:color="auto" w:sz="12" w:space="0"/>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top w:val="single" w:color="auto" w:sz="12" w:space="0"/>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评审因素</w:t>
            </w:r>
          </w:p>
        </w:tc>
        <w:tc>
          <w:tcPr>
            <w:tcW w:w="600" w:type="dxa"/>
            <w:tcBorders>
              <w:top w:val="single" w:color="auto" w:sz="12" w:space="0"/>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分值</w:t>
            </w:r>
          </w:p>
        </w:tc>
        <w:tc>
          <w:tcPr>
            <w:tcW w:w="6255" w:type="dxa"/>
            <w:tcBorders>
              <w:top w:val="single" w:color="auto" w:sz="12" w:space="0"/>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restart"/>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资</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信</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技</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术</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80</w:t>
            </w:r>
            <w:r>
              <w:rPr>
                <w:rFonts w:hint="eastAsia" w:ascii="宋体" w:hAnsi="宋体" w:cs="宋体"/>
                <w:b/>
                <w:snapToGrid w:val="0"/>
                <w:color w:val="auto"/>
                <w:kern w:val="0"/>
                <w:szCs w:val="21"/>
                <w:highlight w:val="none"/>
              </w:rPr>
              <w:t>分）</w:t>
            </w:r>
          </w:p>
        </w:tc>
        <w:tc>
          <w:tcPr>
            <w:tcW w:w="808" w:type="dxa"/>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权威认证</w:t>
            </w: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shd w:val="clear"/>
                <w:lang w:val="en-US" w:eastAsia="zh-CN"/>
              </w:rPr>
              <w:t>4</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投标人具有有效</w:t>
            </w:r>
            <w:r>
              <w:rPr>
                <w:rFonts w:hint="eastAsia" w:ascii="宋体" w:hAnsi="宋体" w:cs="宋体"/>
                <w:snapToGrid w:val="0"/>
                <w:color w:val="auto"/>
                <w:kern w:val="0"/>
                <w:szCs w:val="21"/>
                <w:highlight w:val="none"/>
                <w:lang w:eastAsia="zh-CN"/>
              </w:rPr>
              <w:t>期内的</w:t>
            </w:r>
            <w:r>
              <w:rPr>
                <w:rFonts w:hint="eastAsia" w:ascii="宋体" w:hAnsi="宋体" w:cs="宋体"/>
                <w:snapToGrid w:val="0"/>
                <w:color w:val="auto"/>
                <w:kern w:val="0"/>
                <w:szCs w:val="21"/>
                <w:highlight w:val="none"/>
              </w:rPr>
              <w:t>ISO9001系列质量管理体系认证、ISO14001系列环境管理体系认证、ISO45001系列职业健康安全管理体系认证</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 w:val="21"/>
                <w:szCs w:val="21"/>
                <w:highlight w:val="none"/>
              </w:rPr>
              <w:t>物业服务体系认证</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每提供一项得1分，本项最高4分</w:t>
            </w:r>
            <w:r>
              <w:rPr>
                <w:rFonts w:hint="eastAsia" w:ascii="宋体" w:hAnsi="宋体" w:cs="宋体"/>
                <w:b w:val="0"/>
                <w:bCs w:val="0"/>
                <w:snapToGrid w:val="0"/>
                <w:color w:val="auto"/>
                <w:kern w:val="0"/>
                <w:szCs w:val="21"/>
                <w:highlight w:val="none"/>
                <w:lang w:val="en-US" w:eastAsia="zh-CN"/>
              </w:rPr>
              <w:t>。</w:t>
            </w:r>
            <w:r>
              <w:rPr>
                <w:rFonts w:hint="eastAsia" w:ascii="宋体" w:hAnsi="宋体" w:cs="宋体"/>
                <w:snapToGrid w:val="0"/>
                <w:color w:val="auto"/>
                <w:kern w:val="0"/>
                <w:szCs w:val="21"/>
                <w:highlight w:val="none"/>
              </w:rPr>
              <w:t>（提供有效期内的证书</w:t>
            </w:r>
            <w:r>
              <w:rPr>
                <w:rFonts w:hint="eastAsia" w:ascii="宋体" w:hAnsi="宋体" w:cs="宋体"/>
                <w:snapToGrid w:val="0"/>
                <w:color w:val="auto"/>
                <w:kern w:val="0"/>
                <w:szCs w:val="21"/>
                <w:highlight w:val="none"/>
                <w:lang w:eastAsia="zh-CN"/>
              </w:rPr>
              <w:t>扫描件</w:t>
            </w:r>
            <w:r>
              <w:rPr>
                <w:rFonts w:hint="eastAsia" w:ascii="宋体" w:hAnsi="宋体" w:cs="宋体"/>
                <w:snapToGrid w:val="0"/>
                <w:color w:val="auto"/>
                <w:kern w:val="0"/>
                <w:szCs w:val="21"/>
                <w:highlight w:val="none"/>
              </w:rPr>
              <w:t>加盖公章,并提供国家市场监督管理总局全国认证认可信息公共服务平台 http://cx.cnca.cn/CertECloud/result/skipResultList 的查询页面打印页）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业绩</w:t>
            </w: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投标人近三年（</w:t>
            </w:r>
            <w:r>
              <w:rPr>
                <w:rFonts w:hint="eastAsia" w:ascii="宋体" w:hAnsi="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年1月1日以来</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以合同签订日期为准），具有</w:t>
            </w:r>
            <w:r>
              <w:rPr>
                <w:rFonts w:hint="eastAsia" w:ascii="宋体" w:hAnsi="宋体" w:cs="宋体"/>
                <w:snapToGrid w:val="0"/>
                <w:color w:val="auto"/>
                <w:kern w:val="0"/>
                <w:szCs w:val="21"/>
                <w:highlight w:val="none"/>
                <w:lang w:val="en-US" w:eastAsia="zh-CN"/>
              </w:rPr>
              <w:t>类似项目业绩</w:t>
            </w:r>
            <w:r>
              <w:rPr>
                <w:rFonts w:hint="eastAsia" w:ascii="宋体" w:hAnsi="宋体" w:cs="宋体"/>
                <w:snapToGrid w:val="0"/>
                <w:color w:val="auto"/>
                <w:kern w:val="0"/>
                <w:szCs w:val="21"/>
                <w:highlight w:val="none"/>
              </w:rPr>
              <w:t>单个项目在管物业建筑面积</w:t>
            </w:r>
            <w:r>
              <w:rPr>
                <w:rFonts w:hint="eastAsia" w:ascii="宋体" w:hAnsi="宋体" w:cs="宋体"/>
                <w:snapToGrid w:val="0"/>
                <w:color w:val="auto"/>
                <w:kern w:val="0"/>
                <w:szCs w:val="21"/>
                <w:highlight w:val="none"/>
                <w:lang w:val="en-US" w:eastAsia="zh-CN"/>
              </w:rPr>
              <w:t>1.5</w:t>
            </w:r>
            <w:r>
              <w:rPr>
                <w:rFonts w:hint="eastAsia" w:ascii="宋体" w:hAnsi="宋体" w:cs="宋体"/>
                <w:snapToGrid w:val="0"/>
                <w:color w:val="auto"/>
                <w:kern w:val="0"/>
                <w:szCs w:val="21"/>
                <w:highlight w:val="none"/>
              </w:rPr>
              <w:t>万平方米（含）</w:t>
            </w:r>
            <w:r>
              <w:rPr>
                <w:rFonts w:hint="eastAsia" w:ascii="宋体" w:hAnsi="宋体" w:cs="宋体"/>
                <w:snapToGrid w:val="0"/>
                <w:color w:val="auto"/>
                <w:kern w:val="0"/>
                <w:szCs w:val="21"/>
                <w:highlight w:val="none"/>
                <w:lang w:eastAsia="zh-CN"/>
              </w:rPr>
              <w:t>以上，每</w:t>
            </w:r>
            <w:r>
              <w:rPr>
                <w:rFonts w:hint="eastAsia" w:ascii="宋体" w:hAnsi="宋体" w:cs="宋体"/>
                <w:snapToGrid w:val="0"/>
                <w:color w:val="auto"/>
                <w:kern w:val="0"/>
                <w:szCs w:val="21"/>
                <w:highlight w:val="none"/>
                <w:lang w:val="en-US" w:eastAsia="zh-CN"/>
              </w:rPr>
              <w:t>个</w:t>
            </w:r>
            <w:r>
              <w:rPr>
                <w:rFonts w:hint="eastAsia" w:ascii="宋体" w:hAnsi="宋体" w:cs="宋体"/>
                <w:snapToGrid w:val="0"/>
                <w:color w:val="auto"/>
                <w:kern w:val="0"/>
                <w:szCs w:val="21"/>
                <w:highlight w:val="none"/>
                <w:lang w:eastAsia="zh-CN"/>
              </w:rPr>
              <w:t>得</w:t>
            </w:r>
            <w:r>
              <w:rPr>
                <w:rFonts w:hint="eastAsia" w:ascii="宋体" w:hAnsi="宋体" w:cs="宋体"/>
                <w:snapToGrid w:val="0"/>
                <w:color w:val="auto"/>
                <w:kern w:val="0"/>
                <w:szCs w:val="21"/>
                <w:highlight w:val="none"/>
                <w:lang w:val="en-US" w:eastAsia="zh-CN"/>
              </w:rPr>
              <w:t>0.5</w:t>
            </w:r>
            <w:r>
              <w:rPr>
                <w:rFonts w:hint="eastAsia" w:ascii="宋体" w:hAnsi="宋体" w:cs="宋体"/>
                <w:snapToGrid w:val="0"/>
                <w:color w:val="auto"/>
                <w:kern w:val="0"/>
                <w:szCs w:val="21"/>
                <w:highlight w:val="none"/>
              </w:rPr>
              <w:t>分，本项最高得</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提供</w:t>
            </w:r>
            <w:r>
              <w:rPr>
                <w:rFonts w:hint="eastAsia" w:ascii="宋体" w:hAnsi="宋体" w:cs="宋体"/>
                <w:snapToGrid w:val="0"/>
                <w:color w:val="auto"/>
                <w:kern w:val="0"/>
                <w:szCs w:val="21"/>
                <w:highlight w:val="none"/>
              </w:rPr>
              <w:t>合同</w:t>
            </w:r>
            <w:r>
              <w:rPr>
                <w:rFonts w:hint="eastAsia" w:ascii="宋体" w:hAnsi="宋体" w:cs="宋体"/>
                <w:snapToGrid w:val="0"/>
                <w:color w:val="auto"/>
                <w:kern w:val="0"/>
                <w:szCs w:val="21"/>
                <w:highlight w:val="none"/>
                <w:lang w:eastAsia="zh-CN"/>
              </w:rPr>
              <w:t>扫描件</w:t>
            </w:r>
            <w:r>
              <w:rPr>
                <w:rFonts w:hint="eastAsia" w:ascii="宋体" w:hAnsi="宋体" w:cs="宋体"/>
                <w:snapToGrid w:val="0"/>
                <w:color w:val="auto"/>
                <w:kern w:val="0"/>
                <w:szCs w:val="21"/>
                <w:highlight w:val="none"/>
                <w:lang w:val="en-US" w:eastAsia="zh-CN"/>
              </w:rPr>
              <w:t>加盖公章</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合同中必须包括：</w:t>
            </w:r>
            <w:r>
              <w:rPr>
                <w:rFonts w:hint="eastAsia" w:ascii="宋体" w:hAnsi="宋体" w:cs="宋体"/>
                <w:snapToGrid w:val="0"/>
                <w:color w:val="auto"/>
                <w:kern w:val="0"/>
                <w:szCs w:val="21"/>
                <w:highlight w:val="none"/>
                <w:lang w:eastAsia="zh-CN"/>
              </w:rPr>
              <w:t>甲乙</w:t>
            </w:r>
            <w:r>
              <w:rPr>
                <w:rFonts w:hint="eastAsia" w:ascii="宋体" w:hAnsi="宋体" w:cs="宋体"/>
                <w:snapToGrid w:val="0"/>
                <w:color w:val="auto"/>
                <w:kern w:val="0"/>
                <w:szCs w:val="21"/>
                <w:highlight w:val="none"/>
              </w:rPr>
              <w:t>双方名称、合同服务期限、服务范围及内容、项目建筑面积、</w:t>
            </w:r>
            <w:r>
              <w:rPr>
                <w:rFonts w:hint="eastAsia" w:ascii="宋体" w:hAnsi="宋体" w:cs="宋体"/>
                <w:snapToGrid w:val="0"/>
                <w:color w:val="auto"/>
                <w:kern w:val="0"/>
                <w:szCs w:val="21"/>
                <w:highlight w:val="none"/>
                <w:lang w:eastAsia="zh-CN"/>
              </w:rPr>
              <w:t>甲乙双方</w:t>
            </w:r>
            <w:r>
              <w:rPr>
                <w:rFonts w:hint="eastAsia" w:ascii="宋体" w:hAnsi="宋体" w:cs="宋体"/>
                <w:snapToGrid w:val="0"/>
                <w:color w:val="auto"/>
                <w:kern w:val="0"/>
                <w:szCs w:val="21"/>
                <w:highlight w:val="none"/>
              </w:rPr>
              <w:t>盖章页</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否则不得分</w:t>
            </w:r>
            <w:r>
              <w:rPr>
                <w:rFonts w:hint="eastAsia" w:ascii="宋体" w:hAnsi="宋体" w:cs="宋体"/>
                <w:snapToGrid w:val="0"/>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荣誉奖项</w:t>
            </w: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6</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年1月1日以来</w:t>
            </w:r>
            <w:r>
              <w:rPr>
                <w:rFonts w:hint="eastAsia" w:ascii="宋体" w:hAnsi="宋体" w:cs="宋体"/>
                <w:snapToGrid w:val="0"/>
                <w:color w:val="auto"/>
                <w:kern w:val="0"/>
                <w:szCs w:val="21"/>
                <w:highlight w:val="none"/>
                <w:lang w:eastAsia="zh-CN"/>
              </w:rPr>
              <w:t>（以荣誉奖项颁发时间为准）</w:t>
            </w:r>
            <w:r>
              <w:rPr>
                <w:rFonts w:hint="eastAsia" w:ascii="宋体" w:hAnsi="宋体" w:cs="宋体"/>
                <w:snapToGrid w:val="0"/>
                <w:color w:val="auto"/>
                <w:kern w:val="0"/>
                <w:szCs w:val="21"/>
                <w:highlight w:val="none"/>
                <w:lang w:val="en-US" w:eastAsia="zh-CN"/>
              </w:rPr>
              <w:t>类似</w:t>
            </w:r>
            <w:r>
              <w:rPr>
                <w:rFonts w:hint="eastAsia" w:ascii="宋体" w:hAnsi="宋体" w:cs="宋体"/>
                <w:snapToGrid w:val="0"/>
                <w:color w:val="auto"/>
                <w:kern w:val="0"/>
                <w:szCs w:val="21"/>
                <w:highlight w:val="none"/>
                <w:lang w:eastAsia="zh-CN"/>
              </w:rPr>
              <w:t>管理服务</w:t>
            </w:r>
            <w:r>
              <w:rPr>
                <w:rFonts w:hint="eastAsia" w:ascii="宋体" w:hAnsi="宋体" w:cs="宋体"/>
                <w:snapToGrid w:val="0"/>
                <w:color w:val="auto"/>
                <w:kern w:val="0"/>
                <w:szCs w:val="21"/>
                <w:highlight w:val="none"/>
              </w:rPr>
              <w:t>项目</w:t>
            </w:r>
            <w:r>
              <w:rPr>
                <w:rFonts w:hint="eastAsia" w:ascii="宋体" w:hAnsi="宋体" w:cs="宋体"/>
                <w:snapToGrid w:val="0"/>
                <w:color w:val="auto"/>
                <w:kern w:val="0"/>
                <w:szCs w:val="21"/>
                <w:highlight w:val="none"/>
                <w:lang w:val="en-US" w:eastAsia="zh-CN"/>
              </w:rPr>
              <w:t>（包含</w:t>
            </w:r>
            <w:r>
              <w:rPr>
                <w:rFonts w:hint="eastAsia" w:ascii="宋体" w:hAnsi="宋体" w:cs="宋体"/>
                <w:snapToGrid w:val="0"/>
                <w:color w:val="auto"/>
                <w:kern w:val="0"/>
                <w:szCs w:val="21"/>
                <w:highlight w:val="none"/>
              </w:rPr>
              <w:t>办公楼、商务写字楼</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人才公寓等）</w:t>
            </w:r>
            <w:r>
              <w:rPr>
                <w:rFonts w:hint="eastAsia" w:ascii="宋体" w:hAnsi="宋体" w:cs="宋体"/>
                <w:snapToGrid w:val="0"/>
                <w:color w:val="auto"/>
                <w:kern w:val="0"/>
                <w:szCs w:val="21"/>
                <w:highlight w:val="none"/>
              </w:rPr>
              <w:t>获得物业管理优秀</w:t>
            </w:r>
            <w:r>
              <w:rPr>
                <w:rFonts w:hint="eastAsia" w:ascii="宋体" w:hAnsi="宋体" w:cs="宋体"/>
                <w:snapToGrid w:val="0"/>
                <w:color w:val="auto"/>
                <w:kern w:val="0"/>
                <w:szCs w:val="21"/>
                <w:highlight w:val="none"/>
                <w:lang w:eastAsia="zh-CN"/>
              </w:rPr>
              <w:t>的，</w:t>
            </w:r>
            <w:r>
              <w:rPr>
                <w:rFonts w:hint="eastAsia" w:ascii="宋体" w:hAnsi="宋体" w:cs="宋体"/>
                <w:snapToGrid w:val="0"/>
                <w:color w:val="auto"/>
                <w:kern w:val="0"/>
                <w:sz w:val="21"/>
                <w:szCs w:val="21"/>
                <w:highlight w:val="none"/>
              </w:rPr>
              <w:t>每获得一个省级优秀的得</w:t>
            </w:r>
            <w:r>
              <w:rPr>
                <w:rFonts w:hint="eastAsia" w:ascii="宋体" w:hAnsi="宋体" w:cs="宋体"/>
                <w:snapToGrid w:val="0"/>
                <w:color w:val="auto"/>
                <w:kern w:val="0"/>
                <w:sz w:val="21"/>
                <w:szCs w:val="21"/>
                <w:highlight w:val="none"/>
                <w:lang w:val="en-US" w:eastAsia="zh-CN"/>
              </w:rPr>
              <w:t>2</w:t>
            </w:r>
            <w:r>
              <w:rPr>
                <w:rFonts w:hint="eastAsia" w:ascii="宋体" w:hAnsi="宋体" w:cs="宋体"/>
                <w:snapToGrid w:val="0"/>
                <w:color w:val="auto"/>
                <w:kern w:val="0"/>
                <w:sz w:val="21"/>
                <w:szCs w:val="21"/>
                <w:highlight w:val="none"/>
              </w:rPr>
              <w:t>分，每获得一个市级优秀的得</w:t>
            </w: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rPr>
              <w:t>分</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Cs w:val="21"/>
                <w:highlight w:val="none"/>
              </w:rPr>
              <w:t>最高得</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提供获奖证书或相关证明材料</w:t>
            </w:r>
            <w:r>
              <w:rPr>
                <w:rFonts w:hint="eastAsia" w:ascii="宋体" w:hAnsi="宋体" w:cs="宋体"/>
                <w:snapToGrid w:val="0"/>
                <w:color w:val="auto"/>
                <w:kern w:val="0"/>
                <w:szCs w:val="21"/>
                <w:highlight w:val="none"/>
                <w:lang w:eastAsia="zh-CN"/>
              </w:rPr>
              <w:t>扫描件</w:t>
            </w:r>
            <w:r>
              <w:rPr>
                <w:rFonts w:hint="eastAsia" w:ascii="宋体" w:hAnsi="宋体" w:cs="宋体"/>
                <w:snapToGrid w:val="0"/>
                <w:color w:val="auto"/>
                <w:kern w:val="0"/>
                <w:szCs w:val="21"/>
                <w:highlight w:val="none"/>
              </w:rPr>
              <w:t>加盖公章</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否则不得分</w:t>
            </w:r>
            <w:r>
              <w:rPr>
                <w:rFonts w:hint="eastAsia" w:ascii="宋体" w:hAnsi="宋体" w:cs="宋体"/>
                <w:snapToGrid w:val="0"/>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trike w:val="0"/>
                <w:snapToGrid w:val="0"/>
                <w:color w:val="auto"/>
                <w:kern w:val="0"/>
                <w:szCs w:val="21"/>
                <w:highlight w:val="none"/>
                <w:lang w:eastAsia="zh-CN"/>
              </w:rPr>
            </w:pPr>
            <w:r>
              <w:rPr>
                <w:rFonts w:hint="eastAsia" w:ascii="宋体" w:hAnsi="宋体" w:cs="宋体"/>
                <w:strike w:val="0"/>
                <w:snapToGrid w:val="0"/>
                <w:color w:val="auto"/>
                <w:kern w:val="0"/>
                <w:szCs w:val="21"/>
                <w:highlight w:val="none"/>
                <w:lang w:eastAsia="zh-CN"/>
              </w:rPr>
              <w:t>信用等级</w:t>
            </w: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trike w:val="0"/>
                <w:snapToGrid w:val="0"/>
                <w:color w:val="auto"/>
                <w:kern w:val="0"/>
                <w:szCs w:val="21"/>
                <w:highlight w:val="none"/>
                <w:lang w:val="en-US" w:eastAsia="zh-CN"/>
              </w:rPr>
            </w:pPr>
            <w:r>
              <w:rPr>
                <w:rFonts w:hint="eastAsia" w:ascii="宋体" w:hAnsi="宋体" w:cs="宋体"/>
                <w:strike w:val="0"/>
                <w:snapToGrid w:val="0"/>
                <w:color w:val="auto"/>
                <w:kern w:val="0"/>
                <w:szCs w:val="21"/>
                <w:highlight w:val="none"/>
                <w:lang w:val="en-US" w:eastAsia="zh-CN"/>
              </w:rPr>
              <w:t>2</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strike w:val="0"/>
                <w:color w:val="auto"/>
                <w:highlight w:val="none"/>
                <w:lang w:eastAsia="zh-CN"/>
              </w:rPr>
            </w:pPr>
            <w:r>
              <w:rPr>
                <w:rFonts w:hint="eastAsia" w:ascii="Times New Roman" w:hAnsi="Times New Roman" w:cs="Times New Roman"/>
                <w:strike w:val="0"/>
                <w:color w:val="auto"/>
                <w:sz w:val="21"/>
                <w:highlight w:val="none"/>
                <w:lang w:val="en-US" w:eastAsia="zh-CN"/>
              </w:rPr>
              <w:t>投标人在2021年-2023年连续三年获得省级及以上行政主管部门颁发的物业服务企业AAA信用。连续3年的得</w:t>
            </w:r>
            <w:r>
              <w:rPr>
                <w:rFonts w:hint="eastAsia" w:cs="Times New Roman"/>
                <w:strike w:val="0"/>
                <w:color w:val="auto"/>
                <w:sz w:val="21"/>
                <w:highlight w:val="none"/>
                <w:lang w:val="en-US" w:eastAsia="zh-CN"/>
              </w:rPr>
              <w:t>2</w:t>
            </w:r>
            <w:r>
              <w:rPr>
                <w:rFonts w:hint="eastAsia" w:ascii="Times New Roman" w:hAnsi="Times New Roman" w:cs="Times New Roman"/>
                <w:strike w:val="0"/>
                <w:color w:val="auto"/>
                <w:sz w:val="21"/>
                <w:highlight w:val="none"/>
                <w:lang w:val="en-US" w:eastAsia="zh-CN"/>
              </w:rPr>
              <w:t>分，连续2年的得</w:t>
            </w:r>
            <w:r>
              <w:rPr>
                <w:rFonts w:hint="eastAsia" w:cs="Times New Roman"/>
                <w:strike w:val="0"/>
                <w:color w:val="auto"/>
                <w:sz w:val="21"/>
                <w:highlight w:val="none"/>
                <w:lang w:val="en-US" w:eastAsia="zh-CN"/>
              </w:rPr>
              <w:t>1.5</w:t>
            </w:r>
            <w:r>
              <w:rPr>
                <w:rFonts w:hint="eastAsia" w:ascii="Times New Roman" w:hAnsi="Times New Roman" w:cs="Times New Roman"/>
                <w:strike w:val="0"/>
                <w:color w:val="auto"/>
                <w:sz w:val="21"/>
                <w:highlight w:val="none"/>
                <w:lang w:val="en-US" w:eastAsia="zh-CN"/>
              </w:rPr>
              <w:t>分，未连续的得1分，无AAA信</w:t>
            </w:r>
            <w:r>
              <w:rPr>
                <w:rFonts w:hint="eastAsia" w:ascii="Times New Roman" w:hAnsi="Times New Roman" w:cs="Times New Roman"/>
                <w:strike w:val="0"/>
                <w:color w:val="auto"/>
                <w:sz w:val="21"/>
                <w:highlight w:val="none"/>
              </w:rPr>
              <w:t>用不得分。</w:t>
            </w:r>
            <w:r>
              <w:rPr>
                <w:rFonts w:hint="eastAsia" w:ascii="Times New Roman" w:hAnsi="Times New Roman" w:cs="Times New Roman"/>
                <w:strike w:val="0"/>
                <w:color w:val="auto"/>
                <w:sz w:val="21"/>
                <w:highlight w:val="none"/>
                <w:lang w:eastAsia="zh-CN"/>
              </w:rPr>
              <w:t>（</w:t>
            </w:r>
            <w:r>
              <w:rPr>
                <w:rFonts w:hint="eastAsia" w:ascii="Times New Roman" w:hAnsi="Times New Roman" w:cs="Times New Roman"/>
                <w:strike w:val="0"/>
                <w:color w:val="auto"/>
                <w:sz w:val="21"/>
                <w:highlight w:val="none"/>
              </w:rPr>
              <w:t>以上信用情况均须提供相关证明材料</w:t>
            </w:r>
            <w:r>
              <w:rPr>
                <w:rFonts w:hint="eastAsia" w:ascii="Times New Roman" w:hAnsi="Times New Roman" w:cs="Times New Roman"/>
                <w:strike w:val="0"/>
                <w:color w:val="auto"/>
                <w:sz w:val="21"/>
                <w:highlight w:val="none"/>
                <w:lang w:val="en-US" w:eastAsia="zh-CN"/>
              </w:rPr>
              <w:t>并加盖公章</w:t>
            </w:r>
            <w:r>
              <w:rPr>
                <w:rFonts w:hint="eastAsia" w:ascii="Times New Roman" w:hAnsi="Times New Roman" w:cs="Times New Roman"/>
                <w:strike w:val="0"/>
                <w:color w:val="auto"/>
                <w:sz w:val="21"/>
                <w:highlight w:val="none"/>
              </w:rPr>
              <w:t>，</w:t>
            </w:r>
            <w:r>
              <w:rPr>
                <w:rFonts w:hint="eastAsia" w:ascii="Times New Roman" w:hAnsi="Times New Roman" w:cs="Times New Roman"/>
                <w:strike w:val="0"/>
                <w:color w:val="auto"/>
                <w:sz w:val="21"/>
                <w:highlight w:val="none"/>
                <w:lang w:val="en-US" w:eastAsia="zh-CN"/>
              </w:rPr>
              <w:t>否则</w:t>
            </w:r>
            <w:r>
              <w:rPr>
                <w:rFonts w:hint="eastAsia" w:ascii="Times New Roman" w:hAnsi="Times New Roman" w:cs="Times New Roman"/>
                <w:strike w:val="0"/>
                <w:color w:val="auto"/>
                <w:sz w:val="21"/>
                <w:highlight w:val="none"/>
              </w:rPr>
              <w:t>不得分</w:t>
            </w:r>
            <w:r>
              <w:rPr>
                <w:rFonts w:hint="eastAsia" w:ascii="Times New Roman" w:hAnsi="Times New Roman" w:cs="Times New Roman"/>
                <w:strike w:val="0"/>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vMerge w:val="restart"/>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服务方案</w:t>
            </w: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5</w:t>
            </w:r>
          </w:p>
        </w:tc>
        <w:tc>
          <w:tcPr>
            <w:tcW w:w="6255" w:type="dxa"/>
            <w:tcBorders>
              <w:left w:val="single" w:color="auto" w:sz="2" w:space="0"/>
              <w:right w:val="single" w:color="auto" w:sz="12"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物业管理区域内环境卫生管理方案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方案完整、思路清晰得5分；方案较完整、思路较清晰得4分；方案基本完整、思路基本清晰得3分；方案完整性、思路清晰性有欠缺得2分；方案完整性、思路清晰性不足得1分；未体现相关内容不得分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5</w:t>
            </w:r>
          </w:p>
        </w:tc>
        <w:tc>
          <w:tcPr>
            <w:tcW w:w="6255" w:type="dxa"/>
            <w:tcBorders>
              <w:left w:val="single" w:color="auto" w:sz="2" w:space="0"/>
              <w:right w:val="single" w:color="auto" w:sz="12" w:space="0"/>
            </w:tcBorders>
            <w:shd w:val="clear" w:color="auto" w:fill="auto"/>
            <w:noWrap w:val="0"/>
            <w:vAlign w:val="top"/>
          </w:tcPr>
          <w:p>
            <w:pPr>
              <w:pStyle w:val="3"/>
              <w:keepNext w:val="0"/>
              <w:keepLines w:val="0"/>
              <w:pageBreakBefore w:val="0"/>
              <w:shd w:val="clear"/>
              <w:kinsoku/>
              <w:wordWrap/>
              <w:overflowPunct/>
              <w:topLinePunct w:val="0"/>
              <w:autoSpaceDE/>
              <w:autoSpaceDN/>
              <w:bidi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保安服务方案：</w:t>
            </w:r>
            <w:r>
              <w:rPr>
                <w:rFonts w:hint="eastAsia" w:ascii="宋体" w:hAnsi="宋体" w:cs="宋体"/>
                <w:color w:val="auto"/>
                <w:sz w:val="21"/>
                <w:szCs w:val="21"/>
                <w:highlight w:val="none"/>
                <w:lang w:val="en-US" w:eastAsia="zh-CN"/>
              </w:rPr>
              <w:t>方案完整、思路清晰得5分；方案较完整、思路较清晰得4分；方案基本完整、思路基本清晰得3分；方案完整性、思路清晰性有欠缺得2分；方案完整性、思路清晰性不足得1分；未体现相关内容不得分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5</w:t>
            </w:r>
          </w:p>
        </w:tc>
        <w:tc>
          <w:tcPr>
            <w:tcW w:w="6255" w:type="dxa"/>
            <w:tcBorders>
              <w:left w:val="single" w:color="auto" w:sz="2" w:space="0"/>
              <w:right w:val="single" w:color="auto" w:sz="12" w:space="0"/>
            </w:tcBorders>
            <w:shd w:val="clear" w:color="auto" w:fill="auto"/>
            <w:noWrap w:val="0"/>
            <w:vAlign w:val="top"/>
          </w:tcPr>
          <w:p>
            <w:pPr>
              <w:pStyle w:val="3"/>
              <w:keepNext w:val="0"/>
              <w:keepLines w:val="0"/>
              <w:pageBreakBefore w:val="0"/>
              <w:shd w:val="clear"/>
              <w:kinsoku/>
              <w:wordWrap/>
              <w:overflowPunct/>
              <w:topLinePunct w:val="0"/>
              <w:autoSpaceDE/>
              <w:autoSpaceDN/>
              <w:bidi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日常维修</w:t>
            </w: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方案完整、思路清晰得5分；方案较完整、思路较清晰得4分；方案基本完整、思路基本清晰得3分；方案完整性、思路清晰性有欠缺得2分；方案完整性、思路清晰性不足得1分；未体现相关内容不得分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w:t>
            </w:r>
          </w:p>
        </w:tc>
        <w:tc>
          <w:tcPr>
            <w:tcW w:w="6255" w:type="dxa"/>
            <w:tcBorders>
              <w:left w:val="single" w:color="auto" w:sz="2" w:space="0"/>
              <w:right w:val="single" w:color="auto" w:sz="12" w:space="0"/>
            </w:tcBorders>
            <w:shd w:val="clear" w:color="auto" w:fill="auto"/>
            <w:noWrap w:val="0"/>
            <w:vAlign w:val="top"/>
          </w:tcPr>
          <w:p>
            <w:pPr>
              <w:pStyle w:val="3"/>
              <w:keepNext w:val="0"/>
              <w:keepLines w:val="0"/>
              <w:pageBreakBefore w:val="0"/>
              <w:shd w:val="clear"/>
              <w:kinsoku/>
              <w:wordWrap/>
              <w:overflowPunct/>
              <w:topLinePunct w:val="0"/>
              <w:autoSpaceDE/>
              <w:autoSpaceDN/>
              <w:bidi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节能管理方案</w:t>
            </w:r>
            <w:r>
              <w:rPr>
                <w:rFonts w:hint="eastAsia" w:ascii="宋体" w:hAnsi="宋体" w:cs="宋体"/>
                <w:color w:val="auto"/>
                <w:sz w:val="21"/>
                <w:szCs w:val="21"/>
                <w:highlight w:val="none"/>
                <w:lang w:val="en-US" w:eastAsia="zh-CN"/>
              </w:rPr>
              <w:t>：方案完整、思路清晰得3分；方案较完整、思路较清晰得2分；方案基本完整、思路基本清晰得1.5分；方案完整性、思路清晰性有欠缺得1分；方案完整性、思路清晰性不足得0.5分；未体现相关内容不得分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center"/>
              <w:rPr>
                <w:rFonts w:hint="default" w:ascii="宋体" w:hAnsi="宋体" w:eastAsia="宋体" w:cs="仿宋"/>
                <w:color w:val="auto"/>
                <w:kern w:val="2"/>
                <w:sz w:val="21"/>
                <w:szCs w:val="21"/>
                <w:highlight w:val="none"/>
                <w:lang w:val="en-US" w:eastAsia="zh-CN" w:bidi="ar-SA"/>
              </w:rPr>
            </w:pPr>
            <w:r>
              <w:rPr>
                <w:rFonts w:hint="eastAsia" w:ascii="宋体" w:hAnsi="宋体" w:cs="仿宋"/>
                <w:color w:val="auto"/>
                <w:kern w:val="2"/>
                <w:sz w:val="21"/>
                <w:szCs w:val="21"/>
                <w:highlight w:val="none"/>
                <w:lang w:val="en-US" w:eastAsia="zh-CN" w:bidi="ar-SA"/>
              </w:rPr>
              <w:t>5</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widowControl/>
              <w:shd w:val="clear"/>
              <w:kinsoku/>
              <w:wordWrap/>
              <w:overflowPunct/>
              <w:topLinePunct w:val="0"/>
              <w:autoSpaceDE/>
              <w:autoSpaceDN/>
              <w:bidi w:val="0"/>
              <w:snapToGrid w:val="0"/>
              <w:spacing w:line="240" w:lineRule="auto"/>
              <w:jc w:val="left"/>
              <w:textAlignment w:val="center"/>
              <w:rPr>
                <w:rFonts w:hint="eastAsia" w:ascii="微软雅黑" w:hAnsi="微软雅黑" w:eastAsia="微软雅黑" w:cs="微软雅黑"/>
                <w:bCs/>
                <w:color w:val="auto"/>
                <w:kern w:val="2"/>
                <w:sz w:val="21"/>
                <w:szCs w:val="21"/>
                <w:highlight w:val="none"/>
                <w:lang w:val="en-US" w:eastAsia="zh-CN" w:bidi="ar-SA"/>
              </w:rPr>
            </w:pPr>
            <w:r>
              <w:rPr>
                <w:rFonts w:hint="eastAsia" w:ascii="宋体" w:hAnsi="宋体" w:cs="仿宋"/>
                <w:color w:val="auto"/>
                <w:sz w:val="21"/>
                <w:szCs w:val="21"/>
                <w:highlight w:val="none"/>
                <w:lang w:bidi="ar"/>
              </w:rPr>
              <w:t>智慧化管理</w:t>
            </w:r>
            <w:r>
              <w:rPr>
                <w:rFonts w:hint="eastAsia" w:ascii="宋体" w:hAnsi="宋体" w:cs="仿宋"/>
                <w:color w:val="auto"/>
                <w:sz w:val="21"/>
                <w:szCs w:val="21"/>
                <w:highlight w:val="none"/>
                <w:lang w:eastAsia="zh-CN" w:bidi="ar"/>
              </w:rPr>
              <w:t>方案（</w:t>
            </w:r>
            <w:r>
              <w:rPr>
                <w:rFonts w:hint="eastAsia" w:ascii="宋体" w:hAnsi="宋体" w:cs="仿宋"/>
                <w:color w:val="auto"/>
                <w:sz w:val="21"/>
                <w:szCs w:val="21"/>
                <w:highlight w:val="none"/>
              </w:rPr>
              <w:t>物业管理服务企业智能化管理方案，</w:t>
            </w: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拥有软件或者APP等智能物业服务平台，能实现线上报修、投诉、建议，满足业主方、员工方、后台管理需要，并提供相关专利或软件开发合同证明资料</w:t>
            </w:r>
            <w:r>
              <w:rPr>
                <w:rFonts w:hint="eastAsia" w:ascii="宋体" w:hAnsi="宋体" w:cs="仿宋"/>
                <w:color w:val="auto"/>
                <w:sz w:val="21"/>
                <w:szCs w:val="21"/>
                <w:highlight w:val="none"/>
                <w:lang w:eastAsia="zh-CN"/>
              </w:rPr>
              <w:t>）：</w:t>
            </w:r>
            <w:r>
              <w:rPr>
                <w:rFonts w:hint="eastAsia" w:ascii="宋体" w:hAnsi="宋体" w:cs="宋体"/>
                <w:color w:val="auto"/>
                <w:sz w:val="21"/>
                <w:szCs w:val="21"/>
                <w:highlight w:val="none"/>
                <w:lang w:val="en-US" w:eastAsia="zh-CN"/>
              </w:rPr>
              <w:t>方案完整、思路清晰得5分；方案较完整、思路较清晰得4分；方案基本完整、思路基本清晰得3分；方案完整性、思路清晰性有欠缺得2分；方案完整性、思路清晰性不足得1分；未体现相关内容不得分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center"/>
              <w:rPr>
                <w:rFonts w:hint="default" w:ascii="宋体" w:hAnsi="宋体" w:eastAsia="宋体" w:cs="仿宋"/>
                <w:color w:val="auto"/>
                <w:kern w:val="2"/>
                <w:sz w:val="21"/>
                <w:szCs w:val="21"/>
                <w:highlight w:val="none"/>
                <w:lang w:val="en-US" w:eastAsia="zh-CN" w:bidi="ar-SA"/>
              </w:rPr>
            </w:pPr>
            <w:r>
              <w:rPr>
                <w:rFonts w:hint="eastAsia" w:ascii="宋体" w:hAnsi="宋体" w:cs="仿宋"/>
                <w:color w:val="auto"/>
                <w:kern w:val="2"/>
                <w:sz w:val="21"/>
                <w:szCs w:val="21"/>
                <w:highlight w:val="none"/>
                <w:lang w:val="en-US" w:eastAsia="zh-CN" w:bidi="ar-SA"/>
              </w:rPr>
              <w:t>5</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eastAsia" w:ascii="宋体" w:hAnsi="宋体" w:eastAsia="宋体" w:cs="仿宋"/>
                <w:color w:val="auto"/>
                <w:kern w:val="2"/>
                <w:sz w:val="21"/>
                <w:szCs w:val="21"/>
                <w:highlight w:val="none"/>
                <w:lang w:val="en-US" w:eastAsia="zh-CN" w:bidi="ar-SA"/>
              </w:rPr>
            </w:pPr>
            <w:r>
              <w:rPr>
                <w:rFonts w:ascii="宋体" w:hAnsi="宋体" w:cs="仿宋"/>
                <w:color w:val="auto"/>
                <w:sz w:val="21"/>
                <w:szCs w:val="21"/>
                <w:highlight w:val="none"/>
              </w:rPr>
              <w:t>房屋及</w:t>
            </w:r>
            <w:r>
              <w:rPr>
                <w:rFonts w:hint="eastAsia" w:ascii="宋体" w:hAnsi="宋体" w:cs="仿宋"/>
                <w:color w:val="auto"/>
                <w:sz w:val="21"/>
                <w:szCs w:val="21"/>
                <w:highlight w:val="none"/>
              </w:rPr>
              <w:t>设施设备</w:t>
            </w:r>
            <w:r>
              <w:rPr>
                <w:rFonts w:ascii="宋体" w:hAnsi="宋体" w:cs="仿宋"/>
                <w:color w:val="auto"/>
                <w:sz w:val="21"/>
                <w:szCs w:val="21"/>
                <w:highlight w:val="none"/>
              </w:rPr>
              <w:t>（含消防、给排水、供配电、空调、电梯等</w:t>
            </w:r>
            <w:r>
              <w:rPr>
                <w:rFonts w:hint="eastAsia" w:ascii="宋体" w:hAnsi="宋体" w:cs="仿宋"/>
                <w:color w:val="auto"/>
                <w:sz w:val="21"/>
                <w:szCs w:val="21"/>
                <w:highlight w:val="none"/>
              </w:rPr>
              <w:t>机电设备</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维修管理</w:t>
            </w:r>
            <w:r>
              <w:rPr>
                <w:rFonts w:hint="eastAsia" w:ascii="宋体" w:hAnsi="宋体" w:cs="仿宋"/>
                <w:color w:val="auto"/>
                <w:sz w:val="21"/>
                <w:szCs w:val="21"/>
                <w:highlight w:val="none"/>
                <w:lang w:eastAsia="zh-CN"/>
              </w:rPr>
              <w:t>及</w:t>
            </w:r>
            <w:r>
              <w:rPr>
                <w:rFonts w:ascii="宋体" w:hAnsi="宋体" w:cs="仿宋"/>
                <w:color w:val="auto"/>
                <w:sz w:val="21"/>
                <w:szCs w:val="21"/>
                <w:highlight w:val="none"/>
              </w:rPr>
              <w:t>运行</w:t>
            </w:r>
            <w:r>
              <w:rPr>
                <w:rFonts w:hint="eastAsia" w:ascii="宋体" w:hAnsi="宋体" w:cs="仿宋"/>
                <w:color w:val="auto"/>
                <w:sz w:val="21"/>
                <w:szCs w:val="21"/>
                <w:highlight w:val="none"/>
                <w:lang w:eastAsia="zh-CN"/>
              </w:rPr>
              <w:t>维护</w:t>
            </w:r>
            <w:r>
              <w:rPr>
                <w:rFonts w:ascii="宋体" w:hAnsi="宋体" w:cs="仿宋"/>
                <w:color w:val="auto"/>
                <w:sz w:val="21"/>
                <w:szCs w:val="21"/>
                <w:highlight w:val="none"/>
              </w:rPr>
              <w:t>方案</w:t>
            </w:r>
            <w:r>
              <w:rPr>
                <w:rFonts w:hint="eastAsia" w:ascii="宋体" w:hAnsi="宋体" w:cs="仿宋"/>
                <w:color w:val="auto"/>
                <w:sz w:val="21"/>
                <w:szCs w:val="21"/>
                <w:highlight w:val="none"/>
                <w:lang w:eastAsia="zh-CN"/>
              </w:rPr>
              <w:t>：</w:t>
            </w:r>
            <w:r>
              <w:rPr>
                <w:rFonts w:hint="eastAsia" w:ascii="宋体" w:hAnsi="宋体" w:cs="宋体"/>
                <w:color w:val="auto"/>
                <w:sz w:val="21"/>
                <w:szCs w:val="21"/>
                <w:highlight w:val="none"/>
                <w:lang w:val="en-US" w:eastAsia="zh-CN"/>
              </w:rPr>
              <w:t>方案完整、思路清晰得5分；方案较完整、思路较清晰得3分；方案完整性、思路清晰性不足得1分；未体现相关内容不得分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center"/>
              <w:rPr>
                <w:rFonts w:hint="default" w:ascii="宋体" w:hAnsi="宋体" w:cs="仿宋"/>
                <w:color w:val="auto"/>
                <w:kern w:val="2"/>
                <w:sz w:val="21"/>
                <w:szCs w:val="21"/>
                <w:highlight w:val="none"/>
                <w:lang w:val="en-US" w:eastAsia="zh-CN" w:bidi="ar-SA"/>
              </w:rPr>
            </w:pPr>
            <w:r>
              <w:rPr>
                <w:rFonts w:hint="eastAsia" w:ascii="宋体" w:hAnsi="宋体" w:cs="仿宋"/>
                <w:color w:val="auto"/>
                <w:kern w:val="2"/>
                <w:sz w:val="21"/>
                <w:szCs w:val="21"/>
                <w:highlight w:val="none"/>
                <w:lang w:val="en-US" w:eastAsia="zh-CN" w:bidi="ar-SA"/>
              </w:rPr>
              <w:t>3</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eastAsia" w:ascii="宋体" w:hAnsi="宋体" w:cs="仿宋"/>
                <w:color w:val="auto"/>
                <w:sz w:val="21"/>
                <w:szCs w:val="21"/>
                <w:highlight w:val="none"/>
              </w:rPr>
            </w:pPr>
            <w:r>
              <w:rPr>
                <w:rFonts w:hint="eastAsia" w:ascii="宋体" w:hAnsi="宋体" w:cs="仿宋"/>
                <w:color w:val="auto"/>
                <w:sz w:val="21"/>
                <w:szCs w:val="21"/>
                <w:highlight w:val="none"/>
                <w:lang w:val="en-US" w:eastAsia="zh-CN"/>
              </w:rPr>
              <w:t>投</w:t>
            </w:r>
            <w:r>
              <w:rPr>
                <w:rFonts w:hint="eastAsia" w:ascii="宋体" w:hAnsi="宋体" w:cs="仿宋"/>
                <w:color w:val="auto"/>
                <w:sz w:val="21"/>
                <w:szCs w:val="21"/>
                <w:highlight w:val="none"/>
              </w:rPr>
              <w:t>标人为本项目所能提供的相关机械设备、器材、物资配备情况：配置完整得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分；配置较完整得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val="en-US" w:eastAsia="zh-CN"/>
              </w:rPr>
              <w:t>配置不足得1分；</w:t>
            </w:r>
            <w:r>
              <w:rPr>
                <w:rFonts w:hint="eastAsia" w:ascii="宋体" w:hAnsi="宋体" w:cs="仿宋"/>
                <w:color w:val="auto"/>
                <w:sz w:val="21"/>
                <w:szCs w:val="21"/>
                <w:highlight w:val="none"/>
              </w:rPr>
              <w:t>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color w:val="auto"/>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color w:val="auto"/>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center"/>
              <w:rPr>
                <w:rFonts w:hint="eastAsia" w:eastAsia="宋体"/>
                <w:color w:val="auto"/>
                <w:highlight w:val="none"/>
                <w:lang w:val="en-US" w:eastAsia="zh-CN"/>
              </w:rPr>
            </w:pPr>
            <w:r>
              <w:rPr>
                <w:rFonts w:hint="default"/>
                <w:color w:val="auto"/>
                <w:highlight w:val="none"/>
                <w:lang w:val="en-US" w:eastAsia="zh-CN"/>
              </w:rPr>
              <w:t>5</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消防安全及检查方案：</w:t>
            </w:r>
            <w:r>
              <w:rPr>
                <w:rFonts w:hint="eastAsia" w:ascii="宋体" w:hAnsi="宋体" w:cs="宋体"/>
                <w:color w:val="auto"/>
                <w:sz w:val="21"/>
                <w:szCs w:val="21"/>
                <w:highlight w:val="none"/>
                <w:lang w:val="en-US" w:eastAsia="zh-CN"/>
              </w:rPr>
              <w:t>方案完整、思路清晰得</w:t>
            </w:r>
            <w:r>
              <w:rPr>
                <w:rFonts w:hint="default"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分；方案较完整、思路较清晰得</w:t>
            </w:r>
            <w:r>
              <w:rPr>
                <w:rFonts w:hint="default" w:ascii="宋体" w:hAnsi="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分；方案完整性、思路清晰性不足得</w:t>
            </w: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eastAsia" w:ascii="宋体" w:hAnsi="宋体" w:cs="仿宋"/>
                <w:color w:val="auto"/>
                <w:sz w:val="21"/>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eastAsia" w:ascii="宋体" w:hAnsi="宋体" w:cs="仿宋"/>
                <w:color w:val="auto"/>
                <w:sz w:val="21"/>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center"/>
              <w:rPr>
                <w:rFonts w:hint="default"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5</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default"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安全生产管理方案：</w:t>
            </w:r>
            <w:r>
              <w:rPr>
                <w:rFonts w:hint="eastAsia" w:ascii="宋体" w:hAnsi="宋体" w:cs="宋体"/>
                <w:color w:val="auto"/>
                <w:sz w:val="21"/>
                <w:szCs w:val="21"/>
                <w:highlight w:val="none"/>
                <w:lang w:val="en-US" w:eastAsia="zh-CN"/>
              </w:rPr>
              <w:t>方案完整、思路清晰得5分；方案较完整、思路较清晰得3分；方案完整性、思路清晰性不足得1分；未体现相关内容不得分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eastAsia" w:ascii="宋体" w:hAnsi="宋体" w:cs="仿宋"/>
                <w:color w:val="auto"/>
                <w:sz w:val="21"/>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eastAsia" w:ascii="宋体" w:hAnsi="宋体" w:cs="仿宋"/>
                <w:color w:val="auto"/>
                <w:sz w:val="21"/>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center"/>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5</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snapToGrid w:val="0"/>
              <w:spacing w:line="240" w:lineRule="auto"/>
              <w:jc w:val="left"/>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val="en-US" w:eastAsia="zh-CN"/>
              </w:rPr>
              <w:t>公寓</w:t>
            </w:r>
            <w:r>
              <w:rPr>
                <w:rFonts w:hint="eastAsia" w:ascii="宋体" w:hAnsi="宋体" w:cs="仿宋"/>
                <w:color w:val="auto"/>
                <w:sz w:val="21"/>
                <w:szCs w:val="21"/>
                <w:highlight w:val="none"/>
                <w:lang w:eastAsia="zh-CN"/>
              </w:rPr>
              <w:t>楼管理方案：</w:t>
            </w:r>
            <w:r>
              <w:rPr>
                <w:rFonts w:hint="eastAsia" w:ascii="宋体" w:hAnsi="宋体" w:cs="宋体"/>
                <w:color w:val="auto"/>
                <w:sz w:val="21"/>
                <w:szCs w:val="21"/>
                <w:highlight w:val="none"/>
                <w:lang w:val="en-US" w:eastAsia="zh-CN"/>
              </w:rPr>
              <w:t>方案完整、思路清晰得5分；方案较完整、思路较清晰得3分；方案完整性、思路清晰性不足得1分；未体现相关内容不得分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restart"/>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应急预案</w:t>
            </w: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4</w:t>
            </w:r>
          </w:p>
        </w:tc>
        <w:tc>
          <w:tcPr>
            <w:tcW w:w="6255" w:type="dxa"/>
            <w:tcBorders>
              <w:left w:val="single" w:color="auto" w:sz="2" w:space="0"/>
              <w:right w:val="single" w:color="auto" w:sz="12"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消防</w:t>
            </w:r>
            <w:r>
              <w:rPr>
                <w:rFonts w:hint="eastAsia" w:ascii="宋体" w:hAnsi="宋体" w:cs="宋体"/>
                <w:color w:val="auto"/>
                <w:sz w:val="21"/>
                <w:szCs w:val="21"/>
                <w:highlight w:val="none"/>
                <w:lang w:val="en-US" w:eastAsia="zh-CN"/>
              </w:rPr>
              <w:t>应急预案：</w:t>
            </w:r>
            <w:r>
              <w:rPr>
                <w:rFonts w:hint="eastAsia" w:ascii="宋体" w:hAnsi="宋体" w:eastAsia="宋体" w:cs="宋体"/>
                <w:color w:val="auto"/>
                <w:sz w:val="21"/>
                <w:szCs w:val="21"/>
                <w:highlight w:val="none"/>
              </w:rPr>
              <w:t>对突发事件应急预案</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rPr>
              <w:t>相应措施</w:t>
            </w:r>
            <w:r>
              <w:rPr>
                <w:rFonts w:hint="eastAsia" w:ascii="宋体" w:hAnsi="宋体" w:cs="宋体"/>
                <w:color w:val="auto"/>
                <w:sz w:val="21"/>
                <w:szCs w:val="21"/>
                <w:highlight w:val="none"/>
                <w:lang w:val="en-US" w:eastAsia="zh-CN"/>
              </w:rPr>
              <w:t>到位的，得4分；</w:t>
            </w:r>
            <w:r>
              <w:rPr>
                <w:rFonts w:hint="eastAsia" w:ascii="宋体" w:hAnsi="宋体" w:eastAsia="宋体" w:cs="宋体"/>
                <w:color w:val="auto"/>
                <w:sz w:val="21"/>
                <w:szCs w:val="21"/>
                <w:highlight w:val="none"/>
              </w:rPr>
              <w:t>对突发事件应急预案</w:t>
            </w:r>
            <w:r>
              <w:rPr>
                <w:rFonts w:hint="eastAsia" w:ascii="宋体" w:hAnsi="宋体" w:cs="宋体"/>
                <w:color w:val="auto"/>
                <w:sz w:val="21"/>
                <w:szCs w:val="21"/>
                <w:highlight w:val="none"/>
                <w:lang w:val="en-US" w:eastAsia="zh-CN"/>
              </w:rPr>
              <w:t>较完整、</w:t>
            </w:r>
            <w:r>
              <w:rPr>
                <w:rFonts w:hint="eastAsia" w:ascii="宋体" w:hAnsi="宋体" w:eastAsia="宋体" w:cs="宋体"/>
                <w:color w:val="auto"/>
                <w:sz w:val="21"/>
                <w:szCs w:val="21"/>
                <w:highlight w:val="none"/>
              </w:rPr>
              <w:t>相应措施</w:t>
            </w:r>
            <w:r>
              <w:rPr>
                <w:rFonts w:hint="eastAsia" w:ascii="宋体" w:hAnsi="宋体" w:cs="宋体"/>
                <w:color w:val="auto"/>
                <w:sz w:val="21"/>
                <w:szCs w:val="21"/>
                <w:highlight w:val="none"/>
                <w:lang w:val="en-US" w:eastAsia="zh-CN"/>
              </w:rPr>
              <w:t>较到位的，得2分；预案完整性、措施到位程度不足的，得1分；未体现相关内容不得分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w:t>
            </w:r>
          </w:p>
        </w:tc>
        <w:tc>
          <w:tcPr>
            <w:tcW w:w="6255" w:type="dxa"/>
            <w:tcBorders>
              <w:left w:val="single" w:color="auto" w:sz="2" w:space="0"/>
              <w:right w:val="single" w:color="auto" w:sz="12"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突发事件</w:t>
            </w:r>
            <w:r>
              <w:rPr>
                <w:rFonts w:hint="eastAsia" w:ascii="宋体" w:hAnsi="宋体" w:cs="宋体"/>
                <w:color w:val="auto"/>
                <w:sz w:val="21"/>
                <w:szCs w:val="21"/>
                <w:highlight w:val="none"/>
                <w:lang w:val="en-US" w:eastAsia="zh-CN"/>
              </w:rPr>
              <w:t>预案：</w:t>
            </w:r>
            <w:r>
              <w:rPr>
                <w:rFonts w:hint="eastAsia" w:ascii="宋体" w:hAnsi="宋体" w:eastAsia="宋体" w:cs="宋体"/>
                <w:color w:val="auto"/>
                <w:sz w:val="21"/>
                <w:szCs w:val="21"/>
                <w:highlight w:val="none"/>
              </w:rPr>
              <w:t>对突发事件应急预案</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rPr>
              <w:t>相应措施</w:t>
            </w:r>
            <w:r>
              <w:rPr>
                <w:rFonts w:hint="eastAsia" w:ascii="宋体" w:hAnsi="宋体" w:cs="宋体"/>
                <w:color w:val="auto"/>
                <w:sz w:val="21"/>
                <w:szCs w:val="21"/>
                <w:highlight w:val="none"/>
                <w:lang w:val="en-US" w:eastAsia="zh-CN"/>
              </w:rPr>
              <w:t>到位的，得3分；</w:t>
            </w:r>
            <w:r>
              <w:rPr>
                <w:rFonts w:hint="eastAsia" w:ascii="宋体" w:hAnsi="宋体" w:eastAsia="宋体" w:cs="宋体"/>
                <w:color w:val="auto"/>
                <w:sz w:val="21"/>
                <w:szCs w:val="21"/>
                <w:highlight w:val="none"/>
              </w:rPr>
              <w:t>对突发事件应急预案</w:t>
            </w:r>
            <w:r>
              <w:rPr>
                <w:rFonts w:hint="eastAsia" w:ascii="宋体" w:hAnsi="宋体" w:cs="宋体"/>
                <w:color w:val="auto"/>
                <w:sz w:val="21"/>
                <w:szCs w:val="21"/>
                <w:highlight w:val="none"/>
                <w:lang w:val="en-US" w:eastAsia="zh-CN"/>
              </w:rPr>
              <w:t>较完整、</w:t>
            </w:r>
            <w:r>
              <w:rPr>
                <w:rFonts w:hint="eastAsia" w:ascii="宋体" w:hAnsi="宋体" w:eastAsia="宋体" w:cs="宋体"/>
                <w:color w:val="auto"/>
                <w:sz w:val="21"/>
                <w:szCs w:val="21"/>
                <w:highlight w:val="none"/>
              </w:rPr>
              <w:t>相应措施</w:t>
            </w:r>
            <w:r>
              <w:rPr>
                <w:rFonts w:hint="eastAsia" w:ascii="宋体" w:hAnsi="宋体" w:cs="宋体"/>
                <w:color w:val="auto"/>
                <w:sz w:val="21"/>
                <w:szCs w:val="21"/>
                <w:highlight w:val="none"/>
                <w:lang w:val="en-US" w:eastAsia="zh-CN"/>
              </w:rPr>
              <w:t>较到位的，得2分；预案完整性、措施到位程度不足的，得1分；未体现相关内容不得分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w:t>
            </w:r>
          </w:p>
        </w:tc>
        <w:tc>
          <w:tcPr>
            <w:tcW w:w="6255" w:type="dxa"/>
            <w:tcBorders>
              <w:left w:val="single" w:color="auto" w:sz="2" w:space="0"/>
              <w:right w:val="single" w:color="auto" w:sz="12" w:space="0"/>
            </w:tcBorders>
            <w:shd w:val="clear" w:color="auto" w:fill="auto"/>
            <w:noWrap w:val="0"/>
            <w:vAlign w:val="top"/>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应对极端天气（台风、暴雨、冻雪）</w:t>
            </w:r>
            <w:r>
              <w:rPr>
                <w:rFonts w:hint="eastAsia" w:ascii="宋体" w:hAnsi="宋体" w:cs="宋体"/>
                <w:color w:val="auto"/>
                <w:sz w:val="21"/>
                <w:szCs w:val="21"/>
                <w:highlight w:val="none"/>
                <w:lang w:val="en-US" w:eastAsia="zh-CN"/>
              </w:rPr>
              <w:t>预案：</w:t>
            </w:r>
            <w:r>
              <w:rPr>
                <w:rFonts w:hint="eastAsia" w:ascii="宋体" w:hAnsi="宋体" w:eastAsia="宋体" w:cs="宋体"/>
                <w:color w:val="auto"/>
                <w:sz w:val="21"/>
                <w:szCs w:val="21"/>
                <w:highlight w:val="none"/>
              </w:rPr>
              <w:t>对突发事件应急预案</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rPr>
              <w:t>相应措施</w:t>
            </w:r>
            <w:r>
              <w:rPr>
                <w:rFonts w:hint="eastAsia" w:ascii="宋体" w:hAnsi="宋体" w:cs="宋体"/>
                <w:color w:val="auto"/>
                <w:sz w:val="21"/>
                <w:szCs w:val="21"/>
                <w:highlight w:val="none"/>
                <w:lang w:val="en-US" w:eastAsia="zh-CN"/>
              </w:rPr>
              <w:t>到位的，得3分；</w:t>
            </w:r>
            <w:r>
              <w:rPr>
                <w:rFonts w:hint="eastAsia" w:ascii="宋体" w:hAnsi="宋体" w:eastAsia="宋体" w:cs="宋体"/>
                <w:color w:val="auto"/>
                <w:sz w:val="21"/>
                <w:szCs w:val="21"/>
                <w:highlight w:val="none"/>
              </w:rPr>
              <w:t>对突发事件应急预案</w:t>
            </w:r>
            <w:r>
              <w:rPr>
                <w:rFonts w:hint="eastAsia" w:ascii="宋体" w:hAnsi="宋体" w:cs="宋体"/>
                <w:color w:val="auto"/>
                <w:sz w:val="21"/>
                <w:szCs w:val="21"/>
                <w:highlight w:val="none"/>
                <w:lang w:val="en-US" w:eastAsia="zh-CN"/>
              </w:rPr>
              <w:t>较完整、</w:t>
            </w:r>
            <w:r>
              <w:rPr>
                <w:rFonts w:hint="eastAsia" w:ascii="宋体" w:hAnsi="宋体" w:eastAsia="宋体" w:cs="宋体"/>
                <w:color w:val="auto"/>
                <w:sz w:val="21"/>
                <w:szCs w:val="21"/>
                <w:highlight w:val="none"/>
              </w:rPr>
              <w:t>相应措施</w:t>
            </w:r>
            <w:r>
              <w:rPr>
                <w:rFonts w:hint="eastAsia" w:ascii="宋体" w:hAnsi="宋体" w:cs="宋体"/>
                <w:color w:val="auto"/>
                <w:sz w:val="21"/>
                <w:szCs w:val="21"/>
                <w:highlight w:val="none"/>
                <w:lang w:val="en-US" w:eastAsia="zh-CN"/>
              </w:rPr>
              <w:t>较到位的，得2分；预案完整性、措施到位程度不足的，得1分；未体现相关内容不得分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restart"/>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项目团队（</w:t>
            </w:r>
            <w:r>
              <w:rPr>
                <w:rFonts w:hint="eastAsia" w:ascii="宋体" w:hAnsi="宋体" w:cs="宋体"/>
                <w:snapToGrid w:val="0"/>
                <w:color w:val="auto"/>
                <w:kern w:val="0"/>
                <w:szCs w:val="21"/>
                <w:highlight w:val="none"/>
                <w:lang w:val="en-US" w:eastAsia="zh-CN"/>
              </w:rPr>
              <w:t>该项拟投入人员须实际到岗</w:t>
            </w:r>
            <w:r>
              <w:rPr>
                <w:rFonts w:hint="eastAsia" w:ascii="宋体" w:hAnsi="宋体" w:cs="宋体"/>
                <w:snapToGrid w:val="0"/>
                <w:color w:val="auto"/>
                <w:kern w:val="0"/>
                <w:szCs w:val="21"/>
                <w:highlight w:val="none"/>
                <w:lang w:eastAsia="zh-CN"/>
              </w:rPr>
              <w:t>）</w:t>
            </w: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default" w:ascii="宋体" w:hAnsi="宋体" w:cs="宋体"/>
                <w:snapToGrid w:val="0"/>
                <w:color w:val="auto"/>
                <w:kern w:val="0"/>
                <w:szCs w:val="21"/>
                <w:highlight w:val="none"/>
                <w:lang w:val="en-US" w:eastAsia="zh-CN"/>
              </w:rPr>
              <w:t>3</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项目负责人：年龄45周岁（含）以下，具有本科及以上学历，取得工程师（建筑工程）及以上证书，具有类似物业5年及以上项目负责人管理经验，满足得</w:t>
            </w:r>
            <w:r>
              <w:rPr>
                <w:rFonts w:hint="default" w:ascii="宋体" w:hAnsi="宋体" w:cs="宋体"/>
                <w:color w:val="auto"/>
                <w:szCs w:val="21"/>
                <w:highlight w:val="none"/>
                <w:lang w:val="en-US" w:eastAsia="zh-CN"/>
              </w:rPr>
              <w:t>3</w:t>
            </w:r>
            <w:r>
              <w:rPr>
                <w:rFonts w:hint="eastAsia" w:ascii="宋体" w:hAnsi="宋体" w:cs="宋体"/>
                <w:color w:val="auto"/>
                <w:szCs w:val="21"/>
                <w:highlight w:val="none"/>
              </w:rPr>
              <w:t>分，否则不得分。</w:t>
            </w:r>
          </w:p>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同时提供</w:t>
            </w:r>
            <w:r>
              <w:rPr>
                <w:rFonts w:hint="eastAsia" w:ascii="宋体" w:hAnsi="宋体" w:cs="宋体"/>
                <w:color w:val="auto"/>
                <w:szCs w:val="21"/>
                <w:highlight w:val="none"/>
                <w:lang w:eastAsia="zh-CN"/>
              </w:rPr>
              <w:t>以下扫描件</w:t>
            </w:r>
            <w:r>
              <w:rPr>
                <w:rFonts w:hint="eastAsia" w:ascii="宋体" w:hAnsi="宋体" w:cs="宋体"/>
                <w:color w:val="auto"/>
                <w:szCs w:val="21"/>
                <w:highlight w:val="none"/>
                <w:lang w:val="en-US" w:eastAsia="zh-CN"/>
              </w:rPr>
              <w:t>加盖公章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身份证、</w:t>
            </w:r>
            <w:r>
              <w:rPr>
                <w:rFonts w:hint="eastAsia" w:ascii="宋体" w:hAnsi="宋体" w:cs="宋体"/>
                <w:color w:val="auto"/>
                <w:szCs w:val="21"/>
                <w:highlight w:val="none"/>
                <w:lang w:eastAsia="zh-CN"/>
              </w:rPr>
              <w:t>截至投标截止时间前近三个月内任意一个月缴纳在投标人单位的</w:t>
            </w:r>
            <w:r>
              <w:rPr>
                <w:rFonts w:hint="eastAsia" w:ascii="宋体" w:hAnsi="宋体" w:cs="宋体"/>
                <w:color w:val="auto"/>
                <w:szCs w:val="21"/>
                <w:highlight w:val="none"/>
              </w:rPr>
              <w:t>社保缴纳证明、学历证书、职称证书、业绩证明（合同</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工程</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：年龄</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周岁（含）以下，具有</w:t>
            </w:r>
            <w:r>
              <w:rPr>
                <w:rFonts w:hint="eastAsia" w:ascii="宋体" w:hAnsi="宋体" w:cs="宋体"/>
                <w:color w:val="auto"/>
                <w:szCs w:val="21"/>
                <w:highlight w:val="none"/>
                <w:lang w:val="en-US" w:eastAsia="zh-CN"/>
              </w:rPr>
              <w:t>大专</w:t>
            </w:r>
            <w:r>
              <w:rPr>
                <w:rFonts w:hint="eastAsia" w:ascii="宋体" w:hAnsi="宋体" w:cs="宋体"/>
                <w:color w:val="auto"/>
                <w:szCs w:val="21"/>
                <w:highlight w:val="none"/>
              </w:rPr>
              <w:t>及以上学历，取得</w:t>
            </w:r>
            <w:r>
              <w:rPr>
                <w:rFonts w:hint="eastAsia" w:ascii="宋体" w:hAnsi="宋体" w:cs="宋体"/>
                <w:color w:val="auto"/>
                <w:szCs w:val="21"/>
                <w:highlight w:val="none"/>
                <w:lang w:val="en-US" w:eastAsia="zh-CN"/>
              </w:rPr>
              <w:t>高压、低压电工证及特种设备作业证</w:t>
            </w:r>
            <w:r>
              <w:rPr>
                <w:rFonts w:hint="eastAsia" w:ascii="宋体" w:hAnsi="宋体" w:cs="宋体"/>
                <w:color w:val="auto"/>
                <w:szCs w:val="21"/>
                <w:highlight w:val="none"/>
              </w:rPr>
              <w:t>证书，担任项目工程管理2年以上工作经历，满足得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分，否则不得分。</w:t>
            </w:r>
          </w:p>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同时提供</w:t>
            </w:r>
            <w:r>
              <w:rPr>
                <w:rFonts w:hint="eastAsia" w:ascii="宋体" w:hAnsi="宋体" w:cs="宋体"/>
                <w:color w:val="auto"/>
                <w:szCs w:val="21"/>
                <w:highlight w:val="none"/>
                <w:lang w:eastAsia="zh-CN"/>
              </w:rPr>
              <w:t>以下扫描件加盖公章：</w:t>
            </w:r>
            <w:r>
              <w:rPr>
                <w:rFonts w:hint="eastAsia" w:ascii="宋体" w:hAnsi="宋体" w:cs="宋体"/>
                <w:color w:val="auto"/>
                <w:szCs w:val="21"/>
                <w:highlight w:val="none"/>
              </w:rPr>
              <w:t>身份证、</w:t>
            </w:r>
            <w:r>
              <w:rPr>
                <w:rFonts w:hint="eastAsia" w:ascii="宋体" w:hAnsi="宋体" w:cs="宋体"/>
                <w:color w:val="auto"/>
                <w:szCs w:val="21"/>
                <w:highlight w:val="none"/>
                <w:lang w:eastAsia="zh-CN"/>
              </w:rPr>
              <w:t>截至投标截止时间前近三个月内任意一个月缴纳在投标人单位的</w:t>
            </w:r>
            <w:r>
              <w:rPr>
                <w:rFonts w:hint="eastAsia" w:ascii="宋体" w:hAnsi="宋体" w:cs="宋体"/>
                <w:color w:val="auto"/>
                <w:szCs w:val="21"/>
                <w:highlight w:val="none"/>
              </w:rPr>
              <w:t>社保缴纳证明、学历证书、</w:t>
            </w:r>
            <w:r>
              <w:rPr>
                <w:rFonts w:hint="eastAsia" w:ascii="宋体" w:hAnsi="宋体" w:cs="宋体"/>
                <w:color w:val="auto"/>
                <w:szCs w:val="21"/>
                <w:highlight w:val="none"/>
                <w:lang w:val="en-US" w:eastAsia="zh-CN"/>
              </w:rPr>
              <w:t>高压及低压电工证、特种设备作业证</w:t>
            </w:r>
            <w:r>
              <w:rPr>
                <w:rFonts w:hint="eastAsia" w:ascii="宋体" w:hAnsi="宋体" w:cs="宋体"/>
                <w:color w:val="auto"/>
                <w:szCs w:val="21"/>
                <w:highlight w:val="none"/>
              </w:rPr>
              <w:t>证书、业绩证明（合同或业主证明）。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default" w:ascii="宋体" w:hAnsi="宋体" w:cs="宋体"/>
                <w:snapToGrid w:val="0"/>
                <w:color w:val="auto"/>
                <w:kern w:val="0"/>
                <w:szCs w:val="21"/>
                <w:highlight w:val="none"/>
                <w:lang w:val="en-US" w:eastAsia="zh-CN"/>
              </w:rPr>
              <w:t>2</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保安队长：年龄45周岁以下（含），具有二级及以上保安证，担任项目保安管理2年以上工作经历，满足得</w:t>
            </w:r>
            <w:r>
              <w:rPr>
                <w:rFonts w:hint="default" w:ascii="宋体" w:hAnsi="宋体" w:cs="宋体"/>
                <w:color w:val="auto"/>
                <w:szCs w:val="21"/>
                <w:highlight w:val="none"/>
                <w:lang w:val="en-US" w:eastAsia="zh-CN"/>
              </w:rPr>
              <w:t>2</w:t>
            </w:r>
            <w:r>
              <w:rPr>
                <w:rFonts w:hint="eastAsia" w:ascii="宋体" w:hAnsi="宋体" w:cs="宋体"/>
                <w:color w:val="auto"/>
                <w:szCs w:val="21"/>
                <w:highlight w:val="none"/>
              </w:rPr>
              <w:t>分，否则不得分。</w:t>
            </w:r>
          </w:p>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同时提供</w:t>
            </w:r>
            <w:r>
              <w:rPr>
                <w:rFonts w:hint="eastAsia" w:ascii="宋体" w:hAnsi="宋体" w:cs="宋体"/>
                <w:color w:val="auto"/>
                <w:szCs w:val="21"/>
                <w:highlight w:val="none"/>
                <w:lang w:eastAsia="zh-CN"/>
              </w:rPr>
              <w:t>以下扫描件加盖公章：</w:t>
            </w:r>
            <w:r>
              <w:rPr>
                <w:rFonts w:hint="eastAsia" w:ascii="宋体" w:hAnsi="宋体" w:cs="宋体"/>
                <w:color w:val="auto"/>
                <w:szCs w:val="21"/>
                <w:highlight w:val="none"/>
              </w:rPr>
              <w:t>身份证、</w:t>
            </w:r>
            <w:r>
              <w:rPr>
                <w:rFonts w:hint="eastAsia" w:ascii="宋体" w:hAnsi="宋体" w:cs="宋体"/>
                <w:color w:val="auto"/>
                <w:szCs w:val="21"/>
                <w:highlight w:val="none"/>
                <w:lang w:eastAsia="zh-CN"/>
              </w:rPr>
              <w:t>截至投标截止时间前近三个月内任意一个月缴纳在投标人单位的</w:t>
            </w:r>
            <w:r>
              <w:rPr>
                <w:rFonts w:hint="eastAsia" w:ascii="宋体" w:hAnsi="宋体" w:cs="宋体"/>
                <w:color w:val="auto"/>
                <w:szCs w:val="21"/>
                <w:highlight w:val="none"/>
              </w:rPr>
              <w:t>社保缴纳证明、保安证、业绩证明（合同或业主证明）。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vMerge w:val="continue"/>
            <w:tcBorders>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600" w:type="dxa"/>
            <w:tcBorders>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default" w:ascii="宋体" w:hAnsi="宋体" w:cs="宋体"/>
                <w:snapToGrid w:val="0"/>
                <w:color w:val="auto"/>
                <w:kern w:val="0"/>
                <w:szCs w:val="21"/>
                <w:highlight w:val="none"/>
                <w:lang w:val="en-US" w:eastAsia="zh-CN"/>
              </w:rPr>
              <w:t>2</w:t>
            </w:r>
          </w:p>
        </w:tc>
        <w:tc>
          <w:tcPr>
            <w:tcW w:w="6255" w:type="dxa"/>
            <w:tcBorders>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保洁主管：年龄35周岁（含）以下，大专及以上学历，取得物业管理</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保洁类相关证书，担任项目保洁管理2年以上工作经历，满足得</w:t>
            </w:r>
            <w:r>
              <w:rPr>
                <w:rFonts w:hint="default" w:ascii="宋体" w:hAnsi="宋体" w:cs="宋体"/>
                <w:color w:val="auto"/>
                <w:szCs w:val="21"/>
                <w:highlight w:val="none"/>
                <w:lang w:val="en-US" w:eastAsia="zh-CN"/>
              </w:rPr>
              <w:t>2</w:t>
            </w:r>
            <w:r>
              <w:rPr>
                <w:rFonts w:hint="eastAsia" w:ascii="宋体" w:hAnsi="宋体" w:cs="宋体"/>
                <w:color w:val="auto"/>
                <w:szCs w:val="21"/>
                <w:highlight w:val="none"/>
              </w:rPr>
              <w:t>分，否则不得分。</w:t>
            </w:r>
          </w:p>
          <w:p>
            <w:pPr>
              <w:keepNext w:val="0"/>
              <w:keepLines w:val="0"/>
              <w:pageBreakBefore w:val="0"/>
              <w:shd w:val="clear"/>
              <w:kinsoku/>
              <w:wordWrap/>
              <w:overflowPunct/>
              <w:topLinePunct w:val="0"/>
              <w:autoSpaceDE/>
              <w:autoSpaceDN/>
              <w:bidi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同时提供</w:t>
            </w:r>
            <w:r>
              <w:rPr>
                <w:rFonts w:hint="eastAsia" w:ascii="宋体" w:hAnsi="宋体" w:cs="宋体"/>
                <w:color w:val="auto"/>
                <w:szCs w:val="21"/>
                <w:highlight w:val="none"/>
                <w:lang w:eastAsia="zh-CN"/>
              </w:rPr>
              <w:t>以下扫描件加盖公章：</w:t>
            </w:r>
            <w:r>
              <w:rPr>
                <w:rFonts w:hint="eastAsia" w:ascii="宋体" w:hAnsi="宋体" w:cs="宋体"/>
                <w:color w:val="auto"/>
                <w:szCs w:val="21"/>
                <w:highlight w:val="none"/>
              </w:rPr>
              <w:t>身份证、</w:t>
            </w:r>
            <w:r>
              <w:rPr>
                <w:rFonts w:hint="eastAsia" w:ascii="宋体" w:hAnsi="宋体" w:cs="宋体"/>
                <w:color w:val="auto"/>
                <w:szCs w:val="21"/>
                <w:highlight w:val="none"/>
                <w:lang w:eastAsia="zh-CN"/>
              </w:rPr>
              <w:t>截至投标截止时间前近三个月内任意一个月缴纳在投标人单位的</w:t>
            </w:r>
            <w:r>
              <w:rPr>
                <w:rFonts w:hint="eastAsia" w:ascii="宋体" w:hAnsi="宋体" w:cs="宋体"/>
                <w:color w:val="auto"/>
                <w:szCs w:val="21"/>
                <w:highlight w:val="none"/>
              </w:rPr>
              <w:t>社保缴纳证明、学历证书、物业管理</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保洁类相关证书、业绩证明（合同或业主证明）。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tcBorders>
              <w:left w:val="single" w:color="auto" w:sz="12" w:space="0"/>
              <w:bottom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商</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务</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20</w:t>
            </w:r>
            <w:r>
              <w:rPr>
                <w:rFonts w:hint="eastAsia" w:ascii="宋体" w:hAnsi="宋体" w:cs="宋体"/>
                <w:b/>
                <w:snapToGrid w:val="0"/>
                <w:color w:val="auto"/>
                <w:kern w:val="0"/>
                <w:szCs w:val="21"/>
                <w:highlight w:val="none"/>
              </w:rPr>
              <w:t>分）</w:t>
            </w:r>
          </w:p>
        </w:tc>
        <w:tc>
          <w:tcPr>
            <w:tcW w:w="808" w:type="dxa"/>
            <w:tcBorders>
              <w:bottom w:val="single" w:color="auto" w:sz="12" w:space="0"/>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投标报价</w:t>
            </w:r>
          </w:p>
        </w:tc>
        <w:tc>
          <w:tcPr>
            <w:tcW w:w="600" w:type="dxa"/>
            <w:tcBorders>
              <w:left w:val="single" w:color="auto" w:sz="2" w:space="0"/>
              <w:bottom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20</w:t>
            </w:r>
          </w:p>
        </w:tc>
        <w:tc>
          <w:tcPr>
            <w:tcW w:w="6255" w:type="dxa"/>
            <w:tcBorders>
              <w:left w:val="single" w:color="auto" w:sz="2" w:space="0"/>
              <w:bottom w:val="single" w:color="auto" w:sz="12" w:space="0"/>
              <w:right w:val="single" w:color="auto" w:sz="12" w:space="0"/>
            </w:tcBorders>
            <w:shd w:val="clear" w:color="auto" w:fill="auto"/>
            <w:noWrap w:val="0"/>
            <w:vAlign w:val="center"/>
          </w:tcPr>
          <w:p>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1、评分范围：通过符合性审查的所有投标文件进入评分范围。</w:t>
            </w:r>
          </w:p>
          <w:p>
            <w:pPr>
              <w:keepNext w:val="0"/>
              <w:keepLines w:val="0"/>
              <w:pageBreakBefore w:val="0"/>
              <w:shd w:val="clear"/>
              <w:kinsoku/>
              <w:wordWrap/>
              <w:overflowPunct/>
              <w:topLinePunct w:val="0"/>
              <w:autoSpaceDE/>
              <w:autoSpaceDN/>
              <w:bidi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2、评标基准价：进入评分范围的投标评标价的算术平均值为评标基准价（有效投标报价在 5 个以下时，全部进入计算；有效投标报价在 5 个及以上、8 个以下时，去除一个最高价和一个最低价；有效投标报价在 8 个及以上时，去除一个最高、次高价和一个最低、次低价）。</w:t>
            </w:r>
          </w:p>
          <w:p>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3、根据投标文件的投标评标价与评标基准价对比，计算投标人的商务报价的得分值。即：</w:t>
            </w:r>
          </w:p>
          <w:p>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a.投标评标价等于评标基准价时，得 20分；</w:t>
            </w:r>
          </w:p>
          <w:p>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b.投标评标价每低于评标基准价 1 个百分点，扣 0.1 分；</w:t>
            </w:r>
          </w:p>
          <w:p>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c.投标评标价每高于评标基准价 1 个百分点，扣 0.2 分；</w:t>
            </w:r>
          </w:p>
          <w:p>
            <w:pPr>
              <w:pStyle w:val="15"/>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以上报价得分不足一个百分点时，使用直线插入法计算，保留小数 2 位。</w:t>
            </w:r>
          </w:p>
          <w:p>
            <w:pPr>
              <w:pStyle w:val="15"/>
              <w:keepNext w:val="0"/>
              <w:keepLines w:val="0"/>
              <w:pageBreakBefore w:val="0"/>
              <w:shd w:val="clear"/>
              <w:kinsoku/>
              <w:wordWrap/>
              <w:overflowPunct/>
              <w:topLinePunct w:val="0"/>
              <w:autoSpaceDE/>
              <w:autoSpaceDN/>
              <w:bidi w:val="0"/>
              <w:adjustRightInd w:val="0"/>
              <w:snapToGrid w:val="0"/>
              <w:spacing w:line="240" w:lineRule="auto"/>
              <w:rPr>
                <w:rFonts w:hint="default" w:hAnsi="宋体" w:eastAsia="宋体" w:cs="宋体"/>
                <w:snapToGrid w:val="0"/>
                <w:color w:val="auto"/>
                <w:kern w:val="0"/>
                <w:highlight w:val="none"/>
                <w:lang w:val="en-US" w:eastAsia="zh-CN"/>
              </w:rPr>
            </w:pPr>
            <w:r>
              <w:rPr>
                <w:rFonts w:hint="eastAsia" w:hAnsi="宋体" w:cs="宋体"/>
                <w:snapToGrid w:val="0"/>
                <w:color w:val="auto"/>
                <w:kern w:val="0"/>
                <w:highlight w:val="none"/>
                <w:lang w:val="en-US" w:eastAsia="zh-CN"/>
              </w:rPr>
              <w:t>投标文件的商务标最低分为 0 分</w:t>
            </w:r>
          </w:p>
        </w:tc>
      </w:tr>
    </w:tbl>
    <w:p>
      <w:pPr>
        <w:numPr>
          <w:ilvl w:val="0"/>
          <w:numId w:val="0"/>
        </w:num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另有规定外，按照下列规定修正：</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pPr>
        <w:shd w:val="clea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hd w:val="clea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shd w:val="clea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hd w:val="clea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6" w:name="_Toc27944_WPSOffice_Level1"/>
    </w:p>
    <w:bookmarkEnd w:id="36"/>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shd w:val="clear"/>
        <w:spacing w:line="360" w:lineRule="auto"/>
        <w:jc w:val="center"/>
        <w:rPr>
          <w:rFonts w:hint="eastAsia"/>
          <w:b/>
          <w:color w:val="000000"/>
          <w:sz w:val="52"/>
          <w:szCs w:val="32"/>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color w:val="000000"/>
          <w:sz w:val="24"/>
          <w:szCs w:val="24"/>
          <w:highlight w:val="none"/>
        </w:rPr>
      </w:pPr>
      <w:r>
        <w:rPr>
          <w:rFonts w:hint="eastAsia"/>
          <w:b/>
          <w:color w:val="000000"/>
          <w:sz w:val="48"/>
          <w:szCs w:val="48"/>
          <w:highlight w:val="none"/>
        </w:rPr>
        <w:t>委托物业服务合同</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jc w:val="both"/>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422"/>
        <w:jc w:val="center"/>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652" w:firstLineChars="246"/>
        <w:textAlignment w:val="auto"/>
        <w:rPr>
          <w:b/>
          <w:bCs/>
          <w:color w:val="000000"/>
          <w:sz w:val="24"/>
          <w:szCs w:val="24"/>
          <w:highlight w:val="none"/>
          <w:u w:val="single"/>
        </w:rPr>
      </w:pPr>
      <w:r>
        <w:rPr>
          <w:rFonts w:hint="eastAsia"/>
          <w:b/>
          <w:bCs/>
          <w:color w:val="000000"/>
          <w:spacing w:val="12"/>
          <w:sz w:val="24"/>
          <w:szCs w:val="24"/>
          <w:highlight w:val="none"/>
        </w:rPr>
        <w:t>项目名称</w:t>
      </w:r>
      <w:r>
        <w:rPr>
          <w:rFonts w:hint="eastAsia"/>
          <w:b/>
          <w:bCs/>
          <w:color w:val="00000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652" w:firstLineChars="246"/>
        <w:textAlignment w:val="auto"/>
        <w:rPr>
          <w:b/>
          <w:bCs/>
          <w:color w:val="000000"/>
          <w:sz w:val="24"/>
          <w:szCs w:val="24"/>
          <w:highlight w:val="none"/>
        </w:rPr>
      </w:pPr>
      <w:r>
        <w:rPr>
          <w:rFonts w:hint="eastAsia"/>
          <w:b/>
          <w:bCs/>
          <w:color w:val="000000"/>
          <w:spacing w:val="12"/>
          <w:sz w:val="24"/>
          <w:szCs w:val="24"/>
          <w:highlight w:val="none"/>
        </w:rPr>
        <w:t>服务地点</w:t>
      </w:r>
      <w:r>
        <w:rPr>
          <w:rFonts w:hint="eastAsia"/>
          <w:b/>
          <w:bCs/>
          <w:color w:val="00000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93" w:firstLineChars="246"/>
        <w:textAlignment w:val="auto"/>
        <w:rPr>
          <w:b/>
          <w:bCs/>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593" w:firstLineChars="246"/>
        <w:textAlignment w:val="auto"/>
        <w:rPr>
          <w:b/>
          <w:bCs/>
          <w:color w:val="000000"/>
          <w:sz w:val="24"/>
          <w:szCs w:val="24"/>
          <w:highlight w:val="none"/>
          <w:u w:val="single"/>
        </w:rPr>
      </w:pPr>
      <w:r>
        <w:rPr>
          <w:rFonts w:hint="eastAsia"/>
          <w:b/>
          <w:bCs/>
          <w:color w:val="000000"/>
          <w:sz w:val="24"/>
          <w:szCs w:val="24"/>
          <w:highlight w:val="none"/>
        </w:rPr>
        <w:t>委托人：</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93" w:firstLineChars="246"/>
        <w:textAlignment w:val="auto"/>
        <w:rPr>
          <w:rFonts w:hint="default" w:eastAsia="宋体"/>
          <w:b/>
          <w:bCs/>
          <w:color w:val="000000"/>
          <w:sz w:val="24"/>
          <w:szCs w:val="24"/>
          <w:highlight w:val="none"/>
          <w:u w:val="single"/>
          <w:lang w:val="en-US" w:eastAsia="zh-CN"/>
        </w:rPr>
      </w:pPr>
      <w:r>
        <w:rPr>
          <w:rFonts w:hint="eastAsia"/>
          <w:b/>
          <w:bCs/>
          <w:color w:val="000000"/>
          <w:sz w:val="24"/>
          <w:szCs w:val="24"/>
          <w:highlight w:val="none"/>
        </w:rPr>
        <w:t>受托人：</w:t>
      </w:r>
    </w:p>
    <w:p>
      <w:pPr>
        <w:keepNext w:val="0"/>
        <w:keepLines w:val="0"/>
        <w:pageBreakBefore w:val="0"/>
        <w:widowControl w:val="0"/>
        <w:shd w:val="clear"/>
        <w:tabs>
          <w:tab w:val="left" w:pos="8310"/>
        </w:tabs>
        <w:kinsoku/>
        <w:wordWrap/>
        <w:overflowPunct/>
        <w:topLinePunct w:val="0"/>
        <w:autoSpaceDE/>
        <w:autoSpaceDN/>
        <w:bidi w:val="0"/>
        <w:adjustRightInd/>
        <w:snapToGrid w:val="0"/>
        <w:spacing w:line="360" w:lineRule="auto"/>
        <w:ind w:firstLine="590" w:firstLineChars="246"/>
        <w:jc w:val="center"/>
        <w:textAlignment w:val="auto"/>
        <w:rPr>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color w:val="000000"/>
          <w:sz w:val="24"/>
          <w:szCs w:val="24"/>
          <w:highlight w:val="none"/>
        </w:rPr>
      </w:pPr>
      <w:r>
        <w:rPr>
          <w:b/>
          <w:color w:val="000000"/>
          <w:sz w:val="24"/>
          <w:szCs w:val="24"/>
          <w:highlight w:val="none"/>
        </w:rPr>
        <w:br w:type="page"/>
      </w:r>
      <w:r>
        <w:rPr>
          <w:rFonts w:hint="eastAsia"/>
          <w:b/>
          <w:color w:val="000000"/>
          <w:sz w:val="32"/>
          <w:szCs w:val="32"/>
          <w:highlight w:val="none"/>
        </w:rPr>
        <w:t>委托物业服务合同</w:t>
      </w: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第一章   总     则</w:t>
      </w:r>
    </w:p>
    <w:p>
      <w:pPr>
        <w:keepNext w:val="0"/>
        <w:keepLines w:val="0"/>
        <w:pageBreakBefore w:val="0"/>
        <w:widowControl w:val="0"/>
        <w:shd w:val="clear"/>
        <w:kinsoku/>
        <w:wordWrap/>
        <w:overflowPunct/>
        <w:topLinePunct w:val="0"/>
        <w:autoSpaceDE/>
        <w:autoSpaceDN/>
        <w:bidi w:val="0"/>
        <w:adjustRightInd/>
        <w:snapToGrid w:val="0"/>
        <w:spacing w:line="440" w:lineRule="exact"/>
        <w:ind w:left="1260" w:hanging="1440" w:hangingChars="600"/>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甲      方：</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(以下简称甲方)</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pacing w:val="40"/>
          <w:sz w:val="24"/>
          <w:szCs w:val="24"/>
          <w:highlight w:val="none"/>
          <w:u w:val="single"/>
          <w:lang w:eastAsia="zh-CN"/>
        </w:rPr>
      </w:pPr>
      <w:r>
        <w:rPr>
          <w:rFonts w:hint="eastAsia" w:ascii="仿宋" w:hAnsi="仿宋" w:eastAsia="仿宋" w:cs="仿宋"/>
          <w:color w:val="000000"/>
          <w:spacing w:val="40"/>
          <w:sz w:val="24"/>
          <w:szCs w:val="24"/>
          <w:highlight w:val="none"/>
        </w:rPr>
        <w:t>联系电话：</w:t>
      </w:r>
      <w:r>
        <w:rPr>
          <w:rFonts w:hint="eastAsia" w:ascii="仿宋" w:hAnsi="仿宋" w:eastAsia="仿宋" w:cs="仿宋"/>
          <w:color w:val="000000"/>
          <w:spacing w:val="40"/>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pacing w:val="40"/>
          <w:sz w:val="24"/>
          <w:szCs w:val="24"/>
          <w:highlight w:val="none"/>
          <w:u w:val="single"/>
        </w:rPr>
      </w:pP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乙      方：</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(以下简称乙方)</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 xml:space="preserve">法定代表人： </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pacing w:val="28"/>
          <w:sz w:val="24"/>
          <w:szCs w:val="24"/>
          <w:highlight w:val="none"/>
        </w:rPr>
        <w:t>注册地址：</w:t>
      </w:r>
      <w:r>
        <w:rPr>
          <w:rFonts w:hint="eastAsia" w:ascii="仿宋" w:hAnsi="仿宋" w:eastAsia="仿宋" w:cs="仿宋"/>
          <w:color w:val="000000"/>
          <w:spacing w:val="28"/>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pacing w:val="28"/>
          <w:sz w:val="24"/>
          <w:szCs w:val="24"/>
          <w:highlight w:val="none"/>
          <w:lang w:val="en-US" w:eastAsia="zh-CN"/>
        </w:rPr>
      </w:pPr>
      <w:r>
        <w:rPr>
          <w:rFonts w:hint="eastAsia" w:ascii="仿宋" w:hAnsi="仿宋" w:eastAsia="仿宋" w:cs="仿宋"/>
          <w:color w:val="000000"/>
          <w:spacing w:val="28"/>
          <w:sz w:val="24"/>
          <w:szCs w:val="24"/>
          <w:highlight w:val="none"/>
        </w:rPr>
        <w:t>联系电话：</w:t>
      </w:r>
      <w:r>
        <w:rPr>
          <w:rFonts w:hint="eastAsia" w:ascii="仿宋" w:hAnsi="仿宋" w:eastAsia="仿宋" w:cs="仿宋"/>
          <w:color w:val="000000"/>
          <w:spacing w:val="28"/>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570"/>
        <w:textAlignment w:val="auto"/>
        <w:rPr>
          <w:rFonts w:hint="eastAsia" w:ascii="仿宋" w:hAnsi="仿宋" w:eastAsia="仿宋" w:cs="仿宋"/>
          <w:color w:val="000000"/>
          <w:spacing w:val="4"/>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ind w:firstLine="570"/>
        <w:textAlignment w:val="auto"/>
        <w:rPr>
          <w:rFonts w:hint="eastAsia" w:ascii="仿宋" w:hAnsi="仿宋" w:eastAsia="仿宋" w:cs="仿宋"/>
          <w:color w:val="000000"/>
          <w:sz w:val="24"/>
          <w:szCs w:val="24"/>
          <w:highlight w:val="none"/>
        </w:rPr>
      </w:pPr>
      <w:r>
        <w:rPr>
          <w:rFonts w:hint="eastAsia" w:ascii="仿宋" w:hAnsi="仿宋" w:eastAsia="仿宋" w:cs="仿宋"/>
          <w:color w:val="000000"/>
          <w:spacing w:val="4"/>
          <w:sz w:val="24"/>
          <w:szCs w:val="24"/>
          <w:highlight w:val="none"/>
        </w:rPr>
        <w:t>根据《中华人民共和国民法典》、《物业管理条例》和《</w:t>
      </w:r>
      <w:r>
        <w:rPr>
          <w:rFonts w:hint="eastAsia" w:ascii="仿宋" w:hAnsi="仿宋" w:eastAsia="仿宋" w:cs="仿宋"/>
          <w:color w:val="000000"/>
          <w:spacing w:val="4"/>
          <w:sz w:val="24"/>
          <w:szCs w:val="24"/>
          <w:highlight w:val="none"/>
          <w:lang w:val="en-US" w:eastAsia="zh-CN"/>
        </w:rPr>
        <w:t>台州</w:t>
      </w:r>
      <w:r>
        <w:rPr>
          <w:rFonts w:hint="eastAsia" w:ascii="仿宋" w:hAnsi="仿宋" w:eastAsia="仿宋" w:cs="仿宋"/>
          <w:color w:val="000000"/>
          <w:spacing w:val="4"/>
          <w:sz w:val="24"/>
          <w:szCs w:val="24"/>
          <w:highlight w:val="none"/>
        </w:rPr>
        <w:t>市物业管理条例》等法律法规，以及甲方招标要求，乙方的投标承诺，甲乙双方在自愿、平等、协商一致的基础上，</w:t>
      </w:r>
      <w:r>
        <w:rPr>
          <w:rFonts w:hint="eastAsia" w:ascii="仿宋" w:hAnsi="仿宋" w:eastAsia="仿宋" w:cs="仿宋"/>
          <w:color w:val="000000"/>
          <w:sz w:val="24"/>
          <w:szCs w:val="24"/>
          <w:highlight w:val="none"/>
        </w:rPr>
        <w:t>就</w:t>
      </w:r>
      <w:r>
        <w:rPr>
          <w:rFonts w:hint="eastAsia" w:ascii="仿宋" w:hAnsi="仿宋" w:eastAsia="仿宋" w:cs="仿宋"/>
          <w:color w:val="000000"/>
          <w:spacing w:val="4"/>
          <w:sz w:val="24"/>
          <w:szCs w:val="24"/>
          <w:highlight w:val="none"/>
        </w:rPr>
        <w:t>甲方委托乙方负责</w:t>
      </w:r>
      <w:r>
        <w:rPr>
          <w:rFonts w:hint="eastAsia" w:ascii="仿宋" w:hAnsi="仿宋" w:eastAsia="仿宋" w:cs="仿宋"/>
          <w:color w:val="000000"/>
          <w:sz w:val="24"/>
          <w:szCs w:val="24"/>
          <w:highlight w:val="none"/>
        </w:rPr>
        <w:t>相关物业服务事宜，订立本合同，以便双方共同信守、遵照执行。</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第一条  物业基本情况</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物业名称：</w:t>
      </w:r>
      <w:r>
        <w:rPr>
          <w:rFonts w:hint="eastAsia" w:ascii="仿宋" w:hAnsi="仿宋" w:eastAsia="仿宋" w:cs="仿宋"/>
          <w:b/>
          <w:bCs/>
          <w:color w:val="000000"/>
          <w:sz w:val="24"/>
          <w:szCs w:val="24"/>
          <w:highlight w:val="none"/>
          <w:lang w:val="en-US" w:eastAsia="zh-CN"/>
        </w:rPr>
        <w:t xml:space="preserve"> </w:t>
      </w:r>
    </w:p>
    <w:p>
      <w:pPr>
        <w:pStyle w:val="3"/>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总建筑面积：</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（房屋最终建筑面积以第三方出具的测绘报告为准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pStyle w:val="3"/>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具体物业管理服务项目包括：</w:t>
      </w:r>
      <w:r>
        <w:rPr>
          <w:rFonts w:hint="eastAsia" w:ascii="仿宋" w:hAnsi="仿宋" w:eastAsia="仿宋" w:cs="仿宋"/>
          <w:color w:val="000000"/>
          <w:sz w:val="24"/>
          <w:szCs w:val="24"/>
          <w:highlight w:val="none"/>
          <w:u w:val="single"/>
          <w:lang w:val="en-US" w:eastAsia="zh-CN"/>
        </w:rPr>
        <w:t xml:space="preserve">                         </w:t>
      </w:r>
    </w:p>
    <w:p>
      <w:pPr>
        <w:pStyle w:val="3"/>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注：具体物业服务时间以招标人通知为准。</w:t>
      </w:r>
      <w:r>
        <w:rPr>
          <w:rFonts w:hint="eastAsia" w:ascii="仿宋" w:hAnsi="仿宋" w:eastAsia="仿宋" w:cs="仿宋"/>
          <w:color w:val="000000"/>
          <w:sz w:val="24"/>
          <w:szCs w:val="24"/>
          <w:highlight w:val="none"/>
          <w:lang w:eastAsia="zh-CN"/>
        </w:rPr>
        <w:t>若</w:t>
      </w:r>
      <w:r>
        <w:rPr>
          <w:rFonts w:hint="eastAsia" w:ascii="仿宋" w:hAnsi="仿宋" w:eastAsia="仿宋" w:cs="仿宋"/>
          <w:color w:val="000000"/>
          <w:sz w:val="24"/>
          <w:szCs w:val="24"/>
          <w:highlight w:val="none"/>
        </w:rPr>
        <w:t>招标人项目</w:t>
      </w:r>
      <w:r>
        <w:rPr>
          <w:rFonts w:hint="eastAsia" w:ascii="仿宋" w:hAnsi="仿宋" w:eastAsia="仿宋" w:cs="仿宋"/>
          <w:color w:val="000000"/>
          <w:sz w:val="24"/>
          <w:szCs w:val="24"/>
          <w:highlight w:val="none"/>
          <w:lang w:val="en-US" w:eastAsia="zh-CN"/>
        </w:rPr>
        <w:t>内</w:t>
      </w:r>
      <w:r>
        <w:rPr>
          <w:rFonts w:hint="eastAsia" w:ascii="仿宋" w:hAnsi="仿宋" w:eastAsia="仿宋" w:cs="仿宋"/>
          <w:color w:val="000000"/>
          <w:sz w:val="24"/>
          <w:szCs w:val="24"/>
          <w:highlight w:val="none"/>
        </w:rPr>
        <w:t>出租</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出让等情况，投标人服务范围</w:t>
      </w:r>
      <w:r>
        <w:rPr>
          <w:rFonts w:hint="eastAsia" w:ascii="仿宋" w:hAnsi="仿宋" w:eastAsia="仿宋" w:cs="仿宋"/>
          <w:color w:val="000000"/>
          <w:sz w:val="24"/>
          <w:szCs w:val="24"/>
          <w:highlight w:val="none"/>
          <w:lang w:eastAsia="zh-CN"/>
        </w:rPr>
        <w:t>有权</w:t>
      </w:r>
      <w:r>
        <w:rPr>
          <w:rFonts w:hint="eastAsia" w:ascii="仿宋" w:hAnsi="仿宋" w:eastAsia="仿宋" w:cs="仿宋"/>
          <w:color w:val="000000"/>
          <w:sz w:val="24"/>
          <w:szCs w:val="24"/>
          <w:highlight w:val="none"/>
        </w:rPr>
        <w:t>作相应变动。</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第二条  乙方提供服务的受益人</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乙方提供服务的受益人为甲方或</w:t>
      </w:r>
      <w:r>
        <w:rPr>
          <w:rFonts w:hint="eastAsia" w:ascii="仿宋" w:hAnsi="仿宋" w:eastAsia="仿宋" w:cs="仿宋"/>
          <w:color w:val="000000"/>
          <w:spacing w:val="4"/>
          <w:sz w:val="24"/>
          <w:szCs w:val="24"/>
          <w:highlight w:val="none"/>
        </w:rPr>
        <w:t>甲方委托乙方管理的物业区域内的</w:t>
      </w:r>
      <w:r>
        <w:rPr>
          <w:rFonts w:hint="eastAsia" w:ascii="仿宋" w:hAnsi="仿宋" w:eastAsia="仿宋" w:cs="仿宋"/>
          <w:color w:val="000000"/>
          <w:spacing w:val="4"/>
          <w:sz w:val="24"/>
          <w:szCs w:val="24"/>
          <w:highlight w:val="none"/>
          <w:lang w:val="en-US" w:eastAsia="zh-CN"/>
        </w:rPr>
        <w:t>物业</w:t>
      </w:r>
      <w:r>
        <w:rPr>
          <w:rFonts w:hint="eastAsia" w:ascii="仿宋" w:hAnsi="仿宋" w:eastAsia="仿宋" w:cs="仿宋"/>
          <w:color w:val="000000"/>
          <w:sz w:val="24"/>
          <w:szCs w:val="24"/>
          <w:highlight w:val="none"/>
        </w:rPr>
        <w:t>使用人。</w:t>
      </w:r>
    </w:p>
    <w:p>
      <w:pPr>
        <w:keepNext w:val="0"/>
        <w:keepLines w:val="0"/>
        <w:pageBreakBefore w:val="0"/>
        <w:widowControl w:val="0"/>
        <w:shd w:val="clear"/>
        <w:kinsoku/>
        <w:wordWrap/>
        <w:overflowPunct/>
        <w:topLinePunct w:val="0"/>
        <w:autoSpaceDE/>
        <w:autoSpaceDN/>
        <w:bidi w:val="0"/>
        <w:adjustRightInd/>
        <w:snapToGrid w:val="0"/>
        <w:spacing w:line="440" w:lineRule="exact"/>
        <w:jc w:val="left"/>
        <w:textAlignment w:val="auto"/>
        <w:outlineLvl w:val="0"/>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第三条  合同金额</w:t>
      </w:r>
    </w:p>
    <w:p>
      <w:pPr>
        <w:snapToGrid w:val="0"/>
        <w:spacing w:line="440" w:lineRule="exact"/>
        <w:ind w:firstLine="480" w:firstLineChars="200"/>
        <w:jc w:val="left"/>
        <w:outlineLvl w:val="9"/>
        <w:rPr>
          <w:rFonts w:hint="eastAsia" w:ascii="仿宋" w:hAnsi="仿宋" w:eastAsia="仿宋" w:cs="仿宋"/>
          <w:snapToGrid/>
          <w:color w:val="000000"/>
          <w:kern w:val="2"/>
          <w:sz w:val="24"/>
          <w:highlight w:val="none"/>
        </w:rPr>
      </w:pPr>
      <w:bookmarkStart w:id="37" w:name="_Toc2431"/>
      <w:r>
        <w:rPr>
          <w:rFonts w:hint="eastAsia" w:ascii="仿宋" w:hAnsi="仿宋" w:eastAsia="仿宋" w:cs="仿宋"/>
          <w:snapToGrid/>
          <w:color w:val="000000"/>
          <w:kern w:val="2"/>
          <w:sz w:val="24"/>
          <w:highlight w:val="none"/>
        </w:rPr>
        <w:t>本合同金额</w:t>
      </w:r>
      <w:r>
        <w:rPr>
          <w:rFonts w:hint="eastAsia" w:ascii="仿宋" w:hAnsi="仿宋" w:eastAsia="仿宋" w:cs="仿宋"/>
          <w:snapToGrid/>
          <w:color w:val="000000"/>
          <w:kern w:val="2"/>
          <w:sz w:val="24"/>
          <w:highlight w:val="none"/>
          <w:lang w:eastAsia="zh-CN"/>
        </w:rPr>
        <w:t>（</w:t>
      </w:r>
      <w:r>
        <w:rPr>
          <w:rFonts w:hint="eastAsia" w:ascii="仿宋" w:hAnsi="仿宋" w:eastAsia="仿宋" w:cs="仿宋"/>
          <w:snapToGrid/>
          <w:color w:val="000000"/>
          <w:kern w:val="2"/>
          <w:sz w:val="24"/>
          <w:highlight w:val="none"/>
        </w:rPr>
        <w:t>含税</w:t>
      </w:r>
      <w:r>
        <w:rPr>
          <w:rFonts w:hint="eastAsia" w:ascii="仿宋" w:hAnsi="仿宋" w:eastAsia="仿宋" w:cs="仿宋"/>
          <w:snapToGrid/>
          <w:color w:val="000000"/>
          <w:kern w:val="2"/>
          <w:sz w:val="24"/>
          <w:highlight w:val="none"/>
          <w:lang w:eastAsia="zh-CN"/>
        </w:rPr>
        <w:t>）</w:t>
      </w:r>
      <w:r>
        <w:rPr>
          <w:rFonts w:hint="eastAsia" w:ascii="仿宋" w:hAnsi="仿宋" w:eastAsia="仿宋" w:cs="仿宋"/>
          <w:snapToGrid/>
          <w:color w:val="000000"/>
          <w:kern w:val="2"/>
          <w:sz w:val="24"/>
          <w:highlight w:val="none"/>
        </w:rPr>
        <w:t>为（大写）：</w:t>
      </w:r>
      <w:r>
        <w:rPr>
          <w:rFonts w:hint="eastAsia" w:ascii="仿宋" w:hAnsi="仿宋" w:eastAsia="仿宋" w:cs="仿宋"/>
          <w:snapToGrid/>
          <w:color w:val="000000"/>
          <w:kern w:val="2"/>
          <w:sz w:val="24"/>
          <w:highlight w:val="none"/>
          <w:u w:val="none"/>
        </w:rPr>
        <w:t xml:space="preserve">                  </w:t>
      </w:r>
      <w:r>
        <w:rPr>
          <w:rFonts w:hint="eastAsia" w:ascii="仿宋" w:hAnsi="仿宋" w:eastAsia="仿宋" w:cs="仿宋"/>
          <w:snapToGrid/>
          <w:color w:val="000000"/>
          <w:kern w:val="2"/>
          <w:sz w:val="24"/>
          <w:highlight w:val="none"/>
        </w:rPr>
        <w:t>元</w:t>
      </w:r>
      <w:r>
        <w:rPr>
          <w:rFonts w:hint="eastAsia" w:ascii="仿宋" w:hAnsi="仿宋" w:eastAsia="仿宋" w:cs="仿宋"/>
          <w:snapToGrid/>
          <w:color w:val="000000"/>
          <w:kern w:val="2"/>
          <w:sz w:val="24"/>
          <w:highlight w:val="none"/>
          <w:lang w:val="en-US" w:eastAsia="zh-CN"/>
        </w:rPr>
        <w:t>/年</w:t>
      </w:r>
      <w:r>
        <w:rPr>
          <w:rFonts w:hint="eastAsia" w:ascii="仿宋" w:hAnsi="仿宋" w:eastAsia="仿宋" w:cs="仿宋"/>
          <w:snapToGrid/>
          <w:color w:val="000000"/>
          <w:kern w:val="2"/>
          <w:sz w:val="24"/>
          <w:highlight w:val="none"/>
        </w:rPr>
        <w:t>（￥</w:t>
      </w:r>
      <w:r>
        <w:rPr>
          <w:rFonts w:hint="eastAsia" w:ascii="仿宋" w:hAnsi="仿宋" w:eastAsia="仿宋" w:cs="仿宋"/>
          <w:snapToGrid/>
          <w:color w:val="000000"/>
          <w:kern w:val="2"/>
          <w:sz w:val="24"/>
          <w:highlight w:val="none"/>
          <w:u w:val="none"/>
        </w:rPr>
        <w:t xml:space="preserve">          </w:t>
      </w:r>
      <w:r>
        <w:rPr>
          <w:rFonts w:hint="eastAsia" w:ascii="仿宋" w:hAnsi="仿宋" w:eastAsia="仿宋" w:cs="仿宋"/>
          <w:snapToGrid/>
          <w:color w:val="000000"/>
          <w:kern w:val="2"/>
          <w:sz w:val="24"/>
          <w:highlight w:val="none"/>
        </w:rPr>
        <w:t>元</w:t>
      </w:r>
      <w:r>
        <w:rPr>
          <w:rFonts w:hint="eastAsia" w:ascii="仿宋" w:hAnsi="仿宋" w:eastAsia="仿宋" w:cs="仿宋"/>
          <w:snapToGrid/>
          <w:color w:val="000000"/>
          <w:kern w:val="2"/>
          <w:sz w:val="24"/>
          <w:highlight w:val="none"/>
          <w:lang w:val="en-US" w:eastAsia="zh-CN"/>
        </w:rPr>
        <w:t>/年</w:t>
      </w:r>
      <w:r>
        <w:rPr>
          <w:rFonts w:hint="eastAsia" w:ascii="仿宋" w:hAnsi="仿宋" w:eastAsia="仿宋" w:cs="仿宋"/>
          <w:snapToGrid/>
          <w:color w:val="000000"/>
          <w:kern w:val="2"/>
          <w:sz w:val="24"/>
          <w:highlight w:val="none"/>
        </w:rPr>
        <w:t>）人民币。</w:t>
      </w:r>
      <w:bookmarkEnd w:id="37"/>
    </w:p>
    <w:p>
      <w:pPr>
        <w:snapToGrid w:val="0"/>
        <w:spacing w:line="440" w:lineRule="exact"/>
        <w:ind w:firstLine="480" w:firstLineChars="200"/>
        <w:jc w:val="left"/>
        <w:outlineLvl w:val="9"/>
        <w:rPr>
          <w:rFonts w:hint="eastAsia" w:ascii="仿宋" w:hAnsi="仿宋" w:eastAsia="仿宋" w:cs="仿宋"/>
          <w:snapToGrid/>
          <w:color w:val="000000"/>
          <w:kern w:val="2"/>
          <w:sz w:val="24"/>
          <w:highlight w:val="none"/>
        </w:rPr>
      </w:pPr>
      <w:r>
        <w:rPr>
          <w:rFonts w:hint="eastAsia" w:ascii="仿宋" w:hAnsi="仿宋" w:eastAsia="仿宋" w:cs="仿宋"/>
          <w:snapToGrid/>
          <w:color w:val="000000"/>
          <w:kern w:val="2"/>
          <w:sz w:val="24"/>
          <w:highlight w:val="none"/>
          <w:lang w:val="en-US" w:eastAsia="zh-CN"/>
        </w:rPr>
        <w:t>（其中沧海商务中心：      元/年；聚才公寓       元/年）</w:t>
      </w:r>
    </w:p>
    <w:p>
      <w:pPr>
        <w:snapToGrid w:val="0"/>
        <w:spacing w:line="440" w:lineRule="exact"/>
        <w:ind w:firstLine="480" w:firstLineChars="200"/>
        <w:jc w:val="left"/>
        <w:outlineLvl w:val="9"/>
        <w:rPr>
          <w:rFonts w:hint="eastAsia" w:ascii="仿宋" w:hAnsi="仿宋" w:eastAsia="仿宋" w:cs="仿宋"/>
          <w:snapToGrid/>
          <w:color w:val="000000"/>
          <w:kern w:val="2"/>
          <w:sz w:val="24"/>
          <w:highlight w:val="none"/>
          <w:lang w:val="en-US" w:eastAsia="zh-CN"/>
        </w:rPr>
      </w:pPr>
      <w:r>
        <w:rPr>
          <w:rFonts w:hint="eastAsia" w:ascii="仿宋" w:hAnsi="仿宋" w:eastAsia="仿宋" w:cs="仿宋"/>
          <w:snapToGrid/>
          <w:color w:val="000000"/>
          <w:kern w:val="2"/>
          <w:sz w:val="24"/>
          <w:highlight w:val="none"/>
          <w:lang w:val="en-US" w:eastAsia="zh-CN"/>
        </w:rPr>
        <w:t>三年合同总金额（含税）</w:t>
      </w:r>
      <w:r>
        <w:rPr>
          <w:rFonts w:hint="eastAsia" w:ascii="仿宋" w:hAnsi="仿宋" w:eastAsia="仿宋" w:cs="仿宋"/>
          <w:snapToGrid/>
          <w:color w:val="000000"/>
          <w:kern w:val="2"/>
          <w:sz w:val="24"/>
          <w:highlight w:val="none"/>
        </w:rPr>
        <w:t>为（大写）：</w:t>
      </w:r>
      <w:r>
        <w:rPr>
          <w:rFonts w:hint="eastAsia" w:ascii="仿宋" w:hAnsi="仿宋" w:eastAsia="仿宋" w:cs="仿宋"/>
          <w:snapToGrid/>
          <w:color w:val="000000"/>
          <w:kern w:val="2"/>
          <w:sz w:val="24"/>
          <w:highlight w:val="none"/>
          <w:u w:val="none"/>
        </w:rPr>
        <w:t xml:space="preserve">                  </w:t>
      </w:r>
      <w:r>
        <w:rPr>
          <w:rFonts w:hint="eastAsia" w:ascii="仿宋" w:hAnsi="仿宋" w:eastAsia="仿宋" w:cs="仿宋"/>
          <w:snapToGrid/>
          <w:color w:val="000000"/>
          <w:kern w:val="2"/>
          <w:sz w:val="24"/>
          <w:highlight w:val="none"/>
        </w:rPr>
        <w:t>元（￥</w:t>
      </w:r>
      <w:r>
        <w:rPr>
          <w:rFonts w:hint="eastAsia" w:ascii="仿宋" w:hAnsi="仿宋" w:eastAsia="仿宋" w:cs="仿宋"/>
          <w:snapToGrid/>
          <w:color w:val="000000"/>
          <w:kern w:val="2"/>
          <w:sz w:val="24"/>
          <w:highlight w:val="none"/>
          <w:u w:val="none"/>
        </w:rPr>
        <w:t xml:space="preserve">          </w:t>
      </w:r>
      <w:r>
        <w:rPr>
          <w:rFonts w:hint="eastAsia" w:ascii="仿宋" w:hAnsi="仿宋" w:eastAsia="仿宋" w:cs="仿宋"/>
          <w:snapToGrid/>
          <w:color w:val="000000"/>
          <w:kern w:val="2"/>
          <w:sz w:val="24"/>
          <w:highlight w:val="none"/>
        </w:rPr>
        <w:t>元）人民币。</w:t>
      </w:r>
    </w:p>
    <w:p>
      <w:pPr>
        <w:pStyle w:val="2"/>
        <w:rPr>
          <w:rFonts w:hint="eastAsia"/>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第二章  委托物业服务事项</w:t>
      </w:r>
    </w:p>
    <w:p>
      <w:pPr>
        <w:keepNext w:val="0"/>
        <w:keepLines w:val="0"/>
        <w:pageBreakBefore w:val="0"/>
        <w:widowControl w:val="0"/>
        <w:shd w:val="clear"/>
        <w:tabs>
          <w:tab w:val="left" w:pos="1275"/>
        </w:tabs>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条  共用部位、共用设施设备及附属设施的日常维修、运行和管理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负责房屋建筑共用部位及附属设施包括但不限于楼盖、屋顶、墙面（3米以下）、地面、承重结构、走廊通道、门厅、大厅、楼梯间、通道、门窗及配件、公共照明、开关、插座、</w:t>
      </w:r>
      <w:r>
        <w:rPr>
          <w:rFonts w:hint="eastAsia" w:ascii="仿宋" w:hAnsi="仿宋" w:eastAsia="仿宋" w:cs="仿宋"/>
          <w:color w:val="000000"/>
          <w:sz w:val="24"/>
          <w:szCs w:val="24"/>
          <w:highlight w:val="none"/>
          <w:lang w:val="en-US" w:eastAsia="zh-CN"/>
        </w:rPr>
        <w:t>门牌号、楼栋楼层号、标识标牌、</w:t>
      </w:r>
      <w:r>
        <w:rPr>
          <w:rFonts w:hint="eastAsia" w:ascii="仿宋" w:hAnsi="仿宋" w:eastAsia="仿宋" w:cs="仿宋"/>
          <w:color w:val="000000"/>
          <w:sz w:val="24"/>
          <w:szCs w:val="24"/>
          <w:highlight w:val="none"/>
        </w:rPr>
        <w:t>内部道路、井盖、水篦子，公共卫生间的门窗、顶面、墙面、地面、洁具及配件、便池马桶及配件、照明，设备房和功能房的门窗、顶面、墙面、地面、照明等的日常维修（含更换</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单次单项材料费不超过1000元</w:t>
      </w:r>
      <w:r>
        <w:rPr>
          <w:rFonts w:hint="eastAsia" w:ascii="仿宋" w:hAnsi="仿宋" w:eastAsia="仿宋" w:cs="仿宋"/>
          <w:color w:val="000000"/>
          <w:sz w:val="24"/>
          <w:szCs w:val="24"/>
          <w:highlight w:val="none"/>
        </w:rPr>
        <w:t>）、运行和管理。</w:t>
      </w:r>
    </w:p>
    <w:p>
      <w:pPr>
        <w:keepNext w:val="0"/>
        <w:keepLines w:val="0"/>
        <w:pageBreakBefore w:val="0"/>
        <w:widowControl w:val="0"/>
        <w:shd w:val="clear"/>
        <w:tabs>
          <w:tab w:val="left" w:pos="1275"/>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负责共用设施、设备包括但不限于共用的上下水管道、落水管、垃圾道、烟道、公用照明、天线、高压水泵房、二次供水、消防系统、排风系统、电梯、锅炉系统、空调系统、弱电系统、供配电、锅炉、柴油发电机、监控安防、机房、门禁道闸、小区道路、</w:t>
      </w:r>
      <w:r>
        <w:rPr>
          <w:rFonts w:hint="eastAsia" w:ascii="仿宋" w:hAnsi="仿宋" w:eastAsia="仿宋" w:cs="仿宋"/>
          <w:color w:val="000000"/>
          <w:sz w:val="24"/>
          <w:szCs w:val="24"/>
          <w:highlight w:val="none"/>
          <w:lang w:val="en-US" w:eastAsia="zh-CN"/>
        </w:rPr>
        <w:t>水表、电表、</w:t>
      </w:r>
      <w:r>
        <w:rPr>
          <w:rFonts w:hint="eastAsia" w:ascii="仿宋" w:hAnsi="仿宋" w:eastAsia="仿宋" w:cs="仿宋"/>
          <w:color w:val="000000"/>
          <w:sz w:val="24"/>
          <w:szCs w:val="24"/>
          <w:highlight w:val="none"/>
        </w:rPr>
        <w:t>娱乐休闲场所及设施、生化池、化粪池、室内外管线、沟渠、停车场等的日常维修（含更换</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单次单项材料费不超过1000元</w:t>
      </w:r>
      <w:r>
        <w:rPr>
          <w:rFonts w:hint="eastAsia" w:ascii="仿宋" w:hAnsi="仿宋" w:eastAsia="仿宋" w:cs="仿宋"/>
          <w:color w:val="000000"/>
          <w:sz w:val="24"/>
          <w:szCs w:val="24"/>
          <w:highlight w:val="none"/>
        </w:rPr>
        <w:t xml:space="preserve">）、运行和管理。 </w:t>
      </w:r>
    </w:p>
    <w:p>
      <w:pPr>
        <w:keepNext w:val="0"/>
        <w:keepLines w:val="0"/>
        <w:pageBreakBefore w:val="0"/>
        <w:widowControl w:val="0"/>
        <w:shd w:val="clear"/>
        <w:tabs>
          <w:tab w:val="left" w:pos="993"/>
        </w:tabs>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条  交通秩序与车辆停放秩序</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96" w:firstLineChars="200"/>
        <w:textAlignment w:val="auto"/>
        <w:rPr>
          <w:rFonts w:hint="eastAsia" w:ascii="仿宋" w:hAnsi="仿宋" w:eastAsia="仿宋" w:cs="仿宋"/>
          <w:b/>
          <w:bCs/>
          <w:color w:val="000000"/>
          <w:sz w:val="24"/>
          <w:szCs w:val="24"/>
          <w:highlight w:val="none"/>
        </w:rPr>
      </w:pPr>
      <w:r>
        <w:rPr>
          <w:rFonts w:hint="eastAsia" w:ascii="仿宋" w:hAnsi="仿宋" w:eastAsia="仿宋" w:cs="仿宋"/>
          <w:color w:val="000000"/>
          <w:spacing w:val="4"/>
          <w:sz w:val="24"/>
          <w:szCs w:val="24"/>
          <w:highlight w:val="none"/>
        </w:rPr>
        <w:t>负责物业管理区域</w:t>
      </w:r>
      <w:r>
        <w:rPr>
          <w:rFonts w:hint="eastAsia" w:ascii="仿宋" w:hAnsi="仿宋" w:eastAsia="仿宋" w:cs="仿宋"/>
          <w:color w:val="000000"/>
          <w:sz w:val="24"/>
          <w:szCs w:val="24"/>
          <w:highlight w:val="none"/>
        </w:rPr>
        <w:t>内的交通秩序与车库（车场）车辆停放秩序的管理。</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六</w:t>
      </w:r>
      <w:r>
        <w:rPr>
          <w:rFonts w:hint="eastAsia" w:ascii="仿宋" w:hAnsi="仿宋" w:eastAsia="仿宋" w:cs="仿宋"/>
          <w:b/>
          <w:bCs/>
          <w:color w:val="000000"/>
          <w:sz w:val="24"/>
          <w:szCs w:val="24"/>
          <w:highlight w:val="none"/>
        </w:rPr>
        <w:t>条  公共秩序安全维护</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建立多级预防性安全防范体系，配合当地公安机关进行公共区域安全防范。不含对甲方（物业所有权人）或物业使用人的人身及其财产的保险、保管责任。另行签订人身、财产保险、保管专项合同的，以专项合同的约定执行。</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1、负责区域内的公共秩序维护，固定岗24小时值班。</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负责对外来人员进行正确的引导和登记管理，对携带大宗物品外出的人员进行登记检查、落实归属，对小商、小贩、特殊来访人员进入物业区域进行劝导和阻止，对危险物品和可疑人员的进入要进行有效控制并报告。</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3、对进出物业区域的车辆实施管理，车辆通行和停放基本有序。</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4、负责巡逻岗间断性安全巡查，按照规定路线和时间每2-3小时巡查一次（具体要求按该项目的物业服务标准执行），做好巡查记录，重点部位应设巡更点。</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5、负责消防、安防监控管理，24小时值守。</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6、建立火灾、治安、公共卫生等突发事件应急预案，接到火警、警情和甲方或物业使用人紧急求助等异常情况时，5分钟内赶到现场，并采取相应的应对措施。</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7、负责接受当地公安、消防等部门的工作指导，配合和协助当地公安、消防等部门进行安全检查、防范等工作。   </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val="en-US" w:eastAsia="zh-CN"/>
        </w:rPr>
        <w:t>七</w:t>
      </w:r>
      <w:r>
        <w:rPr>
          <w:rFonts w:hint="eastAsia" w:ascii="仿宋" w:hAnsi="仿宋" w:eastAsia="仿宋" w:cs="仿宋"/>
          <w:b/>
          <w:color w:val="000000"/>
          <w:sz w:val="24"/>
          <w:szCs w:val="24"/>
          <w:highlight w:val="none"/>
        </w:rPr>
        <w:t>条  环保检查</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1、负责公共区域、房屋共用部位的环保检查。</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2、负责配合甲方监督检查其他业主和物业使用人（单位）环境保护管理的执行情况。</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3、负责对其他业主和物业使用人在生产、生活中产生的废水、废气、废弃物、油烟、噪音等影响环境的行为进行前期应急处置。</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val="en-US" w:eastAsia="zh-CN"/>
        </w:rPr>
        <w:t>八</w:t>
      </w:r>
      <w:r>
        <w:rPr>
          <w:rFonts w:hint="eastAsia" w:ascii="仿宋" w:hAnsi="仿宋" w:eastAsia="仿宋" w:cs="仿宋"/>
          <w:b/>
          <w:color w:val="000000"/>
          <w:sz w:val="24"/>
          <w:szCs w:val="24"/>
          <w:highlight w:val="none"/>
        </w:rPr>
        <w:t xml:space="preserve">条  </w:t>
      </w:r>
      <w:r>
        <w:rPr>
          <w:rFonts w:hint="eastAsia" w:ascii="仿宋" w:hAnsi="仿宋" w:eastAsia="仿宋" w:cs="仿宋"/>
          <w:b/>
          <w:bCs/>
          <w:color w:val="000000"/>
          <w:sz w:val="24"/>
          <w:szCs w:val="24"/>
          <w:highlight w:val="none"/>
        </w:rPr>
        <w:t>公共环境卫生管理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1、负责公共区域、房屋共用部位清洁卫生，垃圾的收集 (放置到指定堆放地点)、转运，公共设施设备日常保洁等工作。</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2、监督垃圾分类投放。</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九</w:t>
      </w:r>
      <w:r>
        <w:rPr>
          <w:rFonts w:hint="eastAsia" w:ascii="仿宋" w:hAnsi="仿宋" w:eastAsia="仿宋" w:cs="仿宋"/>
          <w:b/>
          <w:bCs/>
          <w:color w:val="000000"/>
          <w:sz w:val="24"/>
          <w:szCs w:val="24"/>
          <w:highlight w:val="none"/>
        </w:rPr>
        <w:t>条  房屋装饰装修管理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70" w:firstLineChars="196"/>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房屋装饰装修管理由乙方负责，并制定《房屋装饰装修管理办法》经甲方审定后执行。</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十</w:t>
      </w:r>
      <w:r>
        <w:rPr>
          <w:rFonts w:hint="eastAsia" w:ascii="仿宋" w:hAnsi="仿宋" w:eastAsia="仿宋" w:cs="仿宋"/>
          <w:b/>
          <w:bCs/>
          <w:color w:val="000000"/>
          <w:sz w:val="24"/>
          <w:szCs w:val="24"/>
          <w:highlight w:val="none"/>
        </w:rPr>
        <w:t>条  公共区域绿化的管理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负责对物业管理区域（含指定区域）内公用绿地、花木、建筑小品等的管理。</w:t>
      </w:r>
    </w:p>
    <w:p>
      <w:pPr>
        <w:keepNext w:val="0"/>
        <w:keepLines w:val="0"/>
        <w:pageBreakBefore w:val="0"/>
        <w:widowControl w:val="0"/>
        <w:shd w:val="clear"/>
        <w:tabs>
          <w:tab w:val="left" w:pos="2090"/>
        </w:tabs>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条  物业管理区域相关文化建设</w:t>
      </w:r>
    </w:p>
    <w:p>
      <w:pPr>
        <w:keepNext w:val="0"/>
        <w:keepLines w:val="0"/>
        <w:pageBreakBefore w:val="0"/>
        <w:widowControl w:val="0"/>
        <w:shd w:val="clear"/>
        <w:tabs>
          <w:tab w:val="left" w:pos="1360"/>
          <w:tab w:val="left" w:pos="209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1、负责对设立的各类宣传栏、告示牌、标识牌等标志牌进行维护。</w:t>
      </w:r>
    </w:p>
    <w:p>
      <w:pPr>
        <w:keepNext w:val="0"/>
        <w:keepLines w:val="0"/>
        <w:pageBreakBefore w:val="0"/>
        <w:widowControl w:val="0"/>
        <w:shd w:val="clear"/>
        <w:tabs>
          <w:tab w:val="left" w:pos="1360"/>
          <w:tab w:val="left" w:pos="209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2、负责开展相应的社区文化活动。</w:t>
      </w:r>
    </w:p>
    <w:p>
      <w:pPr>
        <w:keepNext w:val="0"/>
        <w:keepLines w:val="0"/>
        <w:pageBreakBefore w:val="0"/>
        <w:widowControl w:val="0"/>
        <w:shd w:val="clear"/>
        <w:tabs>
          <w:tab w:val="left" w:pos="1360"/>
          <w:tab w:val="left" w:pos="209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3、负责协助甲方开展文化建设的工作。</w:t>
      </w:r>
    </w:p>
    <w:p>
      <w:pPr>
        <w:keepNext w:val="0"/>
        <w:keepLines w:val="0"/>
        <w:pageBreakBefore w:val="0"/>
        <w:widowControl w:val="0"/>
        <w:shd w:val="clear"/>
        <w:tabs>
          <w:tab w:val="left" w:pos="1360"/>
          <w:tab w:val="left" w:pos="209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4、负责节假日的各类活动组织和氛围布置。</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第十</w:t>
      </w:r>
      <w:r>
        <w:rPr>
          <w:rFonts w:hint="eastAsia" w:ascii="仿宋" w:hAnsi="仿宋" w:eastAsia="仿宋" w:cs="仿宋"/>
          <w:b/>
          <w:bCs/>
          <w:color w:val="000000"/>
          <w:sz w:val="24"/>
          <w:szCs w:val="24"/>
          <w:highlight w:val="none"/>
          <w:lang w:val="en-US" w:eastAsia="zh-CN"/>
        </w:rPr>
        <w:t>二</w:t>
      </w:r>
      <w:r>
        <w:rPr>
          <w:rFonts w:hint="eastAsia" w:ascii="仿宋" w:hAnsi="仿宋" w:eastAsia="仿宋" w:cs="仿宋"/>
          <w:b/>
          <w:bCs/>
          <w:color w:val="000000"/>
          <w:sz w:val="24"/>
          <w:szCs w:val="24"/>
          <w:highlight w:val="none"/>
        </w:rPr>
        <w:t>条  物业相关资料管理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负责物业管理区域所有工程图纸、资料，竣工验收图纸、资料，设施设备维修、养护、运行资料，秩序维护和环境绿化资料，客户信息、账目等资料的完整并存档，并做好上述资料的保密工作。</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第十</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rPr>
        <w:t>条  收取相关费用</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乙方负责收取（</w:t>
      </w:r>
      <w:r>
        <w:rPr>
          <w:rFonts w:hint="eastAsia" w:ascii="仿宋" w:hAnsi="仿宋" w:eastAsia="仿宋" w:cs="仿宋"/>
          <w:color w:val="000000"/>
          <w:sz w:val="24"/>
          <w:szCs w:val="24"/>
          <w:highlight w:val="none"/>
          <w:lang w:eastAsia="zh-CN"/>
        </w:rPr>
        <w:t>催收</w:t>
      </w:r>
      <w:r>
        <w:rPr>
          <w:rFonts w:hint="eastAsia" w:ascii="仿宋" w:hAnsi="仿宋" w:eastAsia="仿宋" w:cs="仿宋"/>
          <w:color w:val="000000"/>
          <w:sz w:val="24"/>
          <w:szCs w:val="24"/>
          <w:highlight w:val="none"/>
        </w:rPr>
        <w:t>）下列费用：</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代表甲方</w:t>
      </w:r>
      <w:r>
        <w:rPr>
          <w:rFonts w:hint="eastAsia" w:ascii="仿宋" w:hAnsi="仿宋" w:eastAsia="仿宋" w:cs="仿宋"/>
          <w:sz w:val="24"/>
          <w:szCs w:val="24"/>
          <w:highlight w:val="none"/>
          <w:lang w:val="en-US" w:eastAsia="zh-CN"/>
        </w:rPr>
        <w:t>向各承租单位催收物业管理费、租金等费用</w:t>
      </w:r>
      <w:r>
        <w:rPr>
          <w:rFonts w:hint="eastAsia" w:ascii="仿宋" w:hAnsi="仿宋" w:eastAsia="仿宋" w:cs="仿宋"/>
          <w:color w:val="000000"/>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2、在合同期内，若甲方或物业使用人有新增增值服务内容，其收费标准由乙方和甲方或物业使用人协商议定，增值服务指甲方或物业使用人专属区域内的特定服务，如物业使用人室内清洁、维修、会议服务等。</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、负责其它政府规定由物业管理公司代为收取的相关费用。</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、负责收取与甲方、物业使用人约定的其他费用。</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第十</w:t>
      </w: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条  其他服务事项</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1、负责对甲方配备的物品、设施、设备（含室内家具、家电等）的实物进行管理及清点；涉及上述实物维修，负责联系维修单位、跟踪维修进度。 </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负责物业项目的水、电、气、收视费的抄表、计算、分摊、录入系统工作，配合甲方向物业使用人收费。</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、乙方配合联系施工单位对在工程质保期内物业项目质量缺陷进行维修，跟踪维修进度工作。</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4</w:t>
      </w:r>
      <w:r>
        <w:rPr>
          <w:rFonts w:hint="eastAsia" w:ascii="仿宋" w:hAnsi="仿宋" w:eastAsia="仿宋" w:cs="仿宋"/>
          <w:bCs/>
          <w:color w:val="000000"/>
          <w:sz w:val="24"/>
          <w:szCs w:val="24"/>
          <w:highlight w:val="none"/>
        </w:rPr>
        <w:t>、乙方协助甲方对物业项目水电等共用设施设备的维修改造。</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5</w:t>
      </w:r>
      <w:r>
        <w:rPr>
          <w:rFonts w:hint="eastAsia" w:ascii="仿宋" w:hAnsi="仿宋" w:eastAsia="仿宋" w:cs="仿宋"/>
          <w:bCs/>
          <w:color w:val="000000"/>
          <w:sz w:val="24"/>
          <w:szCs w:val="24"/>
          <w:highlight w:val="none"/>
        </w:rPr>
        <w:t>、乙方开展的增值服务工作，其服务项目、服务质量、收费标准等内容，须经甲方审核并接受甲方监督。</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6</w:t>
      </w:r>
      <w:r>
        <w:rPr>
          <w:rFonts w:hint="eastAsia" w:ascii="仿宋" w:hAnsi="仿宋" w:eastAsia="仿宋" w:cs="仿宋"/>
          <w:bCs/>
          <w:color w:val="000000"/>
          <w:sz w:val="24"/>
          <w:szCs w:val="24"/>
          <w:highlight w:val="none"/>
        </w:rPr>
        <w:t>、乙方应支持</w:t>
      </w:r>
      <w:r>
        <w:rPr>
          <w:rFonts w:hint="eastAsia" w:ascii="仿宋" w:hAnsi="仿宋" w:eastAsia="仿宋" w:cs="仿宋"/>
          <w:bCs/>
          <w:color w:val="000000"/>
          <w:sz w:val="24"/>
          <w:szCs w:val="24"/>
          <w:highlight w:val="none"/>
          <w:lang w:val="en-US" w:eastAsia="zh-CN"/>
        </w:rPr>
        <w:t>中心</w:t>
      </w:r>
      <w:r>
        <w:rPr>
          <w:rFonts w:hint="eastAsia" w:ascii="仿宋" w:hAnsi="仿宋" w:eastAsia="仿宋" w:cs="仿宋"/>
          <w:bCs/>
          <w:color w:val="000000"/>
          <w:sz w:val="24"/>
          <w:szCs w:val="24"/>
          <w:highlight w:val="none"/>
        </w:rPr>
        <w:t>发展，主动配合甲方做好招商、重大接待、社会稳定等工作。</w:t>
      </w:r>
    </w:p>
    <w:p>
      <w:pPr>
        <w:keepNext w:val="0"/>
        <w:keepLines w:val="0"/>
        <w:pageBreakBefore w:val="0"/>
        <w:widowControl w:val="0"/>
        <w:shd w:val="clear"/>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000000"/>
          <w:sz w:val="24"/>
          <w:szCs w:val="24"/>
          <w:highlight w:val="none"/>
          <w:u w:val="singl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rPr>
        <w:t>条</w:t>
      </w:r>
      <w:r>
        <w:rPr>
          <w:rFonts w:hint="eastAsia" w:ascii="仿宋" w:hAnsi="仿宋" w:eastAsia="仿宋" w:cs="仿宋"/>
          <w:color w:val="000000"/>
          <w:sz w:val="24"/>
          <w:szCs w:val="24"/>
          <w:highlight w:val="none"/>
        </w:rPr>
        <w:t xml:space="preserve">  法律法规规定由物业公司负责的其他事项。</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val="en-US" w:eastAsia="zh-CN"/>
        </w:rPr>
        <w:t>六</w:t>
      </w:r>
      <w:r>
        <w:rPr>
          <w:rFonts w:hint="eastAsia" w:ascii="仿宋" w:hAnsi="仿宋" w:eastAsia="仿宋" w:cs="仿宋"/>
          <w:b/>
          <w:color w:val="000000"/>
          <w:sz w:val="24"/>
          <w:szCs w:val="24"/>
          <w:highlight w:val="none"/>
        </w:rPr>
        <w:t>条</w:t>
      </w:r>
      <w:r>
        <w:rPr>
          <w:rFonts w:hint="eastAsia" w:ascii="仿宋" w:hAnsi="仿宋" w:eastAsia="仿宋" w:cs="仿宋"/>
          <w:bCs/>
          <w:color w:val="000000"/>
          <w:sz w:val="24"/>
          <w:szCs w:val="24"/>
          <w:highlight w:val="none"/>
        </w:rPr>
        <w:t xml:space="preserve">  未尽物业服务</w:t>
      </w:r>
      <w:r>
        <w:rPr>
          <w:rFonts w:hint="eastAsia" w:ascii="仿宋" w:hAnsi="仿宋" w:eastAsia="仿宋" w:cs="仿宋"/>
          <w:color w:val="000000"/>
          <w:sz w:val="24"/>
          <w:szCs w:val="24"/>
          <w:highlight w:val="none"/>
        </w:rPr>
        <w:t>事项由甲、乙双方协商解决。</w:t>
      </w: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第三章  物业服务期限</w:t>
      </w:r>
    </w:p>
    <w:p>
      <w:pPr>
        <w:keepNext w:val="0"/>
        <w:keepLines w:val="0"/>
        <w:pageBreakBefore w:val="0"/>
        <w:widowControl w:val="0"/>
        <w:shd w:val="clear"/>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第十</w:t>
      </w:r>
      <w:r>
        <w:rPr>
          <w:rFonts w:hint="eastAsia" w:ascii="仿宋" w:hAnsi="仿宋" w:eastAsia="仿宋" w:cs="仿宋"/>
          <w:b/>
          <w:bCs/>
          <w:color w:val="000000"/>
          <w:sz w:val="24"/>
          <w:szCs w:val="24"/>
          <w:highlight w:val="none"/>
          <w:lang w:val="en-US" w:eastAsia="zh-CN"/>
        </w:rPr>
        <w:t>七</w:t>
      </w:r>
      <w:r>
        <w:rPr>
          <w:rFonts w:hint="eastAsia" w:ascii="仿宋" w:hAnsi="仿宋" w:eastAsia="仿宋" w:cs="仿宋"/>
          <w:b/>
          <w:bCs/>
          <w:color w:val="000000"/>
          <w:sz w:val="24"/>
          <w:szCs w:val="24"/>
          <w:highlight w:val="none"/>
        </w:rPr>
        <w:t>条  物业服务期限</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物业服务期限：</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w:t>
      </w:r>
      <w:r>
        <w:rPr>
          <w:rFonts w:hint="eastAsia" w:ascii="仿宋" w:hAnsi="仿宋" w:eastAsia="仿宋" w:cs="仿宋"/>
          <w:color w:val="000000"/>
          <w:spacing w:val="-6"/>
          <w:sz w:val="24"/>
          <w:szCs w:val="24"/>
          <w:highlight w:val="none"/>
          <w:lang w:val="en-US" w:eastAsia="zh-CN"/>
        </w:rPr>
        <w:t>具体</w:t>
      </w:r>
      <w:r>
        <w:rPr>
          <w:rFonts w:hint="eastAsia" w:ascii="仿宋" w:hAnsi="仿宋" w:eastAsia="仿宋" w:cs="仿宋"/>
          <w:color w:val="000000"/>
          <w:spacing w:val="-6"/>
          <w:sz w:val="24"/>
          <w:szCs w:val="24"/>
          <w:highlight w:val="none"/>
        </w:rPr>
        <w:t>时间</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lang w:val="en-US" w:eastAsia="zh-CN"/>
        </w:rPr>
        <w:t>年</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lang w:val="en-US" w:eastAsia="zh-CN"/>
        </w:rPr>
        <w:t>月</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lang w:val="en-US" w:eastAsia="zh-CN"/>
        </w:rPr>
        <w:t>日至</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lang w:val="en-US" w:eastAsia="zh-CN"/>
        </w:rPr>
        <w:t>年</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lang w:val="en-US" w:eastAsia="zh-CN"/>
        </w:rPr>
        <w:t>月</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lang w:val="en-US" w:eastAsia="zh-CN"/>
        </w:rPr>
        <w:t>日</w:t>
      </w:r>
      <w:r>
        <w:rPr>
          <w:rFonts w:hint="eastAsia" w:ascii="仿宋" w:hAnsi="仿宋" w:eastAsia="仿宋" w:cs="仿宋"/>
          <w:color w:val="000000"/>
          <w:spacing w:val="-6"/>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color w:val="000000"/>
          <w:spacing w:val="-6"/>
          <w:sz w:val="24"/>
          <w:szCs w:val="24"/>
          <w:highlight w:val="none"/>
          <w:lang w:val="en-US" w:eastAsia="zh-CN"/>
        </w:rPr>
      </w:pPr>
      <w:r>
        <w:rPr>
          <w:rFonts w:hint="eastAsia" w:ascii="仿宋" w:hAnsi="仿宋" w:eastAsia="仿宋" w:cs="仿宋"/>
          <w:color w:val="000000"/>
          <w:spacing w:val="-6"/>
          <w:sz w:val="24"/>
          <w:szCs w:val="24"/>
          <w:highlight w:val="none"/>
          <w:lang w:val="en-US" w:eastAsia="zh-CN"/>
        </w:rPr>
        <w:t>年度合同期满后经采购人考核合格，自动履行下一年度合同。若考核（包括服务考核、费用催收考核）中出现连续三次及以上低于90分，则自动终止合同。</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第十</w:t>
      </w:r>
      <w:r>
        <w:rPr>
          <w:rFonts w:hint="eastAsia" w:ascii="仿宋" w:hAnsi="仿宋" w:eastAsia="仿宋" w:cs="仿宋"/>
          <w:b/>
          <w:color w:val="000000"/>
          <w:sz w:val="24"/>
          <w:szCs w:val="24"/>
          <w:highlight w:val="none"/>
          <w:lang w:val="en-US" w:eastAsia="zh-CN"/>
        </w:rPr>
        <w:t>八</w:t>
      </w:r>
      <w:r>
        <w:rPr>
          <w:rFonts w:hint="eastAsia" w:ascii="仿宋" w:hAnsi="仿宋" w:eastAsia="仿宋" w:cs="仿宋"/>
          <w:b/>
          <w:color w:val="000000"/>
          <w:sz w:val="24"/>
          <w:szCs w:val="24"/>
          <w:highlight w:val="none"/>
        </w:rPr>
        <w:t>条  交接时间</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lang w:val="en-US" w:eastAsia="zh-CN"/>
        </w:rPr>
        <w:t>具体</w:t>
      </w:r>
      <w:r>
        <w:rPr>
          <w:rFonts w:hint="eastAsia" w:ascii="仿宋" w:hAnsi="仿宋" w:eastAsia="仿宋" w:cs="仿宋"/>
          <w:color w:val="000000"/>
          <w:spacing w:val="-6"/>
          <w:sz w:val="24"/>
          <w:szCs w:val="24"/>
          <w:highlight w:val="none"/>
        </w:rPr>
        <w:t>时间以</w:t>
      </w:r>
      <w:r>
        <w:rPr>
          <w:rFonts w:hint="eastAsia" w:ascii="仿宋" w:hAnsi="仿宋" w:eastAsia="仿宋" w:cs="仿宋"/>
          <w:color w:val="000000"/>
          <w:spacing w:val="-6"/>
          <w:sz w:val="24"/>
          <w:szCs w:val="24"/>
          <w:highlight w:val="none"/>
          <w:lang w:val="en-US" w:eastAsia="zh-CN"/>
        </w:rPr>
        <w:t>甲乙双方加盖公章的交接时间</w:t>
      </w:r>
      <w:r>
        <w:rPr>
          <w:rFonts w:hint="eastAsia" w:ascii="仿宋" w:hAnsi="仿宋" w:eastAsia="仿宋" w:cs="仿宋"/>
          <w:color w:val="000000"/>
          <w:spacing w:val="-6"/>
          <w:sz w:val="24"/>
          <w:szCs w:val="24"/>
          <w:highlight w:val="none"/>
        </w:rPr>
        <w:t>为准，交接签字完毕后，现场管理责任由乙方负责（经甲方、乙方、原物业管理单位三方签字确认的交接资料作为合同附件）。</w:t>
      </w: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第四章  履约保证金</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val="en-US" w:eastAsia="zh-CN"/>
        </w:rPr>
        <w:t>十九</w:t>
      </w:r>
      <w:r>
        <w:rPr>
          <w:rFonts w:hint="eastAsia" w:ascii="仿宋" w:hAnsi="仿宋" w:eastAsia="仿宋" w:cs="仿宋"/>
          <w:b/>
          <w:color w:val="000000"/>
          <w:sz w:val="24"/>
          <w:szCs w:val="24"/>
          <w:highlight w:val="none"/>
        </w:rPr>
        <w:t>条  履约保证金</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合同生效前，乙方向甲方支付</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履约保证金；采用现金形式的，</w:t>
      </w:r>
      <w:r>
        <w:rPr>
          <w:rFonts w:hint="eastAsia" w:ascii="仿宋" w:hAnsi="仿宋" w:eastAsia="仿宋" w:cs="仿宋"/>
          <w:color w:val="000000"/>
          <w:sz w:val="24"/>
          <w:szCs w:val="24"/>
          <w:highlight w:val="none"/>
          <w:lang w:val="en-US" w:eastAsia="zh-CN"/>
        </w:rPr>
        <w:t>在</w:t>
      </w:r>
      <w:r>
        <w:rPr>
          <w:rFonts w:hint="eastAsia" w:ascii="仿宋" w:hAnsi="仿宋" w:eastAsia="仿宋" w:cs="仿宋"/>
          <w:color w:val="000000"/>
          <w:sz w:val="24"/>
          <w:szCs w:val="24"/>
          <w:highlight w:val="none"/>
        </w:rPr>
        <w:t>合同终止，双方完成交接，划清责任后，</w:t>
      </w:r>
      <w:r>
        <w:rPr>
          <w:rFonts w:hint="eastAsia" w:ascii="仿宋" w:hAnsi="仿宋" w:eastAsia="仿宋" w:cs="仿宋"/>
          <w:color w:val="000000"/>
          <w:sz w:val="24"/>
          <w:szCs w:val="24"/>
          <w:highlight w:val="none"/>
          <w:u w:val="single"/>
        </w:rPr>
        <w:t xml:space="preserve"> 三十个 </w:t>
      </w:r>
      <w:r>
        <w:rPr>
          <w:rFonts w:hint="eastAsia" w:ascii="仿宋" w:hAnsi="仿宋" w:eastAsia="仿宋" w:cs="仿宋"/>
          <w:color w:val="000000"/>
          <w:sz w:val="24"/>
          <w:szCs w:val="24"/>
          <w:highlight w:val="none"/>
        </w:rPr>
        <w:t>工作日内，甲方退还乙方履约保证金。采用保函形式的，</w:t>
      </w:r>
      <w:r>
        <w:rPr>
          <w:rFonts w:hint="eastAsia" w:ascii="仿宋" w:hAnsi="仿宋" w:eastAsia="仿宋" w:cs="仿宋"/>
          <w:color w:val="000000"/>
          <w:sz w:val="24"/>
          <w:szCs w:val="24"/>
          <w:highlight w:val="none"/>
          <w:lang w:val="en-US" w:eastAsia="zh-CN"/>
        </w:rPr>
        <w:t>在</w:t>
      </w:r>
      <w:r>
        <w:rPr>
          <w:rFonts w:hint="eastAsia" w:ascii="仿宋" w:hAnsi="仿宋" w:eastAsia="仿宋" w:cs="仿宋"/>
          <w:color w:val="000000"/>
          <w:sz w:val="24"/>
          <w:szCs w:val="24"/>
          <w:highlight w:val="none"/>
        </w:rPr>
        <w:t>合同终止，双方完成交接，划清责任后自动失效。</w:t>
      </w: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第五章  双方权利义务</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第二十条  甲方权利义务</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1、信守合同，享有合同赋予的权利，履行合同约定的义务。</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2、审定乙方拟定的物业服务年度计划及实施方案（含房屋共用部位、共用设施设备的运行、维护方案，安全管理方案等）。</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负责服务区域内设施设备与绿化的年检、养护工作，</w:t>
      </w:r>
      <w:r>
        <w:rPr>
          <w:rFonts w:hint="eastAsia" w:ascii="仿宋" w:hAnsi="仿宋" w:eastAsia="仿宋" w:cs="仿宋"/>
          <w:color w:val="000000"/>
          <w:sz w:val="24"/>
          <w:szCs w:val="24"/>
          <w:highlight w:val="none"/>
        </w:rPr>
        <w:t>编制</w:t>
      </w:r>
      <w:r>
        <w:rPr>
          <w:rFonts w:hint="eastAsia" w:ascii="仿宋" w:hAnsi="仿宋" w:eastAsia="仿宋" w:cs="仿宋"/>
          <w:color w:val="000000"/>
          <w:sz w:val="24"/>
          <w:szCs w:val="24"/>
          <w:highlight w:val="none"/>
          <w:lang w:val="en-US" w:eastAsia="zh-CN"/>
        </w:rPr>
        <w:t>设施设备的</w:t>
      </w:r>
      <w:r>
        <w:rPr>
          <w:rFonts w:hint="eastAsia" w:ascii="仿宋" w:hAnsi="仿宋" w:eastAsia="仿宋" w:cs="仿宋"/>
          <w:color w:val="000000"/>
          <w:sz w:val="24"/>
          <w:szCs w:val="24"/>
          <w:highlight w:val="none"/>
        </w:rPr>
        <w:t>大、中修方案。</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4、甲方负责监督检查乙方的物业服务工作。</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5、无偿向乙方提供物业管理用房（仅限物业管理使用）。</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6、负责处理本合同生效前发生的遗留问题。</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7、协助乙方做好物业管理工作和宣传教育等工作。</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8、负责配置物业启用时所需的</w:t>
      </w:r>
      <w:r>
        <w:rPr>
          <w:rFonts w:hint="eastAsia" w:ascii="仿宋" w:hAnsi="仿宋" w:eastAsia="仿宋" w:cs="仿宋"/>
          <w:color w:val="000000"/>
          <w:sz w:val="24"/>
          <w:szCs w:val="24"/>
          <w:highlight w:val="none"/>
          <w:lang w:val="en-US" w:eastAsia="zh-CN"/>
        </w:rPr>
        <w:t>开办物品、</w:t>
      </w:r>
      <w:r>
        <w:rPr>
          <w:rFonts w:hint="eastAsia" w:ascii="仿宋" w:hAnsi="仿宋" w:eastAsia="仿宋" w:cs="仿宋"/>
          <w:color w:val="000000"/>
          <w:sz w:val="24"/>
          <w:szCs w:val="24"/>
          <w:highlight w:val="none"/>
        </w:rPr>
        <w:t>灭火器、楼内公共区域垃圾桶</w:t>
      </w:r>
      <w:r>
        <w:rPr>
          <w:rFonts w:hint="eastAsia" w:ascii="仿宋" w:hAnsi="仿宋" w:eastAsia="仿宋" w:cs="仿宋"/>
          <w:color w:val="000000"/>
          <w:sz w:val="24"/>
          <w:szCs w:val="24"/>
          <w:highlight w:val="none"/>
          <w:lang w:val="en-US" w:eastAsia="zh-CN"/>
        </w:rPr>
        <w:t>和标识标牌</w:t>
      </w:r>
      <w:r>
        <w:rPr>
          <w:rFonts w:hint="eastAsia" w:ascii="仿宋" w:hAnsi="仿宋" w:eastAsia="仿宋" w:cs="仿宋"/>
          <w:color w:val="000000"/>
          <w:sz w:val="24"/>
          <w:szCs w:val="24"/>
          <w:highlight w:val="none"/>
        </w:rPr>
        <w:t>等。</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9、甲方根据对乙方的监督评分，支付乙方物业服务费。</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10、甲方配置的家电、家具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保安保洁低值易耗品及日常维修五金耗材</w:t>
      </w:r>
      <w:r>
        <w:rPr>
          <w:rFonts w:hint="eastAsia" w:ascii="仿宋" w:hAnsi="仿宋" w:eastAsia="仿宋" w:cs="仿宋"/>
          <w:color w:val="000000"/>
          <w:sz w:val="24"/>
          <w:szCs w:val="24"/>
          <w:highlight w:val="none"/>
        </w:rPr>
        <w:t>等物品，双方清点后并在清点交接备忘录上签字后移交给乙方进行管理。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11、不定期的对甲方委托管理的房屋使用情况进行抽查、核实，乙方应予以积极配合。</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12、甲方有权组织相关单位对乙方各项工作质量进行定期（每3个月）与不定期考核（考核标准详见附件：物业服务考核评分表）。</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第二十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条  乙方权利义务</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1、信守合同，享有合同赋予的权利，履行合同约定的义务。</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2、根据法律法规，按照物业服务内容和标准（见附件），制定相关管理制度，实施专业化管理、综合服务。</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乙方为本项目配置的全部人员（数量、年龄、资质、能力、经验）须严格按照招投标文件要求配备，且人员须常驻标段现场，如后期人员变动，变更后人员的数量、年龄、资质、能力、经验不能低于原名单人员标准，经甲方认可后变动，否则甲方可根据监督细则进行扣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4、负责编制物业服务年度计划，负责编制房屋共用部位、共用设施设备等的年度维修养护计划和实施方案，负责提供大、中修实施方案的建议，负责制定物业管理制度和项目物业管理规约。</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5、接受甲方的监督，每月向甲方报告履行合同情况和物业管理情况。</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6、向甲方和物业使用人告知物业使用的有关规定，当甲方和物业使用人装修物业时，按照装修管理规定，告知有关注意事项和禁止行为及限制条件，并负责监督。</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7、乙方</w:t>
      </w:r>
      <w:r>
        <w:rPr>
          <w:rFonts w:hint="eastAsia" w:ascii="仿宋" w:hAnsi="仿宋" w:eastAsia="仿宋" w:cs="仿宋"/>
          <w:color w:val="000000"/>
          <w:sz w:val="24"/>
          <w:szCs w:val="24"/>
          <w:highlight w:val="none"/>
          <w:lang w:val="en-US" w:eastAsia="zh-CN"/>
        </w:rPr>
        <w:t>负责对</w:t>
      </w:r>
      <w:r>
        <w:rPr>
          <w:rFonts w:hint="eastAsia" w:ascii="仿宋" w:hAnsi="仿宋" w:eastAsia="仿宋" w:cs="仿宋"/>
          <w:color w:val="000000"/>
          <w:sz w:val="24"/>
          <w:szCs w:val="24"/>
          <w:highlight w:val="none"/>
        </w:rPr>
        <w:t>物业管理区域内设施设备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电梯、消防、空调等特殊设备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与</w:t>
      </w:r>
      <w:r>
        <w:rPr>
          <w:rFonts w:hint="eastAsia" w:ascii="仿宋" w:hAnsi="仿宋" w:eastAsia="仿宋" w:cs="仿宋"/>
          <w:color w:val="000000"/>
          <w:sz w:val="24"/>
          <w:szCs w:val="24"/>
          <w:highlight w:val="none"/>
        </w:rPr>
        <w:t>绿化</w:t>
      </w:r>
      <w:r>
        <w:rPr>
          <w:rFonts w:hint="eastAsia" w:ascii="仿宋" w:hAnsi="仿宋" w:eastAsia="仿宋" w:cs="仿宋"/>
          <w:color w:val="000000"/>
          <w:sz w:val="24"/>
          <w:szCs w:val="24"/>
          <w:highlight w:val="none"/>
          <w:lang w:val="en-US" w:eastAsia="zh-CN"/>
        </w:rPr>
        <w:t>进行管理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在日常管理中发现损坏等不正常现象应及时与维修维保单位联系进行维修，协助维保单位完成年检及养护工作</w:t>
      </w:r>
      <w:r>
        <w:rPr>
          <w:rFonts w:hint="eastAsia" w:ascii="仿宋" w:hAnsi="仿宋" w:eastAsia="仿宋" w:cs="仿宋"/>
          <w:color w:val="00000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8、按合同相关约定，有权对物业使用人违反物业管理规约的行为进行处理。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9、在合同期内，按规定使用物业管理用房，损坏物业管理用房据实赔偿。</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10、物业管理（办公）用房（包括但不限于门岗、值班室、办公室、会议室等）使用过程中发生的水、电、气、通讯、网络等费用由乙方自行承担。</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11、做好物业管理区域内的安全防范工作，负责在发生火灾、汛灾、治安、刑事案件、环保等突发事件时，第一时间赶往现场做好前期应急处置工作，并及时报警、报告，做好相关协助工作。</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12、合同解除时，乙方必须向甲方移交管理用房及物业管理的全部档案资料，并与新物业公司完成物业项目移交工作。</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13、不得擅自占用物业共用部位、共用设施，不得改变其使用功能，不得擅自在物业管理区域内从事物业服务以外的经营活动，如需改动、扩建或完善的配套项目，须经甲方批准后方可组织实施。</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14、对于甲方提供给乙方使用或交由乙方保管的设施设备（包括但不限于消防、安防）和物品（含家具、家电等），因乙方使用、管理不善等自身原因造成损坏、丢失的，由乙方照价赔偿。</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、按照甲方的要求，乙方对物业使用人接房、退房进行管理。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、完成合同中约定的物业服务内容和达到物业服务的标准。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、乙方应严格审核其他业主和物业使用人的用电负荷增容申请，严禁物业使用人在未经许可的情况下，擅自增容、乱搭电源。</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.履行环保、安全管理职责。</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1、乙方应配合甲方监督检查其他业主和物业使用人（单位）环境保护管理的执行情况，负责对其他业主和物业使用人在生产、生活中产生的废水、废气、废弃物、油烟、噪音等影响环境的行为进行前期应急处置，如发现企业违反环保相关规定的，第一时间向</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报告，如需其停业整改的，配合环保部门监督其整改。</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、乙方项目经理须具备相应的安全生产知识和管理能力，并对服务管理范围内的安全生产工作全面负责。</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乙方应对工作人员进行安全生产教育和培训，保证从业人员具备必要的安全生产知识和能力，熟悉有关的安全生产规章制度和安全操作规程，掌握本岗位的安全操作技能。未经安全生产教育和培训合格的从业人员，不得上岗作业。</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、乙方特种设施设备作业人员必须按照国家有关规定经专门的安全作业培训，取得特种作业操作资格，方可上岗作业。</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kern w:val="2"/>
          <w:sz w:val="24"/>
          <w:szCs w:val="24"/>
          <w:highlight w:val="none"/>
          <w:lang w:val="en-US" w:eastAsia="zh-CN" w:bidi="ar-SA"/>
        </w:rPr>
        <w:t>19、</w:t>
      </w:r>
      <w:r>
        <w:rPr>
          <w:rFonts w:hint="eastAsia" w:ascii="仿宋" w:hAnsi="仿宋" w:eastAsia="仿宋" w:cs="仿宋"/>
          <w:bCs/>
          <w:color w:val="000000"/>
          <w:sz w:val="24"/>
          <w:szCs w:val="24"/>
          <w:highlight w:val="none"/>
          <w:lang w:eastAsia="zh-CN"/>
        </w:rPr>
        <w:t>冷水、热水、电</w:t>
      </w:r>
      <w:r>
        <w:rPr>
          <w:rFonts w:hint="eastAsia" w:ascii="仿宋" w:hAnsi="仿宋" w:eastAsia="仿宋" w:cs="仿宋"/>
          <w:bCs/>
          <w:color w:val="000000"/>
          <w:sz w:val="24"/>
          <w:szCs w:val="24"/>
          <w:highlight w:val="none"/>
          <w:lang w:val="en-US" w:eastAsia="zh-CN"/>
        </w:rPr>
        <w:t>表</w:t>
      </w:r>
      <w:r>
        <w:rPr>
          <w:rFonts w:hint="eastAsia" w:ascii="仿宋" w:hAnsi="仿宋" w:eastAsia="仿宋" w:cs="仿宋"/>
          <w:bCs/>
          <w:color w:val="000000"/>
          <w:sz w:val="24"/>
          <w:szCs w:val="24"/>
          <w:highlight w:val="none"/>
          <w:lang w:eastAsia="zh-CN"/>
        </w:rPr>
        <w:t>等账户过户给乙方，由乙方负责收支，</w:t>
      </w:r>
      <w:r>
        <w:rPr>
          <w:rFonts w:hint="eastAsia" w:ascii="仿宋" w:hAnsi="仿宋" w:eastAsia="仿宋" w:cs="仿宋"/>
          <w:bCs/>
          <w:color w:val="000000"/>
          <w:sz w:val="24"/>
          <w:szCs w:val="24"/>
          <w:highlight w:val="none"/>
          <w:lang w:val="en-US" w:eastAsia="zh-CN"/>
        </w:rPr>
        <w:t>合同期内的全部收支工作由乙方完成</w:t>
      </w:r>
      <w:r>
        <w:rPr>
          <w:rFonts w:hint="eastAsia" w:ascii="仿宋" w:hAnsi="仿宋" w:eastAsia="仿宋" w:cs="仿宋"/>
          <w:bCs/>
          <w:color w:val="000000"/>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lang w:val="en-US" w:eastAsia="zh-CN" w:bidi="ar-SA"/>
        </w:rPr>
        <w:t>20、</w:t>
      </w:r>
      <w:r>
        <w:rPr>
          <w:rFonts w:hint="eastAsia" w:ascii="仿宋" w:hAnsi="仿宋" w:eastAsia="仿宋" w:cs="仿宋"/>
          <w:color w:val="000000"/>
          <w:sz w:val="24"/>
          <w:szCs w:val="24"/>
          <w:highlight w:val="none"/>
        </w:rPr>
        <w:t>乙方负责对物业管理范围内的房屋及附属设施、消防系统、危化品、特种设备、给排水系统及附属设施、道路交通等安全管理，加强电动车辆进行管控，严禁电动车辆在物业管理区域内违规充电，严禁电动车辆停放在楼梯间和消防通道，严禁电动车辆进楼入。</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lang w:val="en-US" w:eastAsia="zh-CN" w:bidi="ar-SA"/>
        </w:rPr>
        <w:t>21、</w:t>
      </w:r>
      <w:r>
        <w:rPr>
          <w:rFonts w:hint="eastAsia" w:ascii="仿宋" w:hAnsi="仿宋" w:eastAsia="仿宋" w:cs="仿宋"/>
          <w:color w:val="000000"/>
          <w:sz w:val="24"/>
          <w:szCs w:val="24"/>
          <w:highlight w:val="none"/>
        </w:rPr>
        <w:t>上线运行智慧物业管理软件，实现房屋建筑共用部位、共用设施设备巡检、维修和维保，水电气费管理，入驻办理，报事报修，智能巡更，收费管理，线上投诉建议等功能。</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、接受甲方的物业服务相关监督管理。</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w:t>
      </w:r>
      <w:r>
        <w:rPr>
          <w:rFonts w:hint="eastAsia" w:ascii="仿宋" w:hAnsi="仿宋" w:eastAsia="仿宋" w:cs="仿宋"/>
          <w:bCs/>
          <w:color w:val="000000"/>
          <w:sz w:val="24"/>
          <w:szCs w:val="24"/>
          <w:highlight w:val="none"/>
        </w:rPr>
        <w:t>根据甲方要求，乙方应向物业使用人发放或张贴各类通知、公告。</w:t>
      </w: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第六章  物业服务内容及标准</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第二十</w:t>
      </w: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rPr>
        <w:t>条  服务内容及质量标准</w:t>
      </w:r>
    </w:p>
    <w:p>
      <w:pPr>
        <w:keepNext w:val="0"/>
        <w:keepLines w:val="0"/>
        <w:pageBreakBefore w:val="0"/>
        <w:widowControl w:val="0"/>
        <w:shd w:val="clear"/>
        <w:tabs>
          <w:tab w:val="left" w:pos="570"/>
        </w:tabs>
        <w:kinsoku/>
        <w:wordWrap/>
        <w:overflowPunct/>
        <w:topLinePunct w:val="0"/>
        <w:autoSpaceDE/>
        <w:autoSpaceDN/>
        <w:bidi w:val="0"/>
        <w:adjustRightInd/>
        <w:snapToGrid w:val="0"/>
        <w:spacing w:line="440" w:lineRule="exact"/>
        <w:ind w:firstLine="615"/>
        <w:jc w:val="left"/>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pacing w:val="-6"/>
          <w:sz w:val="24"/>
          <w:szCs w:val="24"/>
          <w:highlight w:val="none"/>
        </w:rPr>
        <w:t>甲方委托乙方的物业服务内容和标准（见附件）。</w:t>
      </w: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第七章  物业服务费及其他费用</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第二十</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条</w:t>
      </w:r>
      <w:r>
        <w:rPr>
          <w:rFonts w:hint="eastAsia" w:ascii="仿宋" w:hAnsi="仿宋" w:eastAsia="仿宋" w:cs="仿宋"/>
          <w:bCs/>
          <w:color w:val="000000"/>
          <w:sz w:val="24"/>
          <w:szCs w:val="24"/>
          <w:highlight w:val="none"/>
        </w:rPr>
        <w:t xml:space="preserve">  </w:t>
      </w:r>
      <w:r>
        <w:rPr>
          <w:rFonts w:hint="eastAsia" w:ascii="仿宋" w:hAnsi="仿宋" w:eastAsia="仿宋" w:cs="仿宋"/>
          <w:b/>
          <w:color w:val="000000"/>
          <w:sz w:val="24"/>
          <w:szCs w:val="24"/>
          <w:highlight w:val="none"/>
        </w:rPr>
        <w:t>物业服务费及其他费用</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rPr>
        <w:t xml:space="preserve">物业服务费 </w:t>
      </w:r>
    </w:p>
    <w:p>
      <w:pPr>
        <w:keepNext w:val="0"/>
        <w:keepLines w:val="0"/>
        <w:pageBreakBefore w:val="0"/>
        <w:widowControl w:val="0"/>
        <w:shd w:val="clear"/>
        <w:tabs>
          <w:tab w:val="right" w:pos="7826"/>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乙方向甲方收取物业费，每3个月费用结算分为保底费用(50%)、考核费用(50%) 等两部分（其中考核费用(50%)分为服务考核30%、费用催收（租金及物业费）费用20%）。</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考核费用结算金额=当期物业费用*30%*服务考核得分/100+当期费用催收（租金及物业费）费用*20%*有效计收率</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注：有效计收率=有效计收/产生费用起90天内的计收金额（租金及物业费）</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960" w:firstLineChars="4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有效计收：从产生费用之日起90天内到账的金额（租金及物业费）</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物业费结算方式：</w:t>
      </w:r>
      <w:r>
        <w:rPr>
          <w:rFonts w:hint="eastAsia" w:ascii="仿宋" w:hAnsi="仿宋" w:eastAsia="仿宋" w:cs="仿宋"/>
          <w:color w:val="000000"/>
          <w:sz w:val="24"/>
          <w:szCs w:val="24"/>
          <w:highlight w:val="none"/>
          <w:lang w:val="en-US" w:eastAsia="zh-CN"/>
        </w:rPr>
        <w:t>考核通过后，费用每3个月结算一次，结算时间为每3个月末，甲方在结算完成且乙方提供增值税专用发票后及时支付</w:t>
      </w:r>
      <w:r>
        <w:rPr>
          <w:rFonts w:hint="eastAsia" w:ascii="仿宋" w:hAnsi="仿宋" w:eastAsia="仿宋" w:cs="仿宋"/>
          <w:bCs/>
          <w:color w:val="00000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4、增值服务费：增值服务指甲方和物业使用人专属区域内的特定服务，如物业使用人室内清洁、室内维修、秩序维护等，</w:t>
      </w:r>
      <w:r>
        <w:rPr>
          <w:rFonts w:hint="eastAsia" w:ascii="仿宋" w:hAnsi="仿宋" w:eastAsia="仿宋" w:cs="仿宋"/>
          <w:bCs/>
          <w:color w:val="000000"/>
          <w:sz w:val="24"/>
          <w:szCs w:val="24"/>
          <w:highlight w:val="none"/>
          <w:lang w:val="en-US" w:eastAsia="zh-CN"/>
        </w:rPr>
        <w:t>除与甲方确认公示的有偿服务外，</w:t>
      </w:r>
      <w:r>
        <w:rPr>
          <w:rFonts w:hint="eastAsia" w:ascii="仿宋" w:hAnsi="仿宋" w:eastAsia="仿宋" w:cs="仿宋"/>
          <w:bCs/>
          <w:color w:val="000000"/>
          <w:sz w:val="24"/>
          <w:szCs w:val="24"/>
          <w:highlight w:val="none"/>
        </w:rPr>
        <w:t>其</w:t>
      </w:r>
      <w:r>
        <w:rPr>
          <w:rFonts w:hint="eastAsia" w:ascii="仿宋" w:hAnsi="仿宋" w:eastAsia="仿宋" w:cs="仿宋"/>
          <w:bCs/>
          <w:color w:val="000000"/>
          <w:sz w:val="24"/>
          <w:szCs w:val="24"/>
          <w:highlight w:val="none"/>
          <w:lang w:val="en-US" w:eastAsia="zh-CN"/>
        </w:rPr>
        <w:t>它</w:t>
      </w:r>
      <w:r>
        <w:rPr>
          <w:rFonts w:hint="eastAsia" w:ascii="仿宋" w:hAnsi="仿宋" w:eastAsia="仿宋" w:cs="仿宋"/>
          <w:bCs/>
          <w:color w:val="000000"/>
          <w:sz w:val="24"/>
          <w:szCs w:val="24"/>
          <w:highlight w:val="none"/>
        </w:rPr>
        <w:t>增值服务费用乙方不得强行实行收费，服务内容和收费标准由乙方和接受服务方协商议定。</w:t>
      </w: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第八章  维修、维保责任</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第二十</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rPr>
        <w:t>条  甲方维修责任</w:t>
      </w:r>
    </w:p>
    <w:p>
      <w:pPr>
        <w:keepNext w:val="0"/>
        <w:keepLines w:val="0"/>
        <w:pageBreakBefore w:val="0"/>
        <w:widowControl w:val="0"/>
        <w:numPr>
          <w:ilvl w:val="0"/>
          <w:numId w:val="8"/>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屋面、墙面、楼面漏水维修；</w:t>
      </w:r>
    </w:p>
    <w:p>
      <w:pPr>
        <w:keepNext w:val="0"/>
        <w:keepLines w:val="0"/>
        <w:pageBreakBefore w:val="0"/>
        <w:widowControl w:val="0"/>
        <w:numPr>
          <w:ilvl w:val="0"/>
          <w:numId w:val="8"/>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房屋外墙面维修（包括外墙饰面、涂料、幕墙、门窗、空调机位百叶或格栅或栏杆、雨棚、外墙给排水管道）；</w:t>
      </w:r>
    </w:p>
    <w:p>
      <w:pPr>
        <w:keepNext w:val="0"/>
        <w:keepLines w:val="0"/>
        <w:pageBreakBefore w:val="0"/>
        <w:widowControl w:val="0"/>
        <w:numPr>
          <w:ilvl w:val="0"/>
          <w:numId w:val="8"/>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地（路）面沉降、塌陷维修；</w:t>
      </w:r>
    </w:p>
    <w:p>
      <w:pPr>
        <w:keepNext w:val="0"/>
        <w:keepLines w:val="0"/>
        <w:pageBreakBefore w:val="0"/>
        <w:widowControl w:val="0"/>
        <w:numPr>
          <w:ilvl w:val="0"/>
          <w:numId w:val="8"/>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房屋、地（路）面埋设的给排水管道维修；</w:t>
      </w:r>
    </w:p>
    <w:p>
      <w:pPr>
        <w:keepNext w:val="0"/>
        <w:keepLines w:val="0"/>
        <w:pageBreakBefore w:val="0"/>
        <w:widowControl w:val="0"/>
        <w:numPr>
          <w:ilvl w:val="0"/>
          <w:numId w:val="8"/>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质保期内的</w:t>
      </w:r>
      <w:r>
        <w:rPr>
          <w:rFonts w:hint="eastAsia" w:ascii="仿宋" w:hAnsi="仿宋" w:eastAsia="仿宋" w:cs="仿宋"/>
          <w:color w:val="000000"/>
          <w:sz w:val="24"/>
          <w:szCs w:val="24"/>
          <w:highlight w:val="none"/>
          <w:lang w:val="en-US" w:eastAsia="zh-CN"/>
        </w:rPr>
        <w:t>年检、养护与</w:t>
      </w:r>
      <w:r>
        <w:rPr>
          <w:rFonts w:hint="eastAsia" w:ascii="仿宋" w:hAnsi="仿宋" w:eastAsia="仿宋" w:cs="仿宋"/>
          <w:color w:val="000000"/>
          <w:sz w:val="24"/>
          <w:szCs w:val="24"/>
          <w:highlight w:val="none"/>
        </w:rPr>
        <w:t>维修；</w:t>
      </w:r>
    </w:p>
    <w:p>
      <w:pPr>
        <w:keepNext w:val="0"/>
        <w:keepLines w:val="0"/>
        <w:pageBreakBefore w:val="0"/>
        <w:widowControl w:val="0"/>
        <w:numPr>
          <w:ilvl w:val="0"/>
          <w:numId w:val="8"/>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因甲方原因要求停用的设施设备，停用后的维修及再次启动产生的检验费。</w:t>
      </w:r>
    </w:p>
    <w:p>
      <w:pPr>
        <w:keepNext w:val="0"/>
        <w:keepLines w:val="0"/>
        <w:pageBreakBefore w:val="0"/>
        <w:widowControl w:val="0"/>
        <w:numPr>
          <w:ilvl w:val="0"/>
          <w:numId w:val="8"/>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因甲方原因（包括不限于结构加固、招商需要、品质提升等）需要维修、更新、改造的。</w:t>
      </w:r>
    </w:p>
    <w:p>
      <w:pPr>
        <w:keepNext w:val="0"/>
        <w:keepLines w:val="0"/>
        <w:pageBreakBefore w:val="0"/>
        <w:widowControl w:val="0"/>
        <w:numPr>
          <w:ilvl w:val="0"/>
          <w:numId w:val="8"/>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共用部位及附属设施、共用设施设备维修综合费用中的材料费、测试费、调试费、检测费</w:t>
      </w:r>
      <w:r>
        <w:rPr>
          <w:rFonts w:hint="eastAsia" w:ascii="仿宋" w:hAnsi="仿宋" w:eastAsia="仿宋" w:cs="仿宋"/>
          <w:color w:val="000000"/>
          <w:sz w:val="24"/>
          <w:szCs w:val="24"/>
          <w:highlight w:val="none"/>
          <w:lang w:val="en-US" w:eastAsia="zh-CN"/>
        </w:rPr>
        <w:t>等</w:t>
      </w:r>
      <w:r>
        <w:rPr>
          <w:rFonts w:hint="eastAsia" w:ascii="仿宋" w:hAnsi="仿宋" w:eastAsia="仿宋" w:cs="仿宋"/>
          <w:color w:val="00000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第二十</w:t>
      </w: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rPr>
        <w:t>条  乙方维修责任</w:t>
      </w:r>
    </w:p>
    <w:p>
      <w:pPr>
        <w:keepNext w:val="0"/>
        <w:keepLines w:val="0"/>
        <w:pageBreakBefore w:val="0"/>
        <w:widowControl w:val="0"/>
        <w:numPr>
          <w:ilvl w:val="0"/>
          <w:numId w:val="9"/>
        </w:numPr>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共用部位及附属设施、共用设施设备</w:t>
      </w:r>
      <w:r>
        <w:rPr>
          <w:rFonts w:hint="eastAsia" w:ascii="仿宋" w:hAnsi="仿宋" w:eastAsia="仿宋" w:cs="仿宋"/>
          <w:color w:val="000000"/>
          <w:sz w:val="24"/>
          <w:szCs w:val="24"/>
          <w:highlight w:val="none"/>
          <w:lang w:val="en-US" w:eastAsia="zh-CN"/>
        </w:rPr>
        <w:t>日常维修</w:t>
      </w:r>
      <w:r>
        <w:rPr>
          <w:rFonts w:hint="eastAsia" w:ascii="仿宋" w:hAnsi="仿宋" w:eastAsia="仿宋" w:cs="仿宋"/>
          <w:color w:val="000000"/>
          <w:sz w:val="24"/>
          <w:szCs w:val="24"/>
          <w:highlight w:val="none"/>
        </w:rPr>
        <w:t>由乙方负责。</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在日常管理与巡检中，一般小修乙方负责完成，维修所需耗材由甲方配置或向甲方领用，做好记录</w:t>
      </w:r>
      <w:r>
        <w:rPr>
          <w:rFonts w:hint="eastAsia" w:ascii="仿宋" w:hAnsi="仿宋" w:eastAsia="仿宋" w:cs="仿宋"/>
          <w:color w:val="00000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涉及设施设备年检、修保等日常性工作由乙方承担；涉及设施设备中大修的，乙方需协助甲方与相关单位完成工作，全程跟进并做好记录</w:t>
      </w:r>
      <w:r>
        <w:rPr>
          <w:rFonts w:hint="eastAsia" w:ascii="仿宋" w:hAnsi="仿宋" w:eastAsia="仿宋" w:cs="仿宋"/>
          <w:color w:val="00000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与物业使用人或公寓内上门维修的标准与费用，需按与甲方确认后的公示标准执行</w:t>
      </w:r>
      <w:r>
        <w:rPr>
          <w:rFonts w:hint="eastAsia" w:ascii="仿宋" w:hAnsi="仿宋" w:eastAsia="仿宋" w:cs="仿宋"/>
          <w:color w:val="00000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第九章  违约责任</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第二十</w:t>
      </w:r>
      <w:r>
        <w:rPr>
          <w:rFonts w:hint="eastAsia" w:ascii="仿宋" w:hAnsi="仿宋" w:eastAsia="仿宋" w:cs="仿宋"/>
          <w:b/>
          <w:bCs/>
          <w:color w:val="000000"/>
          <w:sz w:val="24"/>
          <w:szCs w:val="24"/>
          <w:highlight w:val="none"/>
          <w:lang w:val="en-US" w:eastAsia="zh-CN"/>
        </w:rPr>
        <w:t>六</w:t>
      </w:r>
      <w:r>
        <w:rPr>
          <w:rFonts w:hint="eastAsia" w:ascii="仿宋" w:hAnsi="仿宋" w:eastAsia="仿宋" w:cs="仿宋"/>
          <w:b/>
          <w:bCs/>
          <w:color w:val="000000"/>
          <w:sz w:val="24"/>
          <w:szCs w:val="24"/>
          <w:highlight w:val="none"/>
        </w:rPr>
        <w:t>条</w:t>
      </w:r>
      <w:r>
        <w:rPr>
          <w:rFonts w:hint="eastAsia" w:ascii="仿宋" w:hAnsi="仿宋" w:eastAsia="仿宋" w:cs="仿宋"/>
          <w:color w:val="000000"/>
          <w:sz w:val="24"/>
          <w:szCs w:val="24"/>
          <w:highlight w:val="none"/>
        </w:rPr>
        <w:t xml:space="preserve">  乙方从合同约定的物业服务期限起始时间起算，每12个月内连续两次或累计三次考核不合格，甲方可单方面终止合同；造成甲方经济损失的，乙方应承担责任并支付甲方相应的经济赔偿。</w:t>
      </w:r>
    </w:p>
    <w:p>
      <w:pPr>
        <w:keepNext w:val="0"/>
        <w:keepLines w:val="0"/>
        <w:pageBreakBefore w:val="0"/>
        <w:widowControl w:val="0"/>
        <w:shd w:val="clear"/>
        <w:tabs>
          <w:tab w:val="left" w:pos="95"/>
        </w:tabs>
        <w:kinsoku/>
        <w:wordWrap/>
        <w:overflowPunct/>
        <w:topLinePunct w:val="0"/>
        <w:autoSpaceDE/>
        <w:autoSpaceDN/>
        <w:bidi w:val="0"/>
        <w:adjustRightInd/>
        <w:snapToGrid w:val="0"/>
        <w:spacing w:line="440" w:lineRule="exact"/>
        <w:ind w:firstLine="1"/>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rPr>
        <w:t>第二十</w:t>
      </w:r>
      <w:r>
        <w:rPr>
          <w:rFonts w:hint="eastAsia" w:ascii="仿宋" w:hAnsi="仿宋" w:eastAsia="仿宋" w:cs="仿宋"/>
          <w:b/>
          <w:bCs/>
          <w:color w:val="000000"/>
          <w:sz w:val="24"/>
          <w:szCs w:val="24"/>
          <w:highlight w:val="none"/>
          <w:lang w:val="en-US" w:eastAsia="zh-CN"/>
        </w:rPr>
        <w:t>七</w:t>
      </w:r>
      <w:r>
        <w:rPr>
          <w:rFonts w:hint="eastAsia" w:ascii="仿宋" w:hAnsi="仿宋" w:eastAsia="仿宋" w:cs="仿宋"/>
          <w:b/>
          <w:bCs/>
          <w:color w:val="000000"/>
          <w:sz w:val="24"/>
          <w:szCs w:val="24"/>
          <w:highlight w:val="none"/>
        </w:rPr>
        <w:t>条</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乙方应按照投标承诺派遣人员，如乙方人员因发生重大安全事故、生病住院、终止劳动合同关系等无法继续履职的，乙方应向甲方提出申请，且更换的人员综合条件应等同于或优于投标承诺；如乙方未经甲方同意擅自更换，按每更换一人次扣除履约担保金额的5%；如发生三次乙方擅自更换人员的，甲方可单方面解除合同，所有履约担保金归甲方，并赔偿给甲方造成的损失。</w:t>
      </w:r>
    </w:p>
    <w:p>
      <w:pPr>
        <w:keepNext w:val="0"/>
        <w:keepLines w:val="0"/>
        <w:pageBreakBefore w:val="0"/>
        <w:widowControl w:val="0"/>
        <w:shd w:val="clear"/>
        <w:tabs>
          <w:tab w:val="left" w:pos="95"/>
        </w:tabs>
        <w:kinsoku/>
        <w:wordWrap/>
        <w:overflowPunct/>
        <w:topLinePunct w:val="0"/>
        <w:autoSpaceDE/>
        <w:autoSpaceDN/>
        <w:bidi w:val="0"/>
        <w:adjustRightInd/>
        <w:snapToGrid w:val="0"/>
        <w:spacing w:line="440" w:lineRule="exact"/>
        <w:ind w:firstLine="1"/>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第二十</w:t>
      </w:r>
      <w:r>
        <w:rPr>
          <w:rFonts w:hint="eastAsia" w:ascii="仿宋" w:hAnsi="仿宋" w:eastAsia="仿宋" w:cs="仿宋"/>
          <w:b/>
          <w:bCs/>
          <w:color w:val="000000"/>
          <w:sz w:val="24"/>
          <w:szCs w:val="24"/>
          <w:highlight w:val="none"/>
          <w:lang w:val="en-US" w:eastAsia="zh-CN"/>
        </w:rPr>
        <w:t>八</w:t>
      </w:r>
      <w:r>
        <w:rPr>
          <w:rFonts w:hint="eastAsia" w:ascii="仿宋" w:hAnsi="仿宋" w:eastAsia="仿宋" w:cs="仿宋"/>
          <w:b/>
          <w:bCs/>
          <w:color w:val="000000"/>
          <w:sz w:val="24"/>
          <w:szCs w:val="24"/>
          <w:highlight w:val="none"/>
        </w:rPr>
        <w:t>条</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color w:val="000000"/>
          <w:sz w:val="24"/>
          <w:szCs w:val="24"/>
          <w:highlight w:val="none"/>
        </w:rPr>
        <w:t>乙方应加强员工安全培训，增强安全意识，做好安全风险管控和火灾、汛灾、疫情、治安、刑事案件、环保等突发事件的应急处置。若因乙方管理不善发生一般安全责任事故（经相关行政部门认定）或造成社会影响，由甲方从</w:t>
      </w:r>
      <w:r>
        <w:rPr>
          <w:rFonts w:hint="eastAsia" w:ascii="仿宋" w:hAnsi="仿宋" w:eastAsia="仿宋" w:cs="仿宋"/>
          <w:color w:val="000000"/>
          <w:sz w:val="24"/>
          <w:szCs w:val="24"/>
          <w:highlight w:val="none"/>
          <w:lang w:eastAsia="zh-CN"/>
        </w:rPr>
        <w:t>当期</w:t>
      </w:r>
      <w:r>
        <w:rPr>
          <w:rFonts w:hint="eastAsia" w:ascii="仿宋" w:hAnsi="仿宋" w:eastAsia="仿宋" w:cs="仿宋"/>
          <w:color w:val="000000"/>
          <w:sz w:val="24"/>
          <w:szCs w:val="24"/>
          <w:highlight w:val="none"/>
        </w:rPr>
        <w:t>支付的物业费中扣除</w:t>
      </w:r>
      <w:r>
        <w:rPr>
          <w:rFonts w:hint="eastAsia" w:ascii="仿宋" w:hAnsi="仿宋" w:eastAsia="仿宋" w:cs="仿宋"/>
          <w:color w:val="000000"/>
          <w:sz w:val="24"/>
          <w:szCs w:val="24"/>
          <w:highlight w:val="none"/>
          <w:lang w:val="en-US" w:eastAsia="zh-CN"/>
        </w:rPr>
        <w:t>1%作为处罚金</w:t>
      </w:r>
      <w:r>
        <w:rPr>
          <w:rFonts w:hint="eastAsia" w:ascii="仿宋" w:hAnsi="仿宋" w:eastAsia="仿宋" w:cs="仿宋"/>
          <w:color w:val="000000"/>
          <w:sz w:val="24"/>
          <w:szCs w:val="24"/>
          <w:highlight w:val="none"/>
        </w:rPr>
        <w:t>，并要求乙方赔偿相应的经济损失；若发生较大及以上安全责任事故（经相关行政部门认定）或造成较大社会影响的，甲方扣除乙方</w:t>
      </w:r>
      <w:r>
        <w:rPr>
          <w:rFonts w:hint="eastAsia" w:ascii="仿宋" w:hAnsi="仿宋" w:eastAsia="仿宋" w:cs="仿宋"/>
          <w:color w:val="000000"/>
          <w:sz w:val="24"/>
          <w:szCs w:val="24"/>
          <w:highlight w:val="none"/>
          <w:lang w:eastAsia="zh-CN"/>
        </w:rPr>
        <w:t>当期</w:t>
      </w:r>
      <w:r>
        <w:rPr>
          <w:rFonts w:hint="eastAsia" w:ascii="仿宋" w:hAnsi="仿宋" w:eastAsia="仿宋" w:cs="仿宋"/>
          <w:color w:val="000000"/>
          <w:sz w:val="24"/>
          <w:szCs w:val="24"/>
          <w:highlight w:val="none"/>
        </w:rPr>
        <w:t>物业费，并要求乙方赔偿相应的经济损失，且甲方有权终止合同。</w:t>
      </w:r>
    </w:p>
    <w:p>
      <w:pPr>
        <w:keepNext w:val="0"/>
        <w:keepLines w:val="0"/>
        <w:pageBreakBefore w:val="0"/>
        <w:widowControl w:val="0"/>
        <w:shd w:val="clear"/>
        <w:tabs>
          <w:tab w:val="left" w:pos="95"/>
        </w:tabs>
        <w:kinsoku/>
        <w:wordWrap/>
        <w:overflowPunct/>
        <w:topLinePunct w:val="0"/>
        <w:autoSpaceDE/>
        <w:autoSpaceDN/>
        <w:bidi w:val="0"/>
        <w:adjustRightInd/>
        <w:snapToGrid w:val="0"/>
        <w:spacing w:line="440" w:lineRule="exact"/>
        <w:ind w:firstLine="1"/>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第二十</w:t>
      </w:r>
      <w:r>
        <w:rPr>
          <w:rFonts w:hint="eastAsia" w:ascii="仿宋" w:hAnsi="仿宋" w:eastAsia="仿宋" w:cs="仿宋"/>
          <w:b/>
          <w:bCs/>
          <w:color w:val="000000"/>
          <w:sz w:val="24"/>
          <w:szCs w:val="24"/>
          <w:highlight w:val="none"/>
          <w:lang w:val="en-US" w:eastAsia="zh-CN"/>
        </w:rPr>
        <w:t>九</w:t>
      </w:r>
      <w:r>
        <w:rPr>
          <w:rFonts w:hint="eastAsia" w:ascii="仿宋" w:hAnsi="仿宋" w:eastAsia="仿宋" w:cs="仿宋"/>
          <w:b/>
          <w:bCs/>
          <w:color w:val="000000"/>
          <w:sz w:val="24"/>
          <w:szCs w:val="24"/>
          <w:highlight w:val="none"/>
        </w:rPr>
        <w:t>条</w:t>
      </w:r>
      <w:r>
        <w:rPr>
          <w:rFonts w:hint="eastAsia" w:ascii="仿宋" w:hAnsi="仿宋" w:eastAsia="仿宋" w:cs="仿宋"/>
          <w:color w:val="000000"/>
          <w:sz w:val="24"/>
          <w:szCs w:val="24"/>
          <w:highlight w:val="none"/>
        </w:rPr>
        <w:t xml:space="preserve">  乙方应重视社会稳定工作，具备维稳能力和意识。</w:t>
      </w:r>
      <w:r>
        <w:rPr>
          <w:rFonts w:hint="eastAsia" w:ascii="仿宋" w:hAnsi="仿宋" w:eastAsia="仿宋" w:cs="仿宋"/>
          <w:color w:val="000000"/>
          <w:kern w:val="0"/>
          <w:sz w:val="24"/>
          <w:szCs w:val="24"/>
          <w:highlight w:val="none"/>
        </w:rPr>
        <w:t>若因乙方管理、服务不善发生一般稳定责任事件（经相关行政部门认定）并造成影响，由甲方从</w:t>
      </w:r>
      <w:r>
        <w:rPr>
          <w:rFonts w:hint="eastAsia" w:ascii="仿宋" w:hAnsi="仿宋" w:eastAsia="仿宋" w:cs="仿宋"/>
          <w:color w:val="000000"/>
          <w:kern w:val="0"/>
          <w:sz w:val="24"/>
          <w:szCs w:val="24"/>
          <w:highlight w:val="none"/>
          <w:lang w:eastAsia="zh-CN"/>
        </w:rPr>
        <w:t>当期</w:t>
      </w:r>
      <w:r>
        <w:rPr>
          <w:rFonts w:hint="eastAsia" w:ascii="仿宋" w:hAnsi="仿宋" w:eastAsia="仿宋" w:cs="仿宋"/>
          <w:color w:val="000000"/>
          <w:kern w:val="0"/>
          <w:sz w:val="24"/>
          <w:szCs w:val="24"/>
          <w:highlight w:val="none"/>
        </w:rPr>
        <w:t>支付的物业费中扣除</w:t>
      </w:r>
      <w:r>
        <w:rPr>
          <w:rFonts w:hint="eastAsia" w:ascii="仿宋" w:hAnsi="仿宋" w:eastAsia="仿宋" w:cs="仿宋"/>
          <w:color w:val="000000"/>
          <w:sz w:val="24"/>
          <w:szCs w:val="24"/>
          <w:highlight w:val="none"/>
          <w:lang w:val="en-US" w:eastAsia="zh-CN"/>
        </w:rPr>
        <w:t>1%作为处罚金</w:t>
      </w:r>
      <w:r>
        <w:rPr>
          <w:rFonts w:hint="eastAsia" w:ascii="仿宋" w:hAnsi="仿宋" w:eastAsia="仿宋" w:cs="仿宋"/>
          <w:color w:val="000000"/>
          <w:kern w:val="0"/>
          <w:sz w:val="24"/>
          <w:szCs w:val="24"/>
          <w:highlight w:val="none"/>
        </w:rPr>
        <w:t>；发生较大以上稳定责任事件（经相关行政部门认定）并造成较大社会影响的，</w:t>
      </w:r>
      <w:r>
        <w:rPr>
          <w:rFonts w:hint="eastAsia" w:ascii="仿宋" w:hAnsi="仿宋" w:eastAsia="仿宋" w:cs="仿宋"/>
          <w:color w:val="000000"/>
          <w:sz w:val="24"/>
          <w:szCs w:val="24"/>
          <w:highlight w:val="none"/>
        </w:rPr>
        <w:t>甲方扣除乙方</w:t>
      </w:r>
      <w:r>
        <w:rPr>
          <w:rFonts w:hint="eastAsia" w:ascii="仿宋" w:hAnsi="仿宋" w:eastAsia="仿宋" w:cs="仿宋"/>
          <w:color w:val="000000"/>
          <w:sz w:val="24"/>
          <w:szCs w:val="24"/>
          <w:highlight w:val="none"/>
          <w:lang w:eastAsia="zh-CN"/>
        </w:rPr>
        <w:t>当期</w:t>
      </w:r>
      <w:r>
        <w:rPr>
          <w:rFonts w:hint="eastAsia" w:ascii="仿宋" w:hAnsi="仿宋" w:eastAsia="仿宋" w:cs="仿宋"/>
          <w:color w:val="000000"/>
          <w:sz w:val="24"/>
          <w:szCs w:val="24"/>
          <w:highlight w:val="none"/>
        </w:rPr>
        <w:t>物业费</w:t>
      </w:r>
      <w:r>
        <w:rPr>
          <w:rFonts w:hint="eastAsia" w:ascii="仿宋" w:hAnsi="仿宋" w:eastAsia="仿宋" w:cs="仿宋"/>
          <w:color w:val="000000"/>
          <w:kern w:val="0"/>
          <w:sz w:val="24"/>
          <w:szCs w:val="24"/>
          <w:highlight w:val="none"/>
        </w:rPr>
        <w:t>，并要求乙方赔偿相应的经济损失，且甲方有权终止合同。</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 xml:space="preserve">第三十条  </w:t>
      </w:r>
      <w:r>
        <w:rPr>
          <w:rFonts w:hint="eastAsia" w:ascii="仿宋" w:hAnsi="仿宋" w:eastAsia="仿宋" w:cs="仿宋"/>
          <w:color w:val="000000"/>
          <w:sz w:val="24"/>
          <w:szCs w:val="24"/>
          <w:highlight w:val="none"/>
        </w:rPr>
        <w:t>乙方违反合同约定，未按照本合同及其附件约定履行物业服务义务时，甲方有权要求乙方在合理期限内整改，逾期未整改或造成严重后果的，甲方有权终止合同；造成甲方经济损失的，乙方应承担责任并支付甲方相应的经济赔偿。</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第三十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条</w:t>
      </w:r>
      <w:r>
        <w:rPr>
          <w:rFonts w:hint="eastAsia" w:ascii="仿宋" w:hAnsi="仿宋" w:eastAsia="仿宋" w:cs="仿宋"/>
          <w:color w:val="000000"/>
          <w:sz w:val="24"/>
          <w:szCs w:val="24"/>
          <w:highlight w:val="none"/>
        </w:rPr>
        <w:t xml:space="preserve">  如乙方未按照本合同及其附件约定履行物业服务义务，由此给甲方或其他第三方造成的人身、财产损损失的，乙方应承担全部赔偿责任。</w:t>
      </w:r>
    </w:p>
    <w:p>
      <w:pPr>
        <w:keepNext w:val="0"/>
        <w:keepLines w:val="0"/>
        <w:pageBreakBefore w:val="0"/>
        <w:widowControl w:val="0"/>
        <w:shd w:val="clear"/>
        <w:tabs>
          <w:tab w:val="left" w:pos="95"/>
        </w:tabs>
        <w:kinsoku/>
        <w:wordWrap/>
        <w:overflowPunct/>
        <w:topLinePunct w:val="0"/>
        <w:autoSpaceDE/>
        <w:autoSpaceDN/>
        <w:bidi w:val="0"/>
        <w:adjustRightInd/>
        <w:snapToGrid w:val="0"/>
        <w:spacing w:line="440" w:lineRule="exact"/>
        <w:ind w:firstLine="1"/>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第三十</w:t>
      </w:r>
      <w:r>
        <w:rPr>
          <w:rFonts w:hint="eastAsia" w:ascii="仿宋" w:hAnsi="仿宋" w:eastAsia="仿宋" w:cs="仿宋"/>
          <w:b/>
          <w:bCs/>
          <w:color w:val="000000"/>
          <w:sz w:val="24"/>
          <w:szCs w:val="24"/>
          <w:highlight w:val="none"/>
          <w:lang w:val="en-US" w:eastAsia="zh-CN"/>
        </w:rPr>
        <w:t>二</w:t>
      </w:r>
      <w:r>
        <w:rPr>
          <w:rFonts w:hint="eastAsia" w:ascii="仿宋" w:hAnsi="仿宋" w:eastAsia="仿宋" w:cs="仿宋"/>
          <w:b/>
          <w:bCs/>
          <w:color w:val="000000"/>
          <w:sz w:val="24"/>
          <w:szCs w:val="24"/>
          <w:highlight w:val="none"/>
        </w:rPr>
        <w:t xml:space="preserve">条  </w:t>
      </w:r>
      <w:r>
        <w:rPr>
          <w:rFonts w:hint="eastAsia" w:ascii="仿宋" w:hAnsi="仿宋" w:eastAsia="仿宋" w:cs="仿宋"/>
          <w:bCs/>
          <w:color w:val="000000"/>
          <w:sz w:val="24"/>
          <w:szCs w:val="24"/>
          <w:highlight w:val="none"/>
        </w:rPr>
        <w:t>甲乙双方任何一方违反合同约定，</w:t>
      </w:r>
      <w:r>
        <w:rPr>
          <w:rFonts w:hint="eastAsia" w:ascii="仿宋" w:hAnsi="仿宋" w:eastAsia="仿宋" w:cs="仿宋"/>
          <w:color w:val="000000"/>
          <w:sz w:val="24"/>
          <w:szCs w:val="24"/>
          <w:highlight w:val="none"/>
        </w:rPr>
        <w:t>守约方有权要求违约方在合理期限内整改，逾期未整改的，每逾期一日，违约方向守约方支付违约金</w:t>
      </w:r>
      <w:r>
        <w:rPr>
          <w:rFonts w:hint="eastAsia" w:ascii="仿宋" w:hAnsi="仿宋" w:eastAsia="仿宋" w:cs="仿宋"/>
          <w:color w:val="000000"/>
          <w:sz w:val="24"/>
          <w:szCs w:val="24"/>
          <w:highlight w:val="none"/>
          <w:u w:val="single"/>
        </w:rPr>
        <w:t xml:space="preserve"> 壹万元 </w:t>
      </w:r>
      <w:r>
        <w:rPr>
          <w:rFonts w:hint="eastAsia" w:ascii="仿宋" w:hAnsi="仿宋" w:eastAsia="仿宋" w:cs="仿宋"/>
          <w:color w:val="000000"/>
          <w:sz w:val="24"/>
          <w:szCs w:val="24"/>
          <w:highlight w:val="none"/>
        </w:rPr>
        <w:t>；造成经济损失的，违约方承担责任并应支付守约方相应的经济赔偿。</w:t>
      </w:r>
    </w:p>
    <w:p>
      <w:pPr>
        <w:keepNext w:val="0"/>
        <w:keepLines w:val="0"/>
        <w:pageBreakBefore w:val="0"/>
        <w:widowControl w:val="0"/>
        <w:shd w:val="clear"/>
        <w:tabs>
          <w:tab w:val="left" w:pos="570"/>
        </w:tabs>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第三十</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rPr>
        <w:t xml:space="preserve">条  </w:t>
      </w:r>
      <w:r>
        <w:rPr>
          <w:rFonts w:hint="eastAsia" w:ascii="仿宋" w:hAnsi="仿宋" w:eastAsia="仿宋" w:cs="仿宋"/>
          <w:color w:val="000000"/>
          <w:sz w:val="24"/>
          <w:szCs w:val="24"/>
          <w:highlight w:val="none"/>
        </w:rPr>
        <w:t>甲乙双方任何一方无正当理由提前终止合同的，应向对方支付违约金</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壹拾肆</w:t>
      </w:r>
      <w:r>
        <w:rPr>
          <w:rFonts w:hint="eastAsia" w:ascii="仿宋" w:hAnsi="仿宋" w:eastAsia="仿宋" w:cs="仿宋"/>
          <w:color w:val="000000"/>
          <w:sz w:val="24"/>
          <w:szCs w:val="24"/>
          <w:highlight w:val="none"/>
          <w:u w:val="single"/>
        </w:rPr>
        <w:t xml:space="preserve">万 </w:t>
      </w:r>
      <w:r>
        <w:rPr>
          <w:rFonts w:hint="eastAsia" w:ascii="仿宋" w:hAnsi="仿宋" w:eastAsia="仿宋" w:cs="仿宋"/>
          <w:color w:val="000000"/>
          <w:sz w:val="24"/>
          <w:szCs w:val="24"/>
          <w:highlight w:val="none"/>
        </w:rPr>
        <w:t>元 ，给对方造成的经济损失超过违约金的，还应当承担赔偿责任。双方另有约定的除外。</w:t>
      </w:r>
    </w:p>
    <w:p>
      <w:pPr>
        <w:pStyle w:val="24"/>
        <w:keepNext w:val="0"/>
        <w:keepLines w:val="0"/>
        <w:pageBreakBefore w:val="0"/>
        <w:widowControl w:val="0"/>
        <w:shd w:val="clear"/>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三十四</w:t>
      </w:r>
      <w:r>
        <w:rPr>
          <w:rFonts w:hint="eastAsia" w:ascii="仿宋" w:hAnsi="仿宋" w:eastAsia="仿宋" w:cs="仿宋"/>
          <w:b/>
          <w:bCs/>
          <w:color w:val="000000"/>
          <w:sz w:val="24"/>
          <w:szCs w:val="24"/>
          <w:highlight w:val="none"/>
        </w:rPr>
        <w:t xml:space="preserve">条 </w:t>
      </w:r>
      <w:r>
        <w:rPr>
          <w:rFonts w:hint="eastAsia" w:ascii="仿宋" w:hAnsi="仿宋" w:eastAsia="仿宋" w:cs="仿宋"/>
          <w:color w:val="000000"/>
          <w:sz w:val="24"/>
          <w:szCs w:val="24"/>
          <w:highlight w:val="none"/>
        </w:rPr>
        <w:t xml:space="preserve"> </w:t>
      </w:r>
      <w:r>
        <w:rPr>
          <w:rFonts w:hint="eastAsia" w:ascii="仿宋" w:hAnsi="仿宋" w:eastAsia="仿宋" w:cs="仿宋"/>
          <w:b w:val="0"/>
          <w:bCs w:val="0"/>
          <w:color w:val="000000"/>
          <w:kern w:val="2"/>
          <w:sz w:val="24"/>
          <w:szCs w:val="24"/>
          <w:highlight w:val="none"/>
          <w:lang w:val="en-US" w:eastAsia="zh-CN" w:bidi="ar-SA"/>
        </w:rPr>
        <w:t>合同执行期内，因不可抗力导致房屋损毁、灭失的，双方互不承担责任。</w:t>
      </w:r>
    </w:p>
    <w:p>
      <w:pPr>
        <w:pStyle w:val="24"/>
        <w:keepNext w:val="0"/>
        <w:keepLines w:val="0"/>
        <w:pageBreakBefore w:val="0"/>
        <w:widowControl w:val="0"/>
        <w:shd w:val="clear"/>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szCs w:val="24"/>
          <w:highlight w:val="none"/>
          <w:lang w:eastAsia="zh-CN"/>
        </w:rPr>
      </w:pPr>
    </w:p>
    <w:p>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bCs/>
          <w:color w:val="000000"/>
          <w:sz w:val="24"/>
          <w:szCs w:val="24"/>
          <w:highlight w:val="none"/>
        </w:rPr>
      </w:pPr>
      <w:r>
        <w:rPr>
          <w:rFonts w:hint="eastAsia" w:ascii="仿宋" w:hAnsi="仿宋" w:eastAsia="仿宋" w:cs="仿宋"/>
          <w:b/>
          <w:color w:val="000000"/>
          <w:sz w:val="24"/>
          <w:szCs w:val="24"/>
          <w:highlight w:val="none"/>
        </w:rPr>
        <w:t>第十章  附则</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三十五</w:t>
      </w:r>
      <w:r>
        <w:rPr>
          <w:rFonts w:hint="eastAsia" w:ascii="仿宋" w:hAnsi="仿宋" w:eastAsia="仿宋" w:cs="仿宋"/>
          <w:b/>
          <w:bCs/>
          <w:color w:val="000000"/>
          <w:sz w:val="24"/>
          <w:szCs w:val="24"/>
          <w:highlight w:val="none"/>
        </w:rPr>
        <w:t xml:space="preserve">条  </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、投标文件作为本合同不可分割的一部分。</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三十六</w:t>
      </w:r>
      <w:r>
        <w:rPr>
          <w:rFonts w:hint="eastAsia" w:ascii="仿宋" w:hAnsi="仿宋" w:eastAsia="仿宋" w:cs="仿宋"/>
          <w:b/>
          <w:bCs/>
          <w:color w:val="000000"/>
          <w:sz w:val="24"/>
          <w:szCs w:val="24"/>
          <w:highlight w:val="none"/>
        </w:rPr>
        <w:t xml:space="preserve">条  </w:t>
      </w:r>
      <w:r>
        <w:rPr>
          <w:rFonts w:hint="eastAsia" w:ascii="仿宋" w:hAnsi="仿宋" w:eastAsia="仿宋" w:cs="仿宋"/>
          <w:color w:val="000000"/>
          <w:sz w:val="24"/>
          <w:szCs w:val="24"/>
          <w:highlight w:val="none"/>
        </w:rPr>
        <w:t>合同未尽事宜，甲乙双方可另行以书面形式签订补充协议。</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pacing w:val="-8"/>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三十七</w:t>
      </w:r>
      <w:r>
        <w:rPr>
          <w:rFonts w:hint="eastAsia" w:ascii="仿宋" w:hAnsi="仿宋" w:eastAsia="仿宋" w:cs="仿宋"/>
          <w:b/>
          <w:bCs/>
          <w:color w:val="000000"/>
          <w:sz w:val="24"/>
          <w:szCs w:val="24"/>
          <w:highlight w:val="none"/>
        </w:rPr>
        <w:t xml:space="preserve">条  </w:t>
      </w:r>
      <w:r>
        <w:rPr>
          <w:rFonts w:hint="eastAsia" w:ascii="仿宋" w:hAnsi="仿宋" w:eastAsia="仿宋" w:cs="仿宋"/>
          <w:color w:val="000000"/>
          <w:spacing w:val="-8"/>
          <w:sz w:val="24"/>
          <w:szCs w:val="24"/>
          <w:highlight w:val="none"/>
        </w:rPr>
        <w:t>合同的附件及补充协议均为合同有效组成部分，与合同具有同等法律效力。</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三十八</w:t>
      </w:r>
      <w:r>
        <w:rPr>
          <w:rFonts w:hint="eastAsia" w:ascii="仿宋" w:hAnsi="仿宋" w:eastAsia="仿宋" w:cs="仿宋"/>
          <w:b/>
          <w:bCs/>
          <w:color w:val="000000"/>
          <w:sz w:val="24"/>
          <w:szCs w:val="24"/>
          <w:highlight w:val="none"/>
        </w:rPr>
        <w:t>条</w:t>
      </w:r>
      <w:r>
        <w:rPr>
          <w:rFonts w:hint="eastAsia" w:ascii="仿宋" w:hAnsi="仿宋" w:eastAsia="仿宋" w:cs="仿宋"/>
          <w:color w:val="000000"/>
          <w:sz w:val="24"/>
          <w:szCs w:val="24"/>
          <w:highlight w:val="none"/>
        </w:rPr>
        <w:t xml:space="preserve">  本合同一式</w:t>
      </w:r>
      <w:r>
        <w:rPr>
          <w:rFonts w:hint="eastAsia" w:ascii="仿宋" w:hAnsi="仿宋" w:eastAsia="仿宋" w:cs="仿宋"/>
          <w:color w:val="000000"/>
          <w:sz w:val="24"/>
          <w:szCs w:val="24"/>
          <w:highlight w:val="none"/>
          <w:lang w:val="en-US" w:eastAsia="zh-CN"/>
        </w:rPr>
        <w:t>陆</w:t>
      </w:r>
      <w:r>
        <w:rPr>
          <w:rFonts w:hint="eastAsia" w:ascii="仿宋" w:hAnsi="仿宋" w:eastAsia="仿宋" w:cs="仿宋"/>
          <w:color w:val="000000"/>
          <w:sz w:val="24"/>
          <w:szCs w:val="24"/>
          <w:highlight w:val="none"/>
        </w:rPr>
        <w:t>份，甲、乙方各执</w:t>
      </w:r>
      <w:r>
        <w:rPr>
          <w:rFonts w:hint="eastAsia" w:ascii="仿宋" w:hAnsi="仿宋" w:eastAsia="仿宋" w:cs="仿宋"/>
          <w:color w:val="000000"/>
          <w:sz w:val="24"/>
          <w:szCs w:val="24"/>
          <w:highlight w:val="none"/>
          <w:lang w:val="en-US" w:eastAsia="zh-CN"/>
        </w:rPr>
        <w:t>叁</w:t>
      </w:r>
      <w:r>
        <w:rPr>
          <w:rFonts w:hint="eastAsia" w:ascii="仿宋" w:hAnsi="仿宋" w:eastAsia="仿宋" w:cs="仿宋"/>
          <w:color w:val="000000"/>
          <w:sz w:val="24"/>
          <w:szCs w:val="24"/>
          <w:highlight w:val="none"/>
        </w:rPr>
        <w:t>份，均具有同等法律效力。</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九</w:t>
      </w:r>
      <w:r>
        <w:rPr>
          <w:rFonts w:hint="eastAsia" w:ascii="仿宋" w:hAnsi="仿宋" w:eastAsia="仿宋" w:cs="仿宋"/>
          <w:b/>
          <w:bCs/>
          <w:color w:val="000000"/>
          <w:sz w:val="24"/>
          <w:szCs w:val="24"/>
          <w:highlight w:val="none"/>
        </w:rPr>
        <w:t>条</w:t>
      </w:r>
      <w:r>
        <w:rPr>
          <w:rFonts w:hint="eastAsia" w:ascii="仿宋" w:hAnsi="仿宋" w:eastAsia="仿宋" w:cs="仿宋"/>
          <w:color w:val="000000"/>
          <w:sz w:val="24"/>
          <w:szCs w:val="24"/>
          <w:highlight w:val="none"/>
        </w:rPr>
        <w:t xml:space="preserve">  合同执行期间，如遇不可抗力以及政府行为致使合同无法履行时，双方应按有关法律法规及时协商处理。</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十条</w:t>
      </w:r>
      <w:r>
        <w:rPr>
          <w:rFonts w:hint="eastAsia" w:ascii="仿宋" w:hAnsi="仿宋" w:eastAsia="仿宋" w:cs="仿宋"/>
          <w:color w:val="000000"/>
          <w:sz w:val="24"/>
          <w:szCs w:val="24"/>
          <w:highlight w:val="none"/>
        </w:rPr>
        <w:t xml:space="preserve">  合同在履行中如发生争议，双方应协商解决或报请物业管理行政主管部门进行调解，协商或调解不成的，可依法向甲方所在地人民法院起诉。</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 xml:space="preserve">甲方：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乙方： </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（盖章）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（盖章）</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法定代表人：                     法定代表人：   </w:t>
      </w:r>
    </w:p>
    <w:p>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签字或盖章</w:t>
      </w:r>
      <w:r>
        <w:rPr>
          <w:rFonts w:hint="eastAsia" w:ascii="仿宋" w:hAnsi="仿宋" w:eastAsia="仿宋" w:cs="仿宋"/>
          <w:color w:val="000000"/>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pacing w:line="440" w:lineRule="exact"/>
        <w:jc w:val="center"/>
        <w:textAlignment w:val="auto"/>
        <w:rPr>
          <w:rFonts w:hint="eastAsia" w:ascii="宋体" w:hAnsi="宋体" w:eastAsia="宋体"/>
          <w:b/>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000000"/>
          <w:sz w:val="24"/>
          <w:szCs w:val="24"/>
          <w:highlight w:val="none"/>
        </w:rPr>
        <w:t xml:space="preserve">             签约时间：   年  月  </w:t>
      </w:r>
      <w:bookmarkStart w:id="38" w:name="_Toc5481_WPSOffice_Level1"/>
    </w:p>
    <w:p>
      <w:p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8"/>
    </w:p>
    <w:p>
      <w:pPr>
        <w:shd w:val="clear"/>
        <w:spacing w:line="360" w:lineRule="auto"/>
        <w:jc w:val="center"/>
        <w:rPr>
          <w:rFonts w:hint="eastAsia"/>
          <w:b/>
          <w:bCs/>
          <w:color w:val="000000" w:themeColor="text1"/>
          <w:sz w:val="36"/>
          <w:szCs w:val="36"/>
          <w:highlight w:val="none"/>
          <w:lang w:val="en-US" w:eastAsia="zh-CN"/>
          <w14:textFill>
            <w14:solidFill>
              <w14:schemeClr w14:val="tx1"/>
            </w14:solidFill>
          </w14:textFill>
        </w:rPr>
      </w:pPr>
    </w:p>
    <w:p>
      <w:pPr>
        <w:shd w:val="clea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资信技术</w:t>
      </w:r>
      <w:r>
        <w:rPr>
          <w:rFonts w:hint="eastAsia"/>
          <w:b/>
          <w:bCs/>
          <w:color w:val="000000" w:themeColor="text1"/>
          <w:sz w:val="36"/>
          <w:szCs w:val="36"/>
          <w:highlight w:val="none"/>
          <w14:textFill>
            <w14:solidFill>
              <w14:schemeClr w14:val="tx1"/>
            </w14:solidFill>
          </w14:textFill>
        </w:rPr>
        <w:t>标目录</w:t>
      </w:r>
    </w:p>
    <w:p>
      <w:pPr>
        <w:shd w:val="clea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投标声明书</w:t>
      </w:r>
      <w:r>
        <w:rPr>
          <w:rFonts w:hint="eastAsia" w:ascii="宋体" w:hAnsi="宋体" w:eastAsia="宋体" w:cs="Times New Roman"/>
          <w:kern w:val="0"/>
          <w:sz w:val="24"/>
          <w:highlight w:val="none"/>
        </w:rPr>
        <w:t>（格式见附件）；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法定代表人身份证明或</w:t>
      </w:r>
      <w:r>
        <w:rPr>
          <w:rFonts w:hint="eastAsia" w:ascii="宋体" w:hAnsi="宋体" w:eastAsia="宋体" w:cs="Times New Roman"/>
          <w:kern w:val="0"/>
          <w:sz w:val="24"/>
          <w:highlight w:val="none"/>
        </w:rPr>
        <w:t>法定代表人授权书（格式见附件）；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法人或者其他组织的营业执照等证明文件</w:t>
      </w:r>
      <w:r>
        <w:rPr>
          <w:rFonts w:hint="eastAsia" w:ascii="宋体" w:hAnsi="宋体" w:eastAsia="宋体" w:cs="Times New Roman"/>
          <w:kern w:val="0"/>
          <w:sz w:val="24"/>
          <w:highlight w:val="none"/>
          <w:lang w:val="en-US" w:eastAsia="zh-CN"/>
        </w:rPr>
        <w:t>或</w:t>
      </w:r>
      <w:r>
        <w:rPr>
          <w:rFonts w:hint="eastAsia" w:ascii="宋体" w:hAnsi="宋体" w:eastAsia="宋体" w:cs="Times New Roman"/>
          <w:kern w:val="0"/>
          <w:sz w:val="24"/>
          <w:highlight w:val="none"/>
        </w:rPr>
        <w:t>自然人的身份证明（格式见附件）；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zh-CN"/>
        </w:rPr>
        <w:t>具有依法缴纳税收和社会保障资金证明的承诺函</w:t>
      </w:r>
      <w:r>
        <w:rPr>
          <w:rFonts w:hint="eastAsia" w:ascii="宋体" w:hAnsi="宋体" w:eastAsia="宋体" w:cs="Times New Roman"/>
          <w:kern w:val="0"/>
          <w:sz w:val="24"/>
          <w:highlight w:val="none"/>
        </w:rPr>
        <w:t>（格式见附件）；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具有良好的商业信誉和健全的财务会计制度的承诺函（格式见附件）；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投标人</w:t>
      </w:r>
      <w:r>
        <w:rPr>
          <w:rFonts w:hint="eastAsia" w:ascii="宋体" w:hAnsi="宋体" w:eastAsia="宋体" w:cs="Times New Roman"/>
          <w:kern w:val="0"/>
          <w:sz w:val="24"/>
          <w:highlight w:val="none"/>
        </w:rPr>
        <w:t>基本情况表（格式见附件）；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证书一览表</w:t>
      </w:r>
      <w:r>
        <w:rPr>
          <w:rFonts w:hint="eastAsia" w:ascii="宋体" w:hAnsi="宋体" w:eastAsia="宋体" w:cs="Times New Roman"/>
          <w:kern w:val="0"/>
          <w:sz w:val="24"/>
          <w:highlight w:val="none"/>
        </w:rPr>
        <w:t>（格式见附件）；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项目实施人员一览表</w:t>
      </w:r>
      <w:r>
        <w:rPr>
          <w:rFonts w:hint="eastAsia" w:ascii="宋体" w:hAnsi="宋体" w:eastAsia="宋体" w:cs="Times New Roman"/>
          <w:kern w:val="0"/>
          <w:sz w:val="24"/>
          <w:highlight w:val="none"/>
        </w:rPr>
        <w:t>（格式见附件）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类似项目实施情况一览表</w:t>
      </w:r>
      <w:r>
        <w:rPr>
          <w:rFonts w:hint="eastAsia" w:ascii="宋体" w:hAnsi="宋体" w:eastAsia="宋体" w:cs="Times New Roman"/>
          <w:kern w:val="0"/>
          <w:sz w:val="24"/>
          <w:highlight w:val="none"/>
        </w:rPr>
        <w:t>（格式见附件）；</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其他内容根据</w:t>
      </w:r>
      <w:r>
        <w:rPr>
          <w:rFonts w:hint="eastAsia" w:ascii="宋体" w:hAnsi="宋体" w:eastAsia="宋体" w:cs="Times New Roman"/>
          <w:kern w:val="0"/>
          <w:sz w:val="24"/>
          <w:highlight w:val="none"/>
          <w:lang w:val="zh-CN"/>
        </w:rPr>
        <w:t>评标办法自拟；</w:t>
      </w:r>
    </w:p>
    <w:p>
      <w:pPr>
        <w:numPr>
          <w:ilvl w:val="0"/>
          <w:numId w:val="10"/>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供应商</w:t>
      </w:r>
      <w:r>
        <w:rPr>
          <w:rFonts w:hint="eastAsia" w:ascii="宋体" w:hAnsi="宋体" w:eastAsia="宋体" w:cs="Times New Roman"/>
          <w:kern w:val="0"/>
          <w:sz w:val="24"/>
          <w:highlight w:val="none"/>
        </w:rPr>
        <w:t>认为需要提供的其他文件和资料（如有）。</w:t>
      </w:r>
    </w:p>
    <w:p>
      <w:pPr>
        <w:numPr>
          <w:ilvl w:val="0"/>
          <w:numId w:val="0"/>
        </w:numPr>
        <w:shd w:val="clear"/>
        <w:autoSpaceDE w:val="0"/>
        <w:autoSpaceDN w:val="0"/>
        <w:adjustRightInd w:val="0"/>
        <w:spacing w:line="360" w:lineRule="auto"/>
        <w:rPr>
          <w:rFonts w:hint="eastAsia" w:ascii="宋体" w:hAnsi="宋体" w:eastAsia="宋体" w:cs="Times New Roman"/>
          <w:kern w:val="0"/>
          <w:sz w:val="24"/>
          <w:highlight w:val="none"/>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pStyle w:val="33"/>
        <w:shd w:val="clear"/>
        <w:rPr>
          <w:rFonts w:ascii="宋体" w:hAnsi="宋体"/>
          <w:b/>
          <w:color w:val="000000" w:themeColor="text1"/>
          <w:sz w:val="28"/>
          <w:highlight w:val="none"/>
          <w14:textFill>
            <w14:solidFill>
              <w14:schemeClr w14:val="tx1"/>
            </w14:solidFill>
          </w14:textFill>
        </w:rPr>
      </w:pPr>
    </w:p>
    <w:p>
      <w:pPr>
        <w:pStyle w:val="33"/>
        <w:shd w:val="clear"/>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7"/>
        <w:shd w:val="clear"/>
        <w:rPr>
          <w:rFonts w:ascii="宋体" w:hAnsi="宋体"/>
          <w:b/>
          <w:color w:val="000000" w:themeColor="text1"/>
          <w:sz w:val="28"/>
          <w:highlight w:val="none"/>
          <w14:textFill>
            <w14:solidFill>
              <w14:schemeClr w14:val="tx1"/>
            </w14:solidFill>
          </w14:textFill>
        </w:rPr>
      </w:pPr>
    </w:p>
    <w:p>
      <w:pPr>
        <w:shd w:val="clear"/>
        <w:spacing w:line="312" w:lineRule="auto"/>
        <w:rPr>
          <w:rFonts w:hint="eastAsia"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t>附件1</w:t>
      </w:r>
    </w:p>
    <w:p>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投标声明书</w:t>
      </w:r>
    </w:p>
    <w:p>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 xml:space="preserve"> 台州循环经济发展有限公司集聚区资产经营分公司</w:t>
      </w:r>
      <w:r>
        <w:rPr>
          <w:rFonts w:hint="eastAsia" w:ascii="宋体" w:hAnsi="宋体" w:eastAsia="宋体" w:cs="宋体"/>
          <w:kern w:val="0"/>
          <w:sz w:val="24"/>
          <w:szCs w:val="24"/>
          <w:highlight w:val="none"/>
          <w:lang w:val="en-US" w:eastAsia="zh-CN" w:bidi="ar"/>
        </w:rPr>
        <w:t>：</w:t>
      </w:r>
    </w:p>
    <w:p>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（投标人名称）</w:t>
      </w:r>
      <w:r>
        <w:rPr>
          <w:rFonts w:hint="eastAsia" w:ascii="宋体" w:hAnsi="宋体" w:eastAsia="宋体" w:cs="宋体"/>
          <w:kern w:val="0"/>
          <w:sz w:val="24"/>
          <w:szCs w:val="24"/>
          <w:highlight w:val="none"/>
          <w:lang w:val="en-US" w:eastAsia="zh-CN" w:bidi="ar"/>
        </w:rPr>
        <w:t>系中华人民共和国合法企业，经营地址</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lang w:val="en-US" w:eastAsia="zh-CN" w:bidi="ar"/>
        </w:rPr>
        <w:t>。</w:t>
      </w:r>
    </w:p>
    <w:p>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w:t>
      </w:r>
      <w:r>
        <w:rPr>
          <w:rFonts w:hint="eastAsia" w:ascii="宋体" w:hAnsi="宋体" w:eastAsia="宋体" w:cs="宋体"/>
          <w:kern w:val="0"/>
          <w:sz w:val="24"/>
          <w:szCs w:val="24"/>
          <w:highlight w:val="none"/>
          <w:u w:val="single"/>
          <w:lang w:val="en-US" w:eastAsia="zh-CN" w:bidi="ar"/>
        </w:rPr>
        <w:t>（姓名）</w:t>
      </w:r>
      <w:r>
        <w:rPr>
          <w:rFonts w:hint="eastAsia" w:ascii="宋体" w:hAnsi="宋体" w:eastAsia="宋体" w:cs="宋体"/>
          <w:kern w:val="0"/>
          <w:sz w:val="24"/>
          <w:szCs w:val="24"/>
          <w:highlight w:val="none"/>
          <w:lang w:val="en-US" w:eastAsia="zh-CN" w:bidi="ar"/>
        </w:rPr>
        <w:t>系</w:t>
      </w:r>
      <w:r>
        <w:rPr>
          <w:rFonts w:hint="eastAsia" w:ascii="宋体" w:hAnsi="宋体" w:eastAsia="宋体" w:cs="宋体"/>
          <w:kern w:val="0"/>
          <w:sz w:val="24"/>
          <w:szCs w:val="24"/>
          <w:highlight w:val="none"/>
          <w:u w:val="single"/>
          <w:lang w:val="en-US" w:eastAsia="zh-CN" w:bidi="ar"/>
        </w:rPr>
        <w:t>（投标人名称）</w:t>
      </w:r>
      <w:r>
        <w:rPr>
          <w:rFonts w:hint="eastAsia" w:ascii="宋体" w:hAnsi="宋体" w:eastAsia="宋体" w:cs="宋体"/>
          <w:kern w:val="0"/>
          <w:sz w:val="24"/>
          <w:szCs w:val="24"/>
          <w:highlight w:val="none"/>
          <w:lang w:val="en-US" w:eastAsia="zh-CN" w:bidi="ar"/>
        </w:rPr>
        <w:t>的法定代表人，我公司自愿参加贵方组织的</w:t>
      </w:r>
      <w:r>
        <w:rPr>
          <w:rFonts w:hint="eastAsia" w:ascii="宋体" w:hAnsi="宋体" w:cs="宋体"/>
          <w:kern w:val="0"/>
          <w:sz w:val="24"/>
          <w:szCs w:val="24"/>
          <w:highlight w:val="none"/>
          <w:u w:val="single"/>
          <w:lang w:val="en-US" w:eastAsia="zh-CN" w:bidi="ar"/>
        </w:rPr>
        <w:t>台州湾新区聚才公寓和沧海商务中心综合物业服务采购</w:t>
      </w:r>
      <w:r>
        <w:rPr>
          <w:rFonts w:hint="eastAsia" w:ascii="宋体" w:hAnsi="宋体" w:eastAsia="宋体" w:cs="宋体"/>
          <w:kern w:val="0"/>
          <w:sz w:val="24"/>
          <w:szCs w:val="24"/>
          <w:highlight w:val="none"/>
          <w:lang w:val="en-US" w:eastAsia="zh-CN" w:bidi="ar"/>
        </w:rPr>
        <w:t>的投标，为此，我公司就本次投标有关事项郑重声明如下：</w:t>
      </w:r>
    </w:p>
    <w:p>
      <w:pPr>
        <w:keepNext w:val="0"/>
        <w:keepLines w:val="0"/>
        <w:widowControl w:val="0"/>
        <w:numPr>
          <w:ilvl w:val="0"/>
          <w:numId w:val="11"/>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pPr>
        <w:keepNext w:val="0"/>
        <w:keepLines w:val="0"/>
        <w:widowControl w:val="0"/>
        <w:numPr>
          <w:ilvl w:val="0"/>
          <w:numId w:val="11"/>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我公司不是采购人的附属机构；</w:t>
      </w:r>
      <w:r>
        <w:rPr>
          <w:rFonts w:hint="eastAsia" w:ascii="宋体" w:hAnsi="宋体" w:eastAsia="宋体" w:cs="宋体"/>
          <w:kern w:val="2"/>
          <w:sz w:val="24"/>
          <w:szCs w:val="24"/>
          <w:highlight w:val="none"/>
          <w:lang w:val="en-US" w:eastAsia="zh-CN" w:bidi="ar"/>
        </w:rPr>
        <w:t>在获知本项目采购信息后，与采购人聘请的为此项目提供咨询服务的公司及其附属机构没有任何联系。</w:t>
      </w:r>
    </w:p>
    <w:p>
      <w:pPr>
        <w:keepNext w:val="0"/>
        <w:keepLines w:val="0"/>
        <w:widowControl w:val="0"/>
        <w:numPr>
          <w:ilvl w:val="0"/>
          <w:numId w:val="11"/>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widowControl w:val="0"/>
        <w:numPr>
          <w:ilvl w:val="0"/>
          <w:numId w:val="11"/>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我公司严格履行采购合同，不降低合同约定的产品质量和服务，不擅自变更、中止、终止合同，或拒绝履行合同义务。</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以上事项如有虚假或隐瞒，我公司愿意承担一切后果，并不再寻求任何旨在减轻或免除法律责任的辩解。</w:t>
      </w:r>
    </w:p>
    <w:p>
      <w:pPr>
        <w:pStyle w:val="26"/>
        <w:shd w:val="clear"/>
        <w:jc w:val="right"/>
        <w:rPr>
          <w:rFonts w:hint="eastAsia"/>
          <w:color w:val="000000" w:themeColor="text1"/>
          <w:highlight w:val="none"/>
          <w14:textFill>
            <w14:solidFill>
              <w14:schemeClr w14:val="tx1"/>
            </w14:solidFill>
          </w14:textFill>
        </w:rPr>
      </w:pPr>
    </w:p>
    <w:p>
      <w:pPr>
        <w:pStyle w:val="26"/>
        <w:shd w:val="clear"/>
        <w:jc w:val="right"/>
        <w:rPr>
          <w:rFonts w:hint="eastAsia"/>
          <w:color w:val="000000" w:themeColor="text1"/>
          <w:highlight w:val="none"/>
          <w14:textFill>
            <w14:solidFill>
              <w14:schemeClr w14:val="tx1"/>
            </w14:solidFill>
          </w14:textFill>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shd w:val="clear"/>
        <w:spacing w:line="312"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台州循环经济发展有限公司集聚区资产经营分公司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台州湾新区聚才公寓和沧海商务中心综合物业服务采购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shd w:val="clear"/>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shd w:val="clea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hd w:val="clea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hd w:val="clea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黑体" w:hAnsi="黑体" w:eastAsia="黑体" w:cs="黑体"/>
          <w:color w:val="000000" w:themeColor="text1"/>
          <w:sz w:val="44"/>
          <w:highlight w:val="none"/>
          <w14:textFill>
            <w14:solidFill>
              <w14:schemeClr w14:val="tx1"/>
            </w14:solidFill>
          </w14:textFill>
        </w:rPr>
        <w:t>法定代表人身份证明</w:t>
      </w:r>
    </w:p>
    <w:p>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5"/>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5"/>
        <w:shd w:val="clea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hd w:val="clear"/>
        <w:spacing w:before="240" w:after="60"/>
        <w:jc w:val="center"/>
        <w:outlineLvl w:val="0"/>
        <w:rPr>
          <w:rFonts w:hint="eastAsia" w:ascii="Cambria" w:hAnsi="Cambria" w:eastAsia="Cambria" w:cs="Times New Roman"/>
          <w:b/>
          <w:color w:val="000000" w:themeColor="text1"/>
          <w:kern w:val="2"/>
          <w:sz w:val="24"/>
          <w:szCs w:val="24"/>
          <w:highlight w:val="none"/>
          <w:lang w:val="en-US" w:eastAsia="zh-CN" w:bidi="ar-SA"/>
          <w14:textFill>
            <w14:solidFill>
              <w14:schemeClr w14:val="tx1"/>
            </w14:solidFill>
          </w14:textFill>
        </w:rPr>
      </w:pPr>
    </w:p>
    <w:p>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pPr>
        <w:pStyle w:val="34"/>
        <w:shd w:val="clear"/>
        <w:jc w:val="right"/>
        <w:rPr>
          <w:rFonts w:hint="eastAsia"/>
          <w:sz w:val="24"/>
          <w:szCs w:val="24"/>
          <w:highlight w:val="none"/>
        </w:rPr>
      </w:pPr>
      <w:r>
        <w:rPr>
          <w:rFonts w:hint="eastAsia" w:ascii="宋体" w:hAnsi="宋体" w:eastAsia="宋体" w:cs="宋体"/>
          <w:color w:val="auto"/>
          <w:sz w:val="24"/>
          <w:szCs w:val="24"/>
          <w:highlight w:val="none"/>
        </w:rPr>
        <w:t xml:space="preserve"> 日期:     年   月  日</w:t>
      </w:r>
    </w:p>
    <w:p>
      <w:pPr>
        <w:shd w:val="clea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附件4</w:t>
      </w:r>
    </w:p>
    <w:p>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kern w:val="0"/>
          <w:sz w:val="44"/>
          <w:szCs w:val="44"/>
          <w:highlight w:val="none"/>
          <w:lang w:val="en-US" w:eastAsia="zh-CN" w:bidi="ar"/>
        </w:rPr>
      </w:pPr>
    </w:p>
    <w:p>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具有依法缴纳税收和社会保障资金的承诺函</w:t>
      </w:r>
    </w:p>
    <w:p>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lang w:val="en-US" w:eastAsia="zh-CN" w:bidi="ar"/>
        </w:rPr>
        <w:t xml:space="preserve"> </w:t>
      </w:r>
    </w:p>
    <w:p>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u w:val="single"/>
          <w:shd w:val="clear" w:color="auto" w:fill="FFFFFF"/>
          <w:lang w:val="en-US" w:eastAsia="zh-CN" w:bidi="ar"/>
        </w:rPr>
        <w:t xml:space="preserve"> 台州循环经济发展有限公司集聚区资产经营分公司</w:t>
      </w:r>
      <w:r>
        <w:rPr>
          <w:rFonts w:hint="eastAsia" w:ascii="宋体" w:hAnsi="宋体" w:eastAsia="宋体" w:cs="宋体"/>
          <w:kern w:val="0"/>
          <w:sz w:val="24"/>
          <w:szCs w:val="24"/>
          <w:highlight w:val="none"/>
          <w:shd w:val="clear" w:color="auto" w:fill="FFFFFF"/>
          <w:lang w:val="en-US" w:eastAsia="zh-CN" w:bidi="ar"/>
        </w:rPr>
        <w:t>：</w:t>
      </w:r>
    </w:p>
    <w:p>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bidi="ar"/>
        </w:rPr>
        <w:t>我单位具有依法缴纳税收和社会保障资金。如本声明失实，我单位自愿承担被取消成交资格等责任。</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特此声明。</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000000"/>
          <w:kern w:val="0"/>
          <w:sz w:val="28"/>
          <w:szCs w:val="28"/>
          <w:highlight w:val="none"/>
        </w:rPr>
      </w:pPr>
      <w:r>
        <w:rPr>
          <w:rFonts w:hint="eastAsia" w:ascii="宋体" w:hAnsi="宋体" w:eastAsia="宋体" w:cs="宋体"/>
          <w:b/>
          <w:bCs w:val="0"/>
          <w:color w:val="000000"/>
          <w:kern w:val="0"/>
          <w:sz w:val="28"/>
          <w:szCs w:val="28"/>
          <w:highlight w:val="none"/>
          <w:lang w:val="en-US" w:eastAsia="zh-CN" w:bidi="ar"/>
        </w:rPr>
        <w:t>附件5</w:t>
      </w:r>
    </w:p>
    <w:p>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kern w:val="0"/>
          <w:sz w:val="44"/>
          <w:szCs w:val="44"/>
          <w:highlight w:val="none"/>
          <w:lang w:val="en-US" w:eastAsia="zh-CN" w:bidi="ar"/>
        </w:rPr>
      </w:pP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具有良好的商业信誉和健全的财务会计制度的承诺函</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lang w:val="en-US" w:eastAsia="zh-CN" w:bidi="ar"/>
        </w:rPr>
        <w:t xml:space="preserve"> </w:t>
      </w:r>
    </w:p>
    <w:p>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u w:val="single"/>
          <w:shd w:val="clear" w:color="auto" w:fill="FFFFFF"/>
          <w:lang w:val="en-US" w:eastAsia="zh-CN" w:bidi="ar"/>
        </w:rPr>
        <w:t xml:space="preserve"> 台州循环经济发展有限公司集聚区资产经营分公司</w:t>
      </w:r>
      <w:r>
        <w:rPr>
          <w:rFonts w:hint="eastAsia" w:ascii="宋体" w:hAnsi="宋体" w:eastAsia="宋体" w:cs="宋体"/>
          <w:kern w:val="0"/>
          <w:sz w:val="24"/>
          <w:szCs w:val="24"/>
          <w:highlight w:val="none"/>
          <w:shd w:val="clear" w:color="auto" w:fill="FFFFFF"/>
          <w:lang w:val="en-US" w:eastAsia="zh-CN" w:bidi="ar"/>
        </w:rPr>
        <w:t>：</w:t>
      </w:r>
    </w:p>
    <w:p>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特此声明。</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kern w:val="0"/>
          <w:sz w:val="28"/>
          <w:szCs w:val="28"/>
          <w:highlight w:val="none"/>
          <w:lang w:val="en-US" w:eastAsia="zh-CN" w:bidi="ar"/>
        </w:rPr>
      </w:pPr>
      <w:r>
        <w:rPr>
          <w:rFonts w:hint="eastAsia" w:ascii="宋体" w:hAnsi="宋体" w:eastAsia="宋体" w:cs="宋体"/>
          <w:b/>
          <w:bCs w:val="0"/>
          <w:kern w:val="0"/>
          <w:sz w:val="28"/>
          <w:szCs w:val="28"/>
          <w:highlight w:val="none"/>
          <w:lang w:val="en-US" w:eastAsia="zh-CN" w:bidi="ar"/>
        </w:rPr>
        <w:t>附件6</w:t>
      </w:r>
    </w:p>
    <w:p>
      <w:pPr>
        <w:pStyle w:val="23"/>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kern w:val="0"/>
          <w:sz w:val="44"/>
          <w:szCs w:val="44"/>
          <w:highlight w:val="none"/>
        </w:rPr>
      </w:pPr>
      <w:r>
        <w:rPr>
          <w:rFonts w:hint="eastAsia" w:ascii="黑体" w:hAnsi="宋体" w:eastAsia="黑体" w:cs="黑体"/>
          <w:b w:val="0"/>
          <w:bCs/>
          <w:kern w:val="0"/>
          <w:sz w:val="44"/>
          <w:szCs w:val="44"/>
          <w:highlight w:val="none"/>
          <w:lang w:val="en-US" w:eastAsia="zh-CN" w:bidi="ar"/>
        </w:rPr>
        <w:t>投标人基本情况表</w:t>
      </w:r>
    </w:p>
    <w:tbl>
      <w:tblPr>
        <w:tblStyle w:val="2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1.</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业</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概</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8"/>
                <w:szCs w:val="28"/>
                <w:highlight w:val="none"/>
              </w:rPr>
            </w:pP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建筑</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righ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平方米</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□自有</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8"/>
                <w:szCs w:val="28"/>
                <w:highlight w:val="none"/>
              </w:rPr>
            </w:pP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both"/>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2．</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bl>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kern w:val="0"/>
          <w:sz w:val="21"/>
          <w:szCs w:val="21"/>
          <w:highlight w:val="none"/>
          <w:lang w:val="en-US" w:eastAsia="zh-CN" w:bidi="ar"/>
        </w:rPr>
      </w:pPr>
      <w:r>
        <w:rPr>
          <w:rFonts w:hint="eastAsia" w:ascii="宋体" w:hAnsi="宋体" w:eastAsia="宋体" w:cs="宋体"/>
          <w:b/>
          <w:bCs w:val="0"/>
          <w:kern w:val="0"/>
          <w:sz w:val="21"/>
          <w:szCs w:val="21"/>
          <w:highlight w:val="none"/>
          <w:lang w:val="en-US" w:eastAsia="zh-CN" w:bidi="ar"/>
        </w:rPr>
        <w:t>要求：</w:t>
      </w:r>
      <w:r>
        <w:rPr>
          <w:rFonts w:hint="eastAsia" w:ascii="宋体" w:hAnsi="宋体" w:eastAsia="宋体" w:cs="宋体"/>
          <w:kern w:val="0"/>
          <w:sz w:val="21"/>
          <w:szCs w:val="21"/>
          <w:highlight w:val="none"/>
          <w:lang w:val="en-US" w:eastAsia="zh-CN" w:bidi="ar"/>
        </w:rPr>
        <w:t>姓名栏必须将所有股东都统计在内，若非股份公司此行（第三行）无需填写。</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Times New Roman"/>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附件7</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Times New Roman"/>
          <w:b/>
          <w:bCs w:val="0"/>
          <w:kern w:val="2"/>
          <w:sz w:val="32"/>
          <w:szCs w:val="32"/>
          <w:highlight w:val="none"/>
        </w:rPr>
      </w:pPr>
      <w:r>
        <w:rPr>
          <w:rFonts w:hint="eastAsia" w:ascii="黑体" w:hAnsi="宋体" w:eastAsia="黑体" w:cs="黑体"/>
          <w:b w:val="0"/>
          <w:bCs/>
          <w:kern w:val="2"/>
          <w:sz w:val="44"/>
          <w:szCs w:val="44"/>
          <w:highlight w:val="none"/>
          <w:lang w:val="en-US" w:eastAsia="zh-CN" w:bidi="ar"/>
        </w:rPr>
        <w:t>证书一览表</w:t>
      </w:r>
    </w:p>
    <w:tbl>
      <w:tblPr>
        <w:tblStyle w:val="27"/>
        <w:tblW w:w="8963"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证书名称</w:t>
            </w: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发证单位</w:t>
            </w: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证书等级</w:t>
            </w: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证书有效期</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bl>
    <w:p>
      <w:pPr>
        <w:pStyle w:val="23"/>
        <w:keepNext w:val="0"/>
        <w:keepLines w:val="0"/>
        <w:widowControl w:val="0"/>
        <w:suppressLineNumbers w:val="0"/>
        <w:shd w:val="clear"/>
        <w:autoSpaceDE w:val="0"/>
        <w:autoSpaceDN/>
        <w:snapToGrid w:val="0"/>
        <w:spacing w:before="0" w:beforeAutospacing="0" w:after="0" w:afterAutospacing="0"/>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要求：</w:t>
      </w:r>
      <w:r>
        <w:rPr>
          <w:rFonts w:hint="eastAsia" w:ascii="宋体" w:hAnsi="宋体" w:eastAsia="宋体" w:cs="宋体"/>
          <w:kern w:val="2"/>
          <w:sz w:val="21"/>
          <w:szCs w:val="21"/>
          <w:highlight w:val="none"/>
          <w:lang w:val="en-US" w:eastAsia="zh-CN" w:bidi="ar"/>
        </w:rPr>
        <w:t>1.填写投标人获得资质、认证或企业信誉证书。</w:t>
      </w:r>
    </w:p>
    <w:p>
      <w:pPr>
        <w:pStyle w:val="23"/>
        <w:keepNext w:val="0"/>
        <w:keepLines w:val="0"/>
        <w:widowControl w:val="0"/>
        <w:suppressLineNumbers w:val="0"/>
        <w:shd w:val="clear"/>
        <w:tabs>
          <w:tab w:val="left" w:pos="411"/>
        </w:tabs>
        <w:autoSpaceDE w:val="0"/>
        <w:autoSpaceDN/>
        <w:snapToGrid w:val="0"/>
        <w:spacing w:before="0" w:beforeAutospacing="0" w:after="0" w:afterAutospacing="0"/>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2.附所列证书或其他证明材料。</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pStyle w:val="12"/>
        <w:shd w:val="clear"/>
        <w:rPr>
          <w:rFonts w:hint="eastAsia" w:ascii="宋体" w:hAnsi="宋体" w:eastAsia="宋体" w:cs="宋体"/>
          <w:kern w:val="2"/>
          <w:sz w:val="21"/>
          <w:szCs w:val="21"/>
          <w:highlight w:val="none"/>
          <w:lang w:val="en-US" w:eastAsia="zh-CN" w:bidi="ar"/>
        </w:rPr>
      </w:pPr>
    </w:p>
    <w:p>
      <w:pPr>
        <w:shd w:val="clear"/>
        <w:rPr>
          <w:rFonts w:hint="eastAsia"/>
          <w:highlight w:val="none"/>
          <w:lang w:val="en-US" w:eastAsia="zh-CN"/>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shd w:val="clea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8</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lang w:val="en-US" w:eastAsia="zh-CN" w:bidi="ar"/>
        </w:rPr>
      </w:pPr>
      <w:r>
        <w:rPr>
          <w:rFonts w:hint="eastAsia" w:ascii="黑体" w:hAnsi="宋体" w:eastAsia="黑体" w:cs="黑体"/>
          <w:b w:val="0"/>
          <w:bCs/>
          <w:kern w:val="2"/>
          <w:sz w:val="44"/>
          <w:szCs w:val="44"/>
          <w:highlight w:val="none"/>
          <w:lang w:val="en-US" w:eastAsia="zh-CN" w:bidi="ar"/>
        </w:rPr>
        <w:t>项目实施人员一览表</w:t>
      </w:r>
    </w:p>
    <w:tbl>
      <w:tblPr>
        <w:tblStyle w:val="27"/>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1725"/>
        <w:gridCol w:w="1650"/>
        <w:gridCol w:w="1438"/>
        <w:gridCol w:w="1752"/>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bCs/>
                <w:color w:val="auto"/>
                <w:szCs w:val="21"/>
                <w:highlight w:val="none"/>
              </w:rPr>
            </w:pPr>
            <w:r>
              <w:rPr>
                <w:rFonts w:hint="eastAsia" w:ascii="宋体" w:hAnsi="宋体"/>
                <w:b/>
                <w:color w:val="auto"/>
                <w:szCs w:val="21"/>
                <w:highlight w:val="none"/>
                <w:lang w:val="en-US" w:eastAsia="zh-CN"/>
              </w:rPr>
              <w:t>身份证</w:t>
            </w:r>
            <w:r>
              <w:rPr>
                <w:rFonts w:hint="eastAsia" w:ascii="宋体" w:hAnsi="宋体"/>
                <w:b/>
                <w:color w:val="auto"/>
                <w:szCs w:val="21"/>
                <w:highlight w:val="none"/>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16"/>
              <w:shd w:val="clear"/>
              <w:snapToGrid w:val="0"/>
              <w:spacing w:beforeLines="50" w:after="50" w:line="360" w:lineRule="auto"/>
              <w:ind w:left="5250"/>
              <w:rPr>
                <w:rFonts w:ascii="宋体" w:hAnsi="宋体" w:eastAsia="宋体"/>
                <w:b/>
                <w:color w:val="auto"/>
                <w:kern w:val="44"/>
                <w:sz w:val="21"/>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default" w:ascii="宋体" w:hAnsi="宋体" w:eastAsia="宋体"/>
                <w:b/>
                <w:color w:val="auto"/>
                <w:kern w:val="44"/>
                <w:szCs w:val="21"/>
                <w:highlight w:val="none"/>
                <w:lang w:val="en-US" w:eastAsia="zh-CN"/>
              </w:rPr>
            </w:pPr>
            <w:r>
              <w:rPr>
                <w:rFonts w:hint="eastAsia" w:ascii="宋体" w:hAnsi="宋体"/>
                <w:b/>
                <w:color w:val="auto"/>
                <w:kern w:val="44"/>
                <w:szCs w:val="21"/>
                <w:highlight w:val="none"/>
                <w:lang w:val="en-US" w:eastAsia="zh-CN"/>
              </w:rPr>
              <w:t>...</w:t>
            </w: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bl>
    <w:p>
      <w:pPr>
        <w:shd w:val="clear"/>
        <w:spacing w:line="360" w:lineRule="auto"/>
        <w:rPr>
          <w:rFonts w:hint="eastAsia" w:ascii="宋体" w:hAnsi="宋体"/>
          <w:color w:val="auto"/>
          <w:szCs w:val="21"/>
          <w:highlight w:val="none"/>
          <w:lang w:eastAsia="zh-CN"/>
        </w:rPr>
      </w:pPr>
      <w:r>
        <w:rPr>
          <w:rFonts w:hint="eastAsia" w:ascii="宋体" w:hAnsi="宋体"/>
          <w:b/>
          <w:color w:val="auto"/>
          <w:szCs w:val="21"/>
          <w:highlight w:val="none"/>
        </w:rPr>
        <w:t>要求：</w:t>
      </w:r>
      <w:r>
        <w:rPr>
          <w:rFonts w:hint="eastAsia" w:ascii="宋体" w:hAnsi="宋体" w:eastAsia="宋体" w:cs="Times New Roman"/>
          <w:color w:val="auto"/>
          <w:kern w:val="2"/>
          <w:sz w:val="21"/>
          <w:szCs w:val="21"/>
          <w:highlight w:val="none"/>
          <w:lang w:val="en-US" w:eastAsia="zh-CN" w:bidi="ar-SA"/>
        </w:rPr>
        <w:t>1.</w:t>
      </w:r>
      <w:r>
        <w:rPr>
          <w:rFonts w:hint="eastAsia" w:ascii="宋体" w:hAnsi="宋体"/>
          <w:bCs/>
          <w:color w:val="auto"/>
          <w:szCs w:val="21"/>
          <w:highlight w:val="none"/>
        </w:rPr>
        <w:t>在填</w:t>
      </w:r>
      <w:r>
        <w:rPr>
          <w:rFonts w:hint="eastAsia" w:ascii="宋体" w:hAnsi="宋体"/>
          <w:color w:val="auto"/>
          <w:szCs w:val="21"/>
          <w:highlight w:val="none"/>
        </w:rPr>
        <w:t>写时，如本表格不适合投标单位的实际情况，可根据本表格式自行划表填写</w:t>
      </w:r>
      <w:r>
        <w:rPr>
          <w:rFonts w:hint="eastAsia" w:ascii="宋体" w:hAnsi="宋体"/>
          <w:color w:val="auto"/>
          <w:szCs w:val="21"/>
          <w:highlight w:val="none"/>
          <w:lang w:eastAsia="zh-CN"/>
        </w:rPr>
        <w:t>。</w:t>
      </w:r>
    </w:p>
    <w:p>
      <w:pPr>
        <w:shd w:val="clea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2.投标人此表中人员须为实际到岗人员，否则按违约处理。</w:t>
      </w:r>
    </w:p>
    <w:p>
      <w:pPr>
        <w:pStyle w:val="26"/>
        <w:shd w:val="clear"/>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26"/>
        <w:shd w:val="clear"/>
        <w:jc w:val="right"/>
        <w:rPr>
          <w:rFonts w:hint="eastAsia"/>
          <w:color w:val="000000" w:themeColor="text1"/>
          <w:highlight w:val="none"/>
          <w14:textFill>
            <w14:solidFill>
              <w14:schemeClr w14:val="tx1"/>
            </w14:solidFill>
          </w14:textFill>
        </w:rPr>
      </w:pPr>
    </w:p>
    <w:p>
      <w:pPr>
        <w:pStyle w:val="26"/>
        <w:shd w:val="clear"/>
        <w:jc w:val="right"/>
        <w:rPr>
          <w:rFonts w:hint="eastAsia"/>
          <w:color w:val="000000" w:themeColor="text1"/>
          <w:highlight w:val="none"/>
          <w14:textFill>
            <w14:solidFill>
              <w14:schemeClr w14:val="tx1"/>
            </w14:solidFill>
          </w14:textFill>
        </w:rPr>
      </w:pPr>
    </w:p>
    <w:p>
      <w:pPr>
        <w:pStyle w:val="26"/>
        <w:shd w:val="clear"/>
        <w:jc w:val="right"/>
        <w:rPr>
          <w:rFonts w:hint="eastAsia"/>
          <w:color w:val="000000" w:themeColor="text1"/>
          <w:highlight w:val="none"/>
          <w14:textFill>
            <w14:solidFill>
              <w14:schemeClr w14:val="tx1"/>
            </w14:solidFill>
          </w14:textFill>
        </w:rPr>
      </w:pPr>
    </w:p>
    <w:p>
      <w:pPr>
        <w:pStyle w:val="26"/>
        <w:shd w:val="clear"/>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法定代表人（签字或电子盖章）：</w:t>
      </w:r>
    </w:p>
    <w:p>
      <w:pPr>
        <w:pStyle w:val="26"/>
        <w:shd w:val="clear"/>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投标人（盖单位电子公章）：</w:t>
      </w:r>
    </w:p>
    <w:p>
      <w:pPr>
        <w:pStyle w:val="26"/>
        <w:shd w:val="clear"/>
        <w:jc w:val="righ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    年   月   日</w:t>
      </w:r>
    </w:p>
    <w:p>
      <w:pPr>
        <w:shd w:val="clear"/>
        <w:spacing w:line="480" w:lineRule="auto"/>
        <w:jc w:val="center"/>
        <w:rPr>
          <w:rFonts w:hint="eastAsia" w:ascii="宋体" w:hAnsi="宋体"/>
          <w:b/>
          <w:bCs/>
          <w:color w:val="000000" w:themeColor="text1"/>
          <w:sz w:val="24"/>
          <w:szCs w:val="24"/>
          <w:highlight w:val="none"/>
          <w14:textFill>
            <w14:solidFill>
              <w14:schemeClr w14:val="tx1"/>
            </w14:solidFill>
          </w14:textFill>
        </w:rPr>
      </w:pPr>
      <w:bookmarkStart w:id="39" w:name="_Toc19972_WPSOffice_Level1"/>
      <w:bookmarkStart w:id="40" w:name="_Toc29537_WPSOffice_Level1"/>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附件9</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rPr>
      </w:pPr>
      <w:r>
        <w:rPr>
          <w:rFonts w:hint="eastAsia" w:ascii="黑体" w:hAnsi="宋体" w:eastAsia="黑体" w:cs="黑体"/>
          <w:b w:val="0"/>
          <w:bCs/>
          <w:kern w:val="2"/>
          <w:sz w:val="44"/>
          <w:szCs w:val="44"/>
          <w:highlight w:val="none"/>
          <w:lang w:val="en-US" w:eastAsia="zh-CN" w:bidi="ar"/>
        </w:rPr>
        <w:t>类似项目实施情况一览表</w:t>
      </w:r>
    </w:p>
    <w:tbl>
      <w:tblPr>
        <w:tblStyle w:val="27"/>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项目单位名称及其联系人电话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bl>
    <w:p>
      <w:pPr>
        <w:pStyle w:val="26"/>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1.业绩证明应提供证明材料（合同可只提供首页、含金额页、盖章页并加盖公章）。2.投标人可按此表格式复制。</w:t>
      </w: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宋体" w:hAnsi="宋体" w:eastAsia="宋体" w:cs="Times New Roman"/>
          <w:color w:val="auto"/>
          <w:szCs w:val="21"/>
          <w:highlight w:val="none"/>
          <w:lang w:val="en-US" w:eastAsia="zh-CN"/>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br w:type="page"/>
      </w: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color w:val="000000" w:themeColor="text1"/>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商务标目录</w:t>
      </w:r>
      <w:bookmarkEnd w:id="39"/>
      <w:bookmarkEnd w:id="40"/>
    </w:p>
    <w:p>
      <w:pPr>
        <w:shd w:val="clear"/>
        <w:rPr>
          <w:rFonts w:ascii="宋体" w:hAnsi="宋体" w:eastAsia="宋体" w:cs="宋体"/>
          <w:color w:val="000000" w:themeColor="text1"/>
          <w:sz w:val="28"/>
          <w:szCs w:val="28"/>
          <w:highlight w:val="none"/>
          <w14:textFill>
            <w14:solidFill>
              <w14:schemeClr w14:val="tx1"/>
            </w14:solidFill>
          </w14:textFill>
        </w:rPr>
      </w:pP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bookmarkStart w:id="41" w:name="_Toc29988_WPSOffice_Level1"/>
      <w:bookmarkStart w:id="42" w:name="_Toc677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val="en-US" w:eastAsia="zh-CN"/>
          <w14:textFill>
            <w14:solidFill>
              <w14:schemeClr w14:val="tx1"/>
            </w14:solidFill>
          </w14:textFill>
        </w:rPr>
        <w:t>开标一览表</w:t>
      </w:r>
      <w:r>
        <w:rPr>
          <w:rFonts w:hint="eastAsia" w:ascii="宋体" w:hAnsi="宋体"/>
          <w:kern w:val="0"/>
          <w:sz w:val="24"/>
          <w:highlight w:val="none"/>
        </w:rPr>
        <w:t>（格式见附件）</w:t>
      </w:r>
      <w:r>
        <w:rPr>
          <w:rFonts w:hint="eastAsia" w:ascii="宋体" w:hAnsi="宋体" w:eastAsia="宋体"/>
          <w:color w:val="000000" w:themeColor="text1"/>
          <w:kern w:val="0"/>
          <w:sz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41"/>
    <w:bookmarkEnd w:id="42"/>
    <w:p>
      <w:pPr>
        <w:shd w:val="clear"/>
        <w:spacing w:line="360" w:lineRule="auto"/>
        <w:ind w:firstLine="480" w:firstLineChars="200"/>
        <w:rPr>
          <w:color w:val="000000" w:themeColor="text1"/>
          <w:sz w:val="24"/>
          <w:highlight w:val="none"/>
          <w14:textFill>
            <w14:solidFill>
              <w14:schemeClr w14:val="tx1"/>
            </w14:solidFill>
          </w14:textFill>
        </w:rPr>
      </w:pPr>
    </w:p>
    <w:p>
      <w:pPr>
        <w:shd w:val="clear"/>
        <w:spacing w:line="360" w:lineRule="auto"/>
        <w:ind w:firstLine="482" w:firstLineChars="200"/>
        <w:rPr>
          <w:rFonts w:ascii="宋体" w:hAnsi="宋体"/>
          <w:b/>
          <w:color w:val="000000" w:themeColor="text1"/>
          <w:sz w:val="24"/>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kern w:val="2"/>
          <w:sz w:val="30"/>
          <w:szCs w:val="30"/>
          <w:highlight w:val="none"/>
        </w:rPr>
      </w:pPr>
      <w:r>
        <w:rPr>
          <w:rFonts w:hint="eastAsia" w:ascii="宋体" w:hAnsi="宋体" w:eastAsia="宋体" w:cs="宋体"/>
          <w:b/>
          <w:bCs w:val="0"/>
          <w:kern w:val="2"/>
          <w:sz w:val="28"/>
          <w:szCs w:val="28"/>
          <w:highlight w:val="none"/>
          <w:lang w:val="en-US" w:eastAsia="zh-CN" w:bidi="ar"/>
        </w:rPr>
        <w:t>附件1</w:t>
      </w:r>
      <w:r>
        <w:rPr>
          <w:rFonts w:hint="eastAsia" w:eastAsia="宋体" w:cs="宋体"/>
          <w:b/>
          <w:bCs w:val="0"/>
          <w:kern w:val="2"/>
          <w:sz w:val="28"/>
          <w:szCs w:val="28"/>
          <w:highlight w:val="none"/>
          <w:lang w:val="en-US" w:eastAsia="zh-CN" w:bidi="ar"/>
        </w:rPr>
        <w:t>0</w:t>
      </w:r>
    </w:p>
    <w:p>
      <w:pPr>
        <w:keepNext w:val="0"/>
        <w:keepLines w:val="0"/>
        <w:widowControl w:val="0"/>
        <w:suppressLineNumbers w:val="0"/>
        <w:shd w:val="clear"/>
        <w:autoSpaceDE w:val="0"/>
        <w:autoSpaceDN/>
        <w:snapToGrid w:val="0"/>
        <w:spacing w:before="0" w:beforeAutospacing="0" w:after="0" w:afterAutospacing="0" w:line="360" w:lineRule="auto"/>
        <w:ind w:left="0" w:right="0"/>
        <w:jc w:val="center"/>
        <w:rPr>
          <w:rFonts w:hint="eastAsia" w:ascii="黑体" w:hAnsi="宋体" w:eastAsia="黑体" w:cs="黑体"/>
          <w:b/>
          <w:bCs/>
          <w:kern w:val="2"/>
          <w:sz w:val="52"/>
          <w:szCs w:val="52"/>
          <w:highlight w:val="none"/>
        </w:rPr>
      </w:pPr>
      <w:r>
        <w:rPr>
          <w:rFonts w:hint="eastAsia" w:ascii="黑体" w:hAnsi="宋体" w:eastAsia="黑体" w:cs="黑体"/>
          <w:b/>
          <w:bCs/>
          <w:kern w:val="2"/>
          <w:sz w:val="44"/>
          <w:szCs w:val="44"/>
          <w:highlight w:val="none"/>
          <w:lang w:val="en-US" w:eastAsia="zh-CN" w:bidi="ar"/>
        </w:rPr>
        <w:t>开标一览表</w:t>
      </w:r>
    </w:p>
    <w:p>
      <w:pPr>
        <w:keepNext w:val="0"/>
        <w:keepLines w:val="0"/>
        <w:widowControl w:val="0"/>
        <w:suppressLineNumbers w:val="0"/>
        <w:shd w:val="clear"/>
        <w:snapToGrid w:val="0"/>
        <w:spacing w:before="50" w:beforeAutospacing="0" w:after="50" w:afterAutospacing="0" w:line="360" w:lineRule="auto"/>
        <w:ind w:left="0" w:right="0"/>
        <w:jc w:val="left"/>
        <w:rPr>
          <w:rFonts w:hint="eastAsia" w:ascii="Arial" w:hAnsi="Arial" w:eastAsia="宋体" w:cs="Arial"/>
          <w:kern w:val="2"/>
          <w:sz w:val="24"/>
          <w:szCs w:val="24"/>
          <w:highlight w:val="none"/>
        </w:rPr>
      </w:pPr>
      <w:r>
        <w:rPr>
          <w:rFonts w:hint="eastAsia" w:ascii="宋体" w:hAnsi="宋体" w:eastAsia="宋体" w:cs="宋体"/>
          <w:kern w:val="2"/>
          <w:sz w:val="24"/>
          <w:szCs w:val="24"/>
          <w:highlight w:val="none"/>
          <w:lang w:val="en-US" w:eastAsia="zh-CN" w:bidi="ar"/>
        </w:rPr>
        <w:t>致：</w:t>
      </w:r>
      <w:r>
        <w:rPr>
          <w:rFonts w:hint="eastAsia" w:ascii="宋体" w:hAnsi="宋体" w:eastAsia="宋体" w:cs="宋体"/>
          <w:kern w:val="2"/>
          <w:sz w:val="24"/>
          <w:szCs w:val="24"/>
          <w:highlight w:val="none"/>
          <w:u w:val="single"/>
          <w:lang w:val="en-US" w:eastAsia="zh-CN" w:bidi="ar"/>
        </w:rPr>
        <w:t xml:space="preserve"> 台州循环经济发展有限公司集聚区资产经营分公司</w:t>
      </w:r>
    </w:p>
    <w:p>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宋体"/>
          <w:kern w:val="2"/>
          <w:sz w:val="24"/>
          <w:szCs w:val="24"/>
          <w:highlight w:val="none"/>
        </w:rPr>
      </w:pPr>
      <w:r>
        <w:rPr>
          <w:rFonts w:hint="eastAsia" w:ascii="宋体" w:hAnsi="宋体" w:eastAsia="宋体" w:cs="宋体"/>
          <w:kern w:val="2"/>
          <w:sz w:val="24"/>
          <w:szCs w:val="24"/>
          <w:highlight w:val="none"/>
          <w:lang w:val="en-US" w:eastAsia="zh-CN" w:bidi="ar"/>
        </w:rPr>
        <w:t>经研究，我们决定参加你单位的台州湾新区聚才公寓和沧海商务中心综合物业服务</w:t>
      </w:r>
      <w:r>
        <w:rPr>
          <w:rFonts w:hint="eastAsia" w:ascii="宋体" w:hAnsi="宋体" w:eastAsia="宋体" w:cs="宋体"/>
          <w:kern w:val="2"/>
          <w:sz w:val="24"/>
          <w:szCs w:val="24"/>
          <w:highlight w:val="none"/>
          <w:u w:val="single"/>
          <w:lang w:val="en-US" w:eastAsia="zh-CN" w:bidi="ar"/>
        </w:rPr>
        <w:t>采购</w:t>
      </w:r>
      <w:r>
        <w:rPr>
          <w:rFonts w:hint="eastAsia" w:ascii="宋体" w:hAnsi="宋体" w:eastAsia="宋体" w:cs="宋体"/>
          <w:kern w:val="2"/>
          <w:sz w:val="24"/>
          <w:szCs w:val="24"/>
          <w:highlight w:val="none"/>
          <w:lang w:val="en-US" w:eastAsia="zh-CN" w:bidi="ar"/>
        </w:rPr>
        <w:t>的招标采购活动并提交投标文件。为此，我方郑重声明以下诸点，并负法律责任。</w:t>
      </w:r>
    </w:p>
    <w:p>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Arial"/>
          <w:kern w:val="2"/>
          <w:sz w:val="24"/>
          <w:szCs w:val="24"/>
          <w:highlight w:val="none"/>
        </w:rPr>
      </w:pPr>
      <w:r>
        <w:rPr>
          <w:rFonts w:hint="default" w:ascii="Arial" w:hAnsi="Arial" w:eastAsia="宋体" w:cs="Arial"/>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、如果我们的采购文件被接受，我们将履行采购文件中规定的每一项要求，并按我们投标文件中的承诺按期、按质、按量提供货物、服务。</w:t>
      </w:r>
    </w:p>
    <w:p>
      <w:pPr>
        <w:pStyle w:val="23"/>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9" w:firstLineChars="129"/>
        <w:jc w:val="both"/>
        <w:textAlignment w:val="auto"/>
        <w:rPr>
          <w:rFonts w:hint="eastAsia" w:ascii="Arial" w:hAnsi="Arial" w:eastAsia="宋体" w:cs="Arial"/>
          <w:spacing w:val="-4"/>
          <w:kern w:val="2"/>
          <w:sz w:val="24"/>
          <w:szCs w:val="24"/>
          <w:highlight w:val="none"/>
        </w:rPr>
      </w:pPr>
      <w:r>
        <w:rPr>
          <w:rFonts w:hint="default" w:ascii="Arial" w:hAnsi="Arial" w:eastAsia="宋体" w:cs="Arial"/>
          <w:spacing w:val="-4"/>
          <w:kern w:val="2"/>
          <w:sz w:val="24"/>
          <w:szCs w:val="24"/>
          <w:highlight w:val="none"/>
          <w:lang w:val="en-US" w:eastAsia="zh-CN" w:bidi="ar"/>
        </w:rPr>
        <w:t>2</w:t>
      </w:r>
      <w:r>
        <w:rPr>
          <w:rFonts w:hint="eastAsia" w:ascii="宋体" w:hAnsi="宋体" w:eastAsia="宋体" w:cs="宋体"/>
          <w:spacing w:val="-4"/>
          <w:kern w:val="2"/>
          <w:sz w:val="24"/>
          <w:szCs w:val="24"/>
          <w:highlight w:val="none"/>
          <w:lang w:val="en-US" w:eastAsia="zh-CN" w:bidi="ar"/>
        </w:rPr>
        <w:t>、我方同意按采购文件规定遵守采购人有关采购的各项规定。</w:t>
      </w:r>
    </w:p>
    <w:p>
      <w:pPr>
        <w:pStyle w:val="23"/>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0" w:firstLineChars="125"/>
        <w:jc w:val="both"/>
        <w:textAlignment w:val="auto"/>
        <w:rPr>
          <w:rFonts w:hint="eastAsia" w:ascii="Arial" w:hAnsi="Arial" w:eastAsia="宋体" w:cs="Arial"/>
          <w:spacing w:val="-4"/>
          <w:kern w:val="2"/>
          <w:sz w:val="24"/>
          <w:szCs w:val="24"/>
          <w:highlight w:val="none"/>
        </w:rPr>
      </w:pPr>
      <w:r>
        <w:rPr>
          <w:rFonts w:hint="default" w:ascii="Arial" w:hAnsi="Arial" w:eastAsia="宋体" w:cs="Arial"/>
          <w:spacing w:val="-4"/>
          <w:kern w:val="2"/>
          <w:sz w:val="24"/>
          <w:szCs w:val="24"/>
          <w:highlight w:val="none"/>
          <w:lang w:val="en-US" w:eastAsia="zh-CN" w:bidi="ar"/>
        </w:rPr>
        <w:t>3</w:t>
      </w:r>
      <w:r>
        <w:rPr>
          <w:rFonts w:hint="eastAsia" w:ascii="宋体" w:hAnsi="宋体" w:eastAsia="宋体" w:cs="宋体"/>
          <w:spacing w:val="-4"/>
          <w:kern w:val="2"/>
          <w:sz w:val="24"/>
          <w:szCs w:val="24"/>
          <w:highlight w:val="none"/>
          <w:lang w:val="en-US" w:eastAsia="zh-CN" w:bidi="ar"/>
        </w:rPr>
        <w:t>、我方同意提供按照贵方要求的与投标有关的一切数据或资料，我方若未成为中标人，采购人有权不做任何解释。</w:t>
      </w:r>
    </w:p>
    <w:p>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40" w:lineRule="auto"/>
        <w:ind w:left="0" w:right="0" w:firstLine="360" w:firstLineChars="150"/>
        <w:jc w:val="both"/>
        <w:textAlignment w:val="auto"/>
        <w:rPr>
          <w:rFonts w:hint="default" w:ascii="Arial" w:hAnsi="Arial" w:cs="宋体"/>
          <w:kern w:val="2"/>
          <w:sz w:val="24"/>
          <w:szCs w:val="24"/>
          <w:highlight w:val="none"/>
        </w:rPr>
      </w:pPr>
      <w:r>
        <w:rPr>
          <w:rFonts w:hint="default" w:ascii="Arial" w:hAnsi="Arial" w:cs="Arial"/>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、我方如果中标，将保证履行采购文件以及采购文件修改书（如有）中的全部责任和义务，按质、按量、按期完成合同中的全部任务。</w:t>
      </w:r>
    </w:p>
    <w:tbl>
      <w:tblPr>
        <w:tblStyle w:val="2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3343"/>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、服务期</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hd w:val="clear"/>
              <w:autoSpaceDE w:val="0"/>
              <w:autoSpaceDN/>
              <w:snapToGrid w:val="0"/>
              <w:spacing w:before="0" w:beforeAutospacing="0" w:after="0" w:afterAutospacing="0"/>
              <w:ind w:left="0" w:leftChars="0" w:right="0" w:rightChars="0"/>
              <w:jc w:val="center"/>
              <w:rPr>
                <w:rFonts w:hint="eastAsia" w:ascii="宋体" w:hAnsi="宋体" w:eastAsia="宋体" w:cs="宋体"/>
                <w:bCs/>
                <w:kern w:val="2"/>
                <w:sz w:val="21"/>
                <w:szCs w:val="21"/>
                <w:highlight w:val="none"/>
              </w:rPr>
            </w:pPr>
            <w:r>
              <w:rPr>
                <w:rFonts w:hint="eastAsia" w:ascii="宋体" w:hAnsi="宋体" w:eastAsia="宋体" w:cs="宋体"/>
                <w:kern w:val="2"/>
                <w:sz w:val="24"/>
                <w:szCs w:val="24"/>
                <w:highlight w:val="none"/>
                <w:lang w:val="en-US" w:eastAsia="zh-CN"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default" w:ascii="宋体" w:hAnsi="宋体" w:eastAsia="宋体" w:cs="宋体"/>
                <w:kern w:val="2"/>
                <w:sz w:val="24"/>
                <w:szCs w:val="24"/>
                <w:highlight w:val="none"/>
                <w:lang w:val="en-US"/>
              </w:rPr>
            </w:pPr>
            <w:r>
              <w:rPr>
                <w:rFonts w:hint="eastAsia" w:ascii="宋体" w:hAnsi="宋体"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、质量</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102"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shd w:val="clear"/>
              <w:kinsoku/>
              <w:overflowPunct/>
              <w:topLinePunct w:val="0"/>
              <w:autoSpaceDE w:val="0"/>
              <w:autoSpaceDN/>
              <w:bidi w:val="0"/>
              <w:adjustRightInd/>
              <w:snapToGrid w:val="0"/>
              <w:spacing w:before="60" w:beforeAutospacing="0" w:after="60" w:afterAutospacing="0" w:line="240" w:lineRule="auto"/>
              <w:ind w:left="0" w:right="0"/>
              <w:jc w:val="both"/>
              <w:textAlignment w:val="auto"/>
              <w:rPr>
                <w:rFonts w:hint="eastAsia" w:ascii="宋体" w:hAnsi="宋体" w:cs="宋体"/>
                <w:kern w:val="2"/>
                <w:sz w:val="24"/>
                <w:szCs w:val="24"/>
                <w:highlight w:val="none"/>
                <w:lang w:val="en-US" w:eastAsia="zh-CN"/>
              </w:rPr>
            </w:pPr>
            <w:r>
              <w:rPr>
                <w:rFonts w:hint="eastAsia" w:ascii="宋体" w:hAnsi="宋体" w:cs="宋体"/>
                <w:kern w:val="2"/>
                <w:sz w:val="24"/>
                <w:szCs w:val="24"/>
                <w:highlight w:val="none"/>
                <w:lang w:val="en-US" w:eastAsia="zh-CN"/>
              </w:rPr>
              <w:t>3、投标报价（含税）（沧海商务中心+聚才公寓）</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shd w:val="clear"/>
              <w:kinsoku/>
              <w:wordWrap w:val="0"/>
              <w:overflowPunct/>
              <w:topLinePunct w:val="0"/>
              <w:autoSpaceDE w:val="0"/>
              <w:autoSpaceDN/>
              <w:bidi w:val="0"/>
              <w:adjustRightInd/>
              <w:snapToGrid w:val="0"/>
              <w:spacing w:before="60" w:beforeAutospacing="0" w:after="60" w:afterAutospacing="0" w:line="240" w:lineRule="auto"/>
              <w:ind w:left="0" w:leftChars="0" w:right="420" w:right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大写：</w:t>
            </w:r>
            <w:r>
              <w:rPr>
                <w:rFonts w:hint="eastAsia"/>
                <w:sz w:val="24"/>
                <w:szCs w:val="24"/>
                <w:highlight w:val="none"/>
                <w:u w:val="single"/>
                <w:lang w:val="en-US" w:eastAsia="zh-CN"/>
              </w:rPr>
              <w:t xml:space="preserve">              </w:t>
            </w:r>
            <w:r>
              <w:rPr>
                <w:rFonts w:hint="eastAsia"/>
                <w:sz w:val="24"/>
                <w:szCs w:val="24"/>
                <w:highlight w:val="none"/>
                <w:lang w:val="en-US" w:eastAsia="zh-CN"/>
              </w:rPr>
              <w:t>元/年</w:t>
            </w:r>
          </w:p>
          <w:p>
            <w:pPr>
              <w:keepNext w:val="0"/>
              <w:keepLines w:val="0"/>
              <w:pageBreakBefore w:val="0"/>
              <w:widowControl w:val="0"/>
              <w:suppressLineNumbers w:val="0"/>
              <w:shd w:val="clear"/>
              <w:kinsoku/>
              <w:wordWrap w:val="0"/>
              <w:overflowPunct/>
              <w:topLinePunct w:val="0"/>
              <w:autoSpaceDE w:val="0"/>
              <w:autoSpaceDN/>
              <w:bidi w:val="0"/>
              <w:adjustRightInd/>
              <w:snapToGrid w:val="0"/>
              <w:spacing w:before="60" w:beforeAutospacing="0" w:after="60" w:afterAutospacing="0" w:line="240" w:lineRule="auto"/>
              <w:ind w:left="0" w:leftChars="0" w:right="420" w:right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小写：</w:t>
            </w:r>
            <w:r>
              <w:rPr>
                <w:rFonts w:hint="eastAsia"/>
                <w:sz w:val="24"/>
                <w:szCs w:val="24"/>
                <w:highlight w:val="none"/>
                <w:u w:val="single"/>
                <w:lang w:val="en-US" w:eastAsia="zh-CN"/>
              </w:rPr>
              <w:t xml:space="preserve">              </w:t>
            </w:r>
            <w:r>
              <w:rPr>
                <w:rFonts w:hint="eastAsia"/>
                <w:sz w:val="24"/>
                <w:szCs w:val="24"/>
                <w:highlight w:val="none"/>
                <w:lang w:val="en-US" w:eastAsia="zh-CN"/>
              </w:rPr>
              <w:t>元/年</w:t>
            </w:r>
          </w:p>
          <w:p>
            <w:pPr>
              <w:pStyle w:val="2"/>
              <w:keepNext w:val="0"/>
              <w:keepLines w:val="0"/>
              <w:pageBreakBefore w:val="0"/>
              <w:widowControl w:val="0"/>
              <w:kinsoku/>
              <w:overflowPunct/>
              <w:topLinePunct w:val="0"/>
              <w:autoSpaceDN/>
              <w:bidi w:val="0"/>
              <w:adjustRightInd/>
              <w:snapToGrid w:val="0"/>
              <w:spacing w:before="60" w:after="60" w:line="240" w:lineRule="auto"/>
              <w:ind w:left="0" w:leftChars="0" w:firstLine="0" w:firstLineChars="0"/>
              <w:jc w:val="both"/>
              <w:textAlignment w:val="auto"/>
              <w:rPr>
                <w:rFonts w:hint="eastAsia" w:ascii="宋体" w:hAnsi="宋体" w:cs="宋体"/>
                <w:bCs/>
                <w:kern w:val="2"/>
                <w:sz w:val="24"/>
                <w:szCs w:val="24"/>
                <w:highlight w:val="none"/>
                <w:lang w:val="en-US" w:eastAsia="zh-CN" w:bidi="ar"/>
              </w:rPr>
            </w:pPr>
            <w:r>
              <w:rPr>
                <w:rFonts w:hint="eastAsia" w:ascii="宋体" w:hAnsi="宋体" w:cs="宋体"/>
                <w:bCs/>
                <w:kern w:val="2"/>
                <w:sz w:val="24"/>
                <w:szCs w:val="24"/>
                <w:highlight w:val="none"/>
                <w:lang w:val="en-US" w:eastAsia="zh-CN" w:bidi="ar"/>
              </w:rPr>
              <w:t>（其中沧海商务中心：</w:t>
            </w:r>
            <w:r>
              <w:rPr>
                <w:rFonts w:hint="eastAsia" w:ascii="宋体" w:hAnsi="宋体" w:cs="宋体"/>
                <w:bCs/>
                <w:kern w:val="2"/>
                <w:sz w:val="24"/>
                <w:szCs w:val="24"/>
                <w:highlight w:val="none"/>
                <w:u w:val="single"/>
                <w:lang w:val="en-US" w:eastAsia="zh-CN" w:bidi="ar"/>
              </w:rPr>
              <w:t xml:space="preserve">            </w:t>
            </w:r>
            <w:r>
              <w:rPr>
                <w:rFonts w:hint="eastAsia" w:ascii="宋体" w:hAnsi="宋体" w:cs="宋体"/>
                <w:bCs/>
                <w:kern w:val="2"/>
                <w:sz w:val="24"/>
                <w:szCs w:val="24"/>
                <w:highlight w:val="none"/>
                <w:lang w:val="en-US" w:eastAsia="zh-CN" w:bidi="ar"/>
              </w:rPr>
              <w:t>元/年；</w:t>
            </w:r>
          </w:p>
          <w:p>
            <w:pPr>
              <w:pStyle w:val="2"/>
              <w:keepNext w:val="0"/>
              <w:keepLines w:val="0"/>
              <w:pageBreakBefore w:val="0"/>
              <w:widowControl w:val="0"/>
              <w:kinsoku/>
              <w:overflowPunct/>
              <w:topLinePunct w:val="0"/>
              <w:autoSpaceDN/>
              <w:bidi w:val="0"/>
              <w:adjustRightInd/>
              <w:snapToGrid w:val="0"/>
              <w:spacing w:before="60" w:after="60" w:line="240" w:lineRule="auto"/>
              <w:ind w:left="0" w:leftChars="0" w:firstLine="240" w:firstLineChars="100"/>
              <w:jc w:val="both"/>
              <w:textAlignment w:val="auto"/>
              <w:rPr>
                <w:rFonts w:hint="eastAsia"/>
                <w:sz w:val="24"/>
                <w:szCs w:val="24"/>
                <w:highlight w:val="none"/>
                <w:lang w:val="en-US" w:eastAsia="zh-CN"/>
              </w:rPr>
            </w:pPr>
            <w:r>
              <w:rPr>
                <w:rFonts w:hint="eastAsia" w:ascii="宋体" w:hAnsi="宋体" w:cs="宋体"/>
                <w:bCs/>
                <w:kern w:val="2"/>
                <w:sz w:val="24"/>
                <w:szCs w:val="24"/>
                <w:highlight w:val="none"/>
                <w:lang w:val="en-US" w:eastAsia="zh-CN" w:bidi="ar"/>
              </w:rPr>
              <w:t>聚才公寓：</w:t>
            </w:r>
            <w:r>
              <w:rPr>
                <w:rFonts w:hint="eastAsia" w:ascii="宋体" w:hAnsi="宋体" w:cs="宋体"/>
                <w:bCs/>
                <w:kern w:val="2"/>
                <w:sz w:val="24"/>
                <w:szCs w:val="24"/>
                <w:highlight w:val="none"/>
                <w:u w:val="single"/>
                <w:lang w:val="en-US" w:eastAsia="zh-CN" w:bidi="ar"/>
              </w:rPr>
              <w:t xml:space="preserve">              </w:t>
            </w:r>
            <w:r>
              <w:rPr>
                <w:rFonts w:hint="eastAsia" w:ascii="宋体" w:hAnsi="宋体" w:cs="宋体"/>
                <w:bCs/>
                <w:kern w:val="2"/>
                <w:sz w:val="24"/>
                <w:szCs w:val="24"/>
                <w:highlight w:val="none"/>
                <w:lang w:val="en-US" w:eastAsia="zh-CN" w:bidi="ar"/>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shd w:val="clear"/>
              <w:kinsoku/>
              <w:overflowPunct/>
              <w:topLinePunct w:val="0"/>
              <w:autoSpaceDE w:val="0"/>
              <w:autoSpaceDN/>
              <w:bidi w:val="0"/>
              <w:adjustRightInd/>
              <w:snapToGrid w:val="0"/>
              <w:spacing w:before="60" w:beforeAutospacing="0" w:after="60" w:afterAutospacing="0" w:line="240" w:lineRule="auto"/>
              <w:ind w:left="0" w:right="0"/>
              <w:jc w:val="both"/>
              <w:textAlignment w:val="auto"/>
              <w:rPr>
                <w:rFonts w:hint="default" w:ascii="宋体" w:hAnsi="宋体" w:cs="宋体"/>
                <w:kern w:val="2"/>
                <w:sz w:val="24"/>
                <w:szCs w:val="24"/>
                <w:highlight w:val="none"/>
                <w:lang w:val="en-US" w:eastAsia="zh-CN"/>
              </w:rPr>
            </w:pPr>
            <w:r>
              <w:rPr>
                <w:rFonts w:hint="eastAsia" w:ascii="宋体" w:hAnsi="宋体" w:cs="宋体"/>
                <w:kern w:val="2"/>
                <w:sz w:val="24"/>
                <w:szCs w:val="24"/>
                <w:highlight w:val="none"/>
                <w:lang w:val="en-US" w:eastAsia="zh-CN"/>
              </w:rPr>
              <w:t>4、三年总报价（含税）</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shd w:val="clear"/>
              <w:kinsoku/>
              <w:wordWrap w:val="0"/>
              <w:overflowPunct/>
              <w:topLinePunct w:val="0"/>
              <w:autoSpaceDE w:val="0"/>
              <w:autoSpaceDN/>
              <w:bidi w:val="0"/>
              <w:adjustRightInd/>
              <w:snapToGrid w:val="0"/>
              <w:spacing w:before="60" w:beforeAutospacing="0" w:after="60" w:afterAutospacing="0" w:line="240" w:lineRule="auto"/>
              <w:ind w:left="0" w:leftChars="0" w:right="420" w:right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大写：</w:t>
            </w:r>
            <w:r>
              <w:rPr>
                <w:rFonts w:hint="eastAsia"/>
                <w:sz w:val="24"/>
                <w:szCs w:val="24"/>
                <w:highlight w:val="none"/>
                <w:u w:val="single"/>
                <w:lang w:val="en-US" w:eastAsia="zh-CN"/>
              </w:rPr>
              <w:t xml:space="preserve">                 </w:t>
            </w:r>
            <w:r>
              <w:rPr>
                <w:rFonts w:hint="eastAsia"/>
                <w:sz w:val="24"/>
                <w:szCs w:val="24"/>
                <w:highlight w:val="none"/>
                <w:lang w:val="en-US" w:eastAsia="zh-CN"/>
              </w:rPr>
              <w:t>元</w:t>
            </w:r>
          </w:p>
          <w:p>
            <w:pPr>
              <w:keepNext w:val="0"/>
              <w:keepLines w:val="0"/>
              <w:pageBreakBefore w:val="0"/>
              <w:widowControl w:val="0"/>
              <w:suppressLineNumbers w:val="0"/>
              <w:shd w:val="clear"/>
              <w:kinsoku/>
              <w:wordWrap w:val="0"/>
              <w:overflowPunct/>
              <w:topLinePunct w:val="0"/>
              <w:autoSpaceDE w:val="0"/>
              <w:autoSpaceDN/>
              <w:bidi w:val="0"/>
              <w:adjustRightInd/>
              <w:snapToGrid w:val="0"/>
              <w:spacing w:before="60" w:beforeAutospacing="0" w:after="60" w:afterAutospacing="0" w:line="240" w:lineRule="auto"/>
              <w:ind w:left="0" w:leftChars="0" w:right="420" w:right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小写：</w:t>
            </w:r>
            <w:r>
              <w:rPr>
                <w:rFonts w:hint="eastAsia"/>
                <w:sz w:val="24"/>
                <w:szCs w:val="24"/>
                <w:highlight w:val="none"/>
                <w:u w:val="single"/>
                <w:lang w:val="en-US" w:eastAsia="zh-CN"/>
              </w:rPr>
              <w:t xml:space="preserve">                 </w:t>
            </w:r>
            <w:r>
              <w:rPr>
                <w:rFonts w:hint="eastAsia"/>
                <w:sz w:val="24"/>
                <w:szCs w:val="24"/>
                <w:highlight w:val="none"/>
                <w:lang w:val="en-US" w:eastAsia="zh-CN"/>
              </w:rPr>
              <w:t>元</w:t>
            </w:r>
          </w:p>
        </w:tc>
      </w:tr>
    </w:tbl>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注</w:t>
      </w:r>
      <w:r>
        <w:rPr>
          <w:rFonts w:hint="default" w:ascii="宋体" w:hAnsi="宋体" w:eastAsia="宋体" w:cs="宋体"/>
          <w:kern w:val="2"/>
          <w:sz w:val="21"/>
          <w:szCs w:val="21"/>
          <w:highlight w:val="none"/>
          <w:lang w:val="en-US" w:eastAsia="zh-CN" w:bidi="ar"/>
        </w:rPr>
        <w:t>: 1</w:t>
      </w:r>
      <w:r>
        <w:rPr>
          <w:rFonts w:hint="eastAsia" w:ascii="宋体" w:hAnsi="宋体" w:eastAsia="宋体" w:cs="宋体"/>
          <w:kern w:val="2"/>
          <w:sz w:val="21"/>
          <w:szCs w:val="21"/>
          <w:highlight w:val="none"/>
          <w:lang w:val="en-US" w:eastAsia="zh-CN" w:bidi="ar"/>
        </w:rPr>
        <w:t>、报价一经涂改，应在涂改处加盖单位公章或者由法定代表人或授权委托人签字或盖章，否则其投标作无效标处理。</w:t>
      </w:r>
    </w:p>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投标报价应是采购文件所确定的招标范围内全部工作内容的价格表现，其应包括总报价应当包括合同包含的所有风险责任等各项费用及不可预见费、税费、招标代理服务费等所需的全部费用。各投标人应根据采购人提供的采购需求，以及本项目实际情况和自身的综合实力，竞报投标报价。</w:t>
      </w:r>
    </w:p>
    <w:p>
      <w:pPr>
        <w:shd w:val="clear"/>
        <w:snapToGrid w:val="0"/>
        <w:spacing w:line="480" w:lineRule="exact"/>
        <w:ind w:firstLine="720" w:firstLineChars="300"/>
        <w:jc w:val="left"/>
        <w:rPr>
          <w:rFonts w:hint="eastAsia" w:ascii="宋体" w:hAnsi="宋体" w:eastAsia="宋体" w:cs="宋体"/>
          <w:color w:val="000000"/>
          <w:sz w:val="24"/>
          <w:szCs w:val="24"/>
          <w:highlight w:val="none"/>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6"/>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6"/>
        <w:shd w:val="clear"/>
        <w:jc w:val="righ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tabs>
        <w:tab w:val="left" w:pos="454"/>
        <w:tab w:val="left" w:pos="720"/>
        <w:tab w:val="left" w:pos="1200"/>
      </w:tabs>
      <w:spacing w:after="120"/>
      <w:rPr>
        <w:rStyle w:val="31"/>
      </w:rPr>
    </w:pPr>
    <w:r>
      <w:fldChar w:fldCharType="begin"/>
    </w:r>
    <w:r>
      <w:rPr>
        <w:rStyle w:val="31"/>
      </w:rPr>
      <w:instrText xml:space="preserve">PAGE  </w:instrText>
    </w:r>
    <w:r>
      <w:fldChar w:fldCharType="separate"/>
    </w:r>
    <w:r>
      <w:rPr>
        <w:rStyle w:val="31"/>
      </w:rPr>
      <w:t>10</w:t>
    </w:r>
    <w:r>
      <w:fldChar w:fldCharType="end"/>
    </w:r>
  </w:p>
  <w:p>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62643"/>
    <w:multiLevelType w:val="singleLevel"/>
    <w:tmpl w:val="D6662643"/>
    <w:lvl w:ilvl="0" w:tentative="0">
      <w:start w:val="1"/>
      <w:numFmt w:val="decimal"/>
      <w:suff w:val="nothing"/>
      <w:lvlText w:val="%1、"/>
      <w:lvlJc w:val="left"/>
    </w:lvl>
  </w:abstractNum>
  <w:abstractNum w:abstractNumId="1">
    <w:nsid w:val="DF94FD1E"/>
    <w:multiLevelType w:val="singleLevel"/>
    <w:tmpl w:val="DF94FD1E"/>
    <w:lvl w:ilvl="0" w:tentative="0">
      <w:start w:val="1"/>
      <w:numFmt w:val="decimal"/>
      <w:suff w:val="nothing"/>
      <w:lvlText w:val="（%1）"/>
      <w:lvlJc w:val="left"/>
    </w:lvl>
  </w:abstractNum>
  <w:abstractNum w:abstractNumId="2">
    <w:nsid w:val="FE5DE72E"/>
    <w:multiLevelType w:val="singleLevel"/>
    <w:tmpl w:val="FE5DE72E"/>
    <w:lvl w:ilvl="0" w:tentative="0">
      <w:start w:val="1"/>
      <w:numFmt w:val="decimal"/>
      <w:suff w:val="nothing"/>
      <w:lvlText w:val="%1、"/>
      <w:lvlJc w:val="left"/>
    </w:lvl>
  </w:abstractNum>
  <w:abstractNum w:abstractNumId="3">
    <w:nsid w:val="00000000"/>
    <w:multiLevelType w:val="singleLevel"/>
    <w:tmpl w:val="0000000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4">
    <w:nsid w:val="00000003"/>
    <w:multiLevelType w:val="singleLevel"/>
    <w:tmpl w:val="00000003"/>
    <w:lvl w:ilvl="0" w:tentative="0">
      <w:start w:val="1"/>
      <w:numFmt w:val="bullet"/>
      <w:pStyle w:val="9"/>
      <w:lvlText w:val=""/>
      <w:lvlJc w:val="left"/>
      <w:pPr>
        <w:tabs>
          <w:tab w:val="left" w:pos="360"/>
        </w:tabs>
        <w:ind w:left="360" w:hanging="360"/>
      </w:pPr>
      <w:rPr>
        <w:rFonts w:hint="default" w:ascii="Wingdings" w:hAnsi="Wingdings"/>
      </w:rPr>
    </w:lvl>
  </w:abstractNum>
  <w:abstractNum w:abstractNumId="5">
    <w:nsid w:val="00000005"/>
    <w:multiLevelType w:val="multilevel"/>
    <w:tmpl w:val="00000005"/>
    <w:lvl w:ilvl="0" w:tentative="0">
      <w:start w:val="1"/>
      <w:numFmt w:val="decimal"/>
      <w:pStyle w:val="8"/>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8">
    <w:nsid w:val="00000009"/>
    <w:multiLevelType w:val="singleLevel"/>
    <w:tmpl w:val="00000009"/>
    <w:lvl w:ilvl="0" w:tentative="0">
      <w:start w:val="1"/>
      <w:numFmt w:val="chineseCounting"/>
      <w:suff w:val="space"/>
      <w:lvlText w:val="第%1章"/>
      <w:lvlJc w:val="left"/>
      <w:rPr>
        <w:rFonts w:hint="eastAsia"/>
      </w:rPr>
    </w:lvl>
  </w:abstractNum>
  <w:abstractNum w:abstractNumId="9">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D82B1F4"/>
    <w:multiLevelType w:val="singleLevel"/>
    <w:tmpl w:val="1D82B1F4"/>
    <w:lvl w:ilvl="0" w:tentative="0">
      <w:start w:val="1"/>
      <w:numFmt w:val="decimal"/>
      <w:suff w:val="nothing"/>
      <w:lvlText w:val="%1、"/>
      <w:lvlJc w:val="left"/>
    </w:lvl>
  </w:abstractNum>
  <w:num w:numId="1">
    <w:abstractNumId w:val="7"/>
  </w:num>
  <w:num w:numId="2">
    <w:abstractNumId w:val="5"/>
  </w:num>
  <w:num w:numId="3">
    <w:abstractNumId w:val="4"/>
  </w:num>
  <w:num w:numId="4">
    <w:abstractNumId w:val="3"/>
  </w:num>
  <w:num w:numId="5">
    <w:abstractNumId w:val="8"/>
  </w:num>
  <w:num w:numId="6">
    <w:abstractNumId w:val="6"/>
  </w:num>
  <w:num w:numId="7">
    <w:abstractNumId w:val="0"/>
  </w:num>
  <w:num w:numId="8">
    <w:abstractNumId w:val="10"/>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8012AA"/>
    <w:rsid w:val="019813A6"/>
    <w:rsid w:val="01A159C8"/>
    <w:rsid w:val="020531A4"/>
    <w:rsid w:val="020A1637"/>
    <w:rsid w:val="03C73027"/>
    <w:rsid w:val="04D93194"/>
    <w:rsid w:val="064047AA"/>
    <w:rsid w:val="081366F7"/>
    <w:rsid w:val="08C71AF5"/>
    <w:rsid w:val="09964816"/>
    <w:rsid w:val="0A924C6F"/>
    <w:rsid w:val="0B545E6B"/>
    <w:rsid w:val="0CE75D5E"/>
    <w:rsid w:val="0DE917FF"/>
    <w:rsid w:val="0F153495"/>
    <w:rsid w:val="0F276CCE"/>
    <w:rsid w:val="115D1DA1"/>
    <w:rsid w:val="13C426F1"/>
    <w:rsid w:val="16385BCA"/>
    <w:rsid w:val="16C62AAA"/>
    <w:rsid w:val="176A3EB7"/>
    <w:rsid w:val="1891649E"/>
    <w:rsid w:val="1BA27378"/>
    <w:rsid w:val="1BB97D2C"/>
    <w:rsid w:val="1BFD2DF3"/>
    <w:rsid w:val="1EC23129"/>
    <w:rsid w:val="21172789"/>
    <w:rsid w:val="22AB795A"/>
    <w:rsid w:val="25C13275"/>
    <w:rsid w:val="26F14645"/>
    <w:rsid w:val="274B33B1"/>
    <w:rsid w:val="27561EF5"/>
    <w:rsid w:val="2C462142"/>
    <w:rsid w:val="2C5B58E2"/>
    <w:rsid w:val="2DED5E44"/>
    <w:rsid w:val="2E8C06A5"/>
    <w:rsid w:val="30C067BB"/>
    <w:rsid w:val="32002C17"/>
    <w:rsid w:val="328461C1"/>
    <w:rsid w:val="32B61635"/>
    <w:rsid w:val="339D0395"/>
    <w:rsid w:val="33E93EE1"/>
    <w:rsid w:val="34040A4A"/>
    <w:rsid w:val="34D61105"/>
    <w:rsid w:val="366C0322"/>
    <w:rsid w:val="37EA47B2"/>
    <w:rsid w:val="37F509B7"/>
    <w:rsid w:val="3977553B"/>
    <w:rsid w:val="3A1B6C10"/>
    <w:rsid w:val="3A535C63"/>
    <w:rsid w:val="3B1735B9"/>
    <w:rsid w:val="3B9703AF"/>
    <w:rsid w:val="3C597554"/>
    <w:rsid w:val="402A76FA"/>
    <w:rsid w:val="403102E6"/>
    <w:rsid w:val="41F477D8"/>
    <w:rsid w:val="41F57D5A"/>
    <w:rsid w:val="42467F85"/>
    <w:rsid w:val="42694E81"/>
    <w:rsid w:val="43E96874"/>
    <w:rsid w:val="44EF0EF0"/>
    <w:rsid w:val="45C1477F"/>
    <w:rsid w:val="46527545"/>
    <w:rsid w:val="479E5836"/>
    <w:rsid w:val="48257DC3"/>
    <w:rsid w:val="48267D90"/>
    <w:rsid w:val="484A6923"/>
    <w:rsid w:val="48675E2C"/>
    <w:rsid w:val="48E56F78"/>
    <w:rsid w:val="48E64B2B"/>
    <w:rsid w:val="49371F3A"/>
    <w:rsid w:val="49A65F5E"/>
    <w:rsid w:val="49BA19D8"/>
    <w:rsid w:val="4B775B85"/>
    <w:rsid w:val="4E4C256F"/>
    <w:rsid w:val="4EF34216"/>
    <w:rsid w:val="4F4B3A8C"/>
    <w:rsid w:val="51741973"/>
    <w:rsid w:val="517527ED"/>
    <w:rsid w:val="520C7FB2"/>
    <w:rsid w:val="522B5D49"/>
    <w:rsid w:val="52A81E23"/>
    <w:rsid w:val="53C862CB"/>
    <w:rsid w:val="55AA24A0"/>
    <w:rsid w:val="599844D5"/>
    <w:rsid w:val="5BDE09E0"/>
    <w:rsid w:val="5D422059"/>
    <w:rsid w:val="5F853E7D"/>
    <w:rsid w:val="626F2541"/>
    <w:rsid w:val="66CB0FC3"/>
    <w:rsid w:val="67E26786"/>
    <w:rsid w:val="68725F14"/>
    <w:rsid w:val="6A240CB2"/>
    <w:rsid w:val="6B062163"/>
    <w:rsid w:val="6E766B6E"/>
    <w:rsid w:val="6F1A0ED3"/>
    <w:rsid w:val="6FDB6A6B"/>
    <w:rsid w:val="70885A9B"/>
    <w:rsid w:val="71437243"/>
    <w:rsid w:val="71766353"/>
    <w:rsid w:val="72D51853"/>
    <w:rsid w:val="742D49F4"/>
    <w:rsid w:val="76967E32"/>
    <w:rsid w:val="776F7ECA"/>
    <w:rsid w:val="77C72273"/>
    <w:rsid w:val="77E0098C"/>
    <w:rsid w:val="790A3E6A"/>
    <w:rsid w:val="791F3E96"/>
    <w:rsid w:val="799F7821"/>
    <w:rsid w:val="79B466B2"/>
    <w:rsid w:val="7A730C2B"/>
    <w:rsid w:val="7CC74FD3"/>
    <w:rsid w:val="7D990F1D"/>
    <w:rsid w:val="7E0746BF"/>
    <w:rsid w:val="7E78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qFormat/>
    <w:uiPriority w:val="0"/>
    <w:pPr>
      <w:keepNext/>
      <w:keepLines/>
      <w:tabs>
        <w:tab w:val="left" w:pos="8280"/>
      </w:tabs>
      <w:spacing w:before="260" w:after="260" w:line="416" w:lineRule="auto"/>
      <w:outlineLvl w:val="2"/>
    </w:pPr>
    <w:rPr>
      <w:bCs/>
      <w:szCs w:val="32"/>
    </w:rPr>
  </w:style>
  <w:style w:type="character" w:default="1" w:styleId="29">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styleId="2">
    <w:name w:val="Body Text First Indent"/>
    <w:basedOn w:val="3"/>
    <w:next w:val="1"/>
    <w:link w:val="81"/>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7">
    <w:name w:val="Normal Indent"/>
    <w:basedOn w:val="1"/>
    <w:next w:val="1"/>
    <w:qFormat/>
    <w:uiPriority w:val="0"/>
    <w:pPr>
      <w:ind w:firstLine="420"/>
    </w:pPr>
    <w:rPr>
      <w:szCs w:val="20"/>
    </w:rPr>
  </w:style>
  <w:style w:type="paragraph" w:styleId="8">
    <w:name w:val="List Number"/>
    <w:basedOn w:val="1"/>
    <w:qFormat/>
    <w:uiPriority w:val="0"/>
    <w:pPr>
      <w:numPr>
        <w:ilvl w:val="0"/>
        <w:numId w:val="2"/>
      </w:numPr>
    </w:pPr>
  </w:style>
  <w:style w:type="paragraph" w:styleId="9">
    <w:name w:val="List Bullet"/>
    <w:basedOn w:val="1"/>
    <w:next w:val="1"/>
    <w:qFormat/>
    <w:uiPriority w:val="0"/>
    <w:pPr>
      <w:numPr>
        <w:ilvl w:val="0"/>
        <w:numId w:val="3"/>
      </w:numPr>
    </w:pPr>
  </w:style>
  <w:style w:type="paragraph" w:styleId="10">
    <w:name w:val="annotation text"/>
    <w:basedOn w:val="1"/>
    <w:link w:val="79"/>
    <w:qFormat/>
    <w:uiPriority w:val="0"/>
    <w:pPr>
      <w:jc w:val="left"/>
    </w:pPr>
  </w:style>
  <w:style w:type="paragraph" w:styleId="11">
    <w:name w:val="Body Text 3"/>
    <w:basedOn w:val="1"/>
    <w:qFormat/>
    <w:uiPriority w:val="0"/>
    <w:pPr>
      <w:snapToGrid w:val="0"/>
      <w:spacing w:before="50" w:after="50"/>
    </w:pPr>
    <w:rPr>
      <w:rFonts w:hAnsi="宋体" w:eastAsia="仿宋_GB2312"/>
      <w:b/>
      <w:bCs/>
      <w:sz w:val="24"/>
      <w:szCs w:val="20"/>
    </w:rPr>
  </w:style>
  <w:style w:type="paragraph" w:styleId="12">
    <w:name w:val="Body Text Indent"/>
    <w:basedOn w:val="1"/>
    <w:next w:val="13"/>
    <w:qFormat/>
    <w:uiPriority w:val="0"/>
    <w:pPr>
      <w:spacing w:after="120"/>
      <w:ind w:left="420" w:leftChars="200"/>
    </w:pPr>
  </w:style>
  <w:style w:type="paragraph" w:styleId="13">
    <w:name w:val="envelope return"/>
    <w:basedOn w:val="1"/>
    <w:unhideWhenUsed/>
    <w:qFormat/>
    <w:uiPriority w:val="99"/>
    <w:pPr>
      <w:snapToGrid w:val="0"/>
    </w:pPr>
    <w:rPr>
      <w:rFonts w:ascii="Arial" w:hAnsi="Arial"/>
    </w:rPr>
  </w:style>
  <w:style w:type="paragraph" w:styleId="14">
    <w:name w:val="List Bullet 2"/>
    <w:basedOn w:val="1"/>
    <w:next w:val="9"/>
    <w:qFormat/>
    <w:uiPriority w:val="0"/>
    <w:pPr>
      <w:numPr>
        <w:ilvl w:val="0"/>
        <w:numId w:val="4"/>
      </w:numPr>
    </w:pPr>
  </w:style>
  <w:style w:type="paragraph" w:styleId="15">
    <w:name w:val="Plain Text"/>
    <w:basedOn w:val="1"/>
    <w:link w:val="71"/>
    <w:qFormat/>
    <w:uiPriority w:val="0"/>
    <w:rPr>
      <w:rFonts w:ascii="宋体" w:hAnsi="Courier New" w:cs="宋体"/>
    </w:rPr>
  </w:style>
  <w:style w:type="paragraph" w:styleId="16">
    <w:name w:val="Date"/>
    <w:basedOn w:val="1"/>
    <w:next w:val="1"/>
    <w:qFormat/>
    <w:uiPriority w:val="0"/>
    <w:pPr>
      <w:ind w:left="2500" w:leftChars="2500"/>
    </w:pPr>
    <w:rPr>
      <w:rFonts w:ascii="Calibri" w:hAnsi="Calibri" w:eastAsia="楷体_GB2312" w:cs="宋体"/>
      <w:sz w:val="32"/>
      <w:szCs w:val="22"/>
    </w:rPr>
  </w:style>
  <w:style w:type="paragraph" w:styleId="17">
    <w:name w:val="Balloon Text"/>
    <w:basedOn w:val="1"/>
    <w:link w:val="6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宋体" w:hAnsi="宋体"/>
      <w:sz w:val="24"/>
    </w:rPr>
  </w:style>
  <w:style w:type="paragraph" w:styleId="21">
    <w:name w:val="toc 6"/>
    <w:basedOn w:val="1"/>
    <w:next w:val="1"/>
    <w:qFormat/>
    <w:uiPriority w:val="39"/>
    <w:pPr>
      <w:ind w:left="2100" w:leftChars="1000"/>
    </w:pPr>
    <w:rPr>
      <w:rFonts w:ascii="Calibri" w:hAnsi="Calibri"/>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qFormat/>
    <w:uiPriority w:val="0"/>
    <w:pPr>
      <w:spacing w:before="240" w:after="60"/>
      <w:jc w:val="center"/>
      <w:outlineLvl w:val="0"/>
    </w:pPr>
    <w:rPr>
      <w:rFonts w:ascii="Cambria" w:hAnsi="Cambria"/>
      <w:b/>
      <w:bCs/>
      <w:kern w:val="0"/>
      <w:sz w:val="32"/>
      <w:szCs w:val="32"/>
    </w:rPr>
  </w:style>
  <w:style w:type="paragraph" w:styleId="25">
    <w:name w:val="annotation subject"/>
    <w:basedOn w:val="10"/>
    <w:next w:val="10"/>
    <w:link w:val="80"/>
    <w:qFormat/>
    <w:uiPriority w:val="0"/>
    <w:rPr>
      <w:b/>
      <w:bCs/>
    </w:rPr>
  </w:style>
  <w:style w:type="paragraph" w:styleId="26">
    <w:name w:val="Body Text First Indent 2"/>
    <w:basedOn w:val="12"/>
    <w:next w:val="1"/>
    <w:qFormat/>
    <w:uiPriority w:val="0"/>
    <w:pPr>
      <w:ind w:firstLine="420"/>
    </w:pPr>
  </w:style>
  <w:style w:type="table" w:styleId="28">
    <w:name w:val="Table Grid"/>
    <w:basedOn w:val="27"/>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qFormat/>
    <w:uiPriority w:val="0"/>
    <w:rPr>
      <w:color w:val="0000FF"/>
      <w:u w:val="single"/>
    </w:rPr>
  </w:style>
  <w:style w:type="character" w:styleId="32">
    <w:name w:val="annotation reference"/>
    <w:basedOn w:val="29"/>
    <w:qFormat/>
    <w:uiPriority w:val="0"/>
    <w:rPr>
      <w:sz w:val="21"/>
      <w:szCs w:val="21"/>
    </w:rPr>
  </w:style>
  <w:style w:type="paragraph" w:customStyle="1" w:styleId="33">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正文首行缩进1"/>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6">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4、正文"/>
    <w:basedOn w:val="1"/>
    <w:qFormat/>
    <w:uiPriority w:val="0"/>
    <w:pPr>
      <w:ind w:firstLine="200" w:firstLineChars="200"/>
    </w:pPr>
    <w:rPr>
      <w:rFonts w:ascii="宋体"/>
      <w:sz w:val="24"/>
      <w:szCs w:val="28"/>
    </w:rPr>
  </w:style>
  <w:style w:type="paragraph" w:customStyle="1" w:styleId="38">
    <w:name w:val="表格文字"/>
    <w:basedOn w:val="1"/>
    <w:next w:val="3"/>
    <w:qFormat/>
    <w:uiPriority w:val="0"/>
    <w:pPr>
      <w:jc w:val="left"/>
      <w:textAlignment w:val="top"/>
    </w:pPr>
    <w:rPr>
      <w:sz w:val="18"/>
    </w:rPr>
  </w:style>
  <w:style w:type="paragraph" w:styleId="39">
    <w:name w:val="List Paragraph"/>
    <w:basedOn w:val="1"/>
    <w:qFormat/>
    <w:uiPriority w:val="0"/>
    <w:pPr>
      <w:ind w:firstLine="420" w:firstLineChars="200"/>
    </w:pPr>
    <w:rPr>
      <w:rFonts w:ascii="Calibri" w:hAnsi="Calibri"/>
      <w:szCs w:val="22"/>
    </w:rPr>
  </w:style>
  <w:style w:type="paragraph" w:customStyle="1" w:styleId="4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qFormat/>
    <w:uiPriority w:val="0"/>
    <w:rPr>
      <w:rFonts w:ascii="Times New Roman" w:hAnsi="Times New Roman" w:eastAsia="宋体" w:cs="Times New Roman"/>
      <w:sz w:val="21"/>
      <w:szCs w:val="22"/>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qFormat/>
    <w:uiPriority w:val="0"/>
    <w:pPr>
      <w:widowControl/>
      <w:jc w:val="left"/>
    </w:pPr>
    <w:rPr>
      <w:rFonts w:ascii="宋体" w:hAnsi="Courier New" w:eastAsia="宋体" w:cs="宋体"/>
      <w:szCs w:val="21"/>
    </w:rPr>
  </w:style>
  <w:style w:type="paragraph" w:customStyle="1" w:styleId="49">
    <w:name w:val="纯文本_0_1"/>
    <w:basedOn w:val="1"/>
    <w:qFormat/>
    <w:uiPriority w:val="0"/>
    <w:pPr>
      <w:widowControl/>
      <w:jc w:val="left"/>
    </w:pPr>
    <w:rPr>
      <w:rFonts w:ascii="宋体" w:hAnsi="Courier New" w:eastAsia="宋体" w:cs="宋体"/>
      <w:szCs w:val="21"/>
    </w:rPr>
  </w:style>
  <w:style w:type="paragraph" w:customStyle="1" w:styleId="5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29"/>
    <w:qFormat/>
    <w:uiPriority w:val="0"/>
    <w:rPr>
      <w:rFonts w:hint="default" w:ascii="Arial" w:hAnsi="Arial" w:cs="Arial"/>
      <w:color w:val="000000"/>
      <w:sz w:val="20"/>
      <w:szCs w:val="20"/>
      <w:u w:val="none"/>
    </w:rPr>
  </w:style>
  <w:style w:type="character" w:customStyle="1" w:styleId="55">
    <w:name w:val="font01"/>
    <w:basedOn w:val="29"/>
    <w:qFormat/>
    <w:uiPriority w:val="0"/>
    <w:rPr>
      <w:rFonts w:hint="eastAsia" w:ascii="宋体" w:hAnsi="宋体" w:eastAsia="宋体" w:cs="宋体"/>
      <w:color w:val="000000"/>
      <w:sz w:val="20"/>
      <w:szCs w:val="20"/>
      <w:u w:val="none"/>
    </w:rPr>
  </w:style>
  <w:style w:type="paragraph" w:customStyle="1" w:styleId="56">
    <w:name w:val="纯文本1"/>
    <w:basedOn w:val="57"/>
    <w:qFormat/>
    <w:uiPriority w:val="0"/>
    <w:pPr>
      <w:widowControl/>
      <w:jc w:val="left"/>
    </w:pPr>
    <w:rPr>
      <w:rFonts w:ascii="宋体" w:hAnsi="Courier New"/>
    </w:rPr>
  </w:style>
  <w:style w:type="paragraph" w:customStyle="1" w:styleId="5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qFormat/>
    <w:uiPriority w:val="1"/>
    <w:rPr>
      <w:rFonts w:ascii="宋体" w:hAnsi="宋体" w:cs="宋体"/>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character" w:customStyle="1" w:styleId="61">
    <w:name w:val="批注框文本 字符"/>
    <w:basedOn w:val="29"/>
    <w:link w:val="17"/>
    <w:qFormat/>
    <w:uiPriority w:val="0"/>
    <w:rPr>
      <w:kern w:val="2"/>
      <w:sz w:val="18"/>
      <w:szCs w:val="18"/>
    </w:rPr>
  </w:style>
  <w:style w:type="paragraph" w:customStyle="1" w:styleId="62">
    <w:name w:val="英文"/>
    <w:basedOn w:val="1"/>
    <w:link w:val="64"/>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qFormat/>
    <w:uiPriority w:val="0"/>
    <w:rPr>
      <w:rFonts w:ascii="Arial" w:hAnsi="Arial" w:cs="Arial"/>
      <w:sz w:val="24"/>
    </w:rPr>
  </w:style>
  <w:style w:type="paragraph" w:customStyle="1" w:styleId="6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qFormat/>
    <w:uiPriority w:val="0"/>
    <w:pPr>
      <w:spacing w:line="360" w:lineRule="auto"/>
      <w:ind w:firstLine="200" w:firstLineChars="200"/>
    </w:pPr>
    <w:rPr>
      <w:rFonts w:eastAsia="仿宋"/>
      <w:sz w:val="28"/>
    </w:rPr>
  </w:style>
  <w:style w:type="paragraph" w:customStyle="1" w:styleId="67">
    <w:name w:val="Normal Indent1"/>
    <w:basedOn w:val="1"/>
    <w:qFormat/>
    <w:uiPriority w:val="0"/>
    <w:pPr>
      <w:ind w:firstLine="420" w:firstLineChars="200"/>
    </w:p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修订2"/>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qFormat/>
    <w:uiPriority w:val="0"/>
    <w:pPr>
      <w:ind w:firstLine="420" w:firstLineChars="200"/>
    </w:pPr>
  </w:style>
  <w:style w:type="character" w:customStyle="1" w:styleId="71">
    <w:name w:val="纯文本 字符"/>
    <w:link w:val="15"/>
    <w:qFormat/>
    <w:uiPriority w:val="0"/>
    <w:rPr>
      <w:rFonts w:ascii="宋体" w:hAnsi="Courier New" w:cs="宋体"/>
      <w:kern w:val="2"/>
      <w:sz w:val="21"/>
      <w:szCs w:val="24"/>
    </w:rPr>
  </w:style>
  <w:style w:type="character" w:customStyle="1" w:styleId="72">
    <w:name w:val="NormalCharacter"/>
    <w:qFormat/>
    <w:uiPriority w:val="0"/>
  </w:style>
  <w:style w:type="paragraph" w:customStyle="1" w:styleId="73">
    <w:name w:val="UserStyle_4"/>
    <w:basedOn w:val="1"/>
    <w:qFormat/>
    <w:uiPriority w:val="0"/>
    <w:pPr>
      <w:ind w:firstLine="420" w:firstLineChars="200"/>
    </w:pPr>
    <w:rPr>
      <w:sz w:val="24"/>
    </w:rPr>
  </w:style>
  <w:style w:type="paragraph" w:customStyle="1" w:styleId="74">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qFormat/>
    <w:uiPriority w:val="0"/>
    <w:pPr>
      <w:ind w:firstLine="420" w:firstLineChars="200"/>
    </w:pPr>
    <w:rPr>
      <w:szCs w:val="21"/>
    </w:rPr>
  </w:style>
  <w:style w:type="paragraph" w:customStyle="1" w:styleId="76">
    <w:name w:val="PlainText"/>
    <w:basedOn w:val="1"/>
    <w:qFormat/>
    <w:uiPriority w:val="0"/>
    <w:pPr>
      <w:spacing w:before="156" w:after="156" w:line="400" w:lineRule="atLeast"/>
    </w:pPr>
    <w:rPr>
      <w:rFonts w:ascii="宋体" w:hAnsi="Courier New"/>
      <w:sz w:val="24"/>
    </w:rPr>
  </w:style>
  <w:style w:type="paragraph" w:customStyle="1" w:styleId="77">
    <w:name w:val="UserStyle_29"/>
    <w:basedOn w:val="1"/>
    <w:qFormat/>
    <w:uiPriority w:val="0"/>
    <w:pPr>
      <w:ind w:firstLine="420" w:firstLineChars="200"/>
    </w:pPr>
    <w:rPr>
      <w:szCs w:val="22"/>
    </w:rPr>
  </w:style>
  <w:style w:type="table" w:customStyle="1" w:styleId="78">
    <w:name w:val="Table Normal"/>
    <w:qFormat/>
    <w:uiPriority w:val="0"/>
    <w:tblPr>
      <w:tblCellMar>
        <w:top w:w="0" w:type="dxa"/>
        <w:left w:w="0" w:type="dxa"/>
        <w:bottom w:w="0" w:type="dxa"/>
        <w:right w:w="0" w:type="dxa"/>
      </w:tblCellMar>
    </w:tblPr>
  </w:style>
  <w:style w:type="character" w:customStyle="1" w:styleId="79">
    <w:name w:val="批注文字 字符"/>
    <w:basedOn w:val="29"/>
    <w:link w:val="10"/>
    <w:qFormat/>
    <w:uiPriority w:val="0"/>
    <w:rPr>
      <w:kern w:val="2"/>
      <w:sz w:val="21"/>
      <w:szCs w:val="24"/>
    </w:rPr>
  </w:style>
  <w:style w:type="character" w:customStyle="1" w:styleId="80">
    <w:name w:val="批注主题 字符"/>
    <w:basedOn w:val="79"/>
    <w:link w:val="25"/>
    <w:qFormat/>
    <w:uiPriority w:val="0"/>
    <w:rPr>
      <w:b/>
      <w:bCs/>
      <w:kern w:val="2"/>
      <w:sz w:val="21"/>
      <w:szCs w:val="24"/>
    </w:rPr>
  </w:style>
  <w:style w:type="character" w:customStyle="1" w:styleId="81">
    <w:name w:val="正文文本首行缩进 字符"/>
    <w:basedOn w:val="29"/>
    <w:link w:val="2"/>
    <w:qFormat/>
    <w:uiPriority w:val="0"/>
    <w:rPr>
      <w:kern w:val="2"/>
      <w:sz w:val="24"/>
      <w:szCs w:val="24"/>
    </w:rPr>
  </w:style>
  <w:style w:type="paragraph" w:customStyle="1" w:styleId="82">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3">
    <w:name w:val="Unresolved Mention"/>
    <w:basedOn w:val="29"/>
    <w:qFormat/>
    <w:uiPriority w:val="99"/>
    <w:rPr>
      <w:color w:val="605E5C"/>
      <w:shd w:val="clear" w:color="auto" w:fill="E1DFDD"/>
    </w:rPr>
  </w:style>
  <w:style w:type="paragraph" w:customStyle="1" w:styleId="84">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85">
    <w:name w:val="font11"/>
    <w:basedOn w:val="29"/>
    <w:qFormat/>
    <w:uiPriority w:val="0"/>
    <w:rPr>
      <w:rFonts w:hint="eastAsia" w:ascii="宋体" w:hAnsi="宋体" w:eastAsia="宋体" w:cs="宋体"/>
      <w:b/>
      <w:bCs/>
      <w:color w:val="000000"/>
      <w:sz w:val="22"/>
      <w:szCs w:val="22"/>
      <w:u w:val="none"/>
    </w:rPr>
  </w:style>
  <w:style w:type="character" w:customStyle="1" w:styleId="86">
    <w:name w:val="font31"/>
    <w:qFormat/>
    <w:uiPriority w:val="0"/>
    <w:rPr>
      <w:rFonts w:hint="eastAsia" w:ascii="宋体" w:hAnsi="宋体" w:eastAsia="宋体" w:cs="宋体"/>
      <w:color w:val="8984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54</Pages>
  <Words>30535</Words>
  <Characters>31502</Characters>
  <Paragraphs>897</Paragraphs>
  <TotalTime>26</TotalTime>
  <ScaleCrop>false</ScaleCrop>
  <LinksUpToDate>false</LinksUpToDate>
  <CharactersWithSpaces>32845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2024-06-12T08:10:00Z</cp:lastPrinted>
  <dcterms:modified xsi:type="dcterms:W3CDTF">2024-06-25T02:26:15Z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E1E30937B84041EFA7395E5C806ADF9C_13</vt:lpwstr>
  </property>
  <property fmtid="{D5CDD505-2E9C-101B-9397-08002B2CF9AE}" pid="4" name="commondata">
    <vt:lpwstr>eyJoZGlkIjoiZWM5NTczMTg4N2ExZWZmMDU0MmIxMDc2NTJiZjIxOTMifQ==</vt:lpwstr>
  </property>
</Properties>
</file>